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ind w:left="2000" w:hanging="2000" w:hangingChars="500"/>
        <w:rPr>
          <w:rFonts w:hint="eastAsia" w:ascii="宋体" w:hAnsi="宋体" w:eastAsia="宋体" w:cs="宋体"/>
          <w:bCs/>
          <w:iCs/>
          <w:color w:val="auto"/>
          <w:sz w:val="40"/>
          <w:szCs w:val="40"/>
          <w:highlight w:val="none"/>
        </w:rPr>
      </w:pPr>
    </w:p>
    <w:p>
      <w:pPr>
        <w:spacing w:line="360" w:lineRule="auto"/>
        <w:ind w:left="2000" w:hanging="2000" w:hangingChars="500"/>
        <w:rPr>
          <w:rFonts w:hint="eastAsia" w:ascii="宋体" w:hAnsi="宋体" w:eastAsia="宋体" w:cs="宋体"/>
          <w:bCs/>
          <w:iCs/>
          <w:color w:val="auto"/>
          <w:sz w:val="40"/>
          <w:szCs w:val="40"/>
          <w:highlight w:val="none"/>
          <w:u w:val="single"/>
          <w:lang w:val="en-US" w:eastAsia="zh-CN"/>
        </w:rPr>
      </w:pPr>
      <w:r>
        <w:rPr>
          <w:rFonts w:hint="eastAsia" w:ascii="宋体" w:hAnsi="宋体" w:eastAsia="宋体" w:cs="宋体"/>
          <w:bCs/>
          <w:iCs/>
          <w:color w:val="auto"/>
          <w:sz w:val="40"/>
          <w:szCs w:val="40"/>
          <w:highlight w:val="none"/>
        </w:rPr>
        <w:t>采购单位：</w:t>
      </w:r>
      <w:r>
        <w:rPr>
          <w:rFonts w:hint="eastAsia" w:ascii="宋体" w:hAnsi="宋体" w:eastAsia="宋体" w:cs="宋体"/>
          <w:b/>
          <w:bCs w:val="0"/>
          <w:iCs/>
          <w:color w:val="auto"/>
          <w:sz w:val="40"/>
          <w:szCs w:val="40"/>
          <w:highlight w:val="none"/>
          <w:u w:val="single"/>
        </w:rPr>
        <w:t>绍兴市上虞杭州湾滨海新城投资开发建设有限公司</w:t>
      </w:r>
    </w:p>
    <w:p>
      <w:pPr>
        <w:spacing w:line="360" w:lineRule="auto"/>
        <w:ind w:firstLine="400" w:firstLineChars="100"/>
        <w:rPr>
          <w:rFonts w:hint="eastAsia" w:ascii="宋体" w:hAnsi="宋体" w:eastAsia="宋体" w:cs="宋体"/>
          <w:bCs/>
          <w:iCs/>
          <w:color w:val="auto"/>
          <w:sz w:val="40"/>
          <w:szCs w:val="40"/>
          <w:highlight w:val="none"/>
          <w:u w:val="single"/>
        </w:rPr>
      </w:pPr>
    </w:p>
    <w:p>
      <w:pPr>
        <w:pStyle w:val="31"/>
        <w:spacing w:line="360" w:lineRule="auto"/>
        <w:ind w:left="2000" w:leftChars="0" w:hanging="2000" w:hangingChars="500"/>
        <w:rPr>
          <w:rFonts w:hint="eastAsia" w:ascii="宋体" w:hAnsi="宋体" w:eastAsia="宋体" w:cs="宋体"/>
          <w:color w:val="auto"/>
          <w:sz w:val="40"/>
          <w:szCs w:val="40"/>
          <w:highlight w:val="none"/>
          <w:lang w:val="en-US" w:eastAsia="zh-CN"/>
        </w:rPr>
      </w:pPr>
      <w:r>
        <w:rPr>
          <w:rFonts w:hint="eastAsia" w:ascii="宋体" w:hAnsi="宋体" w:eastAsia="宋体" w:cs="宋体"/>
          <w:bCs/>
          <w:iCs/>
          <w:color w:val="auto"/>
          <w:sz w:val="40"/>
          <w:szCs w:val="40"/>
          <w:highlight w:val="none"/>
        </w:rPr>
        <w:t>项目名称：</w:t>
      </w:r>
      <w:r>
        <w:rPr>
          <w:rFonts w:hint="eastAsia" w:eastAsia="宋体" w:cs="宋体"/>
          <w:b/>
          <w:bCs w:val="0"/>
          <w:iCs/>
          <w:color w:val="auto"/>
          <w:sz w:val="40"/>
          <w:szCs w:val="40"/>
          <w:highlight w:val="none"/>
          <w:u w:val="single"/>
          <w:lang w:eastAsia="zh-CN"/>
        </w:rPr>
        <w:t>浙大邵逸夫医院绍兴院区医用纯水系统采购及安装项目</w:t>
      </w:r>
    </w:p>
    <w:p>
      <w:pPr>
        <w:spacing w:line="360" w:lineRule="auto"/>
        <w:rPr>
          <w:rFonts w:hint="eastAsia" w:ascii="宋体" w:hAnsi="宋体" w:eastAsia="宋体" w:cs="宋体"/>
          <w:b/>
          <w:bCs/>
          <w:color w:val="auto"/>
          <w:sz w:val="28"/>
          <w:highlight w:val="none"/>
        </w:rPr>
      </w:pPr>
    </w:p>
    <w:p>
      <w:pPr>
        <w:spacing w:line="360" w:lineRule="auto"/>
        <w:jc w:val="center"/>
        <w:rPr>
          <w:rFonts w:hint="eastAsia" w:ascii="宋体" w:hAnsi="宋体" w:eastAsia="宋体" w:cs="宋体"/>
          <w:b/>
          <w:bCs/>
          <w:color w:val="auto"/>
          <w:sz w:val="84"/>
          <w:szCs w:val="44"/>
          <w:highlight w:val="none"/>
        </w:rPr>
      </w:pPr>
      <w:r>
        <w:rPr>
          <w:rFonts w:hint="eastAsia" w:ascii="宋体" w:hAnsi="宋体" w:eastAsia="宋体" w:cs="宋体"/>
          <w:b/>
          <w:bCs/>
          <w:color w:val="auto"/>
          <w:sz w:val="84"/>
          <w:szCs w:val="44"/>
          <w:highlight w:val="none"/>
        </w:rPr>
        <w:t>招  标  文  件</w:t>
      </w:r>
    </w:p>
    <w:p>
      <w:pPr>
        <w:pStyle w:val="31"/>
        <w:spacing w:line="360" w:lineRule="auto"/>
        <w:ind w:left="0" w:leftChars="0" w:firstLine="0"/>
        <w:rPr>
          <w:rFonts w:hint="eastAsia" w:ascii="宋体" w:hAnsi="宋体" w:eastAsia="宋体" w:cs="宋体"/>
          <w:b/>
          <w:bCs/>
          <w:color w:val="auto"/>
          <w:sz w:val="52"/>
          <w:szCs w:val="44"/>
          <w:highlight w:val="none"/>
        </w:rPr>
      </w:pPr>
    </w:p>
    <w:p>
      <w:pPr>
        <w:spacing w:line="360" w:lineRule="auto"/>
        <w:ind w:firstLine="1807" w:firstLineChars="500"/>
        <w:jc w:val="both"/>
        <w:rPr>
          <w:rFonts w:hint="eastAsia" w:ascii="宋体" w:hAnsi="宋体" w:eastAsia="宋体" w:cs="宋体"/>
          <w:b/>
          <w:bCs/>
          <w:color w:val="auto"/>
          <w:sz w:val="36"/>
          <w:szCs w:val="28"/>
          <w:highlight w:val="none"/>
          <w:lang w:eastAsia="zh-CN"/>
        </w:rPr>
      </w:pPr>
      <w:r>
        <w:rPr>
          <w:rFonts w:hint="eastAsia" w:ascii="宋体" w:hAnsi="宋体" w:eastAsia="宋体" w:cs="宋体"/>
          <w:b/>
          <w:bCs/>
          <w:color w:val="auto"/>
          <w:sz w:val="36"/>
          <w:szCs w:val="28"/>
          <w:highlight w:val="none"/>
        </w:rPr>
        <w:t>招标编号：</w:t>
      </w:r>
      <w:r>
        <w:rPr>
          <w:rFonts w:hint="eastAsia" w:eastAsia="宋体" w:cs="宋体"/>
          <w:b/>
          <w:bCs/>
          <w:color w:val="auto"/>
          <w:sz w:val="36"/>
          <w:szCs w:val="28"/>
          <w:highlight w:val="none"/>
          <w:lang w:eastAsia="zh-CN"/>
        </w:rPr>
        <w:t>ZDSYF2022001</w:t>
      </w:r>
    </w:p>
    <w:p>
      <w:pPr>
        <w:spacing w:line="360" w:lineRule="auto"/>
        <w:rPr>
          <w:rFonts w:hint="eastAsia" w:ascii="宋体" w:hAnsi="宋体" w:eastAsia="宋体" w:cs="宋体"/>
          <w:b/>
          <w:bCs/>
          <w:color w:val="auto"/>
          <w:sz w:val="28"/>
          <w:highlight w:val="none"/>
        </w:rPr>
      </w:pPr>
    </w:p>
    <w:p>
      <w:pPr>
        <w:pStyle w:val="31"/>
        <w:spacing w:line="360" w:lineRule="auto"/>
        <w:ind w:left="0" w:leftChars="0" w:firstLine="0"/>
        <w:rPr>
          <w:rFonts w:hint="eastAsia" w:ascii="宋体" w:hAnsi="宋体" w:eastAsia="宋体" w:cs="宋体"/>
          <w:color w:val="auto"/>
          <w:highlight w:val="none"/>
        </w:rPr>
      </w:pPr>
    </w:p>
    <w:p>
      <w:pPr>
        <w:pStyle w:val="31"/>
        <w:spacing w:line="360" w:lineRule="auto"/>
        <w:ind w:left="0" w:leftChars="0" w:firstLine="0"/>
        <w:rPr>
          <w:rFonts w:hint="eastAsia" w:ascii="宋体" w:hAnsi="宋体" w:eastAsia="宋体" w:cs="宋体"/>
          <w:color w:val="auto"/>
          <w:highlight w:val="none"/>
        </w:rPr>
      </w:pPr>
    </w:p>
    <w:p>
      <w:pPr>
        <w:pStyle w:val="31"/>
        <w:spacing w:line="360" w:lineRule="auto"/>
        <w:ind w:left="0" w:leftChars="0" w:firstLine="0"/>
        <w:rPr>
          <w:rFonts w:hint="eastAsia" w:ascii="宋体" w:hAnsi="宋体" w:eastAsia="宋体" w:cs="宋体"/>
          <w:color w:val="auto"/>
          <w:highlight w:val="none"/>
        </w:rPr>
      </w:pPr>
    </w:p>
    <w:p>
      <w:pPr>
        <w:pStyle w:val="31"/>
        <w:spacing w:line="360" w:lineRule="auto"/>
        <w:ind w:left="0" w:leftChars="0" w:firstLine="0"/>
        <w:rPr>
          <w:rFonts w:hint="eastAsia" w:ascii="宋体" w:hAnsi="宋体" w:eastAsia="宋体" w:cs="宋体"/>
          <w:color w:val="auto"/>
          <w:highlight w:val="none"/>
        </w:rPr>
      </w:pPr>
    </w:p>
    <w:p>
      <w:pPr>
        <w:pStyle w:val="31"/>
        <w:spacing w:line="360" w:lineRule="auto"/>
        <w:ind w:left="0" w:leftChars="0" w:firstLine="0"/>
        <w:rPr>
          <w:rFonts w:hint="eastAsia" w:ascii="宋体" w:hAnsi="宋体" w:eastAsia="宋体" w:cs="宋体"/>
          <w:color w:val="auto"/>
          <w:highlight w:val="none"/>
        </w:rPr>
      </w:pPr>
    </w:p>
    <w:p>
      <w:pPr>
        <w:pStyle w:val="31"/>
        <w:spacing w:line="360" w:lineRule="auto"/>
        <w:ind w:left="0" w:leftChars="0" w:firstLine="0"/>
        <w:rPr>
          <w:rFonts w:hint="eastAsia" w:ascii="宋体" w:hAnsi="宋体" w:eastAsia="宋体" w:cs="宋体"/>
          <w:color w:val="auto"/>
          <w:highlight w:val="none"/>
        </w:rPr>
      </w:pPr>
    </w:p>
    <w:p>
      <w:pPr>
        <w:pStyle w:val="31"/>
        <w:spacing w:line="360" w:lineRule="auto"/>
        <w:ind w:left="0" w:leftChars="0" w:firstLine="0"/>
        <w:rPr>
          <w:rFonts w:hint="eastAsia" w:ascii="宋体" w:hAnsi="宋体" w:eastAsia="宋体" w:cs="宋体"/>
          <w:color w:val="auto"/>
          <w:highlight w:val="none"/>
        </w:rPr>
      </w:pPr>
    </w:p>
    <w:p>
      <w:pPr>
        <w:spacing w:line="360" w:lineRule="auto"/>
        <w:jc w:val="center"/>
        <w:rPr>
          <w:rFonts w:hint="eastAsia" w:ascii="宋体" w:hAnsi="宋体" w:eastAsia="宋体" w:cs="宋体"/>
          <w:b/>
          <w:bCs/>
          <w:iCs/>
          <w:color w:val="auto"/>
          <w:sz w:val="36"/>
          <w:szCs w:val="36"/>
          <w:highlight w:val="none"/>
          <w:lang w:val="en-US" w:eastAsia="zh-CN"/>
        </w:rPr>
      </w:pPr>
    </w:p>
    <w:p>
      <w:pPr>
        <w:spacing w:line="360" w:lineRule="auto"/>
        <w:jc w:val="center"/>
        <w:rPr>
          <w:rFonts w:hint="eastAsia" w:ascii="宋体" w:hAnsi="宋体" w:eastAsia="宋体" w:cs="宋体"/>
          <w:b/>
          <w:bCs/>
          <w:iCs/>
          <w:color w:val="auto"/>
          <w:sz w:val="36"/>
          <w:szCs w:val="36"/>
          <w:highlight w:val="none"/>
          <w:lang w:val="en-US" w:eastAsia="zh-CN"/>
        </w:rPr>
      </w:pPr>
      <w:r>
        <w:rPr>
          <w:rFonts w:hint="eastAsia" w:ascii="宋体" w:hAnsi="宋体" w:eastAsia="宋体" w:cs="宋体"/>
          <w:b/>
          <w:bCs/>
          <w:iCs/>
          <w:color w:val="auto"/>
          <w:sz w:val="36"/>
          <w:szCs w:val="36"/>
          <w:highlight w:val="none"/>
          <w:lang w:val="en-US" w:eastAsia="zh-CN"/>
        </w:rPr>
        <w:t>绍兴市上虞杭州湾滨海新城投资开发建设有限公司</w:t>
      </w:r>
    </w:p>
    <w:p>
      <w:pPr>
        <w:spacing w:line="360" w:lineRule="auto"/>
        <w:jc w:val="center"/>
        <w:rPr>
          <w:rFonts w:hint="eastAsia" w:ascii="宋体" w:hAnsi="宋体" w:eastAsia="宋体" w:cs="宋体"/>
          <w:b/>
          <w:color w:val="auto"/>
          <w:sz w:val="36"/>
          <w:szCs w:val="36"/>
          <w:highlight w:val="none"/>
        </w:rPr>
        <w:sectPr>
          <w:footerReference r:id="rId4" w:type="first"/>
          <w:footerReference r:id="rId3" w:type="default"/>
          <w:pgSz w:w="11907" w:h="16840"/>
          <w:pgMar w:top="1418" w:right="1701" w:bottom="1418" w:left="1701" w:header="851" w:footer="618" w:gutter="0"/>
          <w:pgBorders>
            <w:top w:val="none" w:sz="0" w:space="0"/>
            <w:left w:val="none" w:sz="0" w:space="0"/>
            <w:bottom w:val="none" w:sz="0" w:space="0"/>
            <w:right w:val="none" w:sz="0" w:space="0"/>
          </w:pgBorders>
          <w:pgNumType w:fmt="decimal"/>
          <w:cols w:space="720" w:num="1"/>
          <w:docGrid w:type="lines" w:linePitch="312" w:charSpace="0"/>
        </w:sectPr>
      </w:pPr>
      <w:r>
        <w:rPr>
          <w:rFonts w:hint="eastAsia" w:ascii="宋体" w:hAnsi="宋体" w:eastAsia="宋体" w:cs="宋体"/>
          <w:b/>
          <w:bCs/>
          <w:iCs/>
          <w:color w:val="auto"/>
          <w:sz w:val="36"/>
          <w:szCs w:val="36"/>
          <w:highlight w:val="none"/>
          <w:lang w:val="en-US" w:eastAsia="zh-CN"/>
        </w:rPr>
        <w:t xml:space="preserve"> </w:t>
      </w:r>
      <w:r>
        <w:rPr>
          <w:rFonts w:hint="eastAsia" w:ascii="宋体" w:hAnsi="宋体" w:eastAsia="宋体" w:cs="宋体"/>
          <w:b/>
          <w:bCs/>
          <w:iCs/>
          <w:color w:val="auto"/>
          <w:sz w:val="36"/>
          <w:szCs w:val="36"/>
          <w:highlight w:val="none"/>
        </w:rPr>
        <w:t>浙江五洲工程项目管理有限公司</w:t>
      </w:r>
    </w:p>
    <w:p>
      <w:pPr>
        <w:spacing w:line="360" w:lineRule="auto"/>
        <w:jc w:val="center"/>
        <w:rPr>
          <w:rFonts w:hint="eastAsia" w:ascii="宋体" w:hAnsi="宋体" w:eastAsia="宋体" w:cs="宋体"/>
          <w:b/>
          <w:color w:val="auto"/>
          <w:sz w:val="48"/>
          <w:szCs w:val="48"/>
          <w:highlight w:val="none"/>
        </w:rPr>
      </w:pPr>
      <w:bookmarkStart w:id="0" w:name="_Hlt67893495"/>
      <w:bookmarkEnd w:id="0"/>
      <w:r>
        <w:rPr>
          <w:rFonts w:hint="eastAsia" w:ascii="宋体" w:hAnsi="宋体" w:eastAsia="宋体" w:cs="宋体"/>
          <w:b/>
          <w:color w:val="auto"/>
          <w:sz w:val="48"/>
          <w:szCs w:val="48"/>
          <w:highlight w:val="none"/>
        </w:rPr>
        <w:t>目  录</w:t>
      </w:r>
    </w:p>
    <w:sdt>
      <w:sdtPr>
        <w:rPr>
          <w:rFonts w:ascii="宋体" w:hAnsi="宋体" w:eastAsia="宋体" w:cs="宋体"/>
          <w:sz w:val="21"/>
          <w:szCs w:val="21"/>
        </w:rPr>
        <w:id w:val="147465297"/>
        <w15:color w:val="DBDBDB"/>
        <w:docPartObj>
          <w:docPartGallery w:val="Table of Contents"/>
          <w:docPartUnique/>
        </w:docPartObj>
      </w:sdtPr>
      <w:sdtEndPr>
        <w:rPr>
          <w:rFonts w:hint="eastAsia" w:ascii="宋体" w:hAnsi="宋体" w:eastAsia="宋体" w:cs="宋体"/>
          <w:b/>
          <w:color w:val="auto"/>
          <w:sz w:val="21"/>
          <w:szCs w:val="44"/>
          <w:highlight w:val="none"/>
        </w:rPr>
      </w:sdtEndPr>
      <w:sdtContent>
        <w:p>
          <w:pPr>
            <w:spacing w:before="0" w:beforeLines="0" w:after="0" w:afterLines="0" w:line="240" w:lineRule="auto"/>
            <w:ind w:left="0" w:leftChars="0" w:right="0" w:rightChars="0" w:firstLine="0" w:firstLineChars="0"/>
            <w:jc w:val="center"/>
          </w:pPr>
          <w:bookmarkStart w:id="1" w:name="_Hlt91233176"/>
          <w:bookmarkEnd w:id="1"/>
          <w:bookmarkStart w:id="2" w:name="_Toc91899869"/>
        </w:p>
        <w:p>
          <w:pPr>
            <w:pStyle w:val="72"/>
            <w:tabs>
              <w:tab w:val="right" w:leader="dot" w:pos="9468"/>
            </w:tabs>
            <w:rPr>
              <w:b w:val="0"/>
              <w:bCs/>
              <w:sz w:val="28"/>
              <w:szCs w:val="28"/>
            </w:rPr>
          </w:pPr>
          <w:r>
            <w:rPr>
              <w:rFonts w:hint="eastAsia" w:ascii="宋体" w:hAnsi="宋体" w:eastAsia="宋体" w:cs="宋体"/>
              <w:color w:val="auto"/>
              <w:sz w:val="44"/>
              <w:szCs w:val="44"/>
              <w:highlight w:val="none"/>
            </w:rPr>
            <w:fldChar w:fldCharType="begin"/>
          </w:r>
          <w:r>
            <w:rPr>
              <w:rFonts w:hint="eastAsia" w:ascii="宋体" w:hAnsi="宋体" w:eastAsia="宋体" w:cs="宋体"/>
              <w:color w:val="auto"/>
              <w:sz w:val="44"/>
              <w:szCs w:val="44"/>
              <w:highlight w:val="none"/>
            </w:rPr>
            <w:instrText xml:space="preserve">TOC \o "1-2" \h \u </w:instrText>
          </w:r>
          <w:r>
            <w:rPr>
              <w:rFonts w:hint="eastAsia" w:ascii="宋体" w:hAnsi="宋体" w:eastAsia="宋体" w:cs="宋体"/>
              <w:color w:val="auto"/>
              <w:sz w:val="44"/>
              <w:szCs w:val="44"/>
              <w:highlight w:val="none"/>
            </w:rPr>
            <w:fldChar w:fldCharType="separate"/>
          </w:r>
          <w:r>
            <w:rPr>
              <w:rFonts w:hint="eastAsia" w:ascii="宋体" w:hAnsi="宋体" w:eastAsia="宋体" w:cs="宋体"/>
              <w:b w:val="0"/>
              <w:bCs/>
              <w:color w:val="auto"/>
              <w:sz w:val="28"/>
              <w:szCs w:val="28"/>
              <w:highlight w:val="none"/>
            </w:rPr>
            <w:fldChar w:fldCharType="begin"/>
          </w:r>
          <w:r>
            <w:rPr>
              <w:rFonts w:hint="eastAsia" w:ascii="宋体" w:hAnsi="宋体" w:eastAsia="宋体" w:cs="宋体"/>
              <w:b w:val="0"/>
              <w:bCs/>
              <w:sz w:val="28"/>
              <w:szCs w:val="28"/>
              <w:highlight w:val="none"/>
            </w:rPr>
            <w:instrText xml:space="preserve"> HYPERLINK \l _Toc21760 </w:instrText>
          </w:r>
          <w:r>
            <w:rPr>
              <w:rFonts w:hint="eastAsia" w:ascii="宋体" w:hAnsi="宋体" w:eastAsia="宋体" w:cs="宋体"/>
              <w:b w:val="0"/>
              <w:bCs/>
              <w:sz w:val="28"/>
              <w:szCs w:val="28"/>
              <w:highlight w:val="none"/>
            </w:rPr>
            <w:fldChar w:fldCharType="separate"/>
          </w:r>
          <w:r>
            <w:rPr>
              <w:rFonts w:hint="eastAsia" w:ascii="宋体" w:hAnsi="宋体" w:eastAsia="宋体" w:cs="宋体"/>
              <w:b w:val="0"/>
              <w:bCs/>
              <w:sz w:val="28"/>
              <w:szCs w:val="28"/>
              <w:highlight w:val="none"/>
            </w:rPr>
            <w:t xml:space="preserve">第一部分 </w:t>
          </w:r>
          <w:r>
            <w:rPr>
              <w:rFonts w:hint="eastAsia" w:ascii="宋体" w:hAnsi="宋体" w:eastAsia="宋体" w:cs="宋体"/>
              <w:b w:val="0"/>
              <w:bCs/>
              <w:sz w:val="28"/>
              <w:szCs w:val="28"/>
              <w:highlight w:val="none"/>
              <w:lang w:val="en-US" w:eastAsia="zh-CN"/>
            </w:rPr>
            <w:t xml:space="preserve"> </w:t>
          </w:r>
          <w:r>
            <w:rPr>
              <w:rFonts w:hint="eastAsia" w:ascii="宋体" w:hAnsi="宋体" w:eastAsia="宋体" w:cs="宋体"/>
              <w:b w:val="0"/>
              <w:bCs/>
              <w:sz w:val="28"/>
              <w:szCs w:val="28"/>
              <w:highlight w:val="none"/>
            </w:rPr>
            <w:t>招标公告</w:t>
          </w:r>
          <w:r>
            <w:rPr>
              <w:b w:val="0"/>
              <w:bCs/>
              <w:sz w:val="28"/>
              <w:szCs w:val="28"/>
            </w:rPr>
            <w:tab/>
          </w:r>
          <w:r>
            <w:rPr>
              <w:b w:val="0"/>
              <w:bCs/>
              <w:sz w:val="28"/>
              <w:szCs w:val="28"/>
            </w:rPr>
            <w:fldChar w:fldCharType="begin"/>
          </w:r>
          <w:r>
            <w:rPr>
              <w:b w:val="0"/>
              <w:bCs/>
              <w:sz w:val="28"/>
              <w:szCs w:val="28"/>
            </w:rPr>
            <w:instrText xml:space="preserve"> PAGEREF _Toc21760 \h </w:instrText>
          </w:r>
          <w:r>
            <w:rPr>
              <w:b w:val="0"/>
              <w:bCs/>
              <w:sz w:val="28"/>
              <w:szCs w:val="28"/>
            </w:rPr>
            <w:fldChar w:fldCharType="separate"/>
          </w:r>
          <w:r>
            <w:rPr>
              <w:b w:val="0"/>
              <w:bCs/>
              <w:sz w:val="28"/>
              <w:szCs w:val="28"/>
            </w:rPr>
            <w:t>3</w:t>
          </w:r>
          <w:r>
            <w:rPr>
              <w:b w:val="0"/>
              <w:bCs/>
              <w:sz w:val="28"/>
              <w:szCs w:val="28"/>
            </w:rPr>
            <w:fldChar w:fldCharType="end"/>
          </w:r>
          <w:r>
            <w:rPr>
              <w:rFonts w:hint="eastAsia" w:ascii="宋体" w:hAnsi="宋体" w:eastAsia="宋体" w:cs="宋体"/>
              <w:b w:val="0"/>
              <w:bCs/>
              <w:color w:val="auto"/>
              <w:sz w:val="28"/>
              <w:szCs w:val="28"/>
              <w:highlight w:val="none"/>
            </w:rPr>
            <w:fldChar w:fldCharType="end"/>
          </w:r>
        </w:p>
        <w:p>
          <w:pPr>
            <w:pStyle w:val="72"/>
            <w:tabs>
              <w:tab w:val="right" w:leader="dot" w:pos="9468"/>
            </w:tabs>
            <w:rPr>
              <w:b w:val="0"/>
              <w:bCs/>
              <w:sz w:val="28"/>
              <w:szCs w:val="28"/>
            </w:rPr>
          </w:pPr>
          <w:r>
            <w:rPr>
              <w:rFonts w:hint="eastAsia" w:ascii="宋体" w:hAnsi="宋体" w:eastAsia="宋体" w:cs="宋体"/>
              <w:b w:val="0"/>
              <w:bCs/>
              <w:color w:val="auto"/>
              <w:sz w:val="28"/>
              <w:szCs w:val="28"/>
              <w:highlight w:val="none"/>
            </w:rPr>
            <w:fldChar w:fldCharType="begin"/>
          </w:r>
          <w:r>
            <w:rPr>
              <w:rFonts w:hint="eastAsia" w:ascii="宋体" w:hAnsi="宋体" w:eastAsia="宋体" w:cs="宋体"/>
              <w:b w:val="0"/>
              <w:bCs/>
              <w:sz w:val="28"/>
              <w:szCs w:val="28"/>
              <w:highlight w:val="none"/>
            </w:rPr>
            <w:instrText xml:space="preserve"> HYPERLINK \l _Toc23202 </w:instrText>
          </w:r>
          <w:r>
            <w:rPr>
              <w:rFonts w:hint="eastAsia" w:ascii="宋体" w:hAnsi="宋体" w:eastAsia="宋体" w:cs="宋体"/>
              <w:b w:val="0"/>
              <w:bCs/>
              <w:sz w:val="28"/>
              <w:szCs w:val="28"/>
              <w:highlight w:val="none"/>
            </w:rPr>
            <w:fldChar w:fldCharType="separate"/>
          </w:r>
          <w:r>
            <w:rPr>
              <w:rFonts w:hint="eastAsia" w:ascii="宋体" w:hAnsi="宋体" w:eastAsia="宋体" w:cs="宋体"/>
              <w:b w:val="0"/>
              <w:bCs/>
              <w:sz w:val="28"/>
              <w:szCs w:val="28"/>
              <w:highlight w:val="none"/>
            </w:rPr>
            <w:t>第二部分</w:t>
          </w:r>
          <w:r>
            <w:rPr>
              <w:rFonts w:hint="eastAsia" w:ascii="宋体" w:hAnsi="宋体" w:eastAsia="宋体" w:cs="宋体"/>
              <w:b w:val="0"/>
              <w:bCs/>
              <w:sz w:val="28"/>
              <w:szCs w:val="28"/>
              <w:highlight w:val="none"/>
              <w:lang w:val="en-US" w:eastAsia="zh-CN"/>
            </w:rPr>
            <w:t xml:space="preserve">  投标</w:t>
          </w:r>
          <w:r>
            <w:rPr>
              <w:rFonts w:hint="eastAsia" w:ascii="宋体" w:hAnsi="宋体" w:eastAsia="宋体" w:cs="宋体"/>
              <w:b w:val="0"/>
              <w:bCs/>
              <w:sz w:val="28"/>
              <w:szCs w:val="28"/>
              <w:highlight w:val="none"/>
            </w:rPr>
            <w:t>须知</w:t>
          </w:r>
          <w:r>
            <w:rPr>
              <w:b w:val="0"/>
              <w:bCs/>
              <w:sz w:val="28"/>
              <w:szCs w:val="28"/>
            </w:rPr>
            <w:tab/>
          </w:r>
          <w:r>
            <w:rPr>
              <w:b w:val="0"/>
              <w:bCs/>
              <w:sz w:val="28"/>
              <w:szCs w:val="28"/>
            </w:rPr>
            <w:fldChar w:fldCharType="begin"/>
          </w:r>
          <w:r>
            <w:rPr>
              <w:b w:val="0"/>
              <w:bCs/>
              <w:sz w:val="28"/>
              <w:szCs w:val="28"/>
            </w:rPr>
            <w:instrText xml:space="preserve"> PAGEREF _Toc23202 \h </w:instrText>
          </w:r>
          <w:r>
            <w:rPr>
              <w:b w:val="0"/>
              <w:bCs/>
              <w:sz w:val="28"/>
              <w:szCs w:val="28"/>
            </w:rPr>
            <w:fldChar w:fldCharType="separate"/>
          </w:r>
          <w:r>
            <w:rPr>
              <w:b w:val="0"/>
              <w:bCs/>
              <w:sz w:val="28"/>
              <w:szCs w:val="28"/>
            </w:rPr>
            <w:t>7</w:t>
          </w:r>
          <w:r>
            <w:rPr>
              <w:b w:val="0"/>
              <w:bCs/>
              <w:sz w:val="28"/>
              <w:szCs w:val="28"/>
            </w:rPr>
            <w:fldChar w:fldCharType="end"/>
          </w:r>
          <w:r>
            <w:rPr>
              <w:rFonts w:hint="eastAsia" w:ascii="宋体" w:hAnsi="宋体" w:eastAsia="宋体" w:cs="宋体"/>
              <w:b w:val="0"/>
              <w:bCs/>
              <w:color w:val="auto"/>
              <w:sz w:val="28"/>
              <w:szCs w:val="28"/>
              <w:highlight w:val="none"/>
            </w:rPr>
            <w:fldChar w:fldCharType="end"/>
          </w:r>
        </w:p>
        <w:p>
          <w:pPr>
            <w:pStyle w:val="73"/>
            <w:tabs>
              <w:tab w:val="right" w:leader="dot" w:pos="9468"/>
            </w:tabs>
            <w:rPr>
              <w:b w:val="0"/>
              <w:bCs/>
              <w:sz w:val="28"/>
              <w:szCs w:val="28"/>
            </w:rPr>
          </w:pPr>
          <w:r>
            <w:rPr>
              <w:rFonts w:hint="eastAsia" w:ascii="宋体" w:hAnsi="宋体" w:eastAsia="宋体" w:cs="宋体"/>
              <w:b w:val="0"/>
              <w:bCs/>
              <w:color w:val="auto"/>
              <w:sz w:val="28"/>
              <w:szCs w:val="28"/>
              <w:highlight w:val="none"/>
            </w:rPr>
            <w:fldChar w:fldCharType="begin"/>
          </w:r>
          <w:r>
            <w:rPr>
              <w:rFonts w:hint="eastAsia" w:ascii="宋体" w:hAnsi="宋体" w:eastAsia="宋体" w:cs="宋体"/>
              <w:b w:val="0"/>
              <w:bCs/>
              <w:sz w:val="28"/>
              <w:szCs w:val="28"/>
              <w:highlight w:val="none"/>
            </w:rPr>
            <w:instrText xml:space="preserve"> HYPERLINK \l _Toc18512 </w:instrText>
          </w:r>
          <w:r>
            <w:rPr>
              <w:rFonts w:hint="eastAsia" w:ascii="宋体" w:hAnsi="宋体" w:eastAsia="宋体" w:cs="宋体"/>
              <w:b w:val="0"/>
              <w:bCs/>
              <w:sz w:val="28"/>
              <w:szCs w:val="28"/>
              <w:highlight w:val="none"/>
            </w:rPr>
            <w:fldChar w:fldCharType="separate"/>
          </w:r>
          <w:r>
            <w:rPr>
              <w:rFonts w:hint="eastAsia" w:ascii="宋体" w:hAnsi="宋体" w:eastAsia="宋体" w:cs="宋体"/>
              <w:b w:val="0"/>
              <w:bCs/>
              <w:snapToGrid w:val="0"/>
              <w:kern w:val="0"/>
              <w:sz w:val="28"/>
              <w:szCs w:val="28"/>
              <w:highlight w:val="none"/>
            </w:rPr>
            <w:t>前附表</w:t>
          </w:r>
          <w:r>
            <w:rPr>
              <w:b w:val="0"/>
              <w:bCs/>
              <w:sz w:val="28"/>
              <w:szCs w:val="28"/>
            </w:rPr>
            <w:tab/>
          </w:r>
          <w:r>
            <w:rPr>
              <w:b w:val="0"/>
              <w:bCs/>
              <w:sz w:val="28"/>
              <w:szCs w:val="28"/>
            </w:rPr>
            <w:fldChar w:fldCharType="begin"/>
          </w:r>
          <w:r>
            <w:rPr>
              <w:b w:val="0"/>
              <w:bCs/>
              <w:sz w:val="28"/>
              <w:szCs w:val="28"/>
            </w:rPr>
            <w:instrText xml:space="preserve"> PAGEREF _Toc18512 \h </w:instrText>
          </w:r>
          <w:r>
            <w:rPr>
              <w:b w:val="0"/>
              <w:bCs/>
              <w:sz w:val="28"/>
              <w:szCs w:val="28"/>
            </w:rPr>
            <w:fldChar w:fldCharType="separate"/>
          </w:r>
          <w:r>
            <w:rPr>
              <w:b w:val="0"/>
              <w:bCs/>
              <w:sz w:val="28"/>
              <w:szCs w:val="28"/>
            </w:rPr>
            <w:t>7</w:t>
          </w:r>
          <w:r>
            <w:rPr>
              <w:b w:val="0"/>
              <w:bCs/>
              <w:sz w:val="28"/>
              <w:szCs w:val="28"/>
            </w:rPr>
            <w:fldChar w:fldCharType="end"/>
          </w:r>
          <w:r>
            <w:rPr>
              <w:rFonts w:hint="eastAsia" w:ascii="宋体" w:hAnsi="宋体" w:eastAsia="宋体" w:cs="宋体"/>
              <w:b w:val="0"/>
              <w:bCs/>
              <w:color w:val="auto"/>
              <w:sz w:val="28"/>
              <w:szCs w:val="28"/>
              <w:highlight w:val="none"/>
            </w:rPr>
            <w:fldChar w:fldCharType="end"/>
          </w:r>
        </w:p>
        <w:p>
          <w:pPr>
            <w:pStyle w:val="73"/>
            <w:tabs>
              <w:tab w:val="right" w:leader="dot" w:pos="9468"/>
            </w:tabs>
            <w:rPr>
              <w:b w:val="0"/>
              <w:bCs/>
              <w:sz w:val="28"/>
              <w:szCs w:val="28"/>
            </w:rPr>
          </w:pPr>
          <w:r>
            <w:rPr>
              <w:rFonts w:hint="eastAsia" w:ascii="宋体" w:hAnsi="宋体" w:eastAsia="宋体" w:cs="宋体"/>
              <w:b w:val="0"/>
              <w:bCs/>
              <w:color w:val="auto"/>
              <w:sz w:val="28"/>
              <w:szCs w:val="28"/>
              <w:highlight w:val="none"/>
            </w:rPr>
            <w:fldChar w:fldCharType="begin"/>
          </w:r>
          <w:r>
            <w:rPr>
              <w:rFonts w:hint="eastAsia" w:ascii="宋体" w:hAnsi="宋体" w:eastAsia="宋体" w:cs="宋体"/>
              <w:b w:val="0"/>
              <w:bCs/>
              <w:sz w:val="28"/>
              <w:szCs w:val="28"/>
              <w:highlight w:val="none"/>
            </w:rPr>
            <w:instrText xml:space="preserve"> HYPERLINK \l _Toc24717 </w:instrText>
          </w:r>
          <w:r>
            <w:rPr>
              <w:rFonts w:hint="eastAsia" w:ascii="宋体" w:hAnsi="宋体" w:eastAsia="宋体" w:cs="宋体"/>
              <w:b w:val="0"/>
              <w:bCs/>
              <w:sz w:val="28"/>
              <w:szCs w:val="28"/>
              <w:highlight w:val="none"/>
            </w:rPr>
            <w:fldChar w:fldCharType="separate"/>
          </w:r>
          <w:r>
            <w:rPr>
              <w:rFonts w:hint="eastAsia" w:ascii="宋体" w:hAnsi="宋体" w:eastAsia="宋体" w:cs="宋体"/>
              <w:b w:val="0"/>
              <w:bCs/>
              <w:sz w:val="28"/>
              <w:szCs w:val="28"/>
              <w:highlight w:val="none"/>
            </w:rPr>
            <w:t>一、总则</w:t>
          </w:r>
          <w:r>
            <w:rPr>
              <w:b w:val="0"/>
              <w:bCs/>
              <w:sz w:val="28"/>
              <w:szCs w:val="28"/>
            </w:rPr>
            <w:tab/>
          </w:r>
          <w:r>
            <w:rPr>
              <w:b w:val="0"/>
              <w:bCs/>
              <w:sz w:val="28"/>
              <w:szCs w:val="28"/>
            </w:rPr>
            <w:fldChar w:fldCharType="begin"/>
          </w:r>
          <w:r>
            <w:rPr>
              <w:b w:val="0"/>
              <w:bCs/>
              <w:sz w:val="28"/>
              <w:szCs w:val="28"/>
            </w:rPr>
            <w:instrText xml:space="preserve"> PAGEREF _Toc24717 \h </w:instrText>
          </w:r>
          <w:r>
            <w:rPr>
              <w:b w:val="0"/>
              <w:bCs/>
              <w:sz w:val="28"/>
              <w:szCs w:val="28"/>
            </w:rPr>
            <w:fldChar w:fldCharType="separate"/>
          </w:r>
          <w:r>
            <w:rPr>
              <w:b w:val="0"/>
              <w:bCs/>
              <w:sz w:val="28"/>
              <w:szCs w:val="28"/>
            </w:rPr>
            <w:t>11</w:t>
          </w:r>
          <w:r>
            <w:rPr>
              <w:b w:val="0"/>
              <w:bCs/>
              <w:sz w:val="28"/>
              <w:szCs w:val="28"/>
            </w:rPr>
            <w:fldChar w:fldCharType="end"/>
          </w:r>
          <w:r>
            <w:rPr>
              <w:rFonts w:hint="eastAsia" w:ascii="宋体" w:hAnsi="宋体" w:eastAsia="宋体" w:cs="宋体"/>
              <w:b w:val="0"/>
              <w:bCs/>
              <w:color w:val="auto"/>
              <w:sz w:val="28"/>
              <w:szCs w:val="28"/>
              <w:highlight w:val="none"/>
            </w:rPr>
            <w:fldChar w:fldCharType="end"/>
          </w:r>
        </w:p>
        <w:p>
          <w:pPr>
            <w:pStyle w:val="73"/>
            <w:tabs>
              <w:tab w:val="right" w:leader="dot" w:pos="9468"/>
            </w:tabs>
            <w:rPr>
              <w:b w:val="0"/>
              <w:bCs/>
              <w:sz w:val="28"/>
              <w:szCs w:val="28"/>
            </w:rPr>
          </w:pPr>
          <w:r>
            <w:rPr>
              <w:rFonts w:hint="eastAsia" w:ascii="宋体" w:hAnsi="宋体" w:eastAsia="宋体" w:cs="宋体"/>
              <w:b w:val="0"/>
              <w:bCs/>
              <w:color w:val="auto"/>
              <w:sz w:val="28"/>
              <w:szCs w:val="28"/>
              <w:highlight w:val="none"/>
            </w:rPr>
            <w:fldChar w:fldCharType="begin"/>
          </w:r>
          <w:r>
            <w:rPr>
              <w:rFonts w:hint="eastAsia" w:ascii="宋体" w:hAnsi="宋体" w:eastAsia="宋体" w:cs="宋体"/>
              <w:b w:val="0"/>
              <w:bCs/>
              <w:sz w:val="28"/>
              <w:szCs w:val="28"/>
              <w:highlight w:val="none"/>
            </w:rPr>
            <w:instrText xml:space="preserve"> HYPERLINK \l _Toc7719 </w:instrText>
          </w:r>
          <w:r>
            <w:rPr>
              <w:rFonts w:hint="eastAsia" w:ascii="宋体" w:hAnsi="宋体" w:eastAsia="宋体" w:cs="宋体"/>
              <w:b w:val="0"/>
              <w:bCs/>
              <w:sz w:val="28"/>
              <w:szCs w:val="28"/>
              <w:highlight w:val="none"/>
            </w:rPr>
            <w:fldChar w:fldCharType="separate"/>
          </w:r>
          <w:r>
            <w:rPr>
              <w:rFonts w:hint="eastAsia" w:ascii="宋体" w:hAnsi="宋体" w:eastAsia="宋体" w:cs="宋体"/>
              <w:b w:val="0"/>
              <w:bCs/>
              <w:sz w:val="28"/>
              <w:szCs w:val="28"/>
              <w:highlight w:val="none"/>
            </w:rPr>
            <w:t>二、招标文件</w:t>
          </w:r>
          <w:r>
            <w:rPr>
              <w:b w:val="0"/>
              <w:bCs/>
              <w:sz w:val="28"/>
              <w:szCs w:val="28"/>
            </w:rPr>
            <w:tab/>
          </w:r>
          <w:r>
            <w:rPr>
              <w:b w:val="0"/>
              <w:bCs/>
              <w:sz w:val="28"/>
              <w:szCs w:val="28"/>
            </w:rPr>
            <w:fldChar w:fldCharType="begin"/>
          </w:r>
          <w:r>
            <w:rPr>
              <w:b w:val="0"/>
              <w:bCs/>
              <w:sz w:val="28"/>
              <w:szCs w:val="28"/>
            </w:rPr>
            <w:instrText xml:space="preserve"> PAGEREF _Toc7719 \h </w:instrText>
          </w:r>
          <w:r>
            <w:rPr>
              <w:b w:val="0"/>
              <w:bCs/>
              <w:sz w:val="28"/>
              <w:szCs w:val="28"/>
            </w:rPr>
            <w:fldChar w:fldCharType="separate"/>
          </w:r>
          <w:r>
            <w:rPr>
              <w:b w:val="0"/>
              <w:bCs/>
              <w:sz w:val="28"/>
              <w:szCs w:val="28"/>
            </w:rPr>
            <w:t>11</w:t>
          </w:r>
          <w:r>
            <w:rPr>
              <w:b w:val="0"/>
              <w:bCs/>
              <w:sz w:val="28"/>
              <w:szCs w:val="28"/>
            </w:rPr>
            <w:fldChar w:fldCharType="end"/>
          </w:r>
          <w:r>
            <w:rPr>
              <w:rFonts w:hint="eastAsia" w:ascii="宋体" w:hAnsi="宋体" w:eastAsia="宋体" w:cs="宋体"/>
              <w:b w:val="0"/>
              <w:bCs/>
              <w:color w:val="auto"/>
              <w:sz w:val="28"/>
              <w:szCs w:val="28"/>
              <w:highlight w:val="none"/>
            </w:rPr>
            <w:fldChar w:fldCharType="end"/>
          </w:r>
        </w:p>
        <w:p>
          <w:pPr>
            <w:pStyle w:val="73"/>
            <w:tabs>
              <w:tab w:val="right" w:leader="dot" w:pos="9468"/>
            </w:tabs>
            <w:rPr>
              <w:b w:val="0"/>
              <w:bCs/>
              <w:sz w:val="28"/>
              <w:szCs w:val="28"/>
            </w:rPr>
          </w:pPr>
          <w:r>
            <w:rPr>
              <w:rFonts w:hint="eastAsia" w:ascii="宋体" w:hAnsi="宋体" w:eastAsia="宋体" w:cs="宋体"/>
              <w:b w:val="0"/>
              <w:bCs/>
              <w:color w:val="auto"/>
              <w:sz w:val="28"/>
              <w:szCs w:val="28"/>
              <w:highlight w:val="none"/>
            </w:rPr>
            <w:fldChar w:fldCharType="begin"/>
          </w:r>
          <w:r>
            <w:rPr>
              <w:rFonts w:hint="eastAsia" w:ascii="宋体" w:hAnsi="宋体" w:eastAsia="宋体" w:cs="宋体"/>
              <w:b w:val="0"/>
              <w:bCs/>
              <w:sz w:val="28"/>
              <w:szCs w:val="28"/>
              <w:highlight w:val="none"/>
            </w:rPr>
            <w:instrText xml:space="preserve"> HYPERLINK \l _Toc9544 </w:instrText>
          </w:r>
          <w:r>
            <w:rPr>
              <w:rFonts w:hint="eastAsia" w:ascii="宋体" w:hAnsi="宋体" w:eastAsia="宋体" w:cs="宋体"/>
              <w:b w:val="0"/>
              <w:bCs/>
              <w:sz w:val="28"/>
              <w:szCs w:val="28"/>
              <w:highlight w:val="none"/>
            </w:rPr>
            <w:fldChar w:fldCharType="separate"/>
          </w:r>
          <w:r>
            <w:rPr>
              <w:rFonts w:hint="eastAsia" w:ascii="宋体" w:hAnsi="宋体" w:eastAsia="宋体" w:cs="宋体"/>
              <w:b w:val="0"/>
              <w:bCs/>
              <w:sz w:val="28"/>
              <w:szCs w:val="28"/>
              <w:highlight w:val="none"/>
            </w:rPr>
            <w:t>三、投标文件的编制</w:t>
          </w:r>
          <w:r>
            <w:rPr>
              <w:b w:val="0"/>
              <w:bCs/>
              <w:sz w:val="28"/>
              <w:szCs w:val="28"/>
            </w:rPr>
            <w:tab/>
          </w:r>
          <w:r>
            <w:rPr>
              <w:b w:val="0"/>
              <w:bCs/>
              <w:sz w:val="28"/>
              <w:szCs w:val="28"/>
            </w:rPr>
            <w:fldChar w:fldCharType="begin"/>
          </w:r>
          <w:r>
            <w:rPr>
              <w:b w:val="0"/>
              <w:bCs/>
              <w:sz w:val="28"/>
              <w:szCs w:val="28"/>
            </w:rPr>
            <w:instrText xml:space="preserve"> PAGEREF _Toc9544 \h </w:instrText>
          </w:r>
          <w:r>
            <w:rPr>
              <w:b w:val="0"/>
              <w:bCs/>
              <w:sz w:val="28"/>
              <w:szCs w:val="28"/>
            </w:rPr>
            <w:fldChar w:fldCharType="separate"/>
          </w:r>
          <w:r>
            <w:rPr>
              <w:b w:val="0"/>
              <w:bCs/>
              <w:sz w:val="28"/>
              <w:szCs w:val="28"/>
            </w:rPr>
            <w:t>13</w:t>
          </w:r>
          <w:r>
            <w:rPr>
              <w:b w:val="0"/>
              <w:bCs/>
              <w:sz w:val="28"/>
              <w:szCs w:val="28"/>
            </w:rPr>
            <w:fldChar w:fldCharType="end"/>
          </w:r>
          <w:r>
            <w:rPr>
              <w:rFonts w:hint="eastAsia" w:ascii="宋体" w:hAnsi="宋体" w:eastAsia="宋体" w:cs="宋体"/>
              <w:b w:val="0"/>
              <w:bCs/>
              <w:color w:val="auto"/>
              <w:sz w:val="28"/>
              <w:szCs w:val="28"/>
              <w:highlight w:val="none"/>
            </w:rPr>
            <w:fldChar w:fldCharType="end"/>
          </w:r>
        </w:p>
        <w:p>
          <w:pPr>
            <w:pStyle w:val="73"/>
            <w:tabs>
              <w:tab w:val="right" w:leader="dot" w:pos="9468"/>
            </w:tabs>
            <w:rPr>
              <w:b w:val="0"/>
              <w:bCs/>
              <w:sz w:val="28"/>
              <w:szCs w:val="28"/>
            </w:rPr>
          </w:pPr>
          <w:r>
            <w:rPr>
              <w:rFonts w:hint="eastAsia" w:ascii="宋体" w:hAnsi="宋体" w:eastAsia="宋体" w:cs="宋体"/>
              <w:b w:val="0"/>
              <w:bCs/>
              <w:color w:val="auto"/>
              <w:sz w:val="28"/>
              <w:szCs w:val="28"/>
              <w:highlight w:val="none"/>
            </w:rPr>
            <w:fldChar w:fldCharType="begin"/>
          </w:r>
          <w:r>
            <w:rPr>
              <w:rFonts w:hint="eastAsia" w:ascii="宋体" w:hAnsi="宋体" w:eastAsia="宋体" w:cs="宋体"/>
              <w:b w:val="0"/>
              <w:bCs/>
              <w:sz w:val="28"/>
              <w:szCs w:val="28"/>
              <w:highlight w:val="none"/>
            </w:rPr>
            <w:instrText xml:space="preserve"> HYPERLINK \l _Toc14793 </w:instrText>
          </w:r>
          <w:r>
            <w:rPr>
              <w:rFonts w:hint="eastAsia" w:ascii="宋体" w:hAnsi="宋体" w:eastAsia="宋体" w:cs="宋体"/>
              <w:b w:val="0"/>
              <w:bCs/>
              <w:sz w:val="28"/>
              <w:szCs w:val="28"/>
              <w:highlight w:val="none"/>
            </w:rPr>
            <w:fldChar w:fldCharType="separate"/>
          </w:r>
          <w:r>
            <w:rPr>
              <w:rFonts w:hint="eastAsia" w:ascii="宋体" w:hAnsi="宋体" w:eastAsia="宋体" w:cs="宋体"/>
              <w:b w:val="0"/>
              <w:bCs/>
              <w:sz w:val="28"/>
              <w:szCs w:val="28"/>
              <w:highlight w:val="none"/>
            </w:rPr>
            <w:t>四、投标文件的递交</w:t>
          </w:r>
          <w:r>
            <w:rPr>
              <w:b w:val="0"/>
              <w:bCs/>
              <w:sz w:val="28"/>
              <w:szCs w:val="28"/>
            </w:rPr>
            <w:tab/>
          </w:r>
          <w:r>
            <w:rPr>
              <w:b w:val="0"/>
              <w:bCs/>
              <w:sz w:val="28"/>
              <w:szCs w:val="28"/>
            </w:rPr>
            <w:fldChar w:fldCharType="begin"/>
          </w:r>
          <w:r>
            <w:rPr>
              <w:b w:val="0"/>
              <w:bCs/>
              <w:sz w:val="28"/>
              <w:szCs w:val="28"/>
            </w:rPr>
            <w:instrText xml:space="preserve"> PAGEREF _Toc14793 \h </w:instrText>
          </w:r>
          <w:r>
            <w:rPr>
              <w:b w:val="0"/>
              <w:bCs/>
              <w:sz w:val="28"/>
              <w:szCs w:val="28"/>
            </w:rPr>
            <w:fldChar w:fldCharType="separate"/>
          </w:r>
          <w:r>
            <w:rPr>
              <w:b w:val="0"/>
              <w:bCs/>
              <w:sz w:val="28"/>
              <w:szCs w:val="28"/>
            </w:rPr>
            <w:t>16</w:t>
          </w:r>
          <w:r>
            <w:rPr>
              <w:b w:val="0"/>
              <w:bCs/>
              <w:sz w:val="28"/>
              <w:szCs w:val="28"/>
            </w:rPr>
            <w:fldChar w:fldCharType="end"/>
          </w:r>
          <w:r>
            <w:rPr>
              <w:rFonts w:hint="eastAsia" w:ascii="宋体" w:hAnsi="宋体" w:eastAsia="宋体" w:cs="宋体"/>
              <w:b w:val="0"/>
              <w:bCs/>
              <w:color w:val="auto"/>
              <w:sz w:val="28"/>
              <w:szCs w:val="28"/>
              <w:highlight w:val="none"/>
            </w:rPr>
            <w:fldChar w:fldCharType="end"/>
          </w:r>
        </w:p>
        <w:p>
          <w:pPr>
            <w:pStyle w:val="73"/>
            <w:tabs>
              <w:tab w:val="right" w:leader="dot" w:pos="9468"/>
            </w:tabs>
            <w:rPr>
              <w:b w:val="0"/>
              <w:bCs/>
              <w:sz w:val="28"/>
              <w:szCs w:val="28"/>
            </w:rPr>
          </w:pPr>
          <w:r>
            <w:rPr>
              <w:rFonts w:hint="eastAsia" w:ascii="宋体" w:hAnsi="宋体" w:eastAsia="宋体" w:cs="宋体"/>
              <w:b w:val="0"/>
              <w:bCs/>
              <w:color w:val="auto"/>
              <w:sz w:val="28"/>
              <w:szCs w:val="28"/>
              <w:highlight w:val="none"/>
            </w:rPr>
            <w:fldChar w:fldCharType="begin"/>
          </w:r>
          <w:r>
            <w:rPr>
              <w:rFonts w:hint="eastAsia" w:ascii="宋体" w:hAnsi="宋体" w:eastAsia="宋体" w:cs="宋体"/>
              <w:b w:val="0"/>
              <w:bCs/>
              <w:sz w:val="28"/>
              <w:szCs w:val="28"/>
              <w:highlight w:val="none"/>
            </w:rPr>
            <w:instrText xml:space="preserve"> HYPERLINK \l _Toc393 </w:instrText>
          </w:r>
          <w:r>
            <w:rPr>
              <w:rFonts w:hint="eastAsia" w:ascii="宋体" w:hAnsi="宋体" w:eastAsia="宋体" w:cs="宋体"/>
              <w:b w:val="0"/>
              <w:bCs/>
              <w:sz w:val="28"/>
              <w:szCs w:val="28"/>
              <w:highlight w:val="none"/>
            </w:rPr>
            <w:fldChar w:fldCharType="separate"/>
          </w:r>
          <w:r>
            <w:rPr>
              <w:rFonts w:hint="eastAsia" w:ascii="宋体" w:hAnsi="宋体" w:eastAsia="宋体" w:cs="宋体"/>
              <w:b w:val="0"/>
              <w:bCs/>
              <w:sz w:val="28"/>
              <w:szCs w:val="28"/>
              <w:highlight w:val="none"/>
            </w:rPr>
            <w:t>五、开标</w:t>
          </w:r>
          <w:r>
            <w:rPr>
              <w:b w:val="0"/>
              <w:bCs/>
              <w:sz w:val="28"/>
              <w:szCs w:val="28"/>
            </w:rPr>
            <w:tab/>
          </w:r>
          <w:r>
            <w:rPr>
              <w:b w:val="0"/>
              <w:bCs/>
              <w:sz w:val="28"/>
              <w:szCs w:val="28"/>
            </w:rPr>
            <w:fldChar w:fldCharType="begin"/>
          </w:r>
          <w:r>
            <w:rPr>
              <w:b w:val="0"/>
              <w:bCs/>
              <w:sz w:val="28"/>
              <w:szCs w:val="28"/>
            </w:rPr>
            <w:instrText xml:space="preserve"> PAGEREF _Toc393 \h </w:instrText>
          </w:r>
          <w:r>
            <w:rPr>
              <w:b w:val="0"/>
              <w:bCs/>
              <w:sz w:val="28"/>
              <w:szCs w:val="28"/>
            </w:rPr>
            <w:fldChar w:fldCharType="separate"/>
          </w:r>
          <w:r>
            <w:rPr>
              <w:b w:val="0"/>
              <w:bCs/>
              <w:sz w:val="28"/>
              <w:szCs w:val="28"/>
            </w:rPr>
            <w:t>16</w:t>
          </w:r>
          <w:r>
            <w:rPr>
              <w:b w:val="0"/>
              <w:bCs/>
              <w:sz w:val="28"/>
              <w:szCs w:val="28"/>
            </w:rPr>
            <w:fldChar w:fldCharType="end"/>
          </w:r>
          <w:r>
            <w:rPr>
              <w:rFonts w:hint="eastAsia" w:ascii="宋体" w:hAnsi="宋体" w:eastAsia="宋体" w:cs="宋体"/>
              <w:b w:val="0"/>
              <w:bCs/>
              <w:color w:val="auto"/>
              <w:sz w:val="28"/>
              <w:szCs w:val="28"/>
              <w:highlight w:val="none"/>
            </w:rPr>
            <w:fldChar w:fldCharType="end"/>
          </w:r>
        </w:p>
        <w:p>
          <w:pPr>
            <w:pStyle w:val="73"/>
            <w:tabs>
              <w:tab w:val="right" w:leader="dot" w:pos="9468"/>
            </w:tabs>
            <w:rPr>
              <w:b w:val="0"/>
              <w:bCs/>
              <w:sz w:val="28"/>
              <w:szCs w:val="28"/>
            </w:rPr>
          </w:pPr>
          <w:r>
            <w:rPr>
              <w:rFonts w:hint="eastAsia" w:ascii="宋体" w:hAnsi="宋体" w:eastAsia="宋体" w:cs="宋体"/>
              <w:b w:val="0"/>
              <w:bCs/>
              <w:color w:val="auto"/>
              <w:sz w:val="28"/>
              <w:szCs w:val="28"/>
              <w:highlight w:val="none"/>
            </w:rPr>
            <w:fldChar w:fldCharType="begin"/>
          </w:r>
          <w:r>
            <w:rPr>
              <w:rFonts w:hint="eastAsia" w:ascii="宋体" w:hAnsi="宋体" w:eastAsia="宋体" w:cs="宋体"/>
              <w:b w:val="0"/>
              <w:bCs/>
              <w:sz w:val="28"/>
              <w:szCs w:val="28"/>
              <w:highlight w:val="none"/>
            </w:rPr>
            <w:instrText xml:space="preserve"> HYPERLINK \l _Toc20910 </w:instrText>
          </w:r>
          <w:r>
            <w:rPr>
              <w:rFonts w:hint="eastAsia" w:ascii="宋体" w:hAnsi="宋体" w:eastAsia="宋体" w:cs="宋体"/>
              <w:b w:val="0"/>
              <w:bCs/>
              <w:sz w:val="28"/>
              <w:szCs w:val="28"/>
              <w:highlight w:val="none"/>
            </w:rPr>
            <w:fldChar w:fldCharType="separate"/>
          </w:r>
          <w:r>
            <w:rPr>
              <w:rFonts w:hint="eastAsia" w:ascii="宋体" w:hAnsi="宋体" w:eastAsia="宋体" w:cs="宋体"/>
              <w:b w:val="0"/>
              <w:bCs/>
              <w:sz w:val="28"/>
              <w:szCs w:val="28"/>
              <w:highlight w:val="none"/>
            </w:rPr>
            <w:t>六、资格审查</w:t>
          </w:r>
          <w:r>
            <w:rPr>
              <w:b w:val="0"/>
              <w:bCs/>
              <w:sz w:val="28"/>
              <w:szCs w:val="28"/>
            </w:rPr>
            <w:tab/>
          </w:r>
          <w:r>
            <w:rPr>
              <w:b w:val="0"/>
              <w:bCs/>
              <w:sz w:val="28"/>
              <w:szCs w:val="28"/>
            </w:rPr>
            <w:fldChar w:fldCharType="begin"/>
          </w:r>
          <w:r>
            <w:rPr>
              <w:b w:val="0"/>
              <w:bCs/>
              <w:sz w:val="28"/>
              <w:szCs w:val="28"/>
            </w:rPr>
            <w:instrText xml:space="preserve"> PAGEREF _Toc20910 \h </w:instrText>
          </w:r>
          <w:r>
            <w:rPr>
              <w:b w:val="0"/>
              <w:bCs/>
              <w:sz w:val="28"/>
              <w:szCs w:val="28"/>
            </w:rPr>
            <w:fldChar w:fldCharType="separate"/>
          </w:r>
          <w:r>
            <w:rPr>
              <w:b w:val="0"/>
              <w:bCs/>
              <w:sz w:val="28"/>
              <w:szCs w:val="28"/>
            </w:rPr>
            <w:t>17</w:t>
          </w:r>
          <w:r>
            <w:rPr>
              <w:b w:val="0"/>
              <w:bCs/>
              <w:sz w:val="28"/>
              <w:szCs w:val="28"/>
            </w:rPr>
            <w:fldChar w:fldCharType="end"/>
          </w:r>
          <w:r>
            <w:rPr>
              <w:rFonts w:hint="eastAsia" w:ascii="宋体" w:hAnsi="宋体" w:eastAsia="宋体" w:cs="宋体"/>
              <w:b w:val="0"/>
              <w:bCs/>
              <w:color w:val="auto"/>
              <w:sz w:val="28"/>
              <w:szCs w:val="28"/>
              <w:highlight w:val="none"/>
            </w:rPr>
            <w:fldChar w:fldCharType="end"/>
          </w:r>
        </w:p>
        <w:p>
          <w:pPr>
            <w:pStyle w:val="73"/>
            <w:tabs>
              <w:tab w:val="right" w:leader="dot" w:pos="9468"/>
            </w:tabs>
            <w:rPr>
              <w:b w:val="0"/>
              <w:bCs/>
              <w:sz w:val="28"/>
              <w:szCs w:val="28"/>
            </w:rPr>
          </w:pPr>
          <w:r>
            <w:rPr>
              <w:rFonts w:hint="eastAsia" w:ascii="宋体" w:hAnsi="宋体" w:eastAsia="宋体" w:cs="宋体"/>
              <w:b w:val="0"/>
              <w:bCs/>
              <w:color w:val="auto"/>
              <w:sz w:val="28"/>
              <w:szCs w:val="28"/>
              <w:highlight w:val="none"/>
            </w:rPr>
            <w:fldChar w:fldCharType="begin"/>
          </w:r>
          <w:r>
            <w:rPr>
              <w:rFonts w:hint="eastAsia" w:ascii="宋体" w:hAnsi="宋体" w:eastAsia="宋体" w:cs="宋体"/>
              <w:b w:val="0"/>
              <w:bCs/>
              <w:sz w:val="28"/>
              <w:szCs w:val="28"/>
              <w:highlight w:val="none"/>
            </w:rPr>
            <w:instrText xml:space="preserve"> HYPERLINK \l _Toc1410 </w:instrText>
          </w:r>
          <w:r>
            <w:rPr>
              <w:rFonts w:hint="eastAsia" w:ascii="宋体" w:hAnsi="宋体" w:eastAsia="宋体" w:cs="宋体"/>
              <w:b w:val="0"/>
              <w:bCs/>
              <w:sz w:val="28"/>
              <w:szCs w:val="28"/>
              <w:highlight w:val="none"/>
            </w:rPr>
            <w:fldChar w:fldCharType="separate"/>
          </w:r>
          <w:r>
            <w:rPr>
              <w:rFonts w:hint="eastAsia" w:ascii="宋体" w:hAnsi="宋体" w:eastAsia="宋体" w:cs="宋体"/>
              <w:b w:val="0"/>
              <w:bCs/>
              <w:sz w:val="28"/>
              <w:szCs w:val="28"/>
              <w:highlight w:val="none"/>
            </w:rPr>
            <w:t>七、评标</w:t>
          </w:r>
          <w:r>
            <w:rPr>
              <w:b w:val="0"/>
              <w:bCs/>
              <w:sz w:val="28"/>
              <w:szCs w:val="28"/>
            </w:rPr>
            <w:tab/>
          </w:r>
          <w:r>
            <w:rPr>
              <w:b w:val="0"/>
              <w:bCs/>
              <w:sz w:val="28"/>
              <w:szCs w:val="28"/>
            </w:rPr>
            <w:fldChar w:fldCharType="begin"/>
          </w:r>
          <w:r>
            <w:rPr>
              <w:b w:val="0"/>
              <w:bCs/>
              <w:sz w:val="28"/>
              <w:szCs w:val="28"/>
            </w:rPr>
            <w:instrText xml:space="preserve"> PAGEREF _Toc1410 \h </w:instrText>
          </w:r>
          <w:r>
            <w:rPr>
              <w:b w:val="0"/>
              <w:bCs/>
              <w:sz w:val="28"/>
              <w:szCs w:val="28"/>
            </w:rPr>
            <w:fldChar w:fldCharType="separate"/>
          </w:r>
          <w:r>
            <w:rPr>
              <w:b w:val="0"/>
              <w:bCs/>
              <w:sz w:val="28"/>
              <w:szCs w:val="28"/>
            </w:rPr>
            <w:t>17</w:t>
          </w:r>
          <w:r>
            <w:rPr>
              <w:b w:val="0"/>
              <w:bCs/>
              <w:sz w:val="28"/>
              <w:szCs w:val="28"/>
            </w:rPr>
            <w:fldChar w:fldCharType="end"/>
          </w:r>
          <w:r>
            <w:rPr>
              <w:rFonts w:hint="eastAsia" w:ascii="宋体" w:hAnsi="宋体" w:eastAsia="宋体" w:cs="宋体"/>
              <w:b w:val="0"/>
              <w:bCs/>
              <w:color w:val="auto"/>
              <w:sz w:val="28"/>
              <w:szCs w:val="28"/>
              <w:highlight w:val="none"/>
            </w:rPr>
            <w:fldChar w:fldCharType="end"/>
          </w:r>
        </w:p>
        <w:p>
          <w:pPr>
            <w:pStyle w:val="73"/>
            <w:tabs>
              <w:tab w:val="right" w:leader="dot" w:pos="9468"/>
            </w:tabs>
            <w:rPr>
              <w:b w:val="0"/>
              <w:bCs/>
              <w:sz w:val="28"/>
              <w:szCs w:val="28"/>
            </w:rPr>
          </w:pPr>
          <w:r>
            <w:rPr>
              <w:rFonts w:hint="eastAsia" w:ascii="宋体" w:hAnsi="宋体" w:eastAsia="宋体" w:cs="宋体"/>
              <w:b w:val="0"/>
              <w:bCs/>
              <w:color w:val="auto"/>
              <w:sz w:val="28"/>
              <w:szCs w:val="28"/>
              <w:highlight w:val="none"/>
            </w:rPr>
            <w:fldChar w:fldCharType="begin"/>
          </w:r>
          <w:r>
            <w:rPr>
              <w:rFonts w:hint="eastAsia" w:ascii="宋体" w:hAnsi="宋体" w:eastAsia="宋体" w:cs="宋体"/>
              <w:b w:val="0"/>
              <w:bCs/>
              <w:sz w:val="28"/>
              <w:szCs w:val="28"/>
              <w:highlight w:val="none"/>
            </w:rPr>
            <w:instrText xml:space="preserve"> HYPERLINK \l _Toc28138 </w:instrText>
          </w:r>
          <w:r>
            <w:rPr>
              <w:rFonts w:hint="eastAsia" w:ascii="宋体" w:hAnsi="宋体" w:eastAsia="宋体" w:cs="宋体"/>
              <w:b w:val="0"/>
              <w:bCs/>
              <w:sz w:val="28"/>
              <w:szCs w:val="28"/>
              <w:highlight w:val="none"/>
            </w:rPr>
            <w:fldChar w:fldCharType="separate"/>
          </w:r>
          <w:r>
            <w:rPr>
              <w:rFonts w:hint="eastAsia" w:ascii="宋体" w:hAnsi="宋体" w:eastAsia="宋体" w:cs="宋体"/>
              <w:b w:val="0"/>
              <w:bCs/>
              <w:sz w:val="28"/>
              <w:szCs w:val="28"/>
              <w:highlight w:val="none"/>
            </w:rPr>
            <w:t>八、定 标</w:t>
          </w:r>
          <w:r>
            <w:rPr>
              <w:b w:val="0"/>
              <w:bCs/>
              <w:sz w:val="28"/>
              <w:szCs w:val="28"/>
            </w:rPr>
            <w:tab/>
          </w:r>
          <w:r>
            <w:rPr>
              <w:b w:val="0"/>
              <w:bCs/>
              <w:sz w:val="28"/>
              <w:szCs w:val="28"/>
            </w:rPr>
            <w:fldChar w:fldCharType="begin"/>
          </w:r>
          <w:r>
            <w:rPr>
              <w:b w:val="0"/>
              <w:bCs/>
              <w:sz w:val="28"/>
              <w:szCs w:val="28"/>
            </w:rPr>
            <w:instrText xml:space="preserve"> PAGEREF _Toc28138 \h </w:instrText>
          </w:r>
          <w:r>
            <w:rPr>
              <w:b w:val="0"/>
              <w:bCs/>
              <w:sz w:val="28"/>
              <w:szCs w:val="28"/>
            </w:rPr>
            <w:fldChar w:fldCharType="separate"/>
          </w:r>
          <w:r>
            <w:rPr>
              <w:b w:val="0"/>
              <w:bCs/>
              <w:sz w:val="28"/>
              <w:szCs w:val="28"/>
            </w:rPr>
            <w:t>21</w:t>
          </w:r>
          <w:r>
            <w:rPr>
              <w:b w:val="0"/>
              <w:bCs/>
              <w:sz w:val="28"/>
              <w:szCs w:val="28"/>
            </w:rPr>
            <w:fldChar w:fldCharType="end"/>
          </w:r>
          <w:r>
            <w:rPr>
              <w:rFonts w:hint="eastAsia" w:ascii="宋体" w:hAnsi="宋体" w:eastAsia="宋体" w:cs="宋体"/>
              <w:b w:val="0"/>
              <w:bCs/>
              <w:color w:val="auto"/>
              <w:sz w:val="28"/>
              <w:szCs w:val="28"/>
              <w:highlight w:val="none"/>
            </w:rPr>
            <w:fldChar w:fldCharType="end"/>
          </w:r>
        </w:p>
        <w:p>
          <w:pPr>
            <w:pStyle w:val="73"/>
            <w:tabs>
              <w:tab w:val="right" w:leader="dot" w:pos="9468"/>
            </w:tabs>
            <w:rPr>
              <w:b w:val="0"/>
              <w:bCs/>
              <w:sz w:val="28"/>
              <w:szCs w:val="28"/>
            </w:rPr>
          </w:pPr>
          <w:r>
            <w:rPr>
              <w:rFonts w:hint="eastAsia" w:ascii="宋体" w:hAnsi="宋体" w:eastAsia="宋体" w:cs="宋体"/>
              <w:b w:val="0"/>
              <w:bCs/>
              <w:color w:val="auto"/>
              <w:sz w:val="28"/>
              <w:szCs w:val="28"/>
              <w:highlight w:val="none"/>
            </w:rPr>
            <w:fldChar w:fldCharType="begin"/>
          </w:r>
          <w:r>
            <w:rPr>
              <w:rFonts w:hint="eastAsia" w:ascii="宋体" w:hAnsi="宋体" w:eastAsia="宋体" w:cs="宋体"/>
              <w:b w:val="0"/>
              <w:bCs/>
              <w:sz w:val="28"/>
              <w:szCs w:val="28"/>
              <w:highlight w:val="none"/>
            </w:rPr>
            <w:instrText xml:space="preserve"> HYPERLINK \l _Toc5883 </w:instrText>
          </w:r>
          <w:r>
            <w:rPr>
              <w:rFonts w:hint="eastAsia" w:ascii="宋体" w:hAnsi="宋体" w:eastAsia="宋体" w:cs="宋体"/>
              <w:b w:val="0"/>
              <w:bCs/>
              <w:sz w:val="28"/>
              <w:szCs w:val="28"/>
              <w:highlight w:val="none"/>
            </w:rPr>
            <w:fldChar w:fldCharType="separate"/>
          </w:r>
          <w:r>
            <w:rPr>
              <w:rFonts w:hint="eastAsia" w:ascii="宋体" w:hAnsi="宋体" w:eastAsia="宋体" w:cs="宋体"/>
              <w:b w:val="0"/>
              <w:bCs/>
              <w:sz w:val="28"/>
              <w:szCs w:val="28"/>
              <w:highlight w:val="none"/>
            </w:rPr>
            <w:t>九、合同签订及其他</w:t>
          </w:r>
          <w:r>
            <w:rPr>
              <w:b w:val="0"/>
              <w:bCs/>
              <w:sz w:val="28"/>
              <w:szCs w:val="28"/>
            </w:rPr>
            <w:tab/>
          </w:r>
          <w:r>
            <w:rPr>
              <w:b w:val="0"/>
              <w:bCs/>
              <w:sz w:val="28"/>
              <w:szCs w:val="28"/>
            </w:rPr>
            <w:fldChar w:fldCharType="begin"/>
          </w:r>
          <w:r>
            <w:rPr>
              <w:b w:val="0"/>
              <w:bCs/>
              <w:sz w:val="28"/>
              <w:szCs w:val="28"/>
            </w:rPr>
            <w:instrText xml:space="preserve"> PAGEREF _Toc5883 \h </w:instrText>
          </w:r>
          <w:r>
            <w:rPr>
              <w:b w:val="0"/>
              <w:bCs/>
              <w:sz w:val="28"/>
              <w:szCs w:val="28"/>
            </w:rPr>
            <w:fldChar w:fldCharType="separate"/>
          </w:r>
          <w:r>
            <w:rPr>
              <w:b w:val="0"/>
              <w:bCs/>
              <w:sz w:val="28"/>
              <w:szCs w:val="28"/>
            </w:rPr>
            <w:t>22</w:t>
          </w:r>
          <w:r>
            <w:rPr>
              <w:b w:val="0"/>
              <w:bCs/>
              <w:sz w:val="28"/>
              <w:szCs w:val="28"/>
            </w:rPr>
            <w:fldChar w:fldCharType="end"/>
          </w:r>
          <w:r>
            <w:rPr>
              <w:rFonts w:hint="eastAsia" w:ascii="宋体" w:hAnsi="宋体" w:eastAsia="宋体" w:cs="宋体"/>
              <w:b w:val="0"/>
              <w:bCs/>
              <w:color w:val="auto"/>
              <w:sz w:val="28"/>
              <w:szCs w:val="28"/>
              <w:highlight w:val="none"/>
            </w:rPr>
            <w:fldChar w:fldCharType="end"/>
          </w:r>
        </w:p>
        <w:p>
          <w:pPr>
            <w:pStyle w:val="73"/>
            <w:tabs>
              <w:tab w:val="right" w:leader="dot" w:pos="9468"/>
            </w:tabs>
            <w:rPr>
              <w:b w:val="0"/>
              <w:bCs/>
              <w:sz w:val="28"/>
              <w:szCs w:val="28"/>
            </w:rPr>
          </w:pPr>
          <w:r>
            <w:rPr>
              <w:rFonts w:hint="eastAsia" w:ascii="宋体" w:hAnsi="宋体" w:eastAsia="宋体" w:cs="宋体"/>
              <w:b w:val="0"/>
              <w:bCs/>
              <w:color w:val="auto"/>
              <w:sz w:val="28"/>
              <w:szCs w:val="28"/>
              <w:highlight w:val="none"/>
            </w:rPr>
            <w:fldChar w:fldCharType="begin"/>
          </w:r>
          <w:r>
            <w:rPr>
              <w:rFonts w:hint="eastAsia" w:ascii="宋体" w:hAnsi="宋体" w:eastAsia="宋体" w:cs="宋体"/>
              <w:b w:val="0"/>
              <w:bCs/>
              <w:sz w:val="28"/>
              <w:szCs w:val="28"/>
              <w:highlight w:val="none"/>
            </w:rPr>
            <w:instrText xml:space="preserve"> HYPERLINK \l _Toc27423 </w:instrText>
          </w:r>
          <w:r>
            <w:rPr>
              <w:rFonts w:hint="eastAsia" w:ascii="宋体" w:hAnsi="宋体" w:eastAsia="宋体" w:cs="宋体"/>
              <w:b w:val="0"/>
              <w:bCs/>
              <w:sz w:val="28"/>
              <w:szCs w:val="28"/>
              <w:highlight w:val="none"/>
            </w:rPr>
            <w:fldChar w:fldCharType="separate"/>
          </w:r>
          <w:r>
            <w:rPr>
              <w:rFonts w:hint="eastAsia" w:ascii="宋体" w:hAnsi="宋体" w:eastAsia="宋体" w:cs="宋体"/>
              <w:b w:val="0"/>
              <w:bCs/>
              <w:sz w:val="28"/>
              <w:szCs w:val="28"/>
              <w:highlight w:val="none"/>
            </w:rPr>
            <w:t>十、质疑与投诉</w:t>
          </w:r>
          <w:r>
            <w:rPr>
              <w:b w:val="0"/>
              <w:bCs/>
              <w:sz w:val="28"/>
              <w:szCs w:val="28"/>
            </w:rPr>
            <w:tab/>
          </w:r>
          <w:r>
            <w:rPr>
              <w:b w:val="0"/>
              <w:bCs/>
              <w:sz w:val="28"/>
              <w:szCs w:val="28"/>
            </w:rPr>
            <w:fldChar w:fldCharType="begin"/>
          </w:r>
          <w:r>
            <w:rPr>
              <w:b w:val="0"/>
              <w:bCs/>
              <w:sz w:val="28"/>
              <w:szCs w:val="28"/>
            </w:rPr>
            <w:instrText xml:space="preserve"> PAGEREF _Toc27423 \h </w:instrText>
          </w:r>
          <w:r>
            <w:rPr>
              <w:b w:val="0"/>
              <w:bCs/>
              <w:sz w:val="28"/>
              <w:szCs w:val="28"/>
            </w:rPr>
            <w:fldChar w:fldCharType="separate"/>
          </w:r>
          <w:r>
            <w:rPr>
              <w:b w:val="0"/>
              <w:bCs/>
              <w:sz w:val="28"/>
              <w:szCs w:val="28"/>
            </w:rPr>
            <w:t>23</w:t>
          </w:r>
          <w:r>
            <w:rPr>
              <w:b w:val="0"/>
              <w:bCs/>
              <w:sz w:val="28"/>
              <w:szCs w:val="28"/>
            </w:rPr>
            <w:fldChar w:fldCharType="end"/>
          </w:r>
          <w:r>
            <w:rPr>
              <w:rFonts w:hint="eastAsia" w:ascii="宋体" w:hAnsi="宋体" w:eastAsia="宋体" w:cs="宋体"/>
              <w:b w:val="0"/>
              <w:bCs/>
              <w:color w:val="auto"/>
              <w:sz w:val="28"/>
              <w:szCs w:val="28"/>
              <w:highlight w:val="none"/>
            </w:rPr>
            <w:fldChar w:fldCharType="end"/>
          </w:r>
        </w:p>
        <w:p>
          <w:pPr>
            <w:pStyle w:val="72"/>
            <w:tabs>
              <w:tab w:val="right" w:leader="dot" w:pos="9468"/>
            </w:tabs>
            <w:rPr>
              <w:b w:val="0"/>
              <w:bCs/>
              <w:sz w:val="28"/>
              <w:szCs w:val="28"/>
            </w:rPr>
          </w:pPr>
          <w:r>
            <w:rPr>
              <w:rFonts w:hint="eastAsia" w:ascii="宋体" w:hAnsi="宋体" w:eastAsia="宋体" w:cs="宋体"/>
              <w:b w:val="0"/>
              <w:bCs/>
              <w:color w:val="auto"/>
              <w:sz w:val="28"/>
              <w:szCs w:val="28"/>
              <w:highlight w:val="none"/>
            </w:rPr>
            <w:fldChar w:fldCharType="begin"/>
          </w:r>
          <w:r>
            <w:rPr>
              <w:rFonts w:hint="eastAsia" w:ascii="宋体" w:hAnsi="宋体" w:eastAsia="宋体" w:cs="宋体"/>
              <w:b w:val="0"/>
              <w:bCs/>
              <w:sz w:val="28"/>
              <w:szCs w:val="28"/>
              <w:highlight w:val="none"/>
            </w:rPr>
            <w:instrText xml:space="preserve"> HYPERLINK \l _Toc24088 </w:instrText>
          </w:r>
          <w:r>
            <w:rPr>
              <w:rFonts w:hint="eastAsia" w:ascii="宋体" w:hAnsi="宋体" w:eastAsia="宋体" w:cs="宋体"/>
              <w:b w:val="0"/>
              <w:bCs/>
              <w:sz w:val="28"/>
              <w:szCs w:val="28"/>
              <w:highlight w:val="none"/>
            </w:rPr>
            <w:fldChar w:fldCharType="separate"/>
          </w:r>
          <w:r>
            <w:rPr>
              <w:rFonts w:hint="eastAsia" w:ascii="宋体" w:hAnsi="宋体" w:eastAsia="宋体" w:cs="宋体"/>
              <w:b w:val="0"/>
              <w:bCs/>
              <w:sz w:val="28"/>
              <w:szCs w:val="28"/>
              <w:highlight w:val="none"/>
            </w:rPr>
            <w:t>第三部分  评标办法及评分标准</w:t>
          </w:r>
          <w:r>
            <w:rPr>
              <w:b w:val="0"/>
              <w:bCs/>
              <w:sz w:val="28"/>
              <w:szCs w:val="28"/>
            </w:rPr>
            <w:tab/>
          </w:r>
          <w:r>
            <w:rPr>
              <w:b w:val="0"/>
              <w:bCs/>
              <w:sz w:val="28"/>
              <w:szCs w:val="28"/>
            </w:rPr>
            <w:fldChar w:fldCharType="begin"/>
          </w:r>
          <w:r>
            <w:rPr>
              <w:b w:val="0"/>
              <w:bCs/>
              <w:sz w:val="28"/>
              <w:szCs w:val="28"/>
            </w:rPr>
            <w:instrText xml:space="preserve"> PAGEREF _Toc24088 \h </w:instrText>
          </w:r>
          <w:r>
            <w:rPr>
              <w:b w:val="0"/>
              <w:bCs/>
              <w:sz w:val="28"/>
              <w:szCs w:val="28"/>
            </w:rPr>
            <w:fldChar w:fldCharType="separate"/>
          </w:r>
          <w:r>
            <w:rPr>
              <w:b w:val="0"/>
              <w:bCs/>
              <w:sz w:val="28"/>
              <w:szCs w:val="28"/>
            </w:rPr>
            <w:t>25</w:t>
          </w:r>
          <w:r>
            <w:rPr>
              <w:b w:val="0"/>
              <w:bCs/>
              <w:sz w:val="28"/>
              <w:szCs w:val="28"/>
            </w:rPr>
            <w:fldChar w:fldCharType="end"/>
          </w:r>
          <w:r>
            <w:rPr>
              <w:rFonts w:hint="eastAsia" w:ascii="宋体" w:hAnsi="宋体" w:eastAsia="宋体" w:cs="宋体"/>
              <w:b w:val="0"/>
              <w:bCs/>
              <w:color w:val="auto"/>
              <w:sz w:val="28"/>
              <w:szCs w:val="28"/>
              <w:highlight w:val="none"/>
            </w:rPr>
            <w:fldChar w:fldCharType="end"/>
          </w:r>
        </w:p>
        <w:p>
          <w:pPr>
            <w:pStyle w:val="72"/>
            <w:tabs>
              <w:tab w:val="right" w:leader="dot" w:pos="9468"/>
            </w:tabs>
            <w:rPr>
              <w:b w:val="0"/>
              <w:bCs/>
              <w:sz w:val="28"/>
              <w:szCs w:val="28"/>
            </w:rPr>
          </w:pPr>
          <w:r>
            <w:rPr>
              <w:rFonts w:hint="eastAsia" w:ascii="宋体" w:hAnsi="宋体" w:eastAsia="宋体" w:cs="宋体"/>
              <w:b w:val="0"/>
              <w:bCs/>
              <w:color w:val="auto"/>
              <w:sz w:val="28"/>
              <w:szCs w:val="28"/>
              <w:highlight w:val="none"/>
            </w:rPr>
            <w:fldChar w:fldCharType="begin"/>
          </w:r>
          <w:r>
            <w:rPr>
              <w:rFonts w:hint="eastAsia" w:ascii="宋体" w:hAnsi="宋体" w:eastAsia="宋体" w:cs="宋体"/>
              <w:b w:val="0"/>
              <w:bCs/>
              <w:sz w:val="28"/>
              <w:szCs w:val="28"/>
              <w:highlight w:val="none"/>
            </w:rPr>
            <w:instrText xml:space="preserve"> HYPERLINK \l _Toc6390 </w:instrText>
          </w:r>
          <w:r>
            <w:rPr>
              <w:rFonts w:hint="eastAsia" w:ascii="宋体" w:hAnsi="宋体" w:eastAsia="宋体" w:cs="宋体"/>
              <w:b w:val="0"/>
              <w:bCs/>
              <w:sz w:val="28"/>
              <w:szCs w:val="28"/>
              <w:highlight w:val="none"/>
            </w:rPr>
            <w:fldChar w:fldCharType="separate"/>
          </w:r>
          <w:r>
            <w:rPr>
              <w:rFonts w:hint="eastAsia" w:ascii="宋体" w:hAnsi="宋体" w:eastAsia="宋体" w:cs="宋体"/>
              <w:b w:val="0"/>
              <w:bCs/>
              <w:sz w:val="28"/>
              <w:szCs w:val="28"/>
              <w:highlight w:val="none"/>
            </w:rPr>
            <w:t>第</w:t>
          </w:r>
          <w:r>
            <w:rPr>
              <w:rFonts w:hint="eastAsia" w:ascii="宋体" w:hAnsi="宋体" w:eastAsia="宋体" w:cs="宋体"/>
              <w:b w:val="0"/>
              <w:bCs/>
              <w:sz w:val="28"/>
              <w:szCs w:val="28"/>
              <w:highlight w:val="none"/>
              <w:lang w:val="en-US" w:eastAsia="zh-CN"/>
            </w:rPr>
            <w:t>四</w:t>
          </w:r>
          <w:r>
            <w:rPr>
              <w:rFonts w:hint="eastAsia" w:ascii="宋体" w:hAnsi="宋体" w:eastAsia="宋体" w:cs="宋体"/>
              <w:b w:val="0"/>
              <w:bCs/>
              <w:sz w:val="28"/>
              <w:szCs w:val="28"/>
              <w:highlight w:val="none"/>
            </w:rPr>
            <w:t xml:space="preserve">部分  </w:t>
          </w:r>
          <w:r>
            <w:rPr>
              <w:rFonts w:hint="eastAsia" w:eastAsia="宋体" w:cs="宋体"/>
              <w:b w:val="0"/>
              <w:bCs/>
              <w:sz w:val="28"/>
              <w:szCs w:val="28"/>
              <w:highlight w:val="none"/>
              <w:lang w:eastAsia="zh-CN"/>
            </w:rPr>
            <w:t>采购需求</w:t>
          </w:r>
          <w:r>
            <w:rPr>
              <w:b w:val="0"/>
              <w:bCs/>
              <w:sz w:val="28"/>
              <w:szCs w:val="28"/>
            </w:rPr>
            <w:tab/>
          </w:r>
          <w:r>
            <w:rPr>
              <w:b w:val="0"/>
              <w:bCs/>
              <w:sz w:val="28"/>
              <w:szCs w:val="28"/>
            </w:rPr>
            <w:fldChar w:fldCharType="begin"/>
          </w:r>
          <w:r>
            <w:rPr>
              <w:b w:val="0"/>
              <w:bCs/>
              <w:sz w:val="28"/>
              <w:szCs w:val="28"/>
            </w:rPr>
            <w:instrText xml:space="preserve"> PAGEREF _Toc6390 \h </w:instrText>
          </w:r>
          <w:r>
            <w:rPr>
              <w:b w:val="0"/>
              <w:bCs/>
              <w:sz w:val="28"/>
              <w:szCs w:val="28"/>
            </w:rPr>
            <w:fldChar w:fldCharType="separate"/>
          </w:r>
          <w:r>
            <w:rPr>
              <w:b w:val="0"/>
              <w:bCs/>
              <w:sz w:val="28"/>
              <w:szCs w:val="28"/>
            </w:rPr>
            <w:t>33</w:t>
          </w:r>
          <w:r>
            <w:rPr>
              <w:b w:val="0"/>
              <w:bCs/>
              <w:sz w:val="28"/>
              <w:szCs w:val="28"/>
            </w:rPr>
            <w:fldChar w:fldCharType="end"/>
          </w:r>
          <w:r>
            <w:rPr>
              <w:rFonts w:hint="eastAsia" w:ascii="宋体" w:hAnsi="宋体" w:eastAsia="宋体" w:cs="宋体"/>
              <w:b w:val="0"/>
              <w:bCs/>
              <w:color w:val="auto"/>
              <w:sz w:val="28"/>
              <w:szCs w:val="28"/>
              <w:highlight w:val="none"/>
            </w:rPr>
            <w:fldChar w:fldCharType="end"/>
          </w:r>
        </w:p>
        <w:p>
          <w:pPr>
            <w:pStyle w:val="72"/>
            <w:tabs>
              <w:tab w:val="right" w:leader="dot" w:pos="9468"/>
            </w:tabs>
            <w:rPr>
              <w:b w:val="0"/>
              <w:bCs/>
              <w:sz w:val="28"/>
              <w:szCs w:val="28"/>
            </w:rPr>
          </w:pPr>
          <w:r>
            <w:rPr>
              <w:rFonts w:hint="eastAsia" w:ascii="宋体" w:hAnsi="宋体" w:eastAsia="宋体" w:cs="宋体"/>
              <w:b w:val="0"/>
              <w:bCs/>
              <w:color w:val="auto"/>
              <w:sz w:val="28"/>
              <w:szCs w:val="28"/>
              <w:highlight w:val="none"/>
            </w:rPr>
            <w:fldChar w:fldCharType="begin"/>
          </w:r>
          <w:r>
            <w:rPr>
              <w:rFonts w:hint="eastAsia" w:ascii="宋体" w:hAnsi="宋体" w:eastAsia="宋体" w:cs="宋体"/>
              <w:b w:val="0"/>
              <w:bCs/>
              <w:sz w:val="28"/>
              <w:szCs w:val="28"/>
              <w:highlight w:val="none"/>
            </w:rPr>
            <w:instrText xml:space="preserve"> HYPERLINK \l _Toc2362 </w:instrText>
          </w:r>
          <w:r>
            <w:rPr>
              <w:rFonts w:hint="eastAsia" w:ascii="宋体" w:hAnsi="宋体" w:eastAsia="宋体" w:cs="宋体"/>
              <w:b w:val="0"/>
              <w:bCs/>
              <w:sz w:val="28"/>
              <w:szCs w:val="28"/>
              <w:highlight w:val="none"/>
            </w:rPr>
            <w:fldChar w:fldCharType="separate"/>
          </w:r>
          <w:r>
            <w:rPr>
              <w:rFonts w:hint="eastAsia" w:ascii="宋体" w:hAnsi="宋体" w:eastAsia="宋体" w:cs="宋体"/>
              <w:b w:val="0"/>
              <w:bCs/>
              <w:sz w:val="28"/>
              <w:szCs w:val="28"/>
              <w:highlight w:val="none"/>
            </w:rPr>
            <w:t>第五部分</w:t>
          </w:r>
          <w:r>
            <w:rPr>
              <w:rFonts w:hint="eastAsia" w:ascii="宋体" w:hAnsi="宋体" w:eastAsia="宋体" w:cs="宋体"/>
              <w:b w:val="0"/>
              <w:bCs/>
              <w:sz w:val="28"/>
              <w:szCs w:val="28"/>
              <w:highlight w:val="none"/>
              <w:lang w:val="en-US" w:eastAsia="zh-CN"/>
            </w:rPr>
            <w:t xml:space="preserve"> </w:t>
          </w:r>
          <w:r>
            <w:rPr>
              <w:rFonts w:hint="eastAsia" w:ascii="宋体" w:hAnsi="宋体" w:eastAsia="宋体" w:cs="宋体"/>
              <w:b w:val="0"/>
              <w:bCs/>
              <w:sz w:val="28"/>
              <w:szCs w:val="28"/>
              <w:highlight w:val="none"/>
            </w:rPr>
            <w:t xml:space="preserve"> 采购合同</w:t>
          </w:r>
          <w:r>
            <w:rPr>
              <w:b w:val="0"/>
              <w:bCs/>
              <w:sz w:val="28"/>
              <w:szCs w:val="28"/>
            </w:rPr>
            <w:tab/>
          </w:r>
          <w:r>
            <w:rPr>
              <w:b w:val="0"/>
              <w:bCs/>
              <w:sz w:val="28"/>
              <w:szCs w:val="28"/>
            </w:rPr>
            <w:fldChar w:fldCharType="begin"/>
          </w:r>
          <w:r>
            <w:rPr>
              <w:b w:val="0"/>
              <w:bCs/>
              <w:sz w:val="28"/>
              <w:szCs w:val="28"/>
            </w:rPr>
            <w:instrText xml:space="preserve"> PAGEREF _Toc2362 \h </w:instrText>
          </w:r>
          <w:r>
            <w:rPr>
              <w:b w:val="0"/>
              <w:bCs/>
              <w:sz w:val="28"/>
              <w:szCs w:val="28"/>
            </w:rPr>
            <w:fldChar w:fldCharType="separate"/>
          </w:r>
          <w:r>
            <w:rPr>
              <w:b w:val="0"/>
              <w:bCs/>
              <w:sz w:val="28"/>
              <w:szCs w:val="28"/>
            </w:rPr>
            <w:t>72</w:t>
          </w:r>
          <w:r>
            <w:rPr>
              <w:b w:val="0"/>
              <w:bCs/>
              <w:sz w:val="28"/>
              <w:szCs w:val="28"/>
            </w:rPr>
            <w:fldChar w:fldCharType="end"/>
          </w:r>
          <w:r>
            <w:rPr>
              <w:rFonts w:hint="eastAsia" w:ascii="宋体" w:hAnsi="宋体" w:eastAsia="宋体" w:cs="宋体"/>
              <w:b w:val="0"/>
              <w:bCs/>
              <w:color w:val="auto"/>
              <w:sz w:val="28"/>
              <w:szCs w:val="28"/>
              <w:highlight w:val="none"/>
            </w:rPr>
            <w:fldChar w:fldCharType="end"/>
          </w:r>
        </w:p>
        <w:p>
          <w:pPr>
            <w:pStyle w:val="72"/>
            <w:tabs>
              <w:tab w:val="right" w:leader="dot" w:pos="9468"/>
            </w:tabs>
            <w:rPr>
              <w:b/>
            </w:rPr>
          </w:pPr>
          <w:r>
            <w:rPr>
              <w:rFonts w:hint="eastAsia" w:ascii="宋体" w:hAnsi="宋体" w:eastAsia="宋体" w:cs="宋体"/>
              <w:b w:val="0"/>
              <w:bCs/>
              <w:color w:val="auto"/>
              <w:sz w:val="28"/>
              <w:szCs w:val="28"/>
              <w:highlight w:val="none"/>
            </w:rPr>
            <w:fldChar w:fldCharType="begin"/>
          </w:r>
          <w:r>
            <w:rPr>
              <w:rFonts w:hint="eastAsia" w:ascii="宋体" w:hAnsi="宋体" w:eastAsia="宋体" w:cs="宋体"/>
              <w:b w:val="0"/>
              <w:bCs/>
              <w:sz w:val="28"/>
              <w:szCs w:val="28"/>
              <w:highlight w:val="none"/>
            </w:rPr>
            <w:instrText xml:space="preserve"> HYPERLINK \l _Toc16078 </w:instrText>
          </w:r>
          <w:r>
            <w:rPr>
              <w:rFonts w:hint="eastAsia" w:ascii="宋体" w:hAnsi="宋体" w:eastAsia="宋体" w:cs="宋体"/>
              <w:b w:val="0"/>
              <w:bCs/>
              <w:sz w:val="28"/>
              <w:szCs w:val="28"/>
              <w:highlight w:val="none"/>
            </w:rPr>
            <w:fldChar w:fldCharType="separate"/>
          </w:r>
          <w:r>
            <w:rPr>
              <w:rFonts w:hint="eastAsia" w:ascii="宋体" w:hAnsi="宋体" w:eastAsia="宋体" w:cs="宋体"/>
              <w:b w:val="0"/>
              <w:bCs/>
              <w:sz w:val="28"/>
              <w:szCs w:val="28"/>
              <w:highlight w:val="none"/>
            </w:rPr>
            <w:t xml:space="preserve">第六部分 </w:t>
          </w:r>
          <w:r>
            <w:rPr>
              <w:rFonts w:hint="eastAsia" w:ascii="宋体" w:hAnsi="宋体" w:eastAsia="宋体" w:cs="宋体"/>
              <w:b w:val="0"/>
              <w:bCs/>
              <w:sz w:val="28"/>
              <w:szCs w:val="28"/>
              <w:highlight w:val="none"/>
              <w:lang w:val="en-US" w:eastAsia="zh-CN"/>
            </w:rPr>
            <w:t xml:space="preserve"> </w:t>
          </w:r>
          <w:r>
            <w:rPr>
              <w:rFonts w:hint="eastAsia" w:ascii="宋体" w:hAnsi="宋体" w:eastAsia="宋体" w:cs="宋体"/>
              <w:b w:val="0"/>
              <w:bCs/>
              <w:sz w:val="28"/>
              <w:szCs w:val="28"/>
              <w:highlight w:val="none"/>
            </w:rPr>
            <w:t>应提交的有关格式范例</w:t>
          </w:r>
          <w:r>
            <w:rPr>
              <w:b w:val="0"/>
              <w:bCs/>
              <w:sz w:val="28"/>
              <w:szCs w:val="28"/>
            </w:rPr>
            <w:tab/>
          </w:r>
          <w:r>
            <w:rPr>
              <w:b w:val="0"/>
              <w:bCs/>
              <w:sz w:val="28"/>
              <w:szCs w:val="28"/>
            </w:rPr>
            <w:fldChar w:fldCharType="begin"/>
          </w:r>
          <w:r>
            <w:rPr>
              <w:b w:val="0"/>
              <w:bCs/>
              <w:sz w:val="28"/>
              <w:szCs w:val="28"/>
            </w:rPr>
            <w:instrText xml:space="preserve"> PAGEREF _Toc16078 \h </w:instrText>
          </w:r>
          <w:r>
            <w:rPr>
              <w:b w:val="0"/>
              <w:bCs/>
              <w:sz w:val="28"/>
              <w:szCs w:val="28"/>
            </w:rPr>
            <w:fldChar w:fldCharType="separate"/>
          </w:r>
          <w:r>
            <w:rPr>
              <w:b w:val="0"/>
              <w:bCs/>
              <w:sz w:val="28"/>
              <w:szCs w:val="28"/>
            </w:rPr>
            <w:t>107</w:t>
          </w:r>
          <w:r>
            <w:rPr>
              <w:b w:val="0"/>
              <w:bCs/>
              <w:sz w:val="28"/>
              <w:szCs w:val="28"/>
            </w:rPr>
            <w:fldChar w:fldCharType="end"/>
          </w:r>
          <w:r>
            <w:rPr>
              <w:rFonts w:hint="eastAsia" w:ascii="宋体" w:hAnsi="宋体" w:eastAsia="宋体" w:cs="宋体"/>
              <w:b w:val="0"/>
              <w:bCs/>
              <w:color w:val="auto"/>
              <w:sz w:val="28"/>
              <w:szCs w:val="28"/>
              <w:highlight w:val="none"/>
            </w:rPr>
            <w:fldChar w:fldCharType="end"/>
          </w:r>
        </w:p>
        <w:p>
          <w:pPr>
            <w:pStyle w:val="73"/>
            <w:tabs>
              <w:tab w:val="right" w:leader="dot" w:pos="9468"/>
            </w:tabs>
            <w:ind w:left="0" w:leftChars="0" w:firstLine="0" w:firstLineChars="0"/>
            <w:rPr>
              <w:sz w:val="28"/>
              <w:szCs w:val="28"/>
            </w:rPr>
          </w:pPr>
        </w:p>
        <w:p>
          <w:pPr>
            <w:spacing w:line="360" w:lineRule="auto"/>
            <w:rPr>
              <w:rFonts w:hint="eastAsia" w:ascii="宋体" w:hAnsi="宋体" w:eastAsia="宋体" w:cs="宋体"/>
              <w:color w:val="auto"/>
              <w:sz w:val="24"/>
              <w:highlight w:val="none"/>
            </w:rPr>
          </w:pPr>
          <w:r>
            <w:rPr>
              <w:rFonts w:hint="eastAsia" w:ascii="宋体" w:hAnsi="宋体" w:eastAsia="宋体" w:cs="宋体"/>
              <w:b/>
              <w:color w:val="auto"/>
              <w:szCs w:val="44"/>
              <w:highlight w:val="none"/>
            </w:rPr>
            <w:fldChar w:fldCharType="end"/>
          </w:r>
        </w:p>
      </w:sdtContent>
    </w:sdt>
    <w:p>
      <w:pPr>
        <w:tabs>
          <w:tab w:val="left" w:pos="2294"/>
        </w:tabs>
        <w:spacing w:line="360" w:lineRule="auto"/>
        <w:rPr>
          <w:rFonts w:hint="eastAsia" w:ascii="宋体" w:hAnsi="宋体" w:eastAsia="宋体" w:cs="宋体"/>
          <w:color w:val="auto"/>
          <w:sz w:val="24"/>
          <w:highlight w:val="none"/>
          <w:lang w:eastAsia="zh-CN"/>
        </w:rPr>
      </w:pPr>
      <w:r>
        <w:rPr>
          <w:rFonts w:hint="eastAsia" w:eastAsia="宋体" w:cs="宋体"/>
          <w:color w:val="auto"/>
          <w:sz w:val="24"/>
          <w:highlight w:val="none"/>
          <w:lang w:eastAsia="zh-CN"/>
        </w:rPr>
        <w:tab/>
      </w:r>
    </w:p>
    <w:p>
      <w:pPr>
        <w:adjustRightInd/>
        <w:spacing w:line="360" w:lineRule="auto"/>
        <w:jc w:val="center"/>
        <w:outlineLvl w:val="0"/>
        <w:rPr>
          <w:rFonts w:hint="eastAsia" w:ascii="宋体" w:hAnsi="宋体" w:eastAsia="宋体" w:cs="宋体"/>
          <w:b/>
          <w:color w:val="auto"/>
          <w:sz w:val="36"/>
          <w:szCs w:val="20"/>
          <w:highlight w:val="none"/>
        </w:rPr>
      </w:pPr>
      <w:bookmarkStart w:id="3" w:name="第一部分"/>
      <w:r>
        <w:rPr>
          <w:rFonts w:hint="eastAsia" w:ascii="宋体" w:hAnsi="宋体" w:eastAsia="宋体" w:cs="宋体"/>
          <w:b/>
          <w:color w:val="auto"/>
          <w:sz w:val="36"/>
          <w:szCs w:val="36"/>
          <w:highlight w:val="none"/>
        </w:rPr>
        <w:br w:type="page"/>
      </w:r>
      <w:bookmarkEnd w:id="2"/>
      <w:bookmarkEnd w:id="3"/>
      <w:bookmarkStart w:id="4" w:name="_Hlt74729822"/>
      <w:bookmarkEnd w:id="4"/>
      <w:bookmarkStart w:id="5" w:name="_Hlt74707423"/>
      <w:bookmarkEnd w:id="5"/>
      <w:bookmarkStart w:id="6" w:name="_Hlt74728647"/>
      <w:bookmarkEnd w:id="6"/>
      <w:bookmarkStart w:id="7" w:name="_Hlt74649545"/>
      <w:bookmarkEnd w:id="7"/>
      <w:bookmarkStart w:id="8" w:name="_Toc2621"/>
      <w:bookmarkStart w:id="9" w:name="_Toc21760"/>
      <w:bookmarkStart w:id="10" w:name="第二部分"/>
      <w:bookmarkStart w:id="11" w:name="_Toc91899870"/>
      <w:bookmarkStart w:id="12" w:name="_Toc91899871"/>
      <w:r>
        <w:rPr>
          <w:rFonts w:hint="eastAsia" w:ascii="宋体" w:hAnsi="宋体" w:eastAsia="宋体" w:cs="宋体"/>
          <w:b/>
          <w:color w:val="auto"/>
          <w:sz w:val="36"/>
          <w:szCs w:val="20"/>
          <w:highlight w:val="none"/>
        </w:rPr>
        <w:t xml:space="preserve">第一部分 </w:t>
      </w:r>
      <w:r>
        <w:rPr>
          <w:rFonts w:hint="eastAsia" w:ascii="宋体" w:hAnsi="宋体" w:eastAsia="宋体" w:cs="宋体"/>
          <w:b/>
          <w:color w:val="auto"/>
          <w:sz w:val="36"/>
          <w:szCs w:val="20"/>
          <w:highlight w:val="none"/>
          <w:lang w:val="en-US" w:eastAsia="zh-CN"/>
        </w:rPr>
        <w:t xml:space="preserve"> </w:t>
      </w:r>
      <w:r>
        <w:rPr>
          <w:rFonts w:hint="eastAsia" w:ascii="宋体" w:hAnsi="宋体" w:eastAsia="宋体" w:cs="宋体"/>
          <w:b/>
          <w:color w:val="auto"/>
          <w:sz w:val="36"/>
          <w:szCs w:val="20"/>
          <w:highlight w:val="none"/>
        </w:rPr>
        <w:t>招标公告</w:t>
      </w:r>
      <w:bookmarkEnd w:id="8"/>
      <w:bookmarkEnd w:id="9"/>
    </w:p>
    <w:p>
      <w:pPr>
        <w:spacing w:line="360" w:lineRule="auto"/>
        <w:jc w:val="center"/>
        <w:rPr>
          <w:rFonts w:hint="eastAsia" w:ascii="宋体" w:hAnsi="宋体" w:eastAsia="宋体" w:cs="宋体"/>
          <w:b w:val="0"/>
          <w:bCs w:val="0"/>
          <w:color w:val="auto"/>
          <w:sz w:val="28"/>
          <w:szCs w:val="28"/>
          <w:highlight w:val="none"/>
        </w:rPr>
      </w:pPr>
      <w:r>
        <w:rPr>
          <w:rFonts w:hint="eastAsia" w:ascii="宋体" w:hAnsi="宋体" w:eastAsia="宋体" w:cs="宋体"/>
          <w:b w:val="0"/>
          <w:bCs w:val="0"/>
          <w:color w:val="auto"/>
          <w:sz w:val="28"/>
          <w:szCs w:val="28"/>
          <w:highlight w:val="none"/>
        </w:rPr>
        <w:t>浙江五洲工程项目管理有限公司关于绍兴市上虞杭州湾滨海新城投资开发建设有限公司</w:t>
      </w:r>
      <w:r>
        <w:rPr>
          <w:rFonts w:hint="eastAsia" w:eastAsia="宋体" w:cs="宋体"/>
          <w:b w:val="0"/>
          <w:bCs w:val="0"/>
          <w:color w:val="auto"/>
          <w:sz w:val="28"/>
          <w:szCs w:val="28"/>
          <w:highlight w:val="none"/>
          <w:lang w:eastAsia="zh-CN"/>
        </w:rPr>
        <w:t>浙大邵逸夫医院绍兴院区医用纯水系统采购及安装项目</w:t>
      </w:r>
      <w:r>
        <w:rPr>
          <w:rFonts w:hint="eastAsia" w:ascii="宋体" w:hAnsi="宋体" w:eastAsia="宋体" w:cs="宋体"/>
          <w:b w:val="0"/>
          <w:bCs w:val="0"/>
          <w:color w:val="auto"/>
          <w:sz w:val="28"/>
          <w:szCs w:val="28"/>
          <w:highlight w:val="none"/>
        </w:rPr>
        <w:t>的</w:t>
      </w:r>
    </w:p>
    <w:p>
      <w:pPr>
        <w:spacing w:line="360" w:lineRule="auto"/>
        <w:jc w:val="center"/>
        <w:rPr>
          <w:rFonts w:hint="eastAsia" w:ascii="宋体" w:hAnsi="宋体" w:eastAsia="宋体" w:cs="宋体"/>
          <w:b w:val="0"/>
          <w:bCs w:val="0"/>
          <w:color w:val="auto"/>
          <w:sz w:val="28"/>
          <w:szCs w:val="28"/>
          <w:highlight w:val="none"/>
        </w:rPr>
      </w:pPr>
      <w:r>
        <w:rPr>
          <w:rFonts w:hint="eastAsia" w:ascii="宋体" w:hAnsi="宋体" w:eastAsia="宋体" w:cs="宋体"/>
          <w:b w:val="0"/>
          <w:bCs w:val="0"/>
          <w:color w:val="auto"/>
          <w:sz w:val="28"/>
          <w:szCs w:val="28"/>
          <w:highlight w:val="none"/>
          <w:lang w:eastAsia="zh-CN"/>
        </w:rPr>
        <w:t>非政府采购</w:t>
      </w:r>
      <w:r>
        <w:rPr>
          <w:rFonts w:hint="eastAsia" w:ascii="宋体" w:hAnsi="宋体" w:eastAsia="宋体" w:cs="宋体"/>
          <w:b w:val="0"/>
          <w:bCs w:val="0"/>
          <w:color w:val="auto"/>
          <w:sz w:val="28"/>
          <w:szCs w:val="28"/>
          <w:highlight w:val="none"/>
        </w:rPr>
        <w:t>招标公告</w:t>
      </w:r>
    </w:p>
    <w:p>
      <w:pPr>
        <w:keepNext w:val="0"/>
        <w:keepLines w:val="0"/>
        <w:pageBreakBefore w:val="0"/>
        <w:widowControl w:val="0"/>
        <w:kinsoku/>
        <w:overflowPunct/>
        <w:topLinePunct w:val="0"/>
        <w:autoSpaceDE/>
        <w:autoSpaceDN/>
        <w:bidi w:val="0"/>
        <w:adjustRightInd w:val="0"/>
        <w:spacing w:line="360" w:lineRule="auto"/>
        <w:jc w:val="center"/>
        <w:textAlignment w:val="auto"/>
        <w:rPr>
          <w:rFonts w:hint="default"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rPr>
        <w:t>公告日期：</w:t>
      </w:r>
      <w:r>
        <w:rPr>
          <w:rFonts w:hint="eastAsia" w:ascii="宋体" w:hAnsi="宋体" w:eastAsia="宋体" w:cs="宋体"/>
          <w:color w:val="auto"/>
          <w:sz w:val="28"/>
          <w:szCs w:val="28"/>
          <w:highlight w:val="none"/>
          <w:lang w:val="en-US" w:eastAsia="zh-CN"/>
        </w:rPr>
        <w:t>20</w:t>
      </w:r>
      <w:r>
        <w:rPr>
          <w:rFonts w:hint="eastAsia" w:eastAsia="宋体" w:cs="宋体"/>
          <w:color w:val="auto"/>
          <w:sz w:val="28"/>
          <w:szCs w:val="28"/>
          <w:highlight w:val="none"/>
          <w:lang w:val="en-US" w:eastAsia="zh-CN"/>
        </w:rPr>
        <w:t>22</w:t>
      </w:r>
      <w:r>
        <w:rPr>
          <w:rFonts w:hint="eastAsia" w:ascii="宋体" w:hAnsi="宋体" w:eastAsia="宋体" w:cs="宋体"/>
          <w:color w:val="auto"/>
          <w:sz w:val="28"/>
          <w:szCs w:val="28"/>
          <w:highlight w:val="none"/>
          <w:lang w:val="en-US" w:eastAsia="zh-CN"/>
        </w:rPr>
        <w:t>-</w:t>
      </w:r>
      <w:r>
        <w:rPr>
          <w:rFonts w:hint="eastAsia" w:cs="宋体"/>
          <w:color w:val="auto"/>
          <w:sz w:val="28"/>
          <w:szCs w:val="28"/>
          <w:highlight w:val="none"/>
          <w:lang w:val="en-US" w:eastAsia="zh-CN"/>
        </w:rPr>
        <w:t>4</w:t>
      </w:r>
      <w:r>
        <w:rPr>
          <w:rFonts w:hint="eastAsia" w:ascii="宋体" w:hAnsi="宋体" w:eastAsia="宋体" w:cs="宋体"/>
          <w:color w:val="auto"/>
          <w:sz w:val="28"/>
          <w:szCs w:val="28"/>
          <w:highlight w:val="none"/>
          <w:lang w:val="en-US" w:eastAsia="zh-CN"/>
        </w:rPr>
        <w:t>-</w:t>
      </w:r>
      <w:r>
        <w:rPr>
          <w:rFonts w:hint="eastAsia" w:cs="宋体"/>
          <w:color w:val="auto"/>
          <w:sz w:val="28"/>
          <w:szCs w:val="28"/>
          <w:highlight w:val="none"/>
          <w:lang w:val="en-US" w:eastAsia="zh-CN"/>
        </w:rPr>
        <w:t>29</w:t>
      </w:r>
    </w:p>
    <w:p>
      <w:pPr>
        <w:adjustRightIn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根据</w:t>
      </w:r>
      <w:r>
        <w:rPr>
          <w:rFonts w:hint="eastAsia" w:ascii="宋体" w:hAnsi="宋体" w:eastAsia="宋体" w:cs="宋体"/>
          <w:color w:val="auto"/>
          <w:sz w:val="24"/>
          <w:highlight w:val="none"/>
        </w:rPr>
        <w:t>《</w:t>
      </w:r>
      <w:r>
        <w:rPr>
          <w:rFonts w:hint="eastAsia" w:eastAsia="宋体" w:cs="宋体"/>
          <w:color w:val="auto"/>
          <w:sz w:val="24"/>
          <w:highlight w:val="none"/>
          <w:lang w:eastAsia="zh-CN"/>
        </w:rPr>
        <w:t>上虞区区属国有企业货物和服务采购管理办法</w:t>
      </w:r>
      <w:r>
        <w:rPr>
          <w:rFonts w:hint="eastAsia" w:ascii="宋体" w:hAnsi="宋体" w:eastAsia="宋体" w:cs="宋体"/>
          <w:color w:val="auto"/>
          <w:sz w:val="24"/>
          <w:highlight w:val="none"/>
        </w:rPr>
        <w:t>》等有关规定，</w:t>
      </w:r>
      <w:r>
        <w:rPr>
          <w:rFonts w:hint="eastAsia" w:ascii="宋体" w:hAnsi="宋体" w:eastAsia="宋体" w:cs="宋体"/>
          <w:color w:val="auto"/>
          <w:sz w:val="24"/>
          <w:highlight w:val="none"/>
          <w:u w:val="single"/>
        </w:rPr>
        <w:t>浙江五洲工程项目管理有限公司</w:t>
      </w:r>
      <w:r>
        <w:rPr>
          <w:rFonts w:hint="eastAsia" w:ascii="宋体" w:hAnsi="宋体" w:eastAsia="宋体" w:cs="宋体"/>
          <w:color w:val="auto"/>
          <w:sz w:val="24"/>
          <w:highlight w:val="none"/>
        </w:rPr>
        <w:t>受</w:t>
      </w:r>
      <w:r>
        <w:rPr>
          <w:rFonts w:hint="eastAsia" w:ascii="宋体" w:hAnsi="宋体" w:eastAsia="宋体" w:cs="宋体"/>
          <w:color w:val="auto"/>
          <w:sz w:val="24"/>
          <w:highlight w:val="none"/>
          <w:u w:val="single"/>
        </w:rPr>
        <w:t>绍兴市上虞杭州湾滨海新城投资开发建设有限公司</w:t>
      </w:r>
      <w:r>
        <w:rPr>
          <w:rFonts w:hint="eastAsia" w:ascii="宋体" w:hAnsi="宋体" w:eastAsia="宋体" w:cs="宋体"/>
          <w:color w:val="auto"/>
          <w:sz w:val="24"/>
          <w:highlight w:val="none"/>
        </w:rPr>
        <w:t>委托，现就</w:t>
      </w:r>
      <w:r>
        <w:rPr>
          <w:rFonts w:hint="eastAsia" w:eastAsia="宋体" w:cs="宋体"/>
          <w:color w:val="auto"/>
          <w:sz w:val="24"/>
          <w:highlight w:val="none"/>
          <w:u w:val="single"/>
          <w:lang w:eastAsia="zh-CN"/>
        </w:rPr>
        <w:t>浙大邵逸夫医院绍兴院区医用纯水系统采购及安装项目</w:t>
      </w:r>
      <w:r>
        <w:rPr>
          <w:rFonts w:hint="eastAsia" w:ascii="宋体" w:hAnsi="宋体" w:eastAsia="宋体" w:cs="宋体"/>
          <w:color w:val="auto"/>
          <w:sz w:val="24"/>
          <w:highlight w:val="none"/>
        </w:rPr>
        <w:t>进行公开招标，欢迎国内合格的供应商前来投标。</w:t>
      </w:r>
    </w:p>
    <w:p>
      <w:pPr>
        <w:pStyle w:val="48"/>
        <w:numPr>
          <w:ilvl w:val="0"/>
          <w:numId w:val="0"/>
        </w:numPr>
        <w:spacing w:beforeAutospacing="0" w:afterAutospacing="0" w:line="360" w:lineRule="auto"/>
        <w:ind w:firstLine="241" w:firstLineChars="100"/>
        <w:rPr>
          <w:rFonts w:hint="eastAsia" w:ascii="宋体" w:hAnsi="宋体" w:eastAsia="宋体" w:cs="宋体"/>
          <w:b/>
          <w:bCs/>
          <w:color w:val="auto"/>
          <w:highlight w:val="none"/>
        </w:rPr>
      </w:pPr>
      <w:r>
        <w:rPr>
          <w:rFonts w:hint="eastAsia" w:ascii="宋体" w:hAnsi="宋体" w:eastAsia="宋体" w:cs="宋体"/>
          <w:b/>
          <w:bCs/>
          <w:color w:val="auto"/>
          <w:highlight w:val="none"/>
          <w:lang w:eastAsia="zh-CN"/>
        </w:rPr>
        <w:t>一、</w:t>
      </w:r>
      <w:r>
        <w:rPr>
          <w:rFonts w:hint="eastAsia" w:ascii="宋体" w:hAnsi="宋体" w:eastAsia="宋体" w:cs="宋体"/>
          <w:b/>
          <w:bCs/>
          <w:color w:val="auto"/>
          <w:highlight w:val="none"/>
        </w:rPr>
        <w:t>招标项目编号：</w:t>
      </w:r>
      <w:r>
        <w:rPr>
          <w:rFonts w:hint="eastAsia" w:ascii="宋体" w:hAnsi="宋体" w:eastAsia="宋体" w:cs="宋体"/>
          <w:b/>
          <w:bCs/>
          <w:color w:val="auto"/>
          <w:highlight w:val="none"/>
          <w:lang w:eastAsia="zh-CN"/>
        </w:rPr>
        <w:t>ZDSYF2022001</w:t>
      </w:r>
      <w:r>
        <w:rPr>
          <w:rFonts w:hint="eastAsia" w:ascii="宋体" w:hAnsi="宋体" w:eastAsia="宋体" w:cs="宋体"/>
          <w:b/>
          <w:bCs/>
          <w:color w:val="auto"/>
          <w:sz w:val="36"/>
          <w:szCs w:val="28"/>
          <w:highlight w:val="none"/>
          <w:lang w:val="en-US" w:eastAsia="zh-CN"/>
        </w:rPr>
        <w:t xml:space="preserve"> </w:t>
      </w:r>
      <w:r>
        <w:rPr>
          <w:rFonts w:hint="eastAsia" w:ascii="宋体" w:hAnsi="宋体" w:eastAsia="宋体" w:cs="宋体"/>
          <w:b/>
          <w:bCs/>
          <w:color w:val="auto"/>
          <w:highlight w:val="none"/>
          <w:lang w:val="en-US" w:eastAsia="zh-CN"/>
        </w:rPr>
        <w:t xml:space="preserve"> </w:t>
      </w:r>
    </w:p>
    <w:p>
      <w:pPr>
        <w:pStyle w:val="48"/>
        <w:numPr>
          <w:ilvl w:val="0"/>
          <w:numId w:val="0"/>
        </w:numPr>
        <w:wordWrap w:val="0"/>
        <w:spacing w:beforeAutospacing="0" w:afterAutospacing="0" w:line="360" w:lineRule="auto"/>
        <w:ind w:left="240" w:leftChars="0"/>
        <w:rPr>
          <w:rFonts w:hint="eastAsia" w:ascii="宋体" w:hAnsi="宋体" w:eastAsia="宋体" w:cs="宋体"/>
          <w:b/>
          <w:bCs/>
          <w:color w:val="auto"/>
          <w:highlight w:val="none"/>
        </w:rPr>
      </w:pPr>
      <w:r>
        <w:rPr>
          <w:rFonts w:hint="eastAsia" w:ascii="宋体" w:hAnsi="宋体" w:eastAsia="宋体" w:cs="宋体"/>
          <w:b/>
          <w:bCs/>
          <w:color w:val="auto"/>
          <w:highlight w:val="none"/>
          <w:lang w:eastAsia="zh-CN"/>
        </w:rPr>
        <w:t>二、</w:t>
      </w:r>
      <w:r>
        <w:rPr>
          <w:rFonts w:hint="eastAsia" w:ascii="宋体" w:hAnsi="宋体" w:eastAsia="宋体" w:cs="宋体"/>
          <w:b/>
          <w:bCs/>
          <w:color w:val="auto"/>
          <w:highlight w:val="none"/>
        </w:rPr>
        <w:t>采购组织类型：</w:t>
      </w:r>
      <w:r>
        <w:rPr>
          <w:rFonts w:hint="eastAsia" w:ascii="宋体" w:hAnsi="宋体" w:eastAsia="宋体" w:cs="宋体"/>
          <w:b/>
          <w:bCs/>
          <w:color w:val="auto"/>
          <w:highlight w:val="none"/>
          <w:lang w:val="en-US" w:eastAsia="zh-CN"/>
        </w:rPr>
        <w:t>国企采购</w:t>
      </w:r>
    </w:p>
    <w:p>
      <w:pPr>
        <w:keepNext w:val="0"/>
        <w:keepLines w:val="0"/>
        <w:pageBreakBefore w:val="0"/>
        <w:widowControl w:val="0"/>
        <w:kinsoku/>
        <w:wordWrap/>
        <w:overflowPunct/>
        <w:topLinePunct w:val="0"/>
        <w:autoSpaceDE/>
        <w:autoSpaceDN/>
        <w:bidi w:val="0"/>
        <w:adjustRightInd w:val="0"/>
        <w:spacing w:line="360" w:lineRule="auto"/>
        <w:ind w:firstLine="241" w:firstLineChars="1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三</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招标项目概况:</w:t>
      </w:r>
    </w:p>
    <w:tbl>
      <w:tblPr>
        <w:tblStyle w:val="32"/>
        <w:tblW w:w="4996" w:type="pct"/>
        <w:jc w:val="center"/>
        <w:tblBorders>
          <w:top w:val="single" w:color="000000" w:sz="4" w:space="0"/>
          <w:left w:val="single" w:color="000000" w:sz="4" w:space="0"/>
          <w:bottom w:val="single" w:color="000000" w:sz="4" w:space="0"/>
          <w:right w:val="single" w:color="000000" w:sz="4" w:space="0"/>
          <w:insideH w:val="single" w:color="A6A6A6" w:sz="4" w:space="0"/>
          <w:insideV w:val="single" w:color="A6A6A6" w:sz="4" w:space="0"/>
        </w:tblBorders>
        <w:tblLayout w:type="autofit"/>
        <w:tblCellMar>
          <w:top w:w="0" w:type="dxa"/>
          <w:left w:w="108" w:type="dxa"/>
          <w:bottom w:w="0" w:type="dxa"/>
          <w:right w:w="108" w:type="dxa"/>
        </w:tblCellMar>
      </w:tblPr>
      <w:tblGrid>
        <w:gridCol w:w="922"/>
        <w:gridCol w:w="2153"/>
        <w:gridCol w:w="869"/>
        <w:gridCol w:w="885"/>
        <w:gridCol w:w="3284"/>
        <w:gridCol w:w="1563"/>
      </w:tblGrid>
      <w:tr>
        <w:tblPrEx>
          <w:tblBorders>
            <w:top w:val="single" w:color="000000" w:sz="4" w:space="0"/>
            <w:left w:val="single" w:color="000000" w:sz="4" w:space="0"/>
            <w:bottom w:val="single" w:color="000000" w:sz="4" w:space="0"/>
            <w:right w:val="single" w:color="000000" w:sz="4" w:space="0"/>
            <w:insideH w:val="single" w:color="A6A6A6" w:sz="4" w:space="0"/>
            <w:insideV w:val="single" w:color="A6A6A6" w:sz="4" w:space="0"/>
          </w:tblBorders>
          <w:tblCellMar>
            <w:top w:w="0" w:type="dxa"/>
            <w:left w:w="108" w:type="dxa"/>
            <w:bottom w:w="0" w:type="dxa"/>
            <w:right w:w="108" w:type="dxa"/>
          </w:tblCellMar>
        </w:tblPrEx>
        <w:trPr>
          <w:trHeight w:val="977" w:hRule="atLeast"/>
          <w:jc w:val="center"/>
        </w:trPr>
        <w:tc>
          <w:tcPr>
            <w:tcW w:w="476" w:type="pct"/>
            <w:tcBorders>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1112" w:type="pct"/>
            <w:tcBorders>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项目名称</w:t>
            </w:r>
          </w:p>
        </w:tc>
        <w:tc>
          <w:tcPr>
            <w:tcW w:w="449" w:type="pct"/>
            <w:tcBorders>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数量</w:t>
            </w:r>
          </w:p>
        </w:tc>
        <w:tc>
          <w:tcPr>
            <w:tcW w:w="457" w:type="pct"/>
            <w:tcBorders>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单位</w:t>
            </w:r>
          </w:p>
        </w:tc>
        <w:tc>
          <w:tcPr>
            <w:tcW w:w="1696" w:type="pct"/>
            <w:tcBorders>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简要规格描述或标项基本概况介绍</w:t>
            </w:r>
          </w:p>
        </w:tc>
        <w:tc>
          <w:tcPr>
            <w:tcW w:w="807" w:type="pct"/>
            <w:tcBorders>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center"/>
              <w:textAlignment w:val="auto"/>
              <w:rPr>
                <w:rFonts w:hint="eastAsia" w:ascii="宋体" w:hAnsi="宋体" w:eastAsia="宋体" w:cs="宋体"/>
                <w:color w:val="auto"/>
                <w:sz w:val="24"/>
                <w:szCs w:val="24"/>
                <w:highlight w:val="none"/>
                <w:lang w:val="en-US" w:eastAsia="zh-CN"/>
              </w:rPr>
            </w:pPr>
            <w:r>
              <w:rPr>
                <w:rFonts w:hint="eastAsia" w:eastAsia="宋体" w:cs="宋体"/>
                <w:color w:val="auto"/>
                <w:sz w:val="24"/>
                <w:szCs w:val="24"/>
                <w:highlight w:val="none"/>
                <w:lang w:val="en-US" w:eastAsia="zh-CN"/>
              </w:rPr>
              <w:t>最高限价（万元）</w:t>
            </w:r>
          </w:p>
        </w:tc>
      </w:tr>
      <w:tr>
        <w:tblPrEx>
          <w:tblBorders>
            <w:top w:val="single" w:color="000000" w:sz="4" w:space="0"/>
            <w:left w:val="single" w:color="000000" w:sz="4" w:space="0"/>
            <w:bottom w:val="single" w:color="000000" w:sz="4" w:space="0"/>
            <w:right w:val="single" w:color="000000" w:sz="4" w:space="0"/>
            <w:insideH w:val="single" w:color="A6A6A6" w:sz="4" w:space="0"/>
            <w:insideV w:val="single" w:color="A6A6A6" w:sz="4" w:space="0"/>
          </w:tblBorders>
          <w:tblCellMar>
            <w:top w:w="0" w:type="dxa"/>
            <w:left w:w="108" w:type="dxa"/>
            <w:bottom w:w="0" w:type="dxa"/>
            <w:right w:w="108" w:type="dxa"/>
          </w:tblCellMar>
        </w:tblPrEx>
        <w:trPr>
          <w:trHeight w:val="1818" w:hRule="atLeast"/>
          <w:jc w:val="center"/>
        </w:trPr>
        <w:tc>
          <w:tcPr>
            <w:tcW w:w="476" w:type="pct"/>
            <w:tcBorders>
              <w:top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p>
        </w:tc>
        <w:tc>
          <w:tcPr>
            <w:tcW w:w="1112" w:type="pct"/>
            <w:tcBorders>
              <w:top w:val="single" w:color="000000" w:sz="4" w:space="0"/>
              <w:left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center"/>
              <w:textAlignment w:val="auto"/>
              <w:rPr>
                <w:rFonts w:hint="eastAsia" w:ascii="宋体" w:hAnsi="宋体" w:eastAsia="宋体" w:cs="宋体"/>
                <w:color w:val="auto"/>
                <w:sz w:val="24"/>
                <w:szCs w:val="24"/>
                <w:highlight w:val="none"/>
              </w:rPr>
            </w:pPr>
            <w:r>
              <w:rPr>
                <w:rFonts w:hint="eastAsia" w:eastAsia="宋体" w:cs="宋体"/>
                <w:color w:val="auto"/>
                <w:sz w:val="24"/>
                <w:szCs w:val="24"/>
                <w:highlight w:val="none"/>
                <w:lang w:eastAsia="zh-CN"/>
              </w:rPr>
              <w:t>浙大邵逸夫医院绍兴院区医用纯水系统采购及安装项目</w:t>
            </w:r>
          </w:p>
        </w:tc>
        <w:tc>
          <w:tcPr>
            <w:tcW w:w="449" w:type="pct"/>
            <w:tcBorders>
              <w:top w:val="single" w:color="000000" w:sz="4" w:space="0"/>
              <w:left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p>
        </w:tc>
        <w:tc>
          <w:tcPr>
            <w:tcW w:w="457" w:type="pct"/>
            <w:tcBorders>
              <w:top w:val="single" w:color="000000" w:sz="4" w:space="0"/>
              <w:left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项</w:t>
            </w:r>
          </w:p>
        </w:tc>
        <w:tc>
          <w:tcPr>
            <w:tcW w:w="1696" w:type="pct"/>
            <w:tcBorders>
              <w:top w:val="single" w:color="000000" w:sz="4" w:space="0"/>
              <w:left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center"/>
              <w:textAlignment w:val="auto"/>
              <w:rPr>
                <w:rFonts w:hint="eastAsia" w:ascii="宋体" w:hAnsi="宋体" w:eastAsia="宋体" w:cs="宋体"/>
                <w:color w:val="auto"/>
                <w:sz w:val="24"/>
                <w:szCs w:val="24"/>
                <w:highlight w:val="none"/>
              </w:rPr>
            </w:pPr>
            <w:r>
              <w:rPr>
                <w:rFonts w:hint="eastAsia" w:eastAsia="宋体" w:cs="宋体"/>
                <w:color w:val="auto"/>
                <w:sz w:val="24"/>
                <w:szCs w:val="24"/>
                <w:highlight w:val="none"/>
                <w:lang w:eastAsia="zh-CN"/>
              </w:rPr>
              <w:t>医用纯水系统采购及安装</w:t>
            </w:r>
            <w:r>
              <w:rPr>
                <w:rFonts w:hint="eastAsia" w:ascii="宋体" w:hAnsi="宋体" w:eastAsia="宋体" w:cs="宋体"/>
                <w:color w:val="auto"/>
                <w:sz w:val="24"/>
                <w:szCs w:val="24"/>
                <w:highlight w:val="none"/>
              </w:rPr>
              <w:t>，详见招标文件第</w:t>
            </w:r>
            <w:r>
              <w:rPr>
                <w:rFonts w:hint="eastAsia" w:eastAsia="宋体" w:cs="宋体"/>
                <w:color w:val="auto"/>
                <w:sz w:val="24"/>
                <w:szCs w:val="24"/>
                <w:highlight w:val="none"/>
                <w:lang w:eastAsia="zh-CN"/>
              </w:rPr>
              <w:t>四</w:t>
            </w:r>
            <w:r>
              <w:rPr>
                <w:rFonts w:hint="eastAsia" w:ascii="宋体" w:hAnsi="宋体" w:eastAsia="宋体" w:cs="宋体"/>
                <w:color w:val="auto"/>
                <w:sz w:val="24"/>
                <w:szCs w:val="24"/>
                <w:highlight w:val="none"/>
              </w:rPr>
              <w:t>部分“</w:t>
            </w:r>
            <w:r>
              <w:rPr>
                <w:rFonts w:hint="eastAsia" w:eastAsia="宋体" w:cs="宋体"/>
                <w:color w:val="auto"/>
                <w:sz w:val="24"/>
                <w:szCs w:val="24"/>
                <w:highlight w:val="none"/>
                <w:lang w:eastAsia="zh-CN"/>
              </w:rPr>
              <w:t>采购需求</w:t>
            </w:r>
            <w:r>
              <w:rPr>
                <w:rFonts w:hint="eastAsia" w:ascii="宋体" w:hAnsi="宋体" w:eastAsia="宋体" w:cs="宋体"/>
                <w:color w:val="auto"/>
                <w:sz w:val="24"/>
                <w:szCs w:val="24"/>
                <w:highlight w:val="none"/>
              </w:rPr>
              <w:t>”。</w:t>
            </w:r>
          </w:p>
        </w:tc>
        <w:tc>
          <w:tcPr>
            <w:tcW w:w="807" w:type="pct"/>
            <w:tcBorders>
              <w:top w:val="single" w:color="000000" w:sz="4" w:space="0"/>
              <w:left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center"/>
              <w:textAlignment w:val="auto"/>
              <w:rPr>
                <w:rFonts w:hint="default"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783.83</w:t>
            </w:r>
          </w:p>
        </w:tc>
      </w:tr>
    </w:tbl>
    <w:p>
      <w:pPr>
        <w:keepNext w:val="0"/>
        <w:keepLines w:val="0"/>
        <w:pageBreakBefore w:val="0"/>
        <w:widowControl w:val="0"/>
        <w:kinsoku/>
        <w:wordWrap/>
        <w:overflowPunct/>
        <w:topLinePunct w:val="0"/>
        <w:autoSpaceDE/>
        <w:autoSpaceDN/>
        <w:bidi w:val="0"/>
        <w:adjustRightInd w:val="0"/>
        <w:spacing w:line="360" w:lineRule="auto"/>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四</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投标供应商资格要求</w:t>
      </w:r>
      <w:r>
        <w:rPr>
          <w:rFonts w:hint="eastAsia" w:ascii="宋体" w:hAnsi="宋体" w:eastAsia="宋体" w:cs="宋体"/>
          <w:color w:val="auto"/>
          <w:sz w:val="24"/>
          <w:szCs w:val="24"/>
          <w:highlight w:val="none"/>
        </w:rPr>
        <w:t>:</w:t>
      </w:r>
    </w:p>
    <w:p>
      <w:pPr>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outlineLvl w:val="1"/>
        <w:rPr>
          <w:rFonts w:hint="eastAsia" w:ascii="宋体" w:hAnsi="宋体" w:eastAsia="宋体" w:cs="宋体"/>
          <w:color w:val="auto"/>
          <w:sz w:val="24"/>
          <w:szCs w:val="24"/>
          <w:highlight w:val="none"/>
        </w:rPr>
      </w:pPr>
      <w:bookmarkStart w:id="13" w:name="_Toc4323"/>
      <w:r>
        <w:rPr>
          <w:rFonts w:hint="eastAsia" w:ascii="宋体" w:hAnsi="宋体" w:eastAsia="宋体" w:cs="宋体"/>
          <w:color w:val="auto"/>
          <w:sz w:val="24"/>
          <w:szCs w:val="24"/>
          <w:highlight w:val="none"/>
        </w:rPr>
        <w:t>（一）</w:t>
      </w:r>
      <w:r>
        <w:rPr>
          <w:rFonts w:hint="eastAsia" w:eastAsia="宋体" w:cs="宋体"/>
          <w:color w:val="auto"/>
          <w:sz w:val="24"/>
          <w:szCs w:val="24"/>
          <w:highlight w:val="none"/>
          <w:lang w:eastAsia="zh-CN"/>
        </w:rPr>
        <w:t>一般</w:t>
      </w:r>
      <w:r>
        <w:rPr>
          <w:rFonts w:hint="eastAsia" w:ascii="宋体" w:hAnsi="宋体" w:eastAsia="宋体" w:cs="宋体"/>
          <w:color w:val="auto"/>
          <w:sz w:val="24"/>
          <w:szCs w:val="24"/>
          <w:highlight w:val="none"/>
        </w:rPr>
        <w:t>资格条件：</w:t>
      </w:r>
      <w:bookmarkEnd w:id="13"/>
    </w:p>
    <w:p>
      <w:pPr>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1、具有独立承担民事责任能力；</w:t>
      </w:r>
    </w:p>
    <w:p>
      <w:pPr>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2、具有良好的商业信誉和健全的财务会计财务制度；</w:t>
      </w:r>
    </w:p>
    <w:p>
      <w:pPr>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3、具有履行合同所必需的设备和专业技术能力；</w:t>
      </w:r>
    </w:p>
    <w:p>
      <w:pPr>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4、有依法缴纳税收和社会保障资金的良好记录；</w:t>
      </w:r>
    </w:p>
    <w:p>
      <w:pPr>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5、参加采购、招投标等活动前三年内，在经营活动中没有重大违法记录和行贿记录；</w:t>
      </w:r>
    </w:p>
    <w:p>
      <w:pPr>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6、</w:t>
      </w:r>
      <w:r>
        <w:rPr>
          <w:rFonts w:hint="eastAsia" w:eastAsia="宋体" w:cs="宋体"/>
          <w:b w:val="0"/>
          <w:bCs w:val="0"/>
          <w:color w:val="auto"/>
          <w:sz w:val="24"/>
          <w:szCs w:val="24"/>
          <w:highlight w:val="none"/>
          <w:lang w:eastAsia="zh-CN"/>
        </w:rPr>
        <w:t>本项目不允许</w:t>
      </w:r>
      <w:r>
        <w:rPr>
          <w:rFonts w:hint="eastAsia" w:ascii="宋体" w:hAnsi="宋体" w:eastAsia="宋体" w:cs="宋体"/>
          <w:b w:val="0"/>
          <w:bCs w:val="0"/>
          <w:color w:val="auto"/>
          <w:sz w:val="24"/>
          <w:szCs w:val="24"/>
          <w:highlight w:val="none"/>
        </w:rPr>
        <w:t>联合体投标。</w:t>
      </w:r>
    </w:p>
    <w:p>
      <w:pPr>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outlineLvl w:val="1"/>
        <w:rPr>
          <w:rFonts w:hint="eastAsia" w:ascii="宋体" w:hAnsi="宋体" w:eastAsia="宋体" w:cs="宋体"/>
          <w:b w:val="0"/>
          <w:bCs w:val="0"/>
          <w:color w:val="auto"/>
          <w:sz w:val="24"/>
          <w:szCs w:val="24"/>
          <w:highlight w:val="none"/>
          <w:lang w:eastAsia="zh-CN"/>
        </w:rPr>
      </w:pPr>
      <w:bookmarkStart w:id="14" w:name="_Toc9466"/>
      <w:r>
        <w:rPr>
          <w:rFonts w:hint="eastAsia" w:ascii="宋体" w:hAnsi="宋体" w:eastAsia="宋体" w:cs="宋体"/>
          <w:b w:val="0"/>
          <w:bCs w:val="0"/>
          <w:color w:val="auto"/>
          <w:sz w:val="24"/>
          <w:szCs w:val="24"/>
          <w:highlight w:val="none"/>
          <w:lang w:eastAsia="zh-CN"/>
        </w:rPr>
        <w:t>（二）特定资质条件：</w:t>
      </w:r>
      <w:bookmarkEnd w:id="14"/>
    </w:p>
    <w:p>
      <w:pPr>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rPr>
          <w:rFonts w:hint="eastAsia"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eastAsia="zh-CN"/>
        </w:rPr>
        <w:t>投标人须是具备纯水处理系统设备及材料供货和安装能力的制造商或代理商</w:t>
      </w:r>
      <w:r>
        <w:rPr>
          <w:rFonts w:hint="eastAsia" w:eastAsia="宋体" w:cs="宋体"/>
          <w:b w:val="0"/>
          <w:bCs w:val="0"/>
          <w:color w:val="auto"/>
          <w:sz w:val="24"/>
          <w:szCs w:val="24"/>
          <w:highlight w:val="none"/>
          <w:lang w:eastAsia="zh-CN"/>
        </w:rPr>
        <w:t>，并同时具备如下资质条件：</w:t>
      </w:r>
    </w:p>
    <w:p>
      <w:pPr>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rPr>
          <w:rFonts w:hint="eastAsia" w:eastAsia="宋体" w:cs="宋体"/>
          <w:b w:val="0"/>
          <w:bCs w:val="0"/>
          <w:color w:val="auto"/>
          <w:sz w:val="24"/>
          <w:szCs w:val="24"/>
          <w:highlight w:val="none"/>
          <w:lang w:eastAsia="zh-CN"/>
        </w:rPr>
      </w:pPr>
      <w:r>
        <w:rPr>
          <w:rFonts w:hint="eastAsia" w:eastAsia="宋体" w:cs="宋体"/>
          <w:b w:val="0"/>
          <w:bCs w:val="0"/>
          <w:color w:val="auto"/>
          <w:sz w:val="24"/>
          <w:szCs w:val="24"/>
          <w:highlight w:val="none"/>
          <w:lang w:val="en-US" w:eastAsia="zh-CN"/>
        </w:rPr>
        <w:t>1、</w:t>
      </w:r>
      <w:r>
        <w:rPr>
          <w:rFonts w:hint="eastAsia" w:eastAsia="宋体" w:cs="宋体"/>
          <w:b w:val="0"/>
          <w:bCs w:val="0"/>
          <w:color w:val="auto"/>
          <w:sz w:val="24"/>
          <w:szCs w:val="24"/>
          <w:highlight w:val="none"/>
          <w:lang w:eastAsia="zh-CN"/>
        </w:rPr>
        <w:t>医疗器械生产许可证（投标人为代理商的，须能提供其投标产品制造商的医疗器械生产许可证）；</w:t>
      </w:r>
    </w:p>
    <w:p>
      <w:pPr>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rPr>
          <w:rFonts w:hint="eastAsia" w:ascii="宋体" w:hAnsi="宋体" w:eastAsia="宋体" w:cs="宋体"/>
          <w:b w:val="0"/>
          <w:bCs w:val="0"/>
          <w:color w:val="auto"/>
          <w:sz w:val="24"/>
          <w:szCs w:val="24"/>
          <w:highlight w:val="none"/>
          <w:lang w:eastAsia="zh-CN"/>
        </w:rPr>
      </w:pPr>
      <w:r>
        <w:rPr>
          <w:rFonts w:hint="eastAsia" w:eastAsia="宋体" w:cs="宋体"/>
          <w:b w:val="0"/>
          <w:bCs w:val="0"/>
          <w:color w:val="auto"/>
          <w:sz w:val="24"/>
          <w:szCs w:val="24"/>
          <w:highlight w:val="none"/>
          <w:lang w:val="en-US" w:eastAsia="zh-CN"/>
        </w:rPr>
        <w:t>2、</w:t>
      </w:r>
      <w:r>
        <w:rPr>
          <w:rFonts w:hint="eastAsia" w:eastAsia="宋体" w:cs="宋体"/>
          <w:b w:val="0"/>
          <w:bCs w:val="0"/>
          <w:color w:val="auto"/>
          <w:sz w:val="24"/>
          <w:szCs w:val="24"/>
          <w:highlight w:val="none"/>
          <w:lang w:eastAsia="zh-CN"/>
        </w:rPr>
        <w:t>医疗器械经营许可证或</w:t>
      </w:r>
      <w:r>
        <w:rPr>
          <w:rFonts w:hint="eastAsia" w:ascii="宋体" w:hAnsi="宋体" w:eastAsia="宋体" w:cs="宋体"/>
          <w:b w:val="0"/>
          <w:bCs w:val="0"/>
          <w:color w:val="auto"/>
          <w:sz w:val="24"/>
          <w:szCs w:val="24"/>
          <w:highlight w:val="none"/>
          <w:lang w:eastAsia="zh-CN"/>
        </w:rPr>
        <w:t>医疗器械经营备案凭证；</w:t>
      </w:r>
    </w:p>
    <w:p>
      <w:pPr>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rPr>
          <w:rFonts w:hint="eastAsia" w:ascii="宋体" w:hAnsi="宋体" w:eastAsia="宋体" w:cs="宋体"/>
          <w:b w:val="0"/>
          <w:bCs w:val="0"/>
          <w:color w:val="auto"/>
          <w:sz w:val="24"/>
          <w:szCs w:val="24"/>
          <w:highlight w:val="none"/>
          <w:lang w:eastAsia="zh-CN"/>
        </w:rPr>
      </w:pPr>
      <w:r>
        <w:rPr>
          <w:rFonts w:hint="default" w:ascii="宋体" w:hAnsi="宋体" w:eastAsia="宋体" w:cs="宋体"/>
          <w:b w:val="0"/>
          <w:bCs w:val="0"/>
          <w:color w:val="auto"/>
          <w:sz w:val="24"/>
          <w:szCs w:val="24"/>
          <w:highlight w:val="none"/>
          <w:lang w:eastAsia="zh-CN"/>
        </w:rPr>
        <w:t>3</w:t>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lang w:eastAsia="zh-CN"/>
        </w:rPr>
        <w:t>投标产品的涉及饮用水卫生安全产品卫生许可批件</w:t>
      </w:r>
      <w:r>
        <w:rPr>
          <w:rFonts w:hint="eastAsia" w:cs="宋体"/>
          <w:b w:val="0"/>
          <w:bCs w:val="0"/>
          <w:color w:val="auto"/>
          <w:sz w:val="24"/>
          <w:szCs w:val="24"/>
          <w:highlight w:val="none"/>
          <w:lang w:eastAsia="zh-CN"/>
        </w:rPr>
        <w:t>。</w:t>
      </w:r>
    </w:p>
    <w:p>
      <w:pPr>
        <w:keepNext w:val="0"/>
        <w:keepLines w:val="0"/>
        <w:pageBreakBefore w:val="0"/>
        <w:widowControl w:val="0"/>
        <w:kinsoku/>
        <w:wordWrap/>
        <w:overflowPunct/>
        <w:topLinePunct w:val="0"/>
        <w:autoSpaceDE/>
        <w:autoSpaceDN/>
        <w:bidi w:val="0"/>
        <w:adjustRightInd w:val="0"/>
        <w:spacing w:line="360" w:lineRule="auto"/>
        <w:ind w:firstLine="482"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bCs/>
          <w:color w:val="auto"/>
          <w:sz w:val="24"/>
          <w:szCs w:val="24"/>
          <w:highlight w:val="none"/>
        </w:rPr>
        <w:t>五</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投标获取采购文件</w:t>
      </w:r>
    </w:p>
    <w:p>
      <w:pPr>
        <w:keepNext w:val="0"/>
        <w:keepLines w:val="0"/>
        <w:pageBreakBefore w:val="0"/>
        <w:widowControl w:val="0"/>
        <w:numPr>
          <w:ilvl w:val="0"/>
          <w:numId w:val="4"/>
        </w:numPr>
        <w:kinsoku/>
        <w:wordWrap/>
        <w:overflowPunct/>
        <w:topLinePunct w:val="0"/>
        <w:autoSpaceDE/>
        <w:autoSpaceDN/>
        <w:bidi w:val="0"/>
        <w:adjustRightInd w:val="0"/>
        <w:spacing w:line="360" w:lineRule="auto"/>
        <w:ind w:left="0" w:leftChars="0" w:firstLine="480" w:firstLineChars="200"/>
        <w:textAlignment w:val="auto"/>
        <w:rPr>
          <w:rFonts w:hint="eastAsia" w:ascii="宋体" w:hAnsi="宋体" w:eastAsia="宋体" w:cs="宋体"/>
          <w:color w:val="auto"/>
          <w:sz w:val="24"/>
          <w:szCs w:val="24"/>
          <w:highlight w:val="none"/>
        </w:rPr>
      </w:pPr>
      <w:bookmarkStart w:id="15" w:name="报名开始时间1"/>
      <w:r>
        <w:rPr>
          <w:rFonts w:hint="eastAsia" w:ascii="宋体" w:hAnsi="宋体" w:eastAsia="宋体" w:cs="宋体"/>
          <w:color w:val="auto"/>
          <w:sz w:val="24"/>
          <w:szCs w:val="24"/>
          <w:highlight w:val="none"/>
        </w:rPr>
        <w:t>获取采购文件时间:</w:t>
      </w:r>
      <w:r>
        <w:rPr>
          <w:rFonts w:hint="eastAsia" w:ascii="宋体" w:hAnsi="宋体" w:eastAsia="宋体" w:cs="宋体"/>
          <w:color w:val="auto"/>
          <w:sz w:val="24"/>
          <w:szCs w:val="24"/>
          <w:highlight w:val="none"/>
          <w:lang w:eastAsia="zh-CN"/>
        </w:rPr>
        <w:t>202</w:t>
      </w:r>
      <w:r>
        <w:rPr>
          <w:rFonts w:hint="eastAsia"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年</w:t>
      </w:r>
      <w:r>
        <w:rPr>
          <w:rFonts w:hint="eastAsia"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月</w:t>
      </w:r>
      <w:bookmarkEnd w:id="15"/>
      <w:r>
        <w:rPr>
          <w:rFonts w:hint="eastAsia" w:cs="宋体"/>
          <w:color w:val="auto"/>
          <w:sz w:val="24"/>
          <w:szCs w:val="24"/>
          <w:highlight w:val="none"/>
          <w:lang w:val="en-US" w:eastAsia="zh-CN"/>
        </w:rPr>
        <w:t>27</w:t>
      </w:r>
      <w:r>
        <w:rPr>
          <w:rFonts w:hint="eastAsia" w:ascii="宋体" w:hAnsi="宋体" w:eastAsia="宋体" w:cs="宋体"/>
          <w:color w:val="auto"/>
          <w:sz w:val="24"/>
          <w:szCs w:val="24"/>
          <w:highlight w:val="none"/>
          <w:lang w:eastAsia="zh-CN"/>
        </w:rPr>
        <w:t>日</w:t>
      </w:r>
      <w:r>
        <w:rPr>
          <w:rFonts w:hint="eastAsia" w:ascii="宋体" w:hAnsi="宋体" w:eastAsia="宋体" w:cs="宋体"/>
          <w:color w:val="auto"/>
          <w:sz w:val="24"/>
          <w:szCs w:val="24"/>
          <w:highlight w:val="none"/>
          <w:lang w:val="en-US" w:eastAsia="zh-CN"/>
        </w:rPr>
        <w:t>上午</w:t>
      </w:r>
      <w:r>
        <w:rPr>
          <w:rFonts w:hint="eastAsia" w:cs="宋体"/>
          <w:color w:val="auto"/>
          <w:sz w:val="24"/>
          <w:szCs w:val="24"/>
          <w:highlight w:val="none"/>
          <w:lang w:val="en-US" w:eastAsia="zh-CN"/>
        </w:rPr>
        <w:t>9</w:t>
      </w:r>
      <w:r>
        <w:rPr>
          <w:rFonts w:hint="eastAsia" w:eastAsia="宋体" w:cs="宋体"/>
          <w:color w:val="auto"/>
          <w:sz w:val="24"/>
          <w:szCs w:val="24"/>
          <w:highlight w:val="none"/>
          <w:lang w:val="en-US" w:eastAsia="zh-CN"/>
        </w:rPr>
        <w:t>:</w:t>
      </w:r>
      <w:r>
        <w:rPr>
          <w:rFonts w:hint="eastAsia" w:cs="宋体"/>
          <w:color w:val="auto"/>
          <w:sz w:val="24"/>
          <w:szCs w:val="24"/>
          <w:highlight w:val="none"/>
          <w:lang w:val="en-US" w:eastAsia="zh-CN"/>
        </w:rPr>
        <w:t>30</w:t>
      </w:r>
      <w:r>
        <w:rPr>
          <w:rFonts w:hint="eastAsia" w:ascii="宋体" w:hAnsi="宋体" w:eastAsia="宋体" w:cs="宋体"/>
          <w:color w:val="auto"/>
          <w:sz w:val="24"/>
          <w:szCs w:val="24"/>
          <w:highlight w:val="none"/>
          <w:lang w:val="en-US" w:eastAsia="zh-CN"/>
        </w:rPr>
        <w:t>之前获取</w:t>
      </w:r>
      <w:r>
        <w:rPr>
          <w:rFonts w:hint="eastAsia" w:ascii="宋体" w:hAnsi="宋体" w:eastAsia="宋体" w:cs="宋体"/>
          <w:color w:val="auto"/>
          <w:sz w:val="24"/>
          <w:szCs w:val="24"/>
          <w:highlight w:val="none"/>
        </w:rPr>
        <w:t>。</w:t>
      </w:r>
    </w:p>
    <w:p>
      <w:pPr>
        <w:keepNext w:val="0"/>
        <w:keepLines w:val="0"/>
        <w:pageBreakBefore w:val="0"/>
        <w:widowControl w:val="0"/>
        <w:numPr>
          <w:ilvl w:val="0"/>
          <w:numId w:val="4"/>
        </w:numPr>
        <w:kinsoku/>
        <w:wordWrap/>
        <w:overflowPunct/>
        <w:topLinePunct w:val="0"/>
        <w:autoSpaceDE/>
        <w:autoSpaceDN/>
        <w:bidi w:val="0"/>
        <w:adjustRightInd w:val="0"/>
        <w:spacing w:line="360" w:lineRule="auto"/>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获取采购文件方式：供应商</w:t>
      </w:r>
      <w:r>
        <w:rPr>
          <w:rFonts w:hint="eastAsia" w:eastAsia="宋体" w:cs="宋体"/>
          <w:color w:val="auto"/>
          <w:sz w:val="24"/>
          <w:szCs w:val="24"/>
          <w:highlight w:val="none"/>
          <w:lang w:eastAsia="zh-CN"/>
        </w:rPr>
        <w:t>登录</w:t>
      </w:r>
      <w:r>
        <w:rPr>
          <w:rFonts w:hint="eastAsia" w:ascii="宋体" w:hAnsi="宋体" w:eastAsia="宋体" w:cs="宋体"/>
          <w:color w:val="auto"/>
          <w:sz w:val="24"/>
          <w:szCs w:val="24"/>
          <w:highlight w:val="none"/>
        </w:rPr>
        <w:t>政采云平台http://www.zcygov.cn/，在线申请获取采购文件（进入“项目采购”应用，在获取采购文件菜单中选择项目，申请获取采购文件）。</w:t>
      </w:r>
    </w:p>
    <w:p>
      <w:pPr>
        <w:keepNext w:val="0"/>
        <w:keepLines w:val="0"/>
        <w:pageBreakBefore w:val="0"/>
        <w:widowControl w:val="0"/>
        <w:numPr>
          <w:ilvl w:val="0"/>
          <w:numId w:val="4"/>
        </w:numPr>
        <w:kinsoku/>
        <w:wordWrap/>
        <w:overflowPunct/>
        <w:topLinePunct w:val="0"/>
        <w:autoSpaceDE/>
        <w:autoSpaceDN/>
        <w:bidi w:val="0"/>
        <w:adjustRightInd w:val="0"/>
        <w:spacing w:line="360" w:lineRule="auto"/>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提示：</w:t>
      </w:r>
    </w:p>
    <w:p>
      <w:pPr>
        <w:keepNext w:val="0"/>
        <w:keepLines w:val="0"/>
        <w:pageBreakBefore w:val="0"/>
        <w:widowControl w:val="0"/>
        <w:numPr>
          <w:ilvl w:val="0"/>
          <w:numId w:val="5"/>
        </w:numPr>
        <w:kinsoku/>
        <w:wordWrap/>
        <w:overflowPunct/>
        <w:topLinePunct w:val="0"/>
        <w:autoSpaceDE/>
        <w:autoSpaceDN/>
        <w:bidi w:val="0"/>
        <w:adjustRightInd w:val="0"/>
        <w:spacing w:line="360" w:lineRule="auto"/>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将拒绝接受</w:t>
      </w:r>
      <w:r>
        <w:rPr>
          <w:rFonts w:hint="eastAsia" w:ascii="宋体" w:hAnsi="宋体" w:eastAsia="宋体" w:cs="宋体"/>
          <w:color w:val="auto"/>
          <w:sz w:val="24"/>
          <w:szCs w:val="24"/>
          <w:highlight w:val="none"/>
          <w:lang w:eastAsia="zh-CN"/>
        </w:rPr>
        <w:t>未</w:t>
      </w:r>
      <w:r>
        <w:rPr>
          <w:rFonts w:hint="eastAsia" w:ascii="宋体" w:hAnsi="宋体" w:eastAsia="宋体" w:cs="宋体"/>
          <w:color w:val="auto"/>
          <w:sz w:val="24"/>
          <w:szCs w:val="24"/>
          <w:highlight w:val="none"/>
        </w:rPr>
        <w:t>获取采购文件供应商的投标文件。</w:t>
      </w:r>
    </w:p>
    <w:p>
      <w:pPr>
        <w:keepNext w:val="0"/>
        <w:keepLines w:val="0"/>
        <w:pageBreakBefore w:val="0"/>
        <w:widowControl w:val="0"/>
        <w:numPr>
          <w:ilvl w:val="0"/>
          <w:numId w:val="5"/>
        </w:numPr>
        <w:kinsoku/>
        <w:wordWrap/>
        <w:overflowPunct/>
        <w:topLinePunct w:val="0"/>
        <w:autoSpaceDE/>
        <w:autoSpaceDN/>
        <w:bidi w:val="0"/>
        <w:adjustRightInd w:val="0"/>
        <w:spacing w:line="360" w:lineRule="auto"/>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招标文件及更正补充公告请自行登录浙江政府采购网或绍兴市上虞区公共资源交易中心网站，在采购公告页面中下载。</w:t>
      </w:r>
    </w:p>
    <w:p>
      <w:pPr>
        <w:keepNext w:val="0"/>
        <w:keepLines w:val="0"/>
        <w:pageBreakBefore w:val="0"/>
        <w:widowControl w:val="0"/>
        <w:kinsoku/>
        <w:wordWrap/>
        <w:overflowPunct/>
        <w:topLinePunct w:val="0"/>
        <w:autoSpaceDE/>
        <w:autoSpaceDN/>
        <w:bidi w:val="0"/>
        <w:adjustRightIn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六</w:t>
      </w:r>
      <w:r>
        <w:rPr>
          <w:rFonts w:hint="eastAsia" w:ascii="宋体" w:hAnsi="宋体" w:eastAsia="宋体" w:cs="宋体"/>
          <w:b/>
          <w:bCs/>
          <w:color w:val="auto"/>
          <w:sz w:val="24"/>
          <w:szCs w:val="24"/>
          <w:highlight w:val="none"/>
        </w:rPr>
        <w:t>、投标与开标注意事项：</w:t>
      </w:r>
    </w:p>
    <w:p>
      <w:pPr>
        <w:keepNext w:val="0"/>
        <w:keepLines w:val="0"/>
        <w:pageBreakBefore w:val="0"/>
        <w:widowControl w:val="0"/>
        <w:numPr>
          <w:ilvl w:val="0"/>
          <w:numId w:val="6"/>
        </w:numPr>
        <w:kinsoku/>
        <w:wordWrap/>
        <w:overflowPunct/>
        <w:topLinePunct w:val="0"/>
        <w:autoSpaceDE/>
        <w:autoSpaceDN/>
        <w:bidi w:val="0"/>
        <w:adjustRightInd w:val="0"/>
        <w:spacing w:line="360" w:lineRule="auto"/>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本项目实行</w:t>
      </w:r>
      <w:r>
        <w:rPr>
          <w:rFonts w:hint="eastAsia" w:ascii="宋体" w:hAnsi="宋体" w:eastAsia="宋体" w:cs="宋体"/>
          <w:b/>
          <w:bCs/>
          <w:color w:val="auto"/>
          <w:sz w:val="24"/>
          <w:szCs w:val="24"/>
          <w:highlight w:val="none"/>
        </w:rPr>
        <w:t>网上投标</w:t>
      </w:r>
      <w:r>
        <w:rPr>
          <w:rFonts w:hint="eastAsia" w:ascii="宋体" w:hAnsi="宋体" w:eastAsia="宋体" w:cs="宋体"/>
          <w:color w:val="auto"/>
          <w:sz w:val="24"/>
          <w:szCs w:val="24"/>
          <w:highlight w:val="none"/>
        </w:rPr>
        <w:t>，采用电子投标文件</w:t>
      </w:r>
      <w:r>
        <w:rPr>
          <w:rFonts w:hint="eastAsia" w:ascii="宋体" w:hAnsi="宋体" w:eastAsia="宋体" w:cs="宋体"/>
          <w:color w:val="auto"/>
          <w:sz w:val="24"/>
          <w:szCs w:val="24"/>
          <w:highlight w:val="none"/>
          <w:lang w:eastAsia="zh-CN"/>
        </w:rPr>
        <w:t>，若供应商参与投标，自行承担投标一切费用。</w:t>
      </w:r>
    </w:p>
    <w:p>
      <w:pPr>
        <w:keepNext w:val="0"/>
        <w:keepLines w:val="0"/>
        <w:pageBreakBefore w:val="0"/>
        <w:widowControl w:val="0"/>
        <w:numPr>
          <w:ilvl w:val="0"/>
          <w:numId w:val="6"/>
        </w:numPr>
        <w:kinsoku/>
        <w:wordWrap w:val="0"/>
        <w:overflowPunct/>
        <w:topLinePunct w:val="0"/>
        <w:autoSpaceDE/>
        <w:autoSpaceDN/>
        <w:bidi w:val="0"/>
        <w:adjustRightInd w:val="0"/>
        <w:snapToGrid/>
        <w:spacing w:line="360" w:lineRule="auto"/>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标前准备：各供应商应在开标前应确保成为浙江省政府采购网正式注册入库供应商，并完成CA数字证书办理。因未注册入库、未办理CA数字证书等原因造成无法投标或投标失败等后果由供应商自行承担。</w:t>
      </w:r>
    </w:p>
    <w:p>
      <w:pPr>
        <w:autoSpaceDE w:val="0"/>
        <w:autoSpaceDN w:val="0"/>
        <w:spacing w:line="360" w:lineRule="auto"/>
        <w:ind w:firstLine="480" w:firstLineChars="200"/>
        <w:textAlignment w:val="bottom"/>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供应商将政采云电子交易客户端下载、安装完成后，可通过账号密码或CA登录客户端进行投标文件制作。在使用政采云投标客户端时，建议使用WIN7及以上操作系统。</w:t>
      </w:r>
    </w:p>
    <w:p>
      <w:pPr>
        <w:autoSpaceDE w:val="0"/>
        <w:autoSpaceDN w:val="0"/>
        <w:spacing w:line="360" w:lineRule="auto"/>
        <w:ind w:firstLine="480" w:firstLineChars="200"/>
        <w:textAlignment w:val="bottom"/>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注：供应商先要申领CA，取得CA后需要在政采云平台进行绑定，CA相关操作可参考《CA</w:t>
      </w:r>
      <w:r>
        <w:rPr>
          <w:rFonts w:hint="eastAsia" w:ascii="宋体" w:hAnsi="宋体" w:eastAsia="宋体" w:cs="宋体"/>
          <w:color w:val="auto"/>
          <w:sz w:val="24"/>
          <w:szCs w:val="21"/>
          <w:highlight w:val="none"/>
          <w:lang w:eastAsia="zh-CN"/>
        </w:rPr>
        <w:t>管理学习专题</w:t>
      </w:r>
      <w:r>
        <w:rPr>
          <w:rFonts w:hint="eastAsia" w:ascii="宋体" w:hAnsi="宋体" w:eastAsia="宋体" w:cs="宋体"/>
          <w:color w:val="auto"/>
          <w:sz w:val="24"/>
          <w:szCs w:val="21"/>
          <w:highlight w:val="none"/>
        </w:rPr>
        <w:t>》。完成CA数字证书办理在资料齐全的情况下预计7个工作日左右，建议供应商获取招标文件后立即办理。</w:t>
      </w:r>
    </w:p>
    <w:p>
      <w:pPr>
        <w:keepNext w:val="0"/>
        <w:keepLines w:val="0"/>
        <w:pageBreakBefore w:val="0"/>
        <w:widowControl w:val="0"/>
        <w:numPr>
          <w:ilvl w:val="0"/>
          <w:numId w:val="0"/>
        </w:numPr>
        <w:kinsoku/>
        <w:wordWrap/>
        <w:overflowPunct/>
        <w:topLinePunct w:val="0"/>
        <w:autoSpaceDE/>
        <w:autoSpaceDN/>
        <w:bidi w:val="0"/>
        <w:adjustRightInd w:val="0"/>
        <w:spacing w:line="360" w:lineRule="auto"/>
        <w:ind w:leftChars="200"/>
        <w:textAlignment w:val="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《CA</w:t>
      </w:r>
      <w:r>
        <w:rPr>
          <w:rFonts w:hint="eastAsia" w:ascii="宋体" w:hAnsi="宋体" w:eastAsia="宋体" w:cs="宋体"/>
          <w:color w:val="auto"/>
          <w:sz w:val="24"/>
          <w:szCs w:val="21"/>
          <w:highlight w:val="none"/>
          <w:lang w:eastAsia="zh-CN"/>
        </w:rPr>
        <w:t>管理学习专题</w:t>
      </w:r>
      <w:r>
        <w:rPr>
          <w:rFonts w:hint="eastAsia" w:ascii="宋体" w:hAnsi="宋体" w:eastAsia="宋体" w:cs="宋体"/>
          <w:color w:val="auto"/>
          <w:sz w:val="24"/>
          <w:szCs w:val="21"/>
          <w:highlight w:val="none"/>
        </w:rPr>
        <w:t>》：</w:t>
      </w:r>
    </w:p>
    <w:p>
      <w:pPr>
        <w:keepNext w:val="0"/>
        <w:keepLines w:val="0"/>
        <w:pageBreakBefore w:val="0"/>
        <w:widowControl w:val="0"/>
        <w:numPr>
          <w:ilvl w:val="0"/>
          <w:numId w:val="0"/>
        </w:numPr>
        <w:kinsoku/>
        <w:wordWrap/>
        <w:overflowPunct/>
        <w:topLinePunct w:val="0"/>
        <w:autoSpaceDE/>
        <w:autoSpaceDN/>
        <w:bidi w:val="0"/>
        <w:adjustRightInd w:val="0"/>
        <w:spacing w:line="360" w:lineRule="auto"/>
        <w:ind w:leftChars="200"/>
        <w:textAlignment w:val="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https://edu.zcygov.cn/luban/ca?utm=web-government-front.380aac0a.0.0.fc2b6aa0b6e211ebbdb0dd007730dd44</w:t>
      </w:r>
    </w:p>
    <w:p>
      <w:pPr>
        <w:keepNext w:val="0"/>
        <w:keepLines w:val="0"/>
        <w:pageBreakBefore w:val="0"/>
        <w:widowControl w:val="0"/>
        <w:numPr>
          <w:ilvl w:val="0"/>
          <w:numId w:val="0"/>
        </w:numPr>
        <w:kinsoku/>
        <w:wordWrap/>
        <w:overflowPunct/>
        <w:topLinePunct w:val="0"/>
        <w:autoSpaceDE/>
        <w:autoSpaceDN/>
        <w:bidi w:val="0"/>
        <w:adjustRightInd w:val="0"/>
        <w:spacing w:line="360" w:lineRule="auto"/>
        <w:ind w:leftChars="200"/>
        <w:textAlignment w:val="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《CA驱动和申领流程》:</w:t>
      </w:r>
    </w:p>
    <w:p>
      <w:pPr>
        <w:keepNext w:val="0"/>
        <w:keepLines w:val="0"/>
        <w:pageBreakBefore w:val="0"/>
        <w:widowControl w:val="0"/>
        <w:numPr>
          <w:ilvl w:val="0"/>
          <w:numId w:val="0"/>
        </w:numPr>
        <w:kinsoku/>
        <w:wordWrap/>
        <w:overflowPunct/>
        <w:topLinePunct w:val="0"/>
        <w:autoSpaceDE/>
        <w:autoSpaceDN/>
        <w:bidi w:val="0"/>
        <w:adjustRightInd w:val="0"/>
        <w:spacing w:line="360" w:lineRule="auto"/>
        <w:ind w:left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1"/>
          <w:highlight w:val="none"/>
        </w:rPr>
        <w:fldChar w:fldCharType="begin"/>
      </w:r>
      <w:r>
        <w:rPr>
          <w:rFonts w:hint="eastAsia" w:ascii="宋体" w:hAnsi="宋体" w:eastAsia="宋体" w:cs="宋体"/>
          <w:color w:val="auto"/>
          <w:sz w:val="24"/>
          <w:szCs w:val="21"/>
          <w:highlight w:val="none"/>
        </w:rPr>
        <w:instrText xml:space="preserve"> HYPERLINK "http://zfcg.czt.zj.gov.cn/bidClientTemplate/2019-05-27/12945.html" </w:instrText>
      </w:r>
      <w:r>
        <w:rPr>
          <w:rFonts w:hint="eastAsia" w:ascii="宋体" w:hAnsi="宋体" w:eastAsia="宋体" w:cs="宋体"/>
          <w:color w:val="auto"/>
          <w:sz w:val="24"/>
          <w:szCs w:val="21"/>
          <w:highlight w:val="none"/>
        </w:rPr>
        <w:fldChar w:fldCharType="separate"/>
      </w:r>
      <w:r>
        <w:rPr>
          <w:rFonts w:hint="eastAsia" w:ascii="宋体" w:hAnsi="宋体" w:eastAsia="宋体" w:cs="宋体"/>
          <w:color w:val="auto"/>
          <w:sz w:val="24"/>
          <w:szCs w:val="21"/>
          <w:highlight w:val="none"/>
        </w:rPr>
        <w:t>http://zfcg.czt.zj.gov.cn/bidClientTemplate/2019-05-27/12945.html</w:t>
      </w:r>
      <w:r>
        <w:rPr>
          <w:rFonts w:hint="eastAsia" w:ascii="宋体" w:hAnsi="宋体" w:eastAsia="宋体" w:cs="宋体"/>
          <w:color w:val="auto"/>
          <w:sz w:val="24"/>
          <w:szCs w:val="21"/>
          <w:highlight w:val="none"/>
        </w:rPr>
        <w:fldChar w:fldCharType="end"/>
      </w:r>
    </w:p>
    <w:p>
      <w:pPr>
        <w:keepNext w:val="0"/>
        <w:keepLines w:val="0"/>
        <w:pageBreakBefore w:val="0"/>
        <w:widowControl w:val="0"/>
        <w:numPr>
          <w:ilvl w:val="0"/>
          <w:numId w:val="6"/>
        </w:numPr>
        <w:kinsoku/>
        <w:wordWrap/>
        <w:overflowPunct/>
        <w:topLinePunct w:val="0"/>
        <w:autoSpaceDE/>
        <w:autoSpaceDN/>
        <w:bidi w:val="0"/>
        <w:adjustRightInd w:val="0"/>
        <w:spacing w:line="360" w:lineRule="auto"/>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投标文件制作：</w:t>
      </w:r>
    </w:p>
    <w:p>
      <w:pPr>
        <w:keepNext w:val="0"/>
        <w:keepLines w:val="0"/>
        <w:pageBreakBefore w:val="0"/>
        <w:widowControl w:val="0"/>
        <w:numPr>
          <w:ilvl w:val="0"/>
          <w:numId w:val="7"/>
        </w:numPr>
        <w:kinsoku/>
        <w:wordWrap/>
        <w:overflowPunct/>
        <w:topLinePunct w:val="0"/>
        <w:autoSpaceDE/>
        <w:autoSpaceDN/>
        <w:bidi w:val="0"/>
        <w:adjustRightInd w:val="0"/>
        <w:spacing w:line="360" w:lineRule="auto"/>
        <w:ind w:left="0" w:leftChars="0"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color w:val="auto"/>
          <w:sz w:val="24"/>
          <w:szCs w:val="24"/>
          <w:highlight w:val="none"/>
        </w:rPr>
        <w:t>应按照本项目招标文件和政采云平台的要求编制、加密并递交投标文件。供应商在使用系统进</w:t>
      </w:r>
      <w:r>
        <w:rPr>
          <w:rFonts w:hint="eastAsia" w:ascii="宋体" w:hAnsi="宋体" w:eastAsia="宋体" w:cs="宋体"/>
          <w:b w:val="0"/>
          <w:bCs w:val="0"/>
          <w:color w:val="auto"/>
          <w:sz w:val="24"/>
          <w:szCs w:val="24"/>
          <w:highlight w:val="none"/>
        </w:rPr>
        <w:t>行投标的过程中遇到涉及平台使用的任何问题，可致电政采云平台技术支持热线咨询，联系方式：400-881-7190。</w:t>
      </w:r>
    </w:p>
    <w:p>
      <w:pPr>
        <w:keepNext w:val="0"/>
        <w:keepLines w:val="0"/>
        <w:pageBreakBefore w:val="0"/>
        <w:widowControl w:val="0"/>
        <w:numPr>
          <w:ilvl w:val="0"/>
          <w:numId w:val="7"/>
        </w:numPr>
        <w:kinsoku/>
        <w:wordWrap w:val="0"/>
        <w:overflowPunct/>
        <w:topLinePunct w:val="0"/>
        <w:autoSpaceDE/>
        <w:autoSpaceDN/>
        <w:bidi w:val="0"/>
        <w:adjustRightInd w:val="0"/>
        <w:snapToGrid/>
        <w:spacing w:line="360" w:lineRule="auto"/>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auto"/>
          <w:sz w:val="24"/>
          <w:szCs w:val="24"/>
          <w:highlight w:val="none"/>
        </w:rPr>
        <w:t>投标人通过“政采</w:t>
      </w:r>
      <w:r>
        <w:rPr>
          <w:rFonts w:hint="eastAsia" w:ascii="宋体" w:hAnsi="宋体" w:eastAsia="宋体" w:cs="宋体"/>
          <w:color w:val="auto"/>
          <w:sz w:val="24"/>
          <w:szCs w:val="24"/>
          <w:highlight w:val="none"/>
        </w:rPr>
        <w:t>云”平台电子投标工具制作投标文件</w:t>
      </w:r>
      <w:r>
        <w:rPr>
          <w:rFonts w:hint="eastAsia" w:ascii="宋体" w:hAnsi="宋体" w:eastAsia="宋体" w:cs="宋体"/>
          <w:color w:val="auto"/>
          <w:sz w:val="24"/>
          <w:szCs w:val="24"/>
          <w:highlight w:val="none"/>
          <w:lang w:eastAsia="zh-CN"/>
        </w:rPr>
        <w:t>。</w:t>
      </w:r>
    </w:p>
    <w:p>
      <w:pPr>
        <w:keepNext w:val="0"/>
        <w:keepLines w:val="0"/>
        <w:pageBreakBefore w:val="0"/>
        <w:widowControl w:val="0"/>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《电子投标工具》：</w:t>
      </w:r>
    </w:p>
    <w:p>
      <w:pPr>
        <w:keepNext w:val="0"/>
        <w:keepLines w:val="0"/>
        <w:pageBreakBefore w:val="0"/>
        <w:widowControl w:val="0"/>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fldChar w:fldCharType="begin"/>
      </w:r>
      <w:r>
        <w:rPr>
          <w:rFonts w:hint="eastAsia" w:ascii="宋体" w:hAnsi="宋体" w:eastAsia="宋体" w:cs="宋体"/>
          <w:color w:val="auto"/>
          <w:sz w:val="24"/>
          <w:szCs w:val="24"/>
          <w:highlight w:val="none"/>
          <w:lang w:eastAsia="zh-CN"/>
        </w:rPr>
        <w:instrText xml:space="preserve"> HYPERLINK "http://zfcg.czt.zj.gov.cn/bidClientTemplate/2019-09-24/12975.html" </w:instrText>
      </w:r>
      <w:r>
        <w:rPr>
          <w:rFonts w:hint="eastAsia" w:ascii="宋体" w:hAnsi="宋体" w:eastAsia="宋体" w:cs="宋体"/>
          <w:color w:val="auto"/>
          <w:sz w:val="24"/>
          <w:szCs w:val="24"/>
          <w:highlight w:val="none"/>
          <w:lang w:eastAsia="zh-CN"/>
        </w:rPr>
        <w:fldChar w:fldCharType="separate"/>
      </w:r>
      <w:r>
        <w:rPr>
          <w:rFonts w:hint="eastAsia" w:ascii="宋体" w:hAnsi="宋体" w:eastAsia="宋体" w:cs="宋体"/>
          <w:color w:val="auto"/>
          <w:sz w:val="24"/>
          <w:szCs w:val="24"/>
          <w:highlight w:val="none"/>
          <w:lang w:eastAsia="zh-CN"/>
        </w:rPr>
        <w:t>http://zfcg.czt.zj.gov.cn/bidClientTemplate/2019-09-24/12975.html</w:t>
      </w:r>
      <w:r>
        <w:rPr>
          <w:rFonts w:hint="eastAsia" w:ascii="宋体" w:hAnsi="宋体" w:eastAsia="宋体" w:cs="宋体"/>
          <w:color w:val="auto"/>
          <w:sz w:val="24"/>
          <w:szCs w:val="24"/>
          <w:highlight w:val="none"/>
          <w:lang w:eastAsia="zh-CN"/>
        </w:rPr>
        <w:fldChar w:fldCharType="end"/>
      </w:r>
    </w:p>
    <w:p>
      <w:pPr>
        <w:keepNext w:val="0"/>
        <w:keepLines w:val="0"/>
        <w:pageBreakBefore w:val="0"/>
        <w:widowControl w:val="0"/>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《供应商-政府采购项目电子交易操作指南》：</w:t>
      </w:r>
      <w:r>
        <w:rPr>
          <w:rFonts w:hint="eastAsia" w:ascii="宋体" w:hAnsi="宋体" w:eastAsia="宋体" w:cs="宋体"/>
          <w:color w:val="auto"/>
          <w:sz w:val="24"/>
          <w:szCs w:val="24"/>
          <w:highlight w:val="none"/>
          <w:lang w:val="en-US" w:eastAsia="zh-CN"/>
        </w:rPr>
        <w:t>(需登录账号后查看)</w:t>
      </w:r>
    </w:p>
    <w:p>
      <w:pPr>
        <w:keepNext w:val="0"/>
        <w:keepLines w:val="0"/>
        <w:pageBreakBefore w:val="0"/>
        <w:widowControl w:val="0"/>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fldChar w:fldCharType="begin"/>
      </w:r>
      <w:r>
        <w:rPr>
          <w:rFonts w:hint="eastAsia" w:ascii="宋体" w:hAnsi="宋体" w:eastAsia="宋体" w:cs="宋体"/>
          <w:color w:val="auto"/>
          <w:sz w:val="24"/>
          <w:szCs w:val="24"/>
          <w:highlight w:val="none"/>
          <w:lang w:eastAsia="zh-CN"/>
        </w:rPr>
        <w:instrText xml:space="preserve"> HYPERLINK "https://service.zcygov.cn/#/knowledges/tree?tag=AG1DtGwBFdiHxlNdhY0r" </w:instrText>
      </w:r>
      <w:r>
        <w:rPr>
          <w:rFonts w:hint="eastAsia" w:ascii="宋体" w:hAnsi="宋体" w:eastAsia="宋体" w:cs="宋体"/>
          <w:color w:val="auto"/>
          <w:sz w:val="24"/>
          <w:szCs w:val="24"/>
          <w:highlight w:val="none"/>
          <w:lang w:eastAsia="zh-CN"/>
        </w:rPr>
        <w:fldChar w:fldCharType="separate"/>
      </w:r>
      <w:r>
        <w:rPr>
          <w:rFonts w:hint="eastAsia" w:ascii="宋体" w:hAnsi="宋体" w:eastAsia="宋体" w:cs="宋体"/>
          <w:color w:val="auto"/>
          <w:sz w:val="24"/>
          <w:szCs w:val="24"/>
          <w:highlight w:val="none"/>
          <w:lang w:eastAsia="zh-CN"/>
        </w:rPr>
        <w:t>https://service.zcygov.cn/#/knowledges/tree?tag=AG1DtGwBFdiHxlNdhY0r</w:t>
      </w:r>
      <w:r>
        <w:rPr>
          <w:rFonts w:hint="eastAsia" w:ascii="宋体" w:hAnsi="宋体" w:eastAsia="宋体" w:cs="宋体"/>
          <w:color w:val="auto"/>
          <w:sz w:val="24"/>
          <w:szCs w:val="24"/>
          <w:highlight w:val="none"/>
          <w:lang w:eastAsia="zh-CN"/>
        </w:rPr>
        <w:fldChar w:fldCharType="end"/>
      </w:r>
    </w:p>
    <w:p>
      <w:pPr>
        <w:keepNext w:val="0"/>
        <w:keepLines w:val="0"/>
        <w:pageBreakBefore w:val="0"/>
        <w:widowControl w:val="0"/>
        <w:numPr>
          <w:ilvl w:val="0"/>
          <w:numId w:val="6"/>
        </w:numPr>
        <w:kinsoku/>
        <w:wordWrap/>
        <w:overflowPunct/>
        <w:topLinePunct w:val="0"/>
        <w:autoSpaceDE/>
        <w:autoSpaceDN/>
        <w:bidi w:val="0"/>
        <w:adjustRightInd w:val="0"/>
        <w:spacing w:line="360" w:lineRule="auto"/>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供应商在法定质疑期内应一次性提出针对同一采购程序环节的质疑。否则质疑将不予受理。</w:t>
      </w:r>
    </w:p>
    <w:p>
      <w:pPr>
        <w:keepNext w:val="0"/>
        <w:keepLines w:val="0"/>
        <w:pageBreakBefore w:val="0"/>
        <w:widowControl w:val="0"/>
        <w:numPr>
          <w:ilvl w:val="0"/>
          <w:numId w:val="6"/>
        </w:numPr>
        <w:kinsoku/>
        <w:wordWrap/>
        <w:overflowPunct/>
        <w:topLinePunct w:val="0"/>
        <w:autoSpaceDE/>
        <w:autoSpaceDN/>
        <w:bidi w:val="0"/>
        <w:adjustRightInd w:val="0"/>
        <w:spacing w:line="360" w:lineRule="auto"/>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投标人可指派授权代表递交备份文件，授权代表递交备份文件需携带法定代表人授权书原件，于投标截止时间前到达开标地点递交。</w:t>
      </w:r>
    </w:p>
    <w:p>
      <w:pPr>
        <w:keepNext w:val="0"/>
        <w:keepLines w:val="0"/>
        <w:pageBreakBefore w:val="0"/>
        <w:widowControl w:val="0"/>
        <w:numPr>
          <w:ilvl w:val="0"/>
          <w:numId w:val="6"/>
        </w:numPr>
        <w:kinsoku/>
        <w:wordWrap/>
        <w:overflowPunct/>
        <w:topLinePunct w:val="0"/>
        <w:autoSpaceDE/>
        <w:autoSpaceDN/>
        <w:bidi w:val="0"/>
        <w:adjustRightInd w:val="0"/>
        <w:spacing w:line="360" w:lineRule="auto"/>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特别提醒</w:t>
      </w:r>
    </w:p>
    <w:p>
      <w:pPr>
        <w:keepNext w:val="0"/>
        <w:keepLines w:val="0"/>
        <w:pageBreakBefore w:val="0"/>
        <w:widowControl w:val="0"/>
        <w:numPr>
          <w:ilvl w:val="0"/>
          <w:numId w:val="8"/>
        </w:numPr>
        <w:kinsoku/>
        <w:wordWrap w:val="0"/>
        <w:overflowPunct/>
        <w:topLinePunct w:val="0"/>
        <w:autoSpaceDE/>
        <w:autoSpaceDN/>
        <w:bidi w:val="0"/>
        <w:adjustRightInd w:val="0"/>
        <w:snapToGrid/>
        <w:spacing w:line="360" w:lineRule="auto"/>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单位负责人为同一人或者存在直接控股、管理关系的不同供应商，不得参加同一合同项下的采购活动。</w:t>
      </w:r>
    </w:p>
    <w:p>
      <w:pPr>
        <w:keepNext w:val="0"/>
        <w:keepLines w:val="0"/>
        <w:pageBreakBefore w:val="0"/>
        <w:widowControl w:val="0"/>
        <w:numPr>
          <w:ilvl w:val="0"/>
          <w:numId w:val="8"/>
        </w:numPr>
        <w:kinsoku/>
        <w:wordWrap w:val="0"/>
        <w:overflowPunct/>
        <w:topLinePunct w:val="0"/>
        <w:autoSpaceDE/>
        <w:autoSpaceDN/>
        <w:bidi w:val="0"/>
        <w:adjustRightInd w:val="0"/>
        <w:snapToGrid/>
        <w:spacing w:line="360" w:lineRule="auto"/>
        <w:ind w:left="0" w:leftChars="0" w:firstLine="480" w:firstLineChars="200"/>
        <w:textAlignment w:val="auto"/>
        <w:rPr>
          <w:rFonts w:hint="eastAsia" w:ascii="宋体" w:hAnsi="宋体" w:eastAsia="宋体" w:cs="宋体"/>
          <w:color w:val="auto"/>
          <w:highlight w:val="none"/>
          <w:lang w:eastAsia="zh-CN"/>
        </w:rPr>
      </w:pPr>
      <w:r>
        <w:rPr>
          <w:rFonts w:hint="eastAsia" w:ascii="宋体" w:hAnsi="宋体" w:eastAsia="宋体" w:cs="宋体"/>
          <w:color w:val="auto"/>
          <w:sz w:val="24"/>
          <w:szCs w:val="24"/>
          <w:highlight w:val="none"/>
        </w:rPr>
        <w:t>除单一来源采购项目外，为采购项目提供整体设计、规范编制或者项目管理、监理、检测等服务的供应商，不得再参加该采购项目的其他采购活动。</w:t>
      </w:r>
    </w:p>
    <w:p>
      <w:pPr>
        <w:keepNext w:val="0"/>
        <w:keepLines w:val="0"/>
        <w:pageBreakBefore w:val="0"/>
        <w:widowControl w:val="0"/>
        <w:numPr>
          <w:ilvl w:val="0"/>
          <w:numId w:val="6"/>
        </w:numPr>
        <w:kinsoku/>
        <w:wordWrap/>
        <w:overflowPunct/>
        <w:topLinePunct w:val="0"/>
        <w:autoSpaceDE/>
        <w:autoSpaceDN/>
        <w:bidi w:val="0"/>
        <w:adjustRightInd w:val="0"/>
        <w:spacing w:line="360" w:lineRule="auto"/>
        <w:ind w:left="0" w:leftChars="0" w:firstLine="482" w:firstLineChars="200"/>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进入上虞区公共资源交易场所，需进行测温、查验健康码、行程码，并佩戴口罩。请各投标人，根据省、市、区相关防疫要求，做好个人防疫工作。</w:t>
      </w:r>
    </w:p>
    <w:p>
      <w:pPr>
        <w:keepNext w:val="0"/>
        <w:keepLines w:val="0"/>
        <w:pageBreakBefore w:val="0"/>
        <w:widowControl w:val="0"/>
        <w:kinsoku/>
        <w:wordWrap/>
        <w:overflowPunct/>
        <w:topLinePunct w:val="0"/>
        <w:autoSpaceDE/>
        <w:autoSpaceDN/>
        <w:bidi w:val="0"/>
        <w:adjustRightInd w:val="0"/>
        <w:spacing w:line="360" w:lineRule="auto"/>
        <w:ind w:firstLine="482"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lang w:eastAsia="zh-CN"/>
        </w:rPr>
        <w:t>七</w:t>
      </w:r>
      <w:r>
        <w:rPr>
          <w:rFonts w:hint="eastAsia" w:ascii="宋体" w:hAnsi="宋体" w:eastAsia="宋体" w:cs="宋体"/>
          <w:b/>
          <w:color w:val="auto"/>
          <w:sz w:val="24"/>
          <w:szCs w:val="24"/>
          <w:highlight w:val="none"/>
        </w:rPr>
        <w:t>、投标截止时间及要求：</w:t>
      </w:r>
      <w:r>
        <w:rPr>
          <w:rFonts w:hint="eastAsia" w:ascii="宋体" w:hAnsi="宋体" w:eastAsia="宋体" w:cs="宋体"/>
          <w:color w:val="auto"/>
          <w:sz w:val="24"/>
          <w:szCs w:val="24"/>
          <w:highlight w:val="none"/>
          <w:u w:val="single"/>
        </w:rPr>
        <w:t xml:space="preserve"> 202</w:t>
      </w:r>
      <w:r>
        <w:rPr>
          <w:rFonts w:hint="eastAsia" w:eastAsia="宋体" w:cs="宋体"/>
          <w:color w:val="auto"/>
          <w:sz w:val="24"/>
          <w:szCs w:val="24"/>
          <w:highlight w:val="none"/>
          <w:u w:val="single"/>
          <w:lang w:val="en-US" w:eastAsia="zh-CN"/>
        </w:rPr>
        <w:t>2</w:t>
      </w:r>
      <w:r>
        <w:rPr>
          <w:rFonts w:hint="eastAsia" w:ascii="宋体" w:hAnsi="宋体" w:eastAsia="宋体" w:cs="宋体"/>
          <w:color w:val="auto"/>
          <w:sz w:val="24"/>
          <w:szCs w:val="24"/>
          <w:highlight w:val="none"/>
        </w:rPr>
        <w:t>年</w:t>
      </w:r>
      <w:r>
        <w:rPr>
          <w:rFonts w:hint="eastAsia" w:eastAsia="宋体" w:cs="宋体"/>
          <w:color w:val="auto"/>
          <w:sz w:val="24"/>
          <w:szCs w:val="24"/>
          <w:highlight w:val="none"/>
          <w:u w:val="single"/>
          <w:lang w:val="en-US" w:eastAsia="zh-CN"/>
        </w:rPr>
        <w:t xml:space="preserve"> </w:t>
      </w:r>
      <w:r>
        <w:rPr>
          <w:rFonts w:hint="eastAsia" w:cs="宋体"/>
          <w:color w:val="auto"/>
          <w:sz w:val="24"/>
          <w:szCs w:val="24"/>
          <w:highlight w:val="none"/>
          <w:u w:val="single"/>
          <w:lang w:val="en-US" w:eastAsia="zh-CN"/>
        </w:rPr>
        <w:t>5</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eastAsia="宋体" w:cs="宋体"/>
          <w:color w:val="auto"/>
          <w:sz w:val="24"/>
          <w:szCs w:val="24"/>
          <w:highlight w:val="none"/>
          <w:u w:val="single"/>
          <w:lang w:val="en-US" w:eastAsia="zh-CN"/>
        </w:rPr>
        <w:t xml:space="preserve"> </w:t>
      </w:r>
      <w:r>
        <w:rPr>
          <w:rFonts w:hint="eastAsia" w:cs="宋体"/>
          <w:color w:val="auto"/>
          <w:sz w:val="24"/>
          <w:szCs w:val="24"/>
          <w:highlight w:val="none"/>
          <w:u w:val="single"/>
          <w:lang w:val="en-US" w:eastAsia="zh-CN"/>
        </w:rPr>
        <w:t>27</w:t>
      </w:r>
      <w:r>
        <w:rPr>
          <w:rFonts w:hint="eastAsia"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日 上午</w:t>
      </w:r>
      <w:r>
        <w:rPr>
          <w:rFonts w:hint="eastAsia" w:eastAsia="宋体" w:cs="宋体"/>
          <w:color w:val="auto"/>
          <w:sz w:val="24"/>
          <w:szCs w:val="24"/>
          <w:highlight w:val="none"/>
          <w:u w:val="single"/>
          <w:lang w:val="en-US" w:eastAsia="zh-CN"/>
        </w:rPr>
        <w:t xml:space="preserve"> </w:t>
      </w:r>
      <w:r>
        <w:rPr>
          <w:rFonts w:hint="eastAsia" w:cs="宋体"/>
          <w:color w:val="auto"/>
          <w:sz w:val="24"/>
          <w:szCs w:val="24"/>
          <w:highlight w:val="none"/>
          <w:u w:val="single"/>
          <w:lang w:val="en-US" w:eastAsia="zh-CN"/>
        </w:rPr>
        <w:t>9</w:t>
      </w:r>
      <w:r>
        <w:rPr>
          <w:rFonts w:hint="eastAsia"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时</w:t>
      </w:r>
      <w:r>
        <w:rPr>
          <w:rFonts w:hint="eastAsia" w:eastAsia="宋体" w:cs="宋体"/>
          <w:color w:val="auto"/>
          <w:sz w:val="24"/>
          <w:szCs w:val="24"/>
          <w:highlight w:val="none"/>
          <w:u w:val="single"/>
          <w:lang w:val="en-US" w:eastAsia="zh-CN"/>
        </w:rPr>
        <w:t xml:space="preserve"> </w:t>
      </w:r>
      <w:r>
        <w:rPr>
          <w:rFonts w:hint="eastAsia" w:cs="宋体"/>
          <w:color w:val="auto"/>
          <w:sz w:val="24"/>
          <w:szCs w:val="24"/>
          <w:highlight w:val="none"/>
          <w:u w:val="single"/>
          <w:lang w:val="en-US" w:eastAsia="zh-CN"/>
        </w:rPr>
        <w:t>30</w:t>
      </w:r>
      <w:r>
        <w:rPr>
          <w:rFonts w:hint="eastAsia"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分整</w:t>
      </w:r>
      <w:r>
        <w:rPr>
          <w:rFonts w:hint="eastAsia" w:ascii="宋体" w:hAnsi="宋体" w:eastAsia="宋体" w:cs="宋体"/>
          <w:bCs/>
          <w:color w:val="auto"/>
          <w:kern w:val="0"/>
          <w:sz w:val="24"/>
          <w:szCs w:val="24"/>
          <w:highlight w:val="none"/>
        </w:rPr>
        <w:t>之前将电子投标文件上传到“政采云”平台。</w:t>
      </w:r>
    </w:p>
    <w:p>
      <w:pPr>
        <w:keepNext w:val="0"/>
        <w:keepLines w:val="0"/>
        <w:pageBreakBefore w:val="0"/>
        <w:widowControl w:val="0"/>
        <w:kinsoku/>
        <w:wordWrap/>
        <w:overflowPunct/>
        <w:topLinePunct w:val="0"/>
        <w:autoSpaceDE/>
        <w:autoSpaceDN/>
        <w:bidi w:val="0"/>
        <w:adjustRightInd w:val="0"/>
        <w:spacing w:line="360" w:lineRule="auto"/>
        <w:ind w:firstLine="482"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lang w:eastAsia="zh-CN"/>
        </w:rPr>
        <w:t>八</w:t>
      </w:r>
      <w:r>
        <w:rPr>
          <w:rFonts w:hint="eastAsia" w:ascii="宋体" w:hAnsi="宋体" w:eastAsia="宋体" w:cs="宋体"/>
          <w:b/>
          <w:color w:val="auto"/>
          <w:sz w:val="24"/>
          <w:szCs w:val="24"/>
          <w:highlight w:val="none"/>
        </w:rPr>
        <w:t>、开标时间及地点：</w:t>
      </w:r>
      <w:r>
        <w:rPr>
          <w:rFonts w:hint="eastAsia" w:ascii="宋体" w:hAnsi="宋体" w:eastAsia="宋体" w:cs="宋体"/>
          <w:color w:val="auto"/>
          <w:sz w:val="24"/>
          <w:szCs w:val="24"/>
          <w:highlight w:val="none"/>
          <w:u w:val="single"/>
        </w:rPr>
        <w:t xml:space="preserve"> 202</w:t>
      </w:r>
      <w:r>
        <w:rPr>
          <w:rFonts w:hint="eastAsia" w:eastAsia="宋体" w:cs="宋体"/>
          <w:color w:val="auto"/>
          <w:sz w:val="24"/>
          <w:szCs w:val="24"/>
          <w:highlight w:val="none"/>
          <w:u w:val="single"/>
          <w:lang w:val="en-US" w:eastAsia="zh-CN"/>
        </w:rPr>
        <w:t>2</w:t>
      </w:r>
      <w:r>
        <w:rPr>
          <w:rFonts w:hint="eastAsia" w:ascii="宋体" w:hAnsi="宋体" w:eastAsia="宋体" w:cs="宋体"/>
          <w:color w:val="auto"/>
          <w:sz w:val="24"/>
          <w:szCs w:val="24"/>
          <w:highlight w:val="none"/>
        </w:rPr>
        <w:t>年</w:t>
      </w:r>
      <w:r>
        <w:rPr>
          <w:rFonts w:hint="eastAsia" w:eastAsia="宋体" w:cs="宋体"/>
          <w:color w:val="auto"/>
          <w:sz w:val="24"/>
          <w:szCs w:val="24"/>
          <w:highlight w:val="none"/>
          <w:u w:val="single"/>
          <w:lang w:val="en-US" w:eastAsia="zh-CN"/>
        </w:rPr>
        <w:t xml:space="preserve"> </w:t>
      </w:r>
      <w:r>
        <w:rPr>
          <w:rFonts w:hint="eastAsia" w:cs="宋体"/>
          <w:color w:val="auto"/>
          <w:sz w:val="24"/>
          <w:szCs w:val="24"/>
          <w:highlight w:val="none"/>
          <w:u w:val="single"/>
          <w:lang w:val="en-US" w:eastAsia="zh-CN"/>
        </w:rPr>
        <w:t>5</w:t>
      </w:r>
      <w:r>
        <w:rPr>
          <w:rFonts w:hint="eastAsia"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月</w:t>
      </w:r>
      <w:r>
        <w:rPr>
          <w:rFonts w:hint="eastAsia" w:eastAsia="宋体" w:cs="宋体"/>
          <w:color w:val="auto"/>
          <w:sz w:val="24"/>
          <w:szCs w:val="24"/>
          <w:highlight w:val="none"/>
          <w:u w:val="single"/>
          <w:lang w:val="en-US" w:eastAsia="zh-CN"/>
        </w:rPr>
        <w:t xml:space="preserve"> </w:t>
      </w:r>
      <w:r>
        <w:rPr>
          <w:rFonts w:hint="eastAsia" w:cs="宋体"/>
          <w:color w:val="auto"/>
          <w:sz w:val="24"/>
          <w:szCs w:val="24"/>
          <w:highlight w:val="none"/>
          <w:u w:val="single"/>
          <w:lang w:val="en-US" w:eastAsia="zh-CN"/>
        </w:rPr>
        <w:t>27</w:t>
      </w:r>
      <w:r>
        <w:rPr>
          <w:rFonts w:hint="eastAsia"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日 上午</w:t>
      </w:r>
      <w:r>
        <w:rPr>
          <w:rFonts w:hint="eastAsia" w:eastAsia="宋体" w:cs="宋体"/>
          <w:color w:val="auto"/>
          <w:sz w:val="24"/>
          <w:szCs w:val="24"/>
          <w:highlight w:val="none"/>
          <w:u w:val="single"/>
          <w:lang w:val="en-US" w:eastAsia="zh-CN"/>
        </w:rPr>
        <w:t xml:space="preserve"> </w:t>
      </w:r>
      <w:r>
        <w:rPr>
          <w:rFonts w:hint="eastAsia" w:cs="宋体"/>
          <w:color w:val="auto"/>
          <w:sz w:val="24"/>
          <w:szCs w:val="24"/>
          <w:highlight w:val="none"/>
          <w:u w:val="single"/>
          <w:lang w:val="en-US" w:eastAsia="zh-CN"/>
        </w:rPr>
        <w:t>9</w:t>
      </w:r>
      <w:r>
        <w:rPr>
          <w:rFonts w:hint="eastAsia"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时</w:t>
      </w:r>
      <w:r>
        <w:rPr>
          <w:rFonts w:hint="eastAsia" w:eastAsia="宋体" w:cs="宋体"/>
          <w:color w:val="auto"/>
          <w:sz w:val="24"/>
          <w:szCs w:val="24"/>
          <w:highlight w:val="none"/>
          <w:u w:val="single"/>
          <w:lang w:val="en-US" w:eastAsia="zh-CN"/>
        </w:rPr>
        <w:t xml:space="preserve"> </w:t>
      </w:r>
      <w:r>
        <w:rPr>
          <w:rFonts w:hint="eastAsia" w:cs="宋体"/>
          <w:color w:val="auto"/>
          <w:sz w:val="24"/>
          <w:szCs w:val="24"/>
          <w:highlight w:val="none"/>
          <w:u w:val="single"/>
          <w:lang w:val="en-US" w:eastAsia="zh-CN"/>
        </w:rPr>
        <w:t>30</w:t>
      </w:r>
      <w:r>
        <w:rPr>
          <w:rFonts w:hint="eastAsia"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分</w:t>
      </w:r>
      <w:bookmarkStart w:id="16" w:name="B30_开标地点"/>
      <w:r>
        <w:rPr>
          <w:rFonts w:hint="eastAsia" w:ascii="宋体" w:hAnsi="宋体" w:eastAsia="宋体" w:cs="宋体"/>
          <w:color w:val="auto"/>
          <w:sz w:val="24"/>
          <w:szCs w:val="24"/>
          <w:highlight w:val="none"/>
        </w:rPr>
        <w:t>整在绍兴市</w:t>
      </w:r>
      <w:r>
        <w:rPr>
          <w:rFonts w:hint="eastAsia" w:ascii="宋体" w:hAnsi="宋体" w:eastAsia="宋体" w:cs="宋体"/>
          <w:color w:val="auto"/>
          <w:sz w:val="24"/>
          <w:szCs w:val="24"/>
          <w:highlight w:val="none"/>
          <w:lang w:eastAsia="zh-CN"/>
        </w:rPr>
        <w:t>上虞区</w:t>
      </w:r>
      <w:r>
        <w:rPr>
          <w:rFonts w:hint="eastAsia" w:ascii="宋体" w:hAnsi="宋体" w:eastAsia="宋体" w:cs="宋体"/>
          <w:color w:val="auto"/>
          <w:sz w:val="24"/>
          <w:szCs w:val="24"/>
          <w:highlight w:val="none"/>
        </w:rPr>
        <w:t>公共资源交易中心三楼</w:t>
      </w:r>
      <w:r>
        <w:rPr>
          <w:rFonts w:hint="eastAsia" w:eastAsia="宋体" w:cs="宋体"/>
          <w:color w:val="auto"/>
          <w:sz w:val="24"/>
          <w:szCs w:val="24"/>
          <w:highlight w:val="none"/>
          <w:u w:val="single"/>
          <w:lang w:val="en-US" w:eastAsia="zh-CN"/>
        </w:rPr>
        <w:t xml:space="preserve"> </w:t>
      </w:r>
      <w:r>
        <w:rPr>
          <w:rFonts w:hint="eastAsia" w:cs="宋体"/>
          <w:color w:val="auto"/>
          <w:sz w:val="24"/>
          <w:szCs w:val="24"/>
          <w:highlight w:val="none"/>
          <w:u w:val="single"/>
          <w:lang w:val="en-US" w:eastAsia="zh-CN"/>
        </w:rPr>
        <w:t>375</w:t>
      </w:r>
      <w:r>
        <w:rPr>
          <w:rFonts w:hint="eastAsia"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eastAsia="zh-CN"/>
        </w:rPr>
        <w:t>开标</w:t>
      </w:r>
      <w:r>
        <w:rPr>
          <w:rFonts w:hint="eastAsia" w:ascii="宋体" w:hAnsi="宋体" w:eastAsia="宋体" w:cs="宋体"/>
          <w:color w:val="auto"/>
          <w:sz w:val="24"/>
          <w:szCs w:val="24"/>
          <w:highlight w:val="none"/>
        </w:rPr>
        <w:t>室开标。</w:t>
      </w:r>
      <w:bookmarkEnd w:id="16"/>
    </w:p>
    <w:p>
      <w:pPr>
        <w:pStyle w:val="14"/>
        <w:numPr>
          <w:ilvl w:val="0"/>
          <w:numId w:val="0"/>
        </w:numPr>
        <w:spacing w:line="360" w:lineRule="auto"/>
        <w:ind w:firstLine="480" w:firstLineChars="200"/>
        <w:rPr>
          <w:rFonts w:hint="eastAsia" w:ascii="宋体" w:hAnsi="宋体" w:eastAsia="宋体" w:cs="宋体"/>
          <w:bCs/>
          <w:strike/>
          <w:dstrike w:val="0"/>
          <w:color w:val="auto"/>
          <w:kern w:val="0"/>
          <w:sz w:val="24"/>
          <w:szCs w:val="24"/>
          <w:highlight w:val="none"/>
          <w:lang w:val="en-US" w:eastAsia="zh-CN"/>
        </w:rPr>
      </w:pPr>
      <w:r>
        <w:rPr>
          <w:rFonts w:hint="eastAsia" w:ascii="宋体" w:hAnsi="宋体" w:eastAsia="宋体" w:cs="宋体"/>
          <w:color w:val="auto"/>
          <w:kern w:val="2"/>
          <w:sz w:val="24"/>
          <w:szCs w:val="24"/>
          <w:highlight w:val="none"/>
          <w:lang w:val="en-US" w:eastAsia="zh-CN" w:bidi="ar-SA"/>
        </w:rPr>
        <w:t>开标时间后30分钟内（当日</w:t>
      </w:r>
      <w:r>
        <w:rPr>
          <w:rFonts w:hint="eastAsia" w:hAnsi="宋体" w:cs="宋体"/>
          <w:color w:val="auto"/>
          <w:kern w:val="2"/>
          <w:sz w:val="24"/>
          <w:szCs w:val="24"/>
          <w:highlight w:val="none"/>
          <w:lang w:val="en-US" w:eastAsia="zh-CN" w:bidi="ar-SA"/>
        </w:rPr>
        <w:t>10</w:t>
      </w:r>
      <w:r>
        <w:rPr>
          <w:rFonts w:hint="eastAsia" w:hAnsi="宋体" w:eastAsia="宋体" w:cs="宋体"/>
          <w:color w:val="auto"/>
          <w:kern w:val="2"/>
          <w:sz w:val="24"/>
          <w:szCs w:val="24"/>
          <w:highlight w:val="none"/>
          <w:lang w:val="en-US" w:eastAsia="zh-CN" w:bidi="ar-SA"/>
        </w:rPr>
        <w:t>:</w:t>
      </w:r>
      <w:r>
        <w:rPr>
          <w:rFonts w:hint="eastAsia" w:hAnsi="宋体" w:cs="宋体"/>
          <w:color w:val="auto"/>
          <w:kern w:val="2"/>
          <w:sz w:val="24"/>
          <w:szCs w:val="24"/>
          <w:highlight w:val="none"/>
          <w:lang w:val="en-US" w:eastAsia="zh-CN" w:bidi="ar-SA"/>
        </w:rPr>
        <w:t>00</w:t>
      </w:r>
      <w:r>
        <w:rPr>
          <w:rFonts w:hint="eastAsia" w:ascii="宋体" w:hAnsi="宋体" w:eastAsia="宋体" w:cs="宋体"/>
          <w:color w:val="auto"/>
          <w:kern w:val="2"/>
          <w:sz w:val="24"/>
          <w:szCs w:val="24"/>
          <w:highlight w:val="none"/>
          <w:lang w:val="en-US" w:eastAsia="zh-CN" w:bidi="ar-SA"/>
        </w:rPr>
        <w:t>前）供应商可以登录“政采云”平台，用“项目采购-开标评标”功能进行解密投标文件。若供应商在规定时间内（当日</w:t>
      </w:r>
      <w:r>
        <w:rPr>
          <w:rFonts w:hint="eastAsia" w:hAnsi="宋体" w:cs="宋体"/>
          <w:color w:val="auto"/>
          <w:kern w:val="2"/>
          <w:sz w:val="24"/>
          <w:szCs w:val="24"/>
          <w:highlight w:val="none"/>
          <w:lang w:val="en-US" w:eastAsia="zh-CN" w:bidi="ar-SA"/>
        </w:rPr>
        <w:t>10</w:t>
      </w:r>
      <w:r>
        <w:rPr>
          <w:rFonts w:hint="eastAsia" w:hAnsi="宋体" w:eastAsia="宋体" w:cs="宋体"/>
          <w:color w:val="auto"/>
          <w:kern w:val="2"/>
          <w:sz w:val="24"/>
          <w:szCs w:val="24"/>
          <w:highlight w:val="none"/>
          <w:lang w:val="en-US" w:eastAsia="zh-CN" w:bidi="ar-SA"/>
        </w:rPr>
        <w:t>:</w:t>
      </w:r>
      <w:r>
        <w:rPr>
          <w:rFonts w:hint="eastAsia" w:hAnsi="宋体" w:cs="宋体"/>
          <w:color w:val="auto"/>
          <w:kern w:val="2"/>
          <w:sz w:val="24"/>
          <w:szCs w:val="24"/>
          <w:highlight w:val="none"/>
          <w:lang w:val="en-US" w:eastAsia="zh-CN" w:bidi="ar-SA"/>
        </w:rPr>
        <w:t>00</w:t>
      </w:r>
      <w:r>
        <w:rPr>
          <w:rFonts w:hint="eastAsia" w:ascii="宋体" w:hAnsi="宋体" w:eastAsia="宋体" w:cs="宋体"/>
          <w:color w:val="auto"/>
          <w:kern w:val="2"/>
          <w:sz w:val="24"/>
          <w:szCs w:val="24"/>
          <w:highlight w:val="none"/>
          <w:lang w:val="en-US" w:eastAsia="zh-CN" w:bidi="ar-SA"/>
        </w:rPr>
        <w:t>前）解密失败，则由采购代理机构工作人员上传投标人提供的备份文件。备份文件（后缀名为.bfbs）须存储在U盘中，与上传的电子投标文件一致，用信封进行密封并盖章，由授权代表在投标截止时间前递交至开标地点。</w:t>
      </w:r>
      <w:r>
        <w:rPr>
          <w:rFonts w:hint="eastAsia" w:ascii="宋体" w:hAnsi="宋体" w:eastAsia="宋体" w:cs="宋体"/>
          <w:color w:val="auto"/>
          <w:sz w:val="24"/>
          <w:szCs w:val="24"/>
          <w:highlight w:val="none"/>
        </w:rPr>
        <w:t>若电子投标文件正常解锁，则U盘退还给供应商；若解锁失败，则由采购代理机构将U盘中的备份文件上传，该U盘将由采购代理机构保存。</w:t>
      </w:r>
    </w:p>
    <w:p>
      <w:pPr>
        <w:keepNext w:val="0"/>
        <w:keepLines w:val="0"/>
        <w:pageBreakBefore w:val="0"/>
        <w:widowControl w:val="0"/>
        <w:numPr>
          <w:ilvl w:val="0"/>
          <w:numId w:val="0"/>
        </w:numPr>
        <w:kinsoku/>
        <w:wordWrap/>
        <w:overflowPunct/>
        <w:topLinePunct w:val="0"/>
        <w:autoSpaceDE/>
        <w:autoSpaceDN/>
        <w:bidi w:val="0"/>
        <w:adjustRightInd w:val="0"/>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本次开标</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不</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提供现场视频。</w:t>
      </w:r>
    </w:p>
    <w:p>
      <w:pPr>
        <w:keepNext w:val="0"/>
        <w:keepLines w:val="0"/>
        <w:pageBreakBefore w:val="0"/>
        <w:widowControl w:val="0"/>
        <w:kinsoku/>
        <w:wordWrap/>
        <w:overflowPunct/>
        <w:topLinePunct w:val="0"/>
        <w:autoSpaceDE/>
        <w:autoSpaceDN/>
        <w:bidi w:val="0"/>
        <w:adjustRightIn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eastAsia="zh-CN"/>
        </w:rPr>
        <w:t>九．</w:t>
      </w:r>
      <w:r>
        <w:rPr>
          <w:rFonts w:hint="eastAsia" w:ascii="宋体" w:hAnsi="宋体" w:eastAsia="宋体" w:cs="宋体"/>
          <w:b/>
          <w:bCs/>
          <w:color w:val="auto"/>
          <w:sz w:val="24"/>
          <w:szCs w:val="24"/>
          <w:highlight w:val="none"/>
        </w:rPr>
        <w:t>投标保证金：</w:t>
      </w:r>
      <w:r>
        <w:rPr>
          <w:rFonts w:hint="eastAsia" w:ascii="宋体" w:hAnsi="宋体" w:eastAsia="宋体" w:cs="宋体"/>
          <w:b/>
          <w:bCs/>
          <w:color w:val="auto"/>
          <w:sz w:val="24"/>
          <w:szCs w:val="24"/>
          <w:highlight w:val="none"/>
          <w:lang w:eastAsia="zh-CN"/>
        </w:rPr>
        <w:t>无</w:t>
      </w:r>
    </w:p>
    <w:p>
      <w:pPr>
        <w:keepNext w:val="0"/>
        <w:keepLines w:val="0"/>
        <w:pageBreakBefore w:val="0"/>
        <w:widowControl w:val="0"/>
        <w:kinsoku/>
        <w:wordWrap/>
        <w:overflowPunct/>
        <w:topLinePunct w:val="0"/>
        <w:autoSpaceDE/>
        <w:autoSpaceDN/>
        <w:bidi w:val="0"/>
        <w:adjustRightIn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十．公告期限：</w:t>
      </w:r>
      <w:r>
        <w:rPr>
          <w:rFonts w:hint="eastAsia" w:ascii="宋体" w:hAnsi="宋体" w:eastAsia="宋体" w:cs="宋体"/>
          <w:b w:val="0"/>
          <w:bCs w:val="0"/>
          <w:color w:val="auto"/>
          <w:sz w:val="24"/>
          <w:szCs w:val="24"/>
          <w:highlight w:val="none"/>
        </w:rPr>
        <w:t>5个工作日</w:t>
      </w:r>
      <w:bookmarkStart w:id="536" w:name="_GoBack"/>
      <w:bookmarkEnd w:id="536"/>
    </w:p>
    <w:p>
      <w:pPr>
        <w:keepNext w:val="0"/>
        <w:keepLines w:val="0"/>
        <w:pageBreakBefore w:val="0"/>
        <w:widowControl w:val="0"/>
        <w:kinsoku/>
        <w:wordWrap/>
        <w:overflowPunct/>
        <w:topLinePunct w:val="0"/>
        <w:autoSpaceDE/>
        <w:autoSpaceDN/>
        <w:bidi w:val="0"/>
        <w:adjustRightIn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十</w:t>
      </w:r>
      <w:r>
        <w:rPr>
          <w:rFonts w:hint="eastAsia" w:ascii="宋体" w:hAnsi="宋体" w:eastAsia="宋体" w:cs="宋体"/>
          <w:b/>
          <w:bCs/>
          <w:color w:val="auto"/>
          <w:sz w:val="24"/>
          <w:szCs w:val="24"/>
          <w:highlight w:val="none"/>
          <w:lang w:eastAsia="zh-CN"/>
        </w:rPr>
        <w:t>一</w:t>
      </w:r>
      <w:r>
        <w:rPr>
          <w:rFonts w:hint="eastAsia" w:ascii="宋体" w:hAnsi="宋体" w:eastAsia="宋体" w:cs="宋体"/>
          <w:b/>
          <w:bCs/>
          <w:color w:val="auto"/>
          <w:sz w:val="24"/>
          <w:szCs w:val="24"/>
          <w:highlight w:val="none"/>
        </w:rPr>
        <w:t>．联系方式：</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、采购代理机构名称：浙江五洲工程项目管理有限公司</w:t>
      </w:r>
    </w:p>
    <w:p>
      <w:pPr>
        <w:pStyle w:val="48"/>
        <w:spacing w:beforeAutospacing="0" w:afterAutospacing="0" w:line="360" w:lineRule="auto"/>
        <w:ind w:firstLine="480" w:firstLineChars="200"/>
        <w:rPr>
          <w:rStyle w:val="52"/>
          <w:rFonts w:hint="eastAsia" w:ascii="宋体" w:hAnsi="宋体" w:eastAsia="宋体" w:cs="宋体"/>
          <w:color w:val="auto"/>
          <w:szCs w:val="21"/>
          <w:highlight w:val="none"/>
          <w:lang w:val="en-US" w:eastAsia="zh-CN"/>
        </w:rPr>
      </w:pPr>
      <w:r>
        <w:rPr>
          <w:rFonts w:hint="eastAsia" w:ascii="宋体" w:hAnsi="宋体" w:eastAsia="宋体" w:cs="宋体"/>
          <w:color w:val="auto"/>
          <w:highlight w:val="none"/>
        </w:rPr>
        <w:t>联系人：</w:t>
      </w:r>
      <w:r>
        <w:rPr>
          <w:rFonts w:hint="eastAsia" w:ascii="宋体" w:hAnsi="宋体" w:eastAsia="宋体" w:cs="宋体"/>
          <w:color w:val="auto"/>
          <w:highlight w:val="none"/>
          <w:lang w:eastAsia="zh-CN"/>
        </w:rPr>
        <w:t>杨光彪</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联系电话：</w:t>
      </w:r>
      <w:r>
        <w:rPr>
          <w:rStyle w:val="52"/>
          <w:rFonts w:hint="eastAsia" w:ascii="宋体" w:hAnsi="宋体" w:eastAsia="宋体" w:cs="宋体"/>
          <w:color w:val="auto"/>
          <w:szCs w:val="21"/>
          <w:highlight w:val="none"/>
          <w:lang w:val="en-US" w:eastAsia="zh-CN"/>
        </w:rPr>
        <w:t>18985937432</w:t>
      </w:r>
    </w:p>
    <w:p>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 xml:space="preserve">、采购人名称：绍兴市上虞杭州湾滨海新城投资开发建设有限公司  </w:t>
      </w:r>
      <w:r>
        <w:rPr>
          <w:rFonts w:hint="eastAsia" w:ascii="宋体" w:hAnsi="宋体" w:eastAsia="宋体" w:cs="宋体"/>
          <w:color w:val="auto"/>
          <w:sz w:val="24"/>
          <w:highlight w:val="none"/>
          <w:lang w:val="en-US" w:eastAsia="zh-CN"/>
        </w:rPr>
        <w:t xml:space="preserve"> </w:t>
      </w:r>
    </w:p>
    <w:p>
      <w:pPr>
        <w:pStyle w:val="48"/>
        <w:spacing w:beforeAutospacing="0" w:afterAutospacing="0" w:line="360" w:lineRule="auto"/>
        <w:ind w:firstLine="480" w:firstLineChars="200"/>
        <w:rPr>
          <w:rFonts w:hint="eastAsia" w:ascii="宋体" w:hAnsi="宋体" w:eastAsia="宋体" w:cs="宋体"/>
          <w:color w:val="auto"/>
          <w:highlight w:val="none"/>
          <w:lang w:eastAsia="zh-CN"/>
        </w:rPr>
      </w:pPr>
      <w:r>
        <w:rPr>
          <w:rFonts w:hint="eastAsia" w:ascii="宋体" w:hAnsi="宋体" w:eastAsia="宋体" w:cs="宋体"/>
          <w:color w:val="auto"/>
          <w:highlight w:val="none"/>
        </w:rPr>
        <w:t xml:space="preserve">联系人：陈林超 </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联系电话：0575-82893698</w:t>
      </w:r>
    </w:p>
    <w:p>
      <w:pPr>
        <w:adjustRightInd/>
        <w:spacing w:line="360" w:lineRule="auto"/>
        <w:jc w:val="center"/>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br w:type="page"/>
      </w:r>
      <w:bookmarkStart w:id="17" w:name="_Toc7202"/>
      <w:bookmarkStart w:id="18" w:name="_Toc23202"/>
      <w:r>
        <w:rPr>
          <w:rFonts w:hint="eastAsia" w:ascii="宋体" w:hAnsi="宋体" w:eastAsia="宋体" w:cs="宋体"/>
          <w:b/>
          <w:color w:val="auto"/>
          <w:sz w:val="36"/>
          <w:szCs w:val="20"/>
          <w:highlight w:val="none"/>
        </w:rPr>
        <w:t>第二部分</w:t>
      </w:r>
      <w:bookmarkEnd w:id="10"/>
      <w:r>
        <w:rPr>
          <w:rFonts w:hint="eastAsia" w:ascii="宋体" w:hAnsi="宋体" w:eastAsia="宋体" w:cs="宋体"/>
          <w:b/>
          <w:color w:val="auto"/>
          <w:sz w:val="36"/>
          <w:szCs w:val="20"/>
          <w:highlight w:val="none"/>
          <w:lang w:val="en-US" w:eastAsia="zh-CN"/>
        </w:rPr>
        <w:t xml:space="preserve">  投标</w:t>
      </w:r>
      <w:r>
        <w:rPr>
          <w:rFonts w:hint="eastAsia" w:ascii="宋体" w:hAnsi="宋体" w:eastAsia="宋体" w:cs="宋体"/>
          <w:b/>
          <w:color w:val="auto"/>
          <w:sz w:val="36"/>
          <w:szCs w:val="20"/>
          <w:highlight w:val="none"/>
        </w:rPr>
        <w:t>须知</w:t>
      </w:r>
      <w:bookmarkEnd w:id="11"/>
      <w:bookmarkEnd w:id="17"/>
      <w:bookmarkEnd w:id="18"/>
    </w:p>
    <w:p>
      <w:pPr>
        <w:keepNext w:val="0"/>
        <w:keepLines w:val="0"/>
        <w:pageBreakBefore w:val="0"/>
        <w:widowControl/>
        <w:kinsoku/>
        <w:wordWrap/>
        <w:overflowPunct/>
        <w:topLinePunct w:val="0"/>
        <w:autoSpaceDE/>
        <w:autoSpaceDN/>
        <w:bidi w:val="0"/>
        <w:adjustRightInd w:val="0"/>
        <w:snapToGrid w:val="0"/>
        <w:spacing w:line="360" w:lineRule="auto"/>
        <w:ind w:right="0" w:firstLine="0" w:firstLineChars="0"/>
        <w:jc w:val="center"/>
        <w:textAlignment w:val="auto"/>
        <w:outlineLvl w:val="1"/>
        <w:rPr>
          <w:rFonts w:hint="eastAsia" w:ascii="宋体" w:hAnsi="宋体" w:eastAsia="宋体" w:cs="宋体"/>
          <w:b/>
          <w:snapToGrid w:val="0"/>
          <w:color w:val="auto"/>
          <w:kern w:val="0"/>
          <w:sz w:val="32"/>
          <w:szCs w:val="32"/>
          <w:highlight w:val="none"/>
        </w:rPr>
      </w:pPr>
      <w:bookmarkStart w:id="19" w:name="_Toc18512"/>
      <w:r>
        <w:rPr>
          <w:rFonts w:hint="eastAsia" w:ascii="宋体" w:hAnsi="宋体" w:eastAsia="宋体" w:cs="宋体"/>
          <w:b/>
          <w:snapToGrid w:val="0"/>
          <w:color w:val="auto"/>
          <w:kern w:val="0"/>
          <w:sz w:val="30"/>
          <w:szCs w:val="30"/>
          <w:highlight w:val="none"/>
        </w:rPr>
        <w:t>前附表</w:t>
      </w:r>
      <w:bookmarkEnd w:id="19"/>
    </w:p>
    <w:tbl>
      <w:tblPr>
        <w:tblStyle w:val="32"/>
        <w:tblW w:w="9325"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648"/>
        <w:gridCol w:w="1995"/>
        <w:gridCol w:w="6682"/>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567" w:hRule="atLeast"/>
          <w:tblHeader/>
          <w:jc w:val="center"/>
        </w:trPr>
        <w:tc>
          <w:tcPr>
            <w:tcW w:w="648"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jc w:val="center"/>
              <w:textAlignment w:val="auto"/>
              <w:rPr>
                <w:rFonts w:hint="eastAsia" w:ascii="宋体" w:hAnsi="宋体" w:eastAsia="宋体" w:cs="宋体"/>
                <w:b/>
                <w:bCs/>
                <w:snapToGrid w:val="0"/>
                <w:color w:val="auto"/>
                <w:kern w:val="0"/>
                <w:sz w:val="24"/>
                <w:szCs w:val="24"/>
                <w:highlight w:val="none"/>
              </w:rPr>
            </w:pPr>
            <w:r>
              <w:rPr>
                <w:rFonts w:hint="eastAsia" w:ascii="宋体" w:hAnsi="宋体" w:eastAsia="宋体" w:cs="宋体"/>
                <w:b/>
                <w:bCs/>
                <w:snapToGrid w:val="0"/>
                <w:color w:val="auto"/>
                <w:kern w:val="0"/>
                <w:sz w:val="24"/>
                <w:szCs w:val="24"/>
                <w:highlight w:val="none"/>
              </w:rPr>
              <w:t>序号</w:t>
            </w:r>
          </w:p>
        </w:tc>
        <w:tc>
          <w:tcPr>
            <w:tcW w:w="1995"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jc w:val="center"/>
              <w:textAlignment w:val="auto"/>
              <w:rPr>
                <w:rFonts w:hint="eastAsia" w:ascii="宋体" w:hAnsi="宋体" w:eastAsia="宋体" w:cs="宋体"/>
                <w:b/>
                <w:bCs/>
                <w:snapToGrid w:val="0"/>
                <w:color w:val="auto"/>
                <w:kern w:val="0"/>
                <w:sz w:val="24"/>
                <w:szCs w:val="24"/>
                <w:highlight w:val="none"/>
              </w:rPr>
            </w:pPr>
            <w:r>
              <w:rPr>
                <w:rFonts w:hint="eastAsia" w:ascii="宋体" w:hAnsi="宋体" w:eastAsia="宋体" w:cs="宋体"/>
                <w:b/>
                <w:bCs/>
                <w:snapToGrid w:val="0"/>
                <w:color w:val="auto"/>
                <w:kern w:val="0"/>
                <w:sz w:val="24"/>
                <w:szCs w:val="24"/>
                <w:highlight w:val="none"/>
              </w:rPr>
              <w:t>项目</w:t>
            </w:r>
          </w:p>
        </w:tc>
        <w:tc>
          <w:tcPr>
            <w:tcW w:w="6682"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jc w:val="center"/>
              <w:textAlignment w:val="auto"/>
              <w:rPr>
                <w:rFonts w:hint="eastAsia" w:ascii="宋体" w:hAnsi="宋体" w:eastAsia="宋体" w:cs="宋体"/>
                <w:b/>
                <w:bCs/>
                <w:snapToGrid w:val="0"/>
                <w:color w:val="auto"/>
                <w:kern w:val="0"/>
                <w:sz w:val="24"/>
                <w:szCs w:val="24"/>
                <w:highlight w:val="none"/>
              </w:rPr>
            </w:pPr>
            <w:r>
              <w:rPr>
                <w:rFonts w:hint="eastAsia" w:ascii="宋体" w:hAnsi="宋体" w:eastAsia="宋体" w:cs="宋体"/>
                <w:b/>
                <w:bCs/>
                <w:snapToGrid w:val="0"/>
                <w:color w:val="auto"/>
                <w:kern w:val="0"/>
                <w:sz w:val="24"/>
                <w:szCs w:val="24"/>
                <w:highlight w:val="none"/>
              </w:rPr>
              <w:t>内容</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jc w:val="center"/>
              <w:textAlignment w:val="auto"/>
              <w:rPr>
                <w:rFonts w:hint="eastAsia" w:ascii="宋体" w:hAnsi="宋体" w:eastAsia="宋体" w:cs="宋体"/>
                <w:snapToGrid w:val="0"/>
                <w:color w:val="auto"/>
                <w:kern w:val="0"/>
                <w:sz w:val="24"/>
                <w:szCs w:val="24"/>
                <w:highlight w:val="none"/>
                <w:lang w:val="en-US" w:eastAsia="zh-CN" w:bidi="ar-SA"/>
              </w:rPr>
            </w:pPr>
            <w:r>
              <w:rPr>
                <w:rFonts w:hint="eastAsia" w:ascii="宋体" w:hAnsi="宋体" w:eastAsia="宋体" w:cs="宋体"/>
                <w:snapToGrid w:val="0"/>
                <w:color w:val="auto"/>
                <w:kern w:val="0"/>
                <w:sz w:val="24"/>
                <w:szCs w:val="24"/>
                <w:highlight w:val="none"/>
              </w:rPr>
              <w:t>1</w:t>
            </w:r>
          </w:p>
        </w:tc>
        <w:tc>
          <w:tcPr>
            <w:tcW w:w="1995"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jc w:val="center"/>
              <w:textAlignment w:val="auto"/>
              <w:rPr>
                <w:rFonts w:hint="eastAsia" w:ascii="宋体" w:hAnsi="宋体" w:eastAsia="宋体" w:cs="宋体"/>
                <w:snapToGrid w:val="0"/>
                <w:color w:val="auto"/>
                <w:kern w:val="0"/>
                <w:sz w:val="24"/>
                <w:szCs w:val="24"/>
                <w:highlight w:val="none"/>
              </w:rPr>
            </w:pPr>
            <w:r>
              <w:rPr>
                <w:rFonts w:hint="eastAsia" w:ascii="宋体" w:hAnsi="宋体" w:eastAsia="宋体" w:cs="宋体"/>
                <w:snapToGrid w:val="0"/>
                <w:color w:val="auto"/>
                <w:kern w:val="0"/>
                <w:sz w:val="24"/>
                <w:szCs w:val="24"/>
                <w:highlight w:val="none"/>
              </w:rPr>
              <w:t>项目名称</w:t>
            </w:r>
          </w:p>
        </w:tc>
        <w:tc>
          <w:tcPr>
            <w:tcW w:w="6682"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b w:val="0"/>
                <w:bCs w:val="0"/>
                <w:snapToGrid w:val="0"/>
                <w:color w:val="auto"/>
                <w:kern w:val="0"/>
                <w:sz w:val="24"/>
                <w:szCs w:val="24"/>
                <w:highlight w:val="none"/>
              </w:rPr>
            </w:pPr>
            <w:r>
              <w:rPr>
                <w:rFonts w:hint="eastAsia" w:ascii="宋体" w:hAnsi="宋体" w:eastAsia="宋体" w:cs="宋体"/>
                <w:b w:val="0"/>
                <w:bCs w:val="0"/>
                <w:snapToGrid w:val="0"/>
                <w:color w:val="auto"/>
                <w:kern w:val="0"/>
                <w:sz w:val="24"/>
                <w:szCs w:val="24"/>
                <w:highlight w:val="none"/>
                <w:lang w:eastAsia="zh-CN"/>
              </w:rPr>
              <w:t>浙大邵逸夫医院绍兴院区医用纯水系统采购及安装项目</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PrEx>
        <w:trPr>
          <w:trHeight w:val="567" w:hRule="atLeast"/>
          <w:jc w:val="center"/>
        </w:trPr>
        <w:tc>
          <w:tcPr>
            <w:tcW w:w="648"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jc w:val="center"/>
              <w:textAlignment w:val="auto"/>
              <w:rPr>
                <w:rFonts w:hint="eastAsia" w:ascii="宋体" w:hAnsi="宋体" w:eastAsia="宋体" w:cs="宋体"/>
                <w:snapToGrid w:val="0"/>
                <w:color w:val="auto"/>
                <w:kern w:val="0"/>
                <w:sz w:val="24"/>
                <w:szCs w:val="24"/>
                <w:highlight w:val="none"/>
                <w:lang w:val="en-US" w:eastAsia="zh-CN" w:bidi="ar-SA"/>
              </w:rPr>
            </w:pPr>
            <w:r>
              <w:rPr>
                <w:rFonts w:hint="eastAsia" w:ascii="宋体" w:hAnsi="宋体" w:eastAsia="宋体" w:cs="宋体"/>
                <w:snapToGrid w:val="0"/>
                <w:color w:val="auto"/>
                <w:kern w:val="0"/>
                <w:sz w:val="24"/>
                <w:szCs w:val="24"/>
                <w:highlight w:val="none"/>
              </w:rPr>
              <w:t>2</w:t>
            </w:r>
          </w:p>
        </w:tc>
        <w:tc>
          <w:tcPr>
            <w:tcW w:w="1995"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jc w:val="center"/>
              <w:textAlignment w:val="auto"/>
              <w:rPr>
                <w:rFonts w:hint="eastAsia" w:ascii="宋体" w:hAnsi="宋体" w:eastAsia="宋体" w:cs="宋体"/>
                <w:snapToGrid w:val="0"/>
                <w:color w:val="auto"/>
                <w:kern w:val="0"/>
                <w:sz w:val="24"/>
                <w:szCs w:val="24"/>
                <w:highlight w:val="none"/>
              </w:rPr>
            </w:pPr>
            <w:r>
              <w:rPr>
                <w:rFonts w:hint="eastAsia" w:ascii="宋体" w:hAnsi="宋体" w:eastAsia="宋体" w:cs="宋体"/>
                <w:snapToGrid w:val="0"/>
                <w:color w:val="auto"/>
                <w:kern w:val="0"/>
                <w:sz w:val="24"/>
                <w:szCs w:val="24"/>
                <w:highlight w:val="none"/>
              </w:rPr>
              <w:t>项目实施时间</w:t>
            </w:r>
          </w:p>
        </w:tc>
        <w:tc>
          <w:tcPr>
            <w:tcW w:w="6682" w:type="dxa"/>
            <w:noWrap w:val="0"/>
            <w:vAlign w:val="center"/>
          </w:tcPr>
          <w:p>
            <w:pPr>
              <w:pStyle w:val="3"/>
              <w:keepLines w:val="0"/>
              <w:pageBreakBefore w:val="0"/>
              <w:widowControl w:val="0"/>
              <w:kinsoku/>
              <w:wordWrap w:val="0"/>
              <w:overflowPunct/>
              <w:topLinePunct w:val="0"/>
              <w:autoSpaceDE/>
              <w:autoSpaceDN/>
              <w:bidi w:val="0"/>
              <w:adjustRightInd/>
              <w:spacing w:line="360" w:lineRule="auto"/>
              <w:ind w:firstLine="480" w:firstLineChars="200"/>
              <w:textAlignment w:val="auto"/>
              <w:rPr>
                <w:rFonts w:hint="eastAsia" w:ascii="宋体" w:hAnsi="宋体" w:eastAsia="宋体" w:cs="宋体"/>
                <w:color w:val="auto"/>
                <w:sz w:val="24"/>
                <w:szCs w:val="24"/>
                <w:highlight w:val="none"/>
                <w:lang w:val="en-US"/>
              </w:rPr>
            </w:pPr>
            <w:bookmarkStart w:id="20" w:name="_Toc26119"/>
            <w:r>
              <w:rPr>
                <w:rFonts w:hint="eastAsia" w:ascii="宋体" w:hAnsi="宋体" w:eastAsia="宋体" w:cs="宋体"/>
                <w:b w:val="0"/>
                <w:bCs/>
                <w:sz w:val="24"/>
                <w:szCs w:val="24"/>
                <w:highlight w:val="none"/>
                <w:lang w:val="en-US" w:eastAsia="zh-CN"/>
              </w:rPr>
              <w:t>具备进场条件后</w:t>
            </w:r>
            <w:r>
              <w:rPr>
                <w:rFonts w:hint="eastAsia" w:cs="宋体"/>
                <w:b w:val="0"/>
                <w:bCs/>
                <w:sz w:val="24"/>
                <w:szCs w:val="24"/>
                <w:highlight w:val="none"/>
                <w:lang w:val="en-US" w:eastAsia="zh-CN"/>
              </w:rPr>
              <w:t>150</w:t>
            </w:r>
            <w:r>
              <w:rPr>
                <w:rFonts w:hint="eastAsia" w:ascii="宋体" w:hAnsi="宋体" w:eastAsia="宋体" w:cs="宋体"/>
                <w:b w:val="0"/>
                <w:bCs/>
                <w:sz w:val="24"/>
                <w:szCs w:val="24"/>
                <w:highlight w:val="none"/>
                <w:lang w:val="en-US" w:eastAsia="zh-CN"/>
              </w:rPr>
              <w:t>日历天实施完成，具体进度配合建安、装修及相关专业工程整体进度。本采购项目安装、调试完成并经竣工验收、试运行合格交付采购人使用后视为交货完毕。</w:t>
            </w:r>
            <w:bookmarkEnd w:id="20"/>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jc w:val="center"/>
              <w:textAlignment w:val="auto"/>
              <w:rPr>
                <w:rFonts w:hint="eastAsia" w:ascii="宋体" w:hAnsi="宋体" w:eastAsia="宋体" w:cs="宋体"/>
                <w:snapToGrid w:val="0"/>
                <w:color w:val="auto"/>
                <w:kern w:val="0"/>
                <w:sz w:val="24"/>
                <w:szCs w:val="24"/>
                <w:highlight w:val="none"/>
                <w:lang w:val="en-US" w:eastAsia="zh-CN" w:bidi="ar-SA"/>
              </w:rPr>
            </w:pPr>
            <w:r>
              <w:rPr>
                <w:rFonts w:hint="eastAsia" w:ascii="宋体" w:hAnsi="宋体" w:eastAsia="宋体" w:cs="宋体"/>
                <w:snapToGrid w:val="0"/>
                <w:color w:val="auto"/>
                <w:kern w:val="0"/>
                <w:sz w:val="24"/>
                <w:szCs w:val="24"/>
                <w:highlight w:val="none"/>
              </w:rPr>
              <w:t>3</w:t>
            </w:r>
          </w:p>
        </w:tc>
        <w:tc>
          <w:tcPr>
            <w:tcW w:w="1995"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jc w:val="center"/>
              <w:textAlignment w:val="auto"/>
              <w:rPr>
                <w:rFonts w:hint="eastAsia" w:ascii="宋体" w:hAnsi="宋体" w:eastAsia="宋体" w:cs="宋体"/>
                <w:b/>
                <w:snapToGrid w:val="0"/>
                <w:color w:val="auto"/>
                <w:kern w:val="0"/>
                <w:sz w:val="24"/>
                <w:szCs w:val="24"/>
                <w:highlight w:val="none"/>
              </w:rPr>
            </w:pPr>
            <w:r>
              <w:rPr>
                <w:rFonts w:hint="eastAsia" w:ascii="宋体" w:hAnsi="宋体" w:eastAsia="宋体" w:cs="宋体"/>
                <w:b w:val="0"/>
                <w:bCs/>
                <w:snapToGrid w:val="0"/>
                <w:color w:val="auto"/>
                <w:kern w:val="0"/>
                <w:sz w:val="24"/>
                <w:szCs w:val="24"/>
                <w:highlight w:val="none"/>
              </w:rPr>
              <w:t>最高限价</w:t>
            </w:r>
          </w:p>
        </w:tc>
        <w:tc>
          <w:tcPr>
            <w:tcW w:w="6682"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b w:val="0"/>
                <w:bCs w:val="0"/>
                <w:snapToGrid w:val="0"/>
                <w:color w:val="auto"/>
                <w:kern w:val="0"/>
                <w:sz w:val="24"/>
                <w:szCs w:val="24"/>
                <w:highlight w:val="none"/>
              </w:rPr>
            </w:pPr>
            <w:r>
              <w:rPr>
                <w:rFonts w:hint="eastAsia" w:ascii="宋体" w:hAnsi="宋体" w:eastAsia="宋体" w:cs="宋体"/>
                <w:b w:val="0"/>
                <w:bCs w:val="0"/>
                <w:color w:val="auto"/>
                <w:sz w:val="24"/>
                <w:szCs w:val="24"/>
                <w:highlight w:val="none"/>
              </w:rPr>
              <w:t>本项目最高限价人民币</w:t>
            </w:r>
            <w:r>
              <w:rPr>
                <w:rFonts w:hint="eastAsia" w:ascii="宋体" w:hAnsi="宋体" w:eastAsia="宋体" w:cs="宋体"/>
                <w:b w:val="0"/>
                <w:bCs w:val="0"/>
                <w:color w:val="auto"/>
                <w:sz w:val="24"/>
                <w:szCs w:val="24"/>
                <w:highlight w:val="none"/>
                <w:u w:val="single"/>
                <w:lang w:val="en-US" w:eastAsia="zh-CN"/>
              </w:rPr>
              <w:t xml:space="preserve"> </w:t>
            </w:r>
            <w:r>
              <w:rPr>
                <w:rFonts w:hint="eastAsia" w:cs="宋体"/>
                <w:b w:val="0"/>
                <w:bCs w:val="0"/>
                <w:color w:val="auto"/>
                <w:sz w:val="24"/>
                <w:szCs w:val="24"/>
                <w:highlight w:val="none"/>
                <w:u w:val="single"/>
                <w:lang w:val="en-US" w:eastAsia="zh-CN"/>
              </w:rPr>
              <w:t>783.83</w:t>
            </w:r>
            <w:r>
              <w:rPr>
                <w:rFonts w:hint="eastAsia" w:ascii="宋体" w:hAnsi="宋体" w:eastAsia="宋体" w:cs="宋体"/>
                <w:b w:val="0"/>
                <w:bCs w:val="0"/>
                <w:color w:val="auto"/>
                <w:sz w:val="24"/>
                <w:szCs w:val="24"/>
                <w:highlight w:val="none"/>
                <w:u w:val="single"/>
                <w:lang w:val="en-US" w:eastAsia="zh-CN"/>
              </w:rPr>
              <w:t xml:space="preserve"> </w:t>
            </w:r>
            <w:r>
              <w:rPr>
                <w:rFonts w:hint="eastAsia" w:ascii="宋体" w:hAnsi="宋体" w:eastAsia="宋体" w:cs="宋体"/>
                <w:b w:val="0"/>
                <w:bCs w:val="0"/>
                <w:color w:val="auto"/>
                <w:sz w:val="24"/>
                <w:szCs w:val="24"/>
                <w:highlight w:val="none"/>
              </w:rPr>
              <w:t>万元。</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jc w:val="center"/>
              <w:textAlignment w:val="auto"/>
              <w:rPr>
                <w:rFonts w:hint="default" w:ascii="宋体" w:hAnsi="宋体" w:eastAsia="宋体" w:cs="宋体"/>
                <w:snapToGrid w:val="0"/>
                <w:color w:val="auto"/>
                <w:kern w:val="0"/>
                <w:sz w:val="24"/>
                <w:szCs w:val="24"/>
                <w:highlight w:val="none"/>
                <w:lang w:val="en-US" w:eastAsia="zh-CN" w:bidi="ar-SA"/>
              </w:rPr>
            </w:pPr>
            <w:r>
              <w:rPr>
                <w:rFonts w:hint="eastAsia" w:eastAsia="宋体" w:cs="宋体"/>
                <w:snapToGrid w:val="0"/>
                <w:color w:val="auto"/>
                <w:kern w:val="0"/>
                <w:sz w:val="24"/>
                <w:szCs w:val="24"/>
                <w:highlight w:val="none"/>
                <w:lang w:val="en-US" w:eastAsia="zh-CN" w:bidi="ar-SA"/>
              </w:rPr>
              <w:t>4</w:t>
            </w:r>
          </w:p>
        </w:tc>
        <w:tc>
          <w:tcPr>
            <w:tcW w:w="1995"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jc w:val="center"/>
              <w:textAlignment w:val="auto"/>
              <w:rPr>
                <w:rFonts w:hint="eastAsia" w:ascii="宋体" w:hAnsi="宋体" w:eastAsia="宋体" w:cs="宋体"/>
                <w:snapToGrid w:val="0"/>
                <w:color w:val="auto"/>
                <w:kern w:val="0"/>
                <w:sz w:val="24"/>
                <w:szCs w:val="24"/>
                <w:highlight w:val="none"/>
              </w:rPr>
            </w:pPr>
            <w:r>
              <w:rPr>
                <w:rFonts w:hint="eastAsia" w:ascii="宋体" w:hAnsi="宋体" w:eastAsia="宋体" w:cs="宋体"/>
                <w:snapToGrid w:val="0"/>
                <w:color w:val="auto"/>
                <w:kern w:val="0"/>
                <w:sz w:val="24"/>
                <w:szCs w:val="24"/>
                <w:highlight w:val="none"/>
              </w:rPr>
              <w:t>资格审查方式</w:t>
            </w:r>
          </w:p>
        </w:tc>
        <w:tc>
          <w:tcPr>
            <w:tcW w:w="6682"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b w:val="0"/>
                <w:bCs w:val="0"/>
                <w:snapToGrid w:val="0"/>
                <w:color w:val="auto"/>
                <w:kern w:val="0"/>
                <w:sz w:val="24"/>
                <w:szCs w:val="24"/>
                <w:highlight w:val="none"/>
              </w:rPr>
            </w:pPr>
            <w:r>
              <w:rPr>
                <w:rFonts w:hint="eastAsia" w:ascii="宋体" w:hAnsi="宋体" w:eastAsia="宋体" w:cs="宋体"/>
                <w:b w:val="0"/>
                <w:bCs w:val="0"/>
                <w:snapToGrid w:val="0"/>
                <w:color w:val="auto"/>
                <w:kern w:val="0"/>
                <w:sz w:val="24"/>
                <w:szCs w:val="24"/>
                <w:highlight w:val="none"/>
              </w:rPr>
              <w:t>资格审查是指开标后，采购人或采购代理机构将依据法律法规和招标文件的规定对投标人的资格进行审查。</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jc w:val="center"/>
              <w:textAlignment w:val="auto"/>
              <w:rPr>
                <w:rFonts w:hint="eastAsia" w:ascii="宋体" w:hAnsi="宋体" w:eastAsia="宋体" w:cs="宋体"/>
                <w:snapToGrid w:val="0"/>
                <w:color w:val="auto"/>
                <w:kern w:val="0"/>
                <w:sz w:val="24"/>
                <w:szCs w:val="24"/>
                <w:highlight w:val="none"/>
                <w:lang w:val="en-US" w:eastAsia="zh-CN" w:bidi="ar-SA"/>
              </w:rPr>
            </w:pPr>
            <w:r>
              <w:rPr>
                <w:rFonts w:hint="eastAsia" w:ascii="宋体" w:hAnsi="宋体" w:eastAsia="宋体" w:cs="宋体"/>
                <w:snapToGrid w:val="0"/>
                <w:color w:val="auto"/>
                <w:kern w:val="0"/>
                <w:sz w:val="24"/>
                <w:szCs w:val="24"/>
                <w:highlight w:val="none"/>
                <w:lang w:val="en-US" w:eastAsia="zh-CN"/>
              </w:rPr>
              <w:t>5</w:t>
            </w:r>
          </w:p>
        </w:tc>
        <w:tc>
          <w:tcPr>
            <w:tcW w:w="1995"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jc w:val="center"/>
              <w:textAlignment w:val="auto"/>
              <w:rPr>
                <w:rFonts w:hint="eastAsia" w:ascii="宋体" w:hAnsi="宋体" w:eastAsia="宋体" w:cs="宋体"/>
                <w:snapToGrid w:val="0"/>
                <w:color w:val="auto"/>
                <w:kern w:val="0"/>
                <w:sz w:val="24"/>
                <w:szCs w:val="24"/>
                <w:highlight w:val="none"/>
              </w:rPr>
            </w:pPr>
            <w:r>
              <w:rPr>
                <w:rFonts w:hint="eastAsia" w:ascii="宋体" w:hAnsi="宋体" w:eastAsia="宋体" w:cs="宋体"/>
                <w:snapToGrid w:val="0"/>
                <w:color w:val="auto"/>
                <w:kern w:val="0"/>
                <w:sz w:val="24"/>
                <w:szCs w:val="24"/>
                <w:highlight w:val="none"/>
              </w:rPr>
              <w:t>踏勘现场</w:t>
            </w:r>
          </w:p>
        </w:tc>
        <w:tc>
          <w:tcPr>
            <w:tcW w:w="6682"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b w:val="0"/>
                <w:bCs w:val="0"/>
                <w:snapToGrid w:val="0"/>
                <w:color w:val="auto"/>
                <w:kern w:val="0"/>
                <w:sz w:val="24"/>
                <w:szCs w:val="24"/>
                <w:highlight w:val="none"/>
              </w:rPr>
            </w:pPr>
            <w:r>
              <w:rPr>
                <w:rFonts w:hint="eastAsia" w:ascii="宋体" w:hAnsi="宋体" w:eastAsia="宋体" w:cs="宋体"/>
                <w:b w:val="0"/>
                <w:bCs w:val="0"/>
                <w:snapToGrid w:val="0"/>
                <w:color w:val="auto"/>
                <w:kern w:val="0"/>
                <w:sz w:val="24"/>
                <w:szCs w:val="24"/>
                <w:highlight w:val="none"/>
              </w:rPr>
              <w:t>本项目不组织现场踏勘</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jc w:val="center"/>
              <w:textAlignment w:val="auto"/>
              <w:rPr>
                <w:rFonts w:hint="eastAsia" w:ascii="宋体" w:hAnsi="宋体" w:eastAsia="宋体" w:cs="宋体"/>
                <w:snapToGrid w:val="0"/>
                <w:color w:val="auto"/>
                <w:kern w:val="0"/>
                <w:sz w:val="24"/>
                <w:szCs w:val="24"/>
                <w:highlight w:val="none"/>
                <w:lang w:val="en-US" w:eastAsia="zh-CN" w:bidi="ar-SA"/>
              </w:rPr>
            </w:pPr>
            <w:r>
              <w:rPr>
                <w:rFonts w:hint="eastAsia" w:ascii="宋体" w:hAnsi="宋体" w:eastAsia="宋体" w:cs="宋体"/>
                <w:snapToGrid w:val="0"/>
                <w:color w:val="auto"/>
                <w:kern w:val="0"/>
                <w:sz w:val="24"/>
                <w:szCs w:val="24"/>
                <w:highlight w:val="none"/>
              </w:rPr>
              <w:t>6</w:t>
            </w:r>
          </w:p>
        </w:tc>
        <w:tc>
          <w:tcPr>
            <w:tcW w:w="1995"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jc w:val="center"/>
              <w:textAlignment w:val="auto"/>
              <w:rPr>
                <w:rFonts w:hint="eastAsia" w:ascii="宋体" w:hAnsi="宋体" w:eastAsia="宋体" w:cs="宋体"/>
                <w:snapToGrid w:val="0"/>
                <w:color w:val="auto"/>
                <w:kern w:val="0"/>
                <w:sz w:val="24"/>
                <w:szCs w:val="24"/>
                <w:highlight w:val="none"/>
              </w:rPr>
            </w:pPr>
            <w:r>
              <w:rPr>
                <w:rFonts w:hint="eastAsia" w:ascii="宋体" w:hAnsi="宋体" w:eastAsia="宋体" w:cs="宋体"/>
                <w:snapToGrid w:val="0"/>
                <w:color w:val="auto"/>
                <w:kern w:val="0"/>
                <w:sz w:val="24"/>
                <w:szCs w:val="24"/>
                <w:highlight w:val="none"/>
              </w:rPr>
              <w:t>询问</w:t>
            </w:r>
          </w:p>
        </w:tc>
        <w:tc>
          <w:tcPr>
            <w:tcW w:w="6682"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napToGrid w:val="0"/>
                <w:color w:val="auto"/>
                <w:kern w:val="0"/>
                <w:sz w:val="24"/>
                <w:szCs w:val="24"/>
                <w:highlight w:val="none"/>
              </w:rPr>
            </w:pPr>
            <w:r>
              <w:rPr>
                <w:rFonts w:hint="eastAsia" w:ascii="宋体" w:hAnsi="宋体" w:eastAsia="宋体" w:cs="宋体"/>
                <w:snapToGrid w:val="0"/>
                <w:color w:val="auto"/>
                <w:kern w:val="0"/>
                <w:sz w:val="24"/>
                <w:szCs w:val="24"/>
                <w:highlight w:val="none"/>
              </w:rPr>
              <w:t>供应商对采购活动事项有疑问的，可以向采购机构提出询问，采购人或者招标代理机构应当在3个工作日内对供应商依法提出的询问作出答复，但答复的内容不得涉及商业秘密。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jc w:val="center"/>
              <w:textAlignment w:val="auto"/>
              <w:rPr>
                <w:rFonts w:hint="eastAsia" w:ascii="宋体" w:hAnsi="宋体" w:eastAsia="宋体" w:cs="宋体"/>
                <w:snapToGrid w:val="0"/>
                <w:color w:val="auto"/>
                <w:kern w:val="0"/>
                <w:sz w:val="24"/>
                <w:szCs w:val="24"/>
                <w:highlight w:val="none"/>
                <w:lang w:val="en-US" w:eastAsia="zh-CN" w:bidi="ar-SA"/>
              </w:rPr>
            </w:pPr>
            <w:r>
              <w:rPr>
                <w:rFonts w:hint="eastAsia" w:ascii="宋体" w:hAnsi="宋体" w:eastAsia="宋体" w:cs="宋体"/>
                <w:snapToGrid w:val="0"/>
                <w:color w:val="auto"/>
                <w:kern w:val="0"/>
                <w:sz w:val="24"/>
                <w:szCs w:val="24"/>
                <w:highlight w:val="none"/>
              </w:rPr>
              <w:t>7</w:t>
            </w:r>
          </w:p>
        </w:tc>
        <w:tc>
          <w:tcPr>
            <w:tcW w:w="1995"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jc w:val="center"/>
              <w:textAlignment w:val="auto"/>
              <w:rPr>
                <w:rFonts w:hint="eastAsia" w:ascii="宋体" w:hAnsi="宋体" w:eastAsia="宋体" w:cs="宋体"/>
                <w:snapToGrid w:val="0"/>
                <w:color w:val="auto"/>
                <w:kern w:val="0"/>
                <w:sz w:val="24"/>
                <w:szCs w:val="24"/>
                <w:highlight w:val="none"/>
              </w:rPr>
            </w:pPr>
            <w:r>
              <w:rPr>
                <w:rFonts w:hint="eastAsia" w:ascii="宋体" w:hAnsi="宋体" w:eastAsia="宋体" w:cs="宋体"/>
                <w:snapToGrid w:val="0"/>
                <w:color w:val="auto"/>
                <w:kern w:val="0"/>
                <w:sz w:val="24"/>
                <w:szCs w:val="24"/>
                <w:highlight w:val="none"/>
              </w:rPr>
              <w:t>招标文件的澄清与修改</w:t>
            </w:r>
          </w:p>
        </w:tc>
        <w:tc>
          <w:tcPr>
            <w:tcW w:w="6682"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napToGrid w:val="0"/>
                <w:color w:val="auto"/>
                <w:kern w:val="0"/>
                <w:sz w:val="24"/>
                <w:szCs w:val="24"/>
                <w:highlight w:val="none"/>
              </w:rPr>
            </w:pPr>
            <w:r>
              <w:rPr>
                <w:rFonts w:hint="eastAsia" w:ascii="宋体" w:hAnsi="宋体" w:eastAsia="宋体" w:cs="宋体"/>
                <w:snapToGrid w:val="0"/>
                <w:color w:val="auto"/>
                <w:kern w:val="0"/>
                <w:sz w:val="24"/>
                <w:szCs w:val="24"/>
                <w:highlight w:val="none"/>
              </w:rPr>
              <w:t>招标采购单位可以对已发出的招标文件进行必要澄清或者修改，澄清或者修改的内容可能影响投标文件编制的，应当在招标文件要求提交投标文件截止时间十五日前，在招标公告发布的媒体上发布更正公告，该澄清或者修改的内容为招标文件的组成部分。本项目招标文件和补充（答疑、澄清）、修改文件等请自行登录浙江政府采购网或绍兴市上虞区公共资源交易中心网站查看。</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jc w:val="center"/>
              <w:textAlignment w:val="auto"/>
              <w:rPr>
                <w:rFonts w:hint="eastAsia" w:ascii="宋体" w:hAnsi="宋体" w:eastAsia="宋体" w:cs="宋体"/>
                <w:snapToGrid w:val="0"/>
                <w:color w:val="auto"/>
                <w:kern w:val="0"/>
                <w:sz w:val="24"/>
                <w:szCs w:val="24"/>
                <w:highlight w:val="none"/>
                <w:lang w:val="en-US" w:eastAsia="zh-CN" w:bidi="ar-SA"/>
              </w:rPr>
            </w:pPr>
            <w:r>
              <w:rPr>
                <w:rFonts w:hint="eastAsia" w:ascii="宋体" w:hAnsi="宋体" w:eastAsia="宋体" w:cs="宋体"/>
                <w:snapToGrid w:val="0"/>
                <w:color w:val="auto"/>
                <w:kern w:val="0"/>
                <w:sz w:val="24"/>
                <w:szCs w:val="24"/>
                <w:highlight w:val="none"/>
              </w:rPr>
              <w:t>8</w:t>
            </w:r>
          </w:p>
        </w:tc>
        <w:tc>
          <w:tcPr>
            <w:tcW w:w="1995"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jc w:val="center"/>
              <w:textAlignment w:val="auto"/>
              <w:rPr>
                <w:rFonts w:hint="eastAsia" w:ascii="宋体" w:hAnsi="宋体" w:eastAsia="宋体" w:cs="宋体"/>
                <w:snapToGrid w:val="0"/>
                <w:color w:val="auto"/>
                <w:kern w:val="0"/>
                <w:sz w:val="24"/>
                <w:szCs w:val="24"/>
                <w:highlight w:val="none"/>
              </w:rPr>
            </w:pPr>
            <w:r>
              <w:rPr>
                <w:rFonts w:hint="eastAsia" w:ascii="宋体" w:hAnsi="宋体" w:eastAsia="宋体" w:cs="宋体"/>
                <w:snapToGrid w:val="0"/>
                <w:color w:val="auto"/>
                <w:kern w:val="0"/>
                <w:sz w:val="24"/>
                <w:szCs w:val="24"/>
                <w:highlight w:val="none"/>
              </w:rPr>
              <w:t>投标文件组成</w:t>
            </w:r>
          </w:p>
        </w:tc>
        <w:tc>
          <w:tcPr>
            <w:tcW w:w="6682"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napToGrid w:val="0"/>
                <w:color w:val="auto"/>
                <w:kern w:val="0"/>
                <w:sz w:val="24"/>
                <w:szCs w:val="24"/>
                <w:highlight w:val="none"/>
              </w:rPr>
            </w:pPr>
            <w:r>
              <w:rPr>
                <w:rFonts w:hint="eastAsia" w:ascii="宋体" w:hAnsi="宋体" w:eastAsia="宋体" w:cs="宋体"/>
                <w:snapToGrid w:val="0"/>
                <w:color w:val="auto"/>
                <w:kern w:val="0"/>
                <w:sz w:val="24"/>
                <w:szCs w:val="24"/>
                <w:highlight w:val="none"/>
              </w:rPr>
              <w:t>投标人向采购人递交的投标文件由资格文件、商务技术文件、报价文件三部分组成。</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jc w:val="center"/>
              <w:textAlignment w:val="auto"/>
              <w:rPr>
                <w:rFonts w:hint="eastAsia" w:ascii="宋体" w:hAnsi="宋体" w:eastAsia="宋体" w:cs="宋体"/>
                <w:snapToGrid w:val="0"/>
                <w:color w:val="auto"/>
                <w:kern w:val="0"/>
                <w:sz w:val="24"/>
                <w:szCs w:val="24"/>
                <w:highlight w:val="none"/>
                <w:lang w:val="en-US" w:eastAsia="zh-CN" w:bidi="ar-SA"/>
              </w:rPr>
            </w:pPr>
            <w:r>
              <w:rPr>
                <w:rFonts w:hint="eastAsia" w:ascii="宋体" w:hAnsi="宋体" w:eastAsia="宋体" w:cs="宋体"/>
                <w:snapToGrid w:val="0"/>
                <w:color w:val="auto"/>
                <w:kern w:val="0"/>
                <w:sz w:val="24"/>
                <w:szCs w:val="24"/>
                <w:highlight w:val="none"/>
              </w:rPr>
              <w:t>9</w:t>
            </w:r>
          </w:p>
        </w:tc>
        <w:tc>
          <w:tcPr>
            <w:tcW w:w="1995"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jc w:val="center"/>
              <w:textAlignment w:val="auto"/>
              <w:rPr>
                <w:rFonts w:hint="eastAsia" w:ascii="宋体" w:hAnsi="宋体" w:eastAsia="宋体" w:cs="宋体"/>
                <w:snapToGrid w:val="0"/>
                <w:color w:val="auto"/>
                <w:kern w:val="0"/>
                <w:sz w:val="24"/>
                <w:szCs w:val="24"/>
                <w:highlight w:val="none"/>
              </w:rPr>
            </w:pPr>
            <w:r>
              <w:rPr>
                <w:rFonts w:hint="eastAsia" w:ascii="宋体" w:hAnsi="宋体" w:eastAsia="宋体" w:cs="宋体"/>
                <w:snapToGrid w:val="0"/>
                <w:color w:val="auto"/>
                <w:kern w:val="0"/>
                <w:sz w:val="24"/>
                <w:szCs w:val="24"/>
                <w:highlight w:val="none"/>
              </w:rPr>
              <w:t>评标办法</w:t>
            </w:r>
          </w:p>
        </w:tc>
        <w:tc>
          <w:tcPr>
            <w:tcW w:w="6682"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napToGrid w:val="0"/>
                <w:color w:val="auto"/>
                <w:kern w:val="0"/>
                <w:sz w:val="24"/>
                <w:szCs w:val="24"/>
                <w:highlight w:val="none"/>
              </w:rPr>
            </w:pPr>
            <w:r>
              <w:rPr>
                <w:rFonts w:hint="eastAsia" w:ascii="宋体" w:hAnsi="宋体" w:eastAsia="宋体" w:cs="宋体"/>
                <w:snapToGrid w:val="0"/>
                <w:color w:val="auto"/>
                <w:kern w:val="0"/>
                <w:sz w:val="24"/>
                <w:szCs w:val="24"/>
                <w:highlight w:val="none"/>
              </w:rPr>
              <w:t>综合评分法</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jc w:val="center"/>
              <w:textAlignment w:val="auto"/>
              <w:rPr>
                <w:rFonts w:hint="eastAsia" w:ascii="宋体" w:hAnsi="宋体" w:eastAsia="宋体" w:cs="宋体"/>
                <w:snapToGrid w:val="0"/>
                <w:color w:val="auto"/>
                <w:kern w:val="0"/>
                <w:sz w:val="24"/>
                <w:szCs w:val="24"/>
                <w:highlight w:val="none"/>
                <w:lang w:val="en-US" w:eastAsia="zh-CN" w:bidi="ar-SA"/>
              </w:rPr>
            </w:pPr>
            <w:r>
              <w:rPr>
                <w:rFonts w:hint="eastAsia" w:ascii="宋体" w:hAnsi="宋体" w:eastAsia="宋体" w:cs="宋体"/>
                <w:snapToGrid w:val="0"/>
                <w:color w:val="auto"/>
                <w:kern w:val="0"/>
                <w:sz w:val="24"/>
                <w:szCs w:val="24"/>
                <w:highlight w:val="none"/>
              </w:rPr>
              <w:t>10</w:t>
            </w:r>
          </w:p>
        </w:tc>
        <w:tc>
          <w:tcPr>
            <w:tcW w:w="1995"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jc w:val="center"/>
              <w:textAlignment w:val="auto"/>
              <w:rPr>
                <w:rFonts w:hint="eastAsia" w:ascii="宋体" w:hAnsi="宋体" w:eastAsia="宋体" w:cs="宋体"/>
                <w:snapToGrid w:val="0"/>
                <w:color w:val="auto"/>
                <w:kern w:val="0"/>
                <w:sz w:val="24"/>
                <w:szCs w:val="24"/>
                <w:highlight w:val="none"/>
              </w:rPr>
            </w:pPr>
            <w:r>
              <w:rPr>
                <w:rFonts w:hint="eastAsia" w:ascii="宋体" w:hAnsi="宋体" w:eastAsia="宋体" w:cs="宋体"/>
                <w:snapToGrid w:val="0"/>
                <w:color w:val="auto"/>
                <w:kern w:val="0"/>
                <w:sz w:val="24"/>
                <w:szCs w:val="24"/>
                <w:highlight w:val="none"/>
              </w:rPr>
              <w:t>投标文件递交地址及截止时间</w:t>
            </w:r>
          </w:p>
        </w:tc>
        <w:tc>
          <w:tcPr>
            <w:tcW w:w="6682"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snapToGrid w:val="0"/>
                <w:color w:val="auto"/>
                <w:kern w:val="0"/>
                <w:sz w:val="24"/>
                <w:szCs w:val="24"/>
                <w:highlight w:val="none"/>
              </w:rPr>
              <w:t>详见招标公告</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jc w:val="center"/>
              <w:textAlignment w:val="auto"/>
              <w:rPr>
                <w:rFonts w:hint="eastAsia" w:ascii="宋体" w:hAnsi="宋体" w:eastAsia="宋体" w:cs="宋体"/>
                <w:snapToGrid w:val="0"/>
                <w:color w:val="auto"/>
                <w:kern w:val="0"/>
                <w:sz w:val="24"/>
                <w:szCs w:val="24"/>
                <w:highlight w:val="none"/>
                <w:lang w:val="en-US" w:eastAsia="zh-CN" w:bidi="ar-SA"/>
              </w:rPr>
            </w:pPr>
            <w:r>
              <w:rPr>
                <w:rFonts w:hint="eastAsia" w:ascii="宋体" w:hAnsi="宋体" w:eastAsia="宋体" w:cs="宋体"/>
                <w:snapToGrid w:val="0"/>
                <w:color w:val="auto"/>
                <w:kern w:val="0"/>
                <w:sz w:val="24"/>
                <w:szCs w:val="24"/>
                <w:highlight w:val="none"/>
              </w:rPr>
              <w:t>11</w:t>
            </w:r>
          </w:p>
        </w:tc>
        <w:tc>
          <w:tcPr>
            <w:tcW w:w="1995"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jc w:val="center"/>
              <w:textAlignment w:val="auto"/>
              <w:rPr>
                <w:rFonts w:hint="eastAsia" w:ascii="宋体" w:hAnsi="宋体" w:eastAsia="宋体" w:cs="宋体"/>
                <w:snapToGrid w:val="0"/>
                <w:color w:val="auto"/>
                <w:kern w:val="0"/>
                <w:sz w:val="24"/>
                <w:szCs w:val="24"/>
                <w:highlight w:val="none"/>
              </w:rPr>
            </w:pPr>
            <w:r>
              <w:rPr>
                <w:rFonts w:hint="eastAsia" w:ascii="宋体" w:hAnsi="宋体" w:eastAsia="宋体" w:cs="宋体"/>
                <w:snapToGrid w:val="0"/>
                <w:color w:val="auto"/>
                <w:kern w:val="0"/>
                <w:sz w:val="24"/>
                <w:szCs w:val="24"/>
                <w:highlight w:val="none"/>
              </w:rPr>
              <w:t>开标时间、地点</w:t>
            </w:r>
          </w:p>
        </w:tc>
        <w:tc>
          <w:tcPr>
            <w:tcW w:w="6682"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napToGrid w:val="0"/>
                <w:color w:val="auto"/>
                <w:kern w:val="0"/>
                <w:sz w:val="24"/>
                <w:szCs w:val="24"/>
                <w:highlight w:val="none"/>
              </w:rPr>
            </w:pPr>
            <w:r>
              <w:rPr>
                <w:rFonts w:hint="eastAsia" w:ascii="宋体" w:hAnsi="宋体" w:eastAsia="宋体" w:cs="宋体"/>
                <w:snapToGrid w:val="0"/>
                <w:color w:val="auto"/>
                <w:kern w:val="0"/>
                <w:sz w:val="24"/>
                <w:szCs w:val="24"/>
                <w:highlight w:val="none"/>
              </w:rPr>
              <w:t>开标时间：</w:t>
            </w:r>
            <w:r>
              <w:rPr>
                <w:rFonts w:hint="eastAsia" w:ascii="宋体" w:hAnsi="宋体" w:eastAsia="宋体" w:cs="宋体"/>
                <w:color w:val="auto"/>
                <w:kern w:val="0"/>
                <w:sz w:val="24"/>
                <w:szCs w:val="24"/>
                <w:highlight w:val="none"/>
              </w:rPr>
              <w:t>详见招标公告</w:t>
            </w:r>
          </w:p>
          <w:p>
            <w:pPr>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snapToGrid w:val="0"/>
                <w:color w:val="auto"/>
                <w:kern w:val="0"/>
                <w:sz w:val="24"/>
                <w:szCs w:val="24"/>
                <w:highlight w:val="none"/>
              </w:rPr>
              <w:t>开标地点：</w:t>
            </w:r>
            <w:r>
              <w:rPr>
                <w:rFonts w:hint="eastAsia" w:ascii="宋体" w:hAnsi="宋体" w:eastAsia="宋体" w:cs="宋体"/>
                <w:color w:val="auto"/>
                <w:kern w:val="0"/>
                <w:sz w:val="24"/>
                <w:szCs w:val="24"/>
                <w:highlight w:val="none"/>
              </w:rPr>
              <w:t>详见招标公告</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jc w:val="center"/>
              <w:textAlignment w:val="auto"/>
              <w:rPr>
                <w:rFonts w:hint="eastAsia" w:ascii="宋体" w:hAnsi="宋体" w:eastAsia="宋体" w:cs="宋体"/>
                <w:snapToGrid w:val="0"/>
                <w:color w:val="auto"/>
                <w:kern w:val="0"/>
                <w:sz w:val="24"/>
                <w:szCs w:val="24"/>
                <w:highlight w:val="none"/>
                <w:lang w:val="en-US" w:eastAsia="zh-CN" w:bidi="ar-SA"/>
              </w:rPr>
            </w:pPr>
            <w:r>
              <w:rPr>
                <w:rFonts w:hint="eastAsia" w:ascii="宋体" w:hAnsi="宋体" w:eastAsia="宋体" w:cs="宋体"/>
                <w:snapToGrid w:val="0"/>
                <w:color w:val="auto"/>
                <w:kern w:val="0"/>
                <w:sz w:val="24"/>
                <w:szCs w:val="24"/>
                <w:highlight w:val="none"/>
              </w:rPr>
              <w:t>12</w:t>
            </w:r>
          </w:p>
        </w:tc>
        <w:tc>
          <w:tcPr>
            <w:tcW w:w="1995"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jc w:val="center"/>
              <w:textAlignment w:val="auto"/>
              <w:rPr>
                <w:rFonts w:hint="eastAsia" w:ascii="宋体" w:hAnsi="宋体" w:eastAsia="宋体" w:cs="宋体"/>
                <w:snapToGrid w:val="0"/>
                <w:color w:val="auto"/>
                <w:kern w:val="0"/>
                <w:sz w:val="24"/>
                <w:szCs w:val="24"/>
                <w:highlight w:val="none"/>
              </w:rPr>
            </w:pPr>
            <w:r>
              <w:rPr>
                <w:rFonts w:hint="eastAsia" w:ascii="宋体" w:hAnsi="宋体" w:eastAsia="宋体" w:cs="宋体"/>
                <w:snapToGrid w:val="0"/>
                <w:color w:val="auto"/>
                <w:kern w:val="0"/>
                <w:sz w:val="24"/>
                <w:szCs w:val="24"/>
                <w:highlight w:val="none"/>
              </w:rPr>
              <w:t>投标有效期</w:t>
            </w:r>
          </w:p>
        </w:tc>
        <w:tc>
          <w:tcPr>
            <w:tcW w:w="6682"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napToGrid w:val="0"/>
                <w:color w:val="auto"/>
                <w:kern w:val="0"/>
                <w:sz w:val="24"/>
                <w:szCs w:val="24"/>
                <w:highlight w:val="none"/>
              </w:rPr>
            </w:pPr>
            <w:r>
              <w:rPr>
                <w:rFonts w:hint="eastAsia" w:ascii="宋体" w:hAnsi="宋体" w:eastAsia="宋体" w:cs="宋体"/>
                <w:snapToGrid w:val="0"/>
                <w:color w:val="auto"/>
                <w:kern w:val="0"/>
                <w:sz w:val="24"/>
                <w:szCs w:val="24"/>
                <w:highlight w:val="none"/>
              </w:rPr>
              <w:t>投标有效期为从提交投标文件的截止之日起90天。投标人的投标文件中承诺的投标有效期少于招标文件中载明的投标有效期的，投标无效。</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jc w:val="center"/>
              <w:textAlignment w:val="auto"/>
              <w:rPr>
                <w:rFonts w:hint="eastAsia" w:ascii="宋体" w:hAnsi="宋体" w:eastAsia="宋体" w:cs="宋体"/>
                <w:snapToGrid w:val="0"/>
                <w:color w:val="auto"/>
                <w:kern w:val="0"/>
                <w:sz w:val="24"/>
                <w:szCs w:val="24"/>
                <w:highlight w:val="none"/>
                <w:lang w:val="en-US" w:eastAsia="zh-CN" w:bidi="ar-SA"/>
              </w:rPr>
            </w:pPr>
            <w:r>
              <w:rPr>
                <w:rFonts w:hint="eastAsia" w:ascii="宋体" w:hAnsi="宋体" w:eastAsia="宋体" w:cs="宋体"/>
                <w:snapToGrid w:val="0"/>
                <w:color w:val="auto"/>
                <w:kern w:val="0"/>
                <w:sz w:val="24"/>
                <w:szCs w:val="24"/>
                <w:highlight w:val="none"/>
              </w:rPr>
              <w:t>13</w:t>
            </w:r>
          </w:p>
        </w:tc>
        <w:tc>
          <w:tcPr>
            <w:tcW w:w="1995"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jc w:val="center"/>
              <w:textAlignment w:val="auto"/>
              <w:rPr>
                <w:rFonts w:hint="eastAsia" w:ascii="宋体" w:hAnsi="宋体" w:eastAsia="宋体" w:cs="宋体"/>
                <w:snapToGrid w:val="0"/>
                <w:color w:val="auto"/>
                <w:kern w:val="0"/>
                <w:sz w:val="24"/>
                <w:szCs w:val="24"/>
                <w:highlight w:val="none"/>
              </w:rPr>
            </w:pPr>
            <w:r>
              <w:rPr>
                <w:rFonts w:hint="eastAsia" w:ascii="宋体" w:hAnsi="宋体" w:eastAsia="宋体" w:cs="宋体"/>
                <w:snapToGrid w:val="0"/>
                <w:color w:val="auto"/>
                <w:kern w:val="0"/>
                <w:sz w:val="24"/>
                <w:szCs w:val="24"/>
                <w:highlight w:val="none"/>
              </w:rPr>
              <w:t>履约保证金</w:t>
            </w:r>
          </w:p>
        </w:tc>
        <w:tc>
          <w:tcPr>
            <w:tcW w:w="6682" w:type="dxa"/>
            <w:noWrap w:val="0"/>
            <w:vAlign w:val="center"/>
          </w:tcPr>
          <w:p>
            <w:pPr>
              <w:pStyle w:val="14"/>
              <w:keepLines w:val="0"/>
              <w:pageBreakBefore w:val="0"/>
              <w:widowControl w:val="0"/>
              <w:kinsoku/>
              <w:wordWrap w:val="0"/>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签约</w:t>
            </w:r>
            <w:r>
              <w:rPr>
                <w:rFonts w:hint="eastAsia" w:ascii="宋体" w:hAnsi="宋体" w:eastAsia="宋体" w:cs="宋体"/>
                <w:color w:val="auto"/>
                <w:kern w:val="0"/>
                <w:sz w:val="24"/>
                <w:szCs w:val="24"/>
                <w:highlight w:val="none"/>
              </w:rPr>
              <w:t>合同价</w:t>
            </w:r>
            <w:r>
              <w:rPr>
                <w:rFonts w:hint="eastAsia" w:hAnsi="宋体" w:eastAsia="宋体" w:cs="宋体"/>
                <w:color w:val="auto"/>
                <w:kern w:val="0"/>
                <w:sz w:val="24"/>
                <w:szCs w:val="24"/>
                <w:highlight w:val="none"/>
                <w:lang w:eastAsia="zh-CN"/>
              </w:rPr>
              <w:t>的</w:t>
            </w:r>
            <w:r>
              <w:rPr>
                <w:rFonts w:hint="eastAsia" w:hAnsi="宋体" w:eastAsia="宋体" w:cs="宋体"/>
                <w:color w:val="auto"/>
                <w:kern w:val="0"/>
                <w:sz w:val="24"/>
                <w:szCs w:val="24"/>
                <w:highlight w:val="none"/>
                <w:lang w:val="en-US" w:eastAsia="zh-CN"/>
              </w:rPr>
              <w:t>2.5%</w:t>
            </w:r>
            <w:r>
              <w:rPr>
                <w:rFonts w:hint="eastAsia" w:hAnsi="宋体" w:eastAsia="宋体" w:cs="宋体"/>
                <w:color w:val="auto"/>
                <w:kern w:val="0"/>
                <w:sz w:val="24"/>
                <w:szCs w:val="24"/>
                <w:highlight w:val="none"/>
                <w:lang w:eastAsia="zh-CN"/>
              </w:rPr>
              <w:t>。</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jc w:val="center"/>
              <w:textAlignment w:val="auto"/>
              <w:rPr>
                <w:rFonts w:hint="eastAsia" w:ascii="宋体" w:hAnsi="宋体" w:eastAsia="宋体" w:cs="宋体"/>
                <w:snapToGrid w:val="0"/>
                <w:color w:val="auto"/>
                <w:kern w:val="0"/>
                <w:sz w:val="24"/>
                <w:szCs w:val="24"/>
                <w:highlight w:val="none"/>
                <w:lang w:val="en-US" w:eastAsia="zh-CN" w:bidi="ar-SA"/>
              </w:rPr>
            </w:pPr>
            <w:r>
              <w:rPr>
                <w:rFonts w:hint="eastAsia" w:ascii="宋体" w:hAnsi="宋体" w:eastAsia="宋体" w:cs="宋体"/>
                <w:snapToGrid w:val="0"/>
                <w:color w:val="auto"/>
                <w:kern w:val="0"/>
                <w:sz w:val="24"/>
                <w:szCs w:val="24"/>
                <w:highlight w:val="none"/>
              </w:rPr>
              <w:t>14</w:t>
            </w:r>
          </w:p>
        </w:tc>
        <w:tc>
          <w:tcPr>
            <w:tcW w:w="1995"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jc w:val="center"/>
              <w:textAlignment w:val="auto"/>
              <w:rPr>
                <w:rFonts w:hint="eastAsia" w:ascii="宋体" w:hAnsi="宋体" w:eastAsia="宋体" w:cs="宋体"/>
                <w:snapToGrid w:val="0"/>
                <w:color w:val="auto"/>
                <w:kern w:val="0"/>
                <w:sz w:val="24"/>
                <w:szCs w:val="24"/>
                <w:highlight w:val="none"/>
              </w:rPr>
            </w:pPr>
            <w:r>
              <w:rPr>
                <w:rFonts w:hint="eastAsia" w:ascii="宋体" w:hAnsi="宋体" w:eastAsia="宋体" w:cs="宋体"/>
                <w:snapToGrid w:val="0"/>
                <w:color w:val="auto"/>
                <w:kern w:val="0"/>
                <w:sz w:val="24"/>
                <w:szCs w:val="24"/>
                <w:highlight w:val="none"/>
              </w:rPr>
              <w:t>采购及中标公告发布媒体</w:t>
            </w:r>
          </w:p>
        </w:tc>
        <w:tc>
          <w:tcPr>
            <w:tcW w:w="6682" w:type="dxa"/>
            <w:noWrap w:val="0"/>
            <w:vAlign w:val="center"/>
          </w:tcPr>
          <w:p>
            <w:pPr>
              <w:pStyle w:val="14"/>
              <w:keepLines w:val="0"/>
              <w:pageBreakBefore w:val="0"/>
              <w:widowControl w:val="0"/>
              <w:kinsoku/>
              <w:wordWrap w:val="0"/>
              <w:overflowPunct/>
              <w:topLinePunct w:val="0"/>
              <w:autoSpaceDE/>
              <w:autoSpaceDN/>
              <w:bidi w:val="0"/>
              <w:adjustRightInd/>
              <w:snapToGrid w:val="0"/>
              <w:spacing w:line="360" w:lineRule="auto"/>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浙江省政府采购网、绍兴市上虞区公共资源交易中心网站</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15</w:t>
            </w:r>
          </w:p>
        </w:tc>
        <w:tc>
          <w:tcPr>
            <w:tcW w:w="1995"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jc w:val="center"/>
              <w:textAlignment w:val="auto"/>
              <w:rPr>
                <w:rFonts w:hint="eastAsia" w:ascii="宋体" w:hAnsi="宋体" w:eastAsia="宋体" w:cs="宋体"/>
                <w:snapToGrid w:val="0"/>
                <w:color w:val="auto"/>
                <w:kern w:val="0"/>
                <w:sz w:val="24"/>
                <w:szCs w:val="24"/>
                <w:highlight w:val="none"/>
              </w:rPr>
            </w:pPr>
            <w:r>
              <w:rPr>
                <w:rFonts w:hint="eastAsia" w:ascii="宋体" w:hAnsi="宋体" w:eastAsia="宋体" w:cs="宋体"/>
                <w:snapToGrid w:val="0"/>
                <w:color w:val="auto"/>
                <w:kern w:val="0"/>
                <w:sz w:val="24"/>
                <w:szCs w:val="24"/>
                <w:highlight w:val="none"/>
              </w:rPr>
              <w:t>质疑</w:t>
            </w:r>
          </w:p>
        </w:tc>
        <w:tc>
          <w:tcPr>
            <w:tcW w:w="6682" w:type="dxa"/>
            <w:noWrap w:val="0"/>
            <w:vAlign w:val="center"/>
          </w:tcPr>
          <w:p>
            <w:pPr>
              <w:keepLines w:val="0"/>
              <w:pageBreakBefore w:val="0"/>
              <w:widowControl w:val="0"/>
              <w:kinsoku/>
              <w:wordWrap w:val="0"/>
              <w:overflowPunct/>
              <w:topLinePunct w:val="0"/>
              <w:autoSpaceDE/>
              <w:autoSpaceDN/>
              <w:bidi w:val="0"/>
              <w:adjustRightInd/>
              <w:spacing w:line="360" w:lineRule="auto"/>
              <w:ind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依据</w:t>
            </w:r>
            <w:r>
              <w:rPr>
                <w:rFonts w:hint="eastAsia" w:ascii="宋体" w:hAnsi="宋体" w:eastAsia="宋体" w:cs="宋体"/>
                <w:sz w:val="24"/>
                <w:szCs w:val="24"/>
                <w:highlight w:val="none"/>
              </w:rPr>
              <w:t>《</w:t>
            </w:r>
            <w:r>
              <w:rPr>
                <w:rFonts w:hint="eastAsia" w:ascii="宋体" w:hAnsi="宋体" w:eastAsia="宋体" w:cs="宋体"/>
                <w:sz w:val="24"/>
                <w:szCs w:val="24"/>
                <w:highlight w:val="none"/>
                <w:lang w:eastAsia="zh-CN"/>
              </w:rPr>
              <w:t>上虞区区属国有企业货物和服务采购管理办法</w:t>
            </w:r>
            <w:r>
              <w:rPr>
                <w:rFonts w:hint="eastAsia" w:ascii="宋体" w:hAnsi="宋体" w:eastAsia="宋体" w:cs="宋体"/>
                <w:sz w:val="24"/>
                <w:szCs w:val="24"/>
                <w:highlight w:val="none"/>
              </w:rPr>
              <w:t>》第</w:t>
            </w:r>
            <w:r>
              <w:rPr>
                <w:rFonts w:hint="eastAsia" w:ascii="宋体" w:hAnsi="宋体" w:eastAsia="宋体" w:cs="宋体"/>
                <w:sz w:val="24"/>
                <w:szCs w:val="24"/>
                <w:highlight w:val="none"/>
                <w:lang w:eastAsia="zh-CN"/>
              </w:rPr>
              <w:t>四十九条</w:t>
            </w:r>
            <w:r>
              <w:rPr>
                <w:rFonts w:hint="eastAsia" w:ascii="宋体" w:hAnsi="宋体" w:eastAsia="宋体" w:cs="宋体"/>
                <w:sz w:val="24"/>
                <w:szCs w:val="24"/>
                <w:highlight w:val="none"/>
              </w:rPr>
              <w:t>的规定：</w:t>
            </w:r>
          </w:p>
          <w:p>
            <w:pPr>
              <w:keepLines w:val="0"/>
              <w:pageBreakBefore w:val="0"/>
              <w:widowControl w:val="0"/>
              <w:kinsoku/>
              <w:wordWrap w:val="0"/>
              <w:overflowPunct/>
              <w:topLinePunct w:val="0"/>
              <w:autoSpaceDE/>
              <w:autoSpaceDN/>
              <w:bidi w:val="0"/>
              <w:adjustRightInd/>
              <w:snapToGrid w:val="0"/>
              <w:spacing w:line="360" w:lineRule="auto"/>
              <w:ind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供应商认为采购文件、采购过程、中标或者成交结果使自己的权益受到损害的，可以在知道或者应知其权益受到损害之日起7个工作日内，以书面形式向采购代理机构、采购人提出质疑，采购代理机构、采购人应在7个工作日内做好答复工作，但答复内容不得涉及商业秘密。</w:t>
            </w:r>
          </w:p>
          <w:p>
            <w:pPr>
              <w:keepLines w:val="0"/>
              <w:pageBreakBefore w:val="0"/>
              <w:widowControl w:val="0"/>
              <w:kinsoku/>
              <w:wordWrap w:val="0"/>
              <w:overflowPunct/>
              <w:topLinePunct w:val="0"/>
              <w:autoSpaceDE/>
              <w:autoSpaceDN/>
              <w:bidi w:val="0"/>
              <w:adjustRightInd/>
              <w:snapToGrid w:val="0"/>
              <w:spacing w:line="360" w:lineRule="auto"/>
              <w:ind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b w:val="0"/>
                <w:sz w:val="24"/>
                <w:szCs w:val="24"/>
                <w:highlight w:val="none"/>
              </w:rPr>
              <w:t>采购评审专家（评标委员会、采购小组）应当协助采购人或 者采购代理机构答复供应商的询问和质疑。</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jc w:val="center"/>
              <w:textAlignment w:val="auto"/>
              <w:rPr>
                <w:rFonts w:hint="eastAsia" w:ascii="宋体" w:hAnsi="宋体" w:eastAsia="宋体" w:cs="宋体"/>
                <w:snapToGrid w:val="0"/>
                <w:color w:val="auto"/>
                <w:kern w:val="0"/>
                <w:sz w:val="24"/>
                <w:szCs w:val="24"/>
                <w:highlight w:val="none"/>
                <w:lang w:val="en-US" w:eastAsia="zh-CN" w:bidi="ar-SA"/>
              </w:rPr>
            </w:pPr>
            <w:r>
              <w:rPr>
                <w:rFonts w:hint="eastAsia" w:ascii="宋体" w:hAnsi="宋体" w:eastAsia="宋体" w:cs="宋体"/>
                <w:snapToGrid w:val="0"/>
                <w:color w:val="auto"/>
                <w:kern w:val="0"/>
                <w:sz w:val="24"/>
                <w:szCs w:val="24"/>
                <w:highlight w:val="none"/>
              </w:rPr>
              <w:t>16</w:t>
            </w:r>
          </w:p>
        </w:tc>
        <w:tc>
          <w:tcPr>
            <w:tcW w:w="1995"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jc w:val="center"/>
              <w:textAlignment w:val="auto"/>
              <w:rPr>
                <w:rFonts w:hint="eastAsia" w:ascii="宋体" w:hAnsi="宋体" w:eastAsia="宋体" w:cs="宋体"/>
                <w:snapToGrid w:val="0"/>
                <w:color w:val="auto"/>
                <w:kern w:val="0"/>
                <w:sz w:val="24"/>
                <w:szCs w:val="24"/>
                <w:highlight w:val="none"/>
              </w:rPr>
            </w:pPr>
            <w:r>
              <w:rPr>
                <w:rFonts w:hint="eastAsia" w:ascii="宋体" w:hAnsi="宋体" w:eastAsia="宋体" w:cs="宋体"/>
                <w:snapToGrid w:val="0"/>
                <w:color w:val="auto"/>
                <w:kern w:val="0"/>
                <w:sz w:val="24"/>
                <w:szCs w:val="24"/>
                <w:highlight w:val="none"/>
              </w:rPr>
              <w:t>投诉</w:t>
            </w:r>
          </w:p>
        </w:tc>
        <w:tc>
          <w:tcPr>
            <w:tcW w:w="6682"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zh-CN"/>
              </w:rPr>
            </w:pPr>
            <w:r>
              <w:rPr>
                <w:rFonts w:hint="eastAsia" w:ascii="宋体" w:hAnsi="宋体" w:eastAsia="宋体" w:cs="宋体"/>
                <w:snapToGrid w:val="0"/>
                <w:color w:val="auto"/>
                <w:kern w:val="0"/>
                <w:sz w:val="24"/>
                <w:szCs w:val="24"/>
                <w:highlight w:val="none"/>
                <w:lang w:eastAsia="zh-CN"/>
              </w:rPr>
              <w:t>依据</w:t>
            </w:r>
            <w:r>
              <w:rPr>
                <w:rFonts w:hint="eastAsia" w:ascii="宋体" w:hAnsi="宋体" w:eastAsia="宋体" w:cs="宋体"/>
                <w:snapToGrid w:val="0"/>
                <w:color w:val="auto"/>
                <w:kern w:val="0"/>
                <w:sz w:val="24"/>
                <w:szCs w:val="24"/>
                <w:highlight w:val="none"/>
              </w:rPr>
              <w:t>《</w:t>
            </w:r>
            <w:r>
              <w:rPr>
                <w:rFonts w:hint="eastAsia" w:ascii="宋体" w:hAnsi="宋体" w:eastAsia="宋体" w:cs="宋体"/>
                <w:snapToGrid w:val="0"/>
                <w:color w:val="auto"/>
                <w:kern w:val="0"/>
                <w:sz w:val="24"/>
                <w:szCs w:val="24"/>
                <w:highlight w:val="none"/>
                <w:lang w:eastAsia="zh-CN"/>
              </w:rPr>
              <w:t>上虞区区属国有企业货物和服务采购管理办法</w:t>
            </w:r>
            <w:r>
              <w:rPr>
                <w:rFonts w:hint="eastAsia" w:ascii="宋体" w:hAnsi="宋体" w:eastAsia="宋体" w:cs="宋体"/>
                <w:snapToGrid w:val="0"/>
                <w:color w:val="auto"/>
                <w:kern w:val="0"/>
                <w:sz w:val="24"/>
                <w:szCs w:val="24"/>
                <w:highlight w:val="none"/>
              </w:rPr>
              <w:t>》第五十条的规定</w:t>
            </w:r>
            <w:r>
              <w:rPr>
                <w:rFonts w:hint="eastAsia" w:ascii="宋体" w:hAnsi="宋体" w:eastAsia="宋体" w:cs="宋体"/>
                <w:snapToGrid w:val="0"/>
                <w:color w:val="auto"/>
                <w:kern w:val="0"/>
                <w:sz w:val="24"/>
                <w:szCs w:val="24"/>
                <w:highlight w:val="none"/>
                <w:lang w:eastAsia="zh-CN"/>
              </w:rPr>
              <w:t>：</w:t>
            </w:r>
          </w:p>
          <w:p>
            <w:pPr>
              <w:keepLines w:val="0"/>
              <w:pageBreakBefore w:val="0"/>
              <w:widowControl w:val="0"/>
              <w:kinsoku/>
              <w:wordWrap w:val="0"/>
              <w:overflowPunct/>
              <w:topLinePunct w:val="0"/>
              <w:autoSpaceDE/>
              <w:autoSpaceDN/>
              <w:bidi w:val="0"/>
              <w:adjustRightInd/>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rPr>
            </w:pPr>
            <w:r>
              <w:rPr>
                <w:rFonts w:hint="eastAsia" w:ascii="宋体" w:hAnsi="宋体" w:eastAsia="宋体" w:cs="宋体"/>
                <w:snapToGrid w:val="0"/>
                <w:color w:val="auto"/>
                <w:kern w:val="0"/>
                <w:sz w:val="24"/>
                <w:szCs w:val="24"/>
                <w:highlight w:val="none"/>
              </w:rPr>
              <w:t>质疑供应商对质疑的答复不满意，或者采购人或采购代理机构未在规定时间内答复的，可以在收到答复之日或者答复期满后15个工作日内依法向采购人主管部门投诉。采购人主管部门应当在30个工作日内调查并回应。投诉事项调查期间，采购人主管部门应当通知采购人暂停采购活动。</w:t>
            </w:r>
          </w:p>
          <w:p>
            <w:pPr>
              <w:keepLines w:val="0"/>
              <w:pageBreakBefore w:val="0"/>
              <w:widowControl w:val="0"/>
              <w:kinsoku/>
              <w:wordWrap w:val="0"/>
              <w:overflowPunct/>
              <w:topLinePunct w:val="0"/>
              <w:autoSpaceDE/>
              <w:autoSpaceDN/>
              <w:bidi w:val="0"/>
              <w:adjustRightInd/>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rPr>
            </w:pPr>
            <w:r>
              <w:rPr>
                <w:rFonts w:hint="eastAsia" w:ascii="宋体" w:hAnsi="宋体" w:eastAsia="宋体" w:cs="宋体"/>
                <w:snapToGrid w:val="0"/>
                <w:color w:val="auto"/>
                <w:kern w:val="0"/>
                <w:sz w:val="24"/>
                <w:szCs w:val="24"/>
                <w:highlight w:val="none"/>
              </w:rPr>
              <w:t>投诉人提交投诉件时，应当提供相关书面证据、依据和其他有关材料。</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jc w:val="center"/>
              <w:textAlignment w:val="auto"/>
              <w:rPr>
                <w:rFonts w:hint="eastAsia" w:ascii="宋体" w:hAnsi="宋体" w:eastAsia="宋体" w:cs="宋体"/>
                <w:snapToGrid w:val="0"/>
                <w:color w:val="auto"/>
                <w:kern w:val="0"/>
                <w:sz w:val="24"/>
                <w:szCs w:val="24"/>
                <w:highlight w:val="none"/>
                <w:lang w:val="en-US" w:eastAsia="zh-CN" w:bidi="ar-SA"/>
              </w:rPr>
            </w:pPr>
            <w:r>
              <w:rPr>
                <w:rFonts w:hint="eastAsia" w:ascii="宋体" w:hAnsi="宋体" w:eastAsia="宋体" w:cs="宋体"/>
                <w:snapToGrid w:val="0"/>
                <w:color w:val="auto"/>
                <w:kern w:val="0"/>
                <w:sz w:val="24"/>
                <w:szCs w:val="24"/>
                <w:highlight w:val="none"/>
              </w:rPr>
              <w:t>17</w:t>
            </w:r>
          </w:p>
        </w:tc>
        <w:tc>
          <w:tcPr>
            <w:tcW w:w="1995"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jc w:val="center"/>
              <w:textAlignment w:val="auto"/>
              <w:rPr>
                <w:rFonts w:hint="eastAsia" w:ascii="宋体" w:hAnsi="宋体" w:eastAsia="宋体" w:cs="宋体"/>
                <w:snapToGrid w:val="0"/>
                <w:color w:val="auto"/>
                <w:kern w:val="0"/>
                <w:sz w:val="24"/>
                <w:szCs w:val="24"/>
                <w:highlight w:val="none"/>
              </w:rPr>
            </w:pPr>
            <w:r>
              <w:rPr>
                <w:rFonts w:hint="eastAsia" w:ascii="宋体" w:hAnsi="宋体" w:eastAsia="宋体" w:cs="宋体"/>
                <w:snapToGrid w:val="0"/>
                <w:color w:val="auto"/>
                <w:kern w:val="0"/>
                <w:sz w:val="24"/>
                <w:szCs w:val="24"/>
                <w:highlight w:val="none"/>
              </w:rPr>
              <w:t>特别说明</w:t>
            </w:r>
          </w:p>
        </w:tc>
        <w:tc>
          <w:tcPr>
            <w:tcW w:w="6682" w:type="dxa"/>
            <w:noWrap w:val="0"/>
            <w:vAlign w:val="center"/>
          </w:tcPr>
          <w:p>
            <w:pPr>
              <w:pStyle w:val="14"/>
              <w:keepLines w:val="0"/>
              <w:pageBreakBefore w:val="0"/>
              <w:widowControl w:val="0"/>
              <w:kinsoku/>
              <w:wordWrap w:val="0"/>
              <w:overflowPunct/>
              <w:topLinePunct w:val="0"/>
              <w:autoSpaceDE/>
              <w:autoSpaceDN/>
              <w:bidi w:val="0"/>
              <w:adjustRightInd/>
              <w:snapToGrid w:val="0"/>
              <w:spacing w:line="360" w:lineRule="auto"/>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投标人应无条件的、认真仔细</w:t>
            </w:r>
            <w:r>
              <w:rPr>
                <w:rFonts w:hint="eastAsia" w:ascii="宋体" w:hAnsi="宋体" w:eastAsia="宋体" w:cs="宋体"/>
                <w:color w:val="auto"/>
                <w:kern w:val="0"/>
                <w:sz w:val="24"/>
                <w:szCs w:val="24"/>
                <w:highlight w:val="none"/>
                <w:lang w:eastAsia="zh-CN"/>
              </w:rPr>
              <w:t>地</w:t>
            </w:r>
            <w:r>
              <w:rPr>
                <w:rFonts w:hint="eastAsia" w:ascii="宋体" w:hAnsi="宋体" w:eastAsia="宋体" w:cs="宋体"/>
                <w:color w:val="auto"/>
                <w:kern w:val="0"/>
                <w:sz w:val="24"/>
                <w:szCs w:val="24"/>
                <w:highlight w:val="none"/>
              </w:rPr>
              <w:t>阅读本招标文件及其澄清答疑、修改答复的补充文件，严格按照招标文件及补充文件的规定和要求编制投标文件。在编制投标文件过程中，应严格遵循实事求是、诚信投标的原则，针对招标文件中的采购需求、合同条款等各项内容进行确认，如有偏离，应如实填写响应偏离表。</w:t>
            </w:r>
          </w:p>
          <w:p>
            <w:pPr>
              <w:pStyle w:val="14"/>
              <w:keepLines w:val="0"/>
              <w:pageBreakBefore w:val="0"/>
              <w:widowControl w:val="0"/>
              <w:kinsoku/>
              <w:wordWrap w:val="0"/>
              <w:overflowPunct/>
              <w:topLinePunct w:val="0"/>
              <w:autoSpaceDE/>
              <w:autoSpaceDN/>
              <w:bidi w:val="0"/>
              <w:adjustRightInd/>
              <w:snapToGrid w:val="0"/>
              <w:spacing w:line="360" w:lineRule="auto"/>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该项目中标公示期间，投标人不得通过非正当途径、更不得通过非正当手段获取法律法规规定评标委员会（包括其他相关人员）应当保密的相关内容。即便由此获得资料并作为向采购人或招标代理机构或监督管理部门提出质疑或投诉或法院起诉的理由，均属于非法</w:t>
            </w:r>
            <w:r>
              <w:rPr>
                <w:rFonts w:hint="eastAsia" w:ascii="宋体" w:hAnsi="宋体" w:eastAsia="宋体" w:cs="宋体"/>
                <w:color w:val="auto"/>
                <w:kern w:val="0"/>
                <w:sz w:val="24"/>
                <w:szCs w:val="24"/>
                <w:highlight w:val="none"/>
                <w:lang w:eastAsia="zh-CN"/>
              </w:rPr>
              <w:t>获取</w:t>
            </w:r>
            <w:r>
              <w:rPr>
                <w:rFonts w:hint="eastAsia" w:ascii="宋体" w:hAnsi="宋体" w:eastAsia="宋体" w:cs="宋体"/>
                <w:color w:val="auto"/>
                <w:kern w:val="0"/>
                <w:sz w:val="24"/>
                <w:szCs w:val="24"/>
                <w:highlight w:val="none"/>
              </w:rPr>
              <w:t>的依据。</w:t>
            </w:r>
          </w:p>
          <w:p>
            <w:pPr>
              <w:pStyle w:val="14"/>
              <w:keepLines w:val="0"/>
              <w:pageBreakBefore w:val="0"/>
              <w:widowControl w:val="0"/>
              <w:kinsoku/>
              <w:wordWrap w:val="0"/>
              <w:overflowPunct/>
              <w:topLinePunct w:val="0"/>
              <w:autoSpaceDE/>
              <w:autoSpaceDN/>
              <w:bidi w:val="0"/>
              <w:adjustRightInd/>
              <w:snapToGrid w:val="0"/>
              <w:spacing w:line="360" w:lineRule="auto"/>
              <w:ind w:firstLine="480" w:firstLineChars="200"/>
              <w:jc w:val="left"/>
              <w:textAlignment w:val="auto"/>
              <w:rPr>
                <w:rFonts w:hint="eastAsia" w:ascii="宋体" w:hAnsi="宋体" w:eastAsia="宋体" w:cs="宋体"/>
                <w:b/>
                <w:color w:val="auto"/>
                <w:kern w:val="0"/>
                <w:sz w:val="24"/>
                <w:szCs w:val="24"/>
                <w:highlight w:val="none"/>
              </w:rPr>
            </w:pPr>
            <w:r>
              <w:rPr>
                <w:rFonts w:hint="eastAsia" w:ascii="宋体" w:hAnsi="宋体" w:eastAsia="宋体" w:cs="宋体"/>
                <w:color w:val="auto"/>
                <w:kern w:val="0"/>
                <w:sz w:val="24"/>
                <w:szCs w:val="24"/>
                <w:highlight w:val="none"/>
              </w:rPr>
              <w:t>招标文件中凡标注“</w:t>
            </w:r>
            <w:r>
              <w:rPr>
                <w:rFonts w:hint="eastAsia" w:ascii="宋体" w:hAnsi="宋体" w:eastAsia="宋体" w:cs="宋体"/>
                <w:color w:val="auto"/>
                <w:sz w:val="24"/>
                <w:szCs w:val="24"/>
                <w:highlight w:val="none"/>
              </w:rPr>
              <w:t>★</w:t>
            </w:r>
            <w:r>
              <w:rPr>
                <w:rFonts w:hint="eastAsia" w:ascii="宋体" w:hAnsi="宋体" w:eastAsia="宋体" w:cs="宋体"/>
                <w:color w:val="auto"/>
                <w:kern w:val="0"/>
                <w:sz w:val="24"/>
                <w:szCs w:val="24"/>
                <w:highlight w:val="none"/>
              </w:rPr>
              <w:t>”的条款均为实质性要求，不响应的投标文件将作无效标处理。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jc w:val="center"/>
              <w:textAlignment w:val="auto"/>
              <w:rPr>
                <w:rFonts w:hint="eastAsia" w:ascii="宋体" w:hAnsi="宋体" w:eastAsia="宋体" w:cs="宋体"/>
                <w:snapToGrid w:val="0"/>
                <w:color w:val="auto"/>
                <w:kern w:val="0"/>
                <w:sz w:val="24"/>
                <w:szCs w:val="24"/>
                <w:highlight w:val="none"/>
                <w:lang w:val="en-US" w:eastAsia="zh-CN" w:bidi="ar-SA"/>
              </w:rPr>
            </w:pPr>
            <w:r>
              <w:rPr>
                <w:rFonts w:hint="eastAsia" w:ascii="宋体" w:hAnsi="宋体" w:eastAsia="宋体" w:cs="宋体"/>
                <w:snapToGrid w:val="0"/>
                <w:color w:val="auto"/>
                <w:kern w:val="0"/>
                <w:sz w:val="24"/>
                <w:szCs w:val="24"/>
                <w:highlight w:val="none"/>
              </w:rPr>
              <w:t>18</w:t>
            </w:r>
          </w:p>
        </w:tc>
        <w:tc>
          <w:tcPr>
            <w:tcW w:w="1995"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招标代理服务费</w:t>
            </w:r>
          </w:p>
        </w:tc>
        <w:tc>
          <w:tcPr>
            <w:tcW w:w="6682" w:type="dxa"/>
            <w:noWrap w:val="0"/>
            <w:vAlign w:val="center"/>
          </w:tcPr>
          <w:p>
            <w:pPr>
              <w:keepLines w:val="0"/>
              <w:pageBreakBefore w:val="0"/>
              <w:widowControl w:val="0"/>
              <w:kinsoku/>
              <w:wordWrap w:val="0"/>
              <w:overflowPunct/>
              <w:topLinePunct w:val="0"/>
              <w:autoSpaceDE/>
              <w:autoSpaceDN/>
              <w:bidi w:val="0"/>
              <w:adjustRightInd/>
              <w:spacing w:line="360" w:lineRule="auto"/>
              <w:ind w:firstLine="480" w:firstLineChars="200"/>
              <w:textAlignment w:val="auto"/>
              <w:rPr>
                <w:rFonts w:hint="eastAsia" w:ascii="宋体" w:hAnsi="宋体" w:eastAsia="宋体" w:cs="宋体"/>
                <w:snapToGrid w:val="0"/>
                <w:color w:val="auto"/>
                <w:kern w:val="0"/>
                <w:sz w:val="24"/>
                <w:szCs w:val="24"/>
                <w:highlight w:val="none"/>
                <w:lang w:val="en-US" w:eastAsia="zh-CN"/>
              </w:rPr>
            </w:pPr>
            <w:r>
              <w:rPr>
                <w:rFonts w:hint="eastAsia" w:ascii="宋体" w:hAnsi="宋体" w:eastAsia="宋体" w:cs="宋体"/>
                <w:snapToGrid w:val="0"/>
                <w:color w:val="auto"/>
                <w:kern w:val="0"/>
                <w:sz w:val="24"/>
                <w:szCs w:val="24"/>
                <w:highlight w:val="none"/>
                <w:lang w:val="en-US" w:eastAsia="zh-CN"/>
              </w:rPr>
              <w:t>/</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jc w:val="center"/>
              <w:textAlignment w:val="auto"/>
              <w:rPr>
                <w:rFonts w:hint="eastAsia" w:ascii="宋体" w:hAnsi="宋体" w:eastAsia="宋体" w:cs="宋体"/>
                <w:snapToGrid w:val="0"/>
                <w:color w:val="auto"/>
                <w:kern w:val="0"/>
                <w:sz w:val="24"/>
                <w:szCs w:val="24"/>
                <w:highlight w:val="none"/>
                <w:lang w:val="en-US" w:eastAsia="zh-CN" w:bidi="ar-SA"/>
              </w:rPr>
            </w:pPr>
            <w:r>
              <w:rPr>
                <w:rFonts w:hint="eastAsia" w:ascii="宋体" w:hAnsi="宋体" w:eastAsia="宋体" w:cs="宋体"/>
                <w:snapToGrid w:val="0"/>
                <w:color w:val="auto"/>
                <w:kern w:val="0"/>
                <w:sz w:val="24"/>
                <w:szCs w:val="24"/>
                <w:highlight w:val="none"/>
                <w:lang w:val="en-US" w:eastAsia="zh-CN"/>
              </w:rPr>
              <w:t>19</w:t>
            </w:r>
          </w:p>
        </w:tc>
        <w:tc>
          <w:tcPr>
            <w:tcW w:w="1995"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是否允许分包</w:t>
            </w:r>
          </w:p>
        </w:tc>
        <w:tc>
          <w:tcPr>
            <w:tcW w:w="6682" w:type="dxa"/>
            <w:noWrap w:val="0"/>
            <w:vAlign w:val="center"/>
          </w:tcPr>
          <w:p>
            <w:pPr>
              <w:keepLines w:val="0"/>
              <w:pageBreakBefore w:val="0"/>
              <w:widowControl w:val="0"/>
              <w:kinsoku/>
              <w:wordWrap w:val="0"/>
              <w:overflowPunct/>
              <w:topLinePunct w:val="0"/>
              <w:autoSpaceDE/>
              <w:autoSpaceDN/>
              <w:bidi w:val="0"/>
              <w:adjustRightInd/>
              <w:spacing w:line="360" w:lineRule="auto"/>
              <w:ind w:firstLine="480" w:firstLineChars="20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本项目不允许分包</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jc w:val="center"/>
              <w:textAlignment w:val="auto"/>
              <w:rPr>
                <w:rFonts w:hint="eastAsia" w:ascii="宋体" w:hAnsi="宋体" w:eastAsia="宋体" w:cs="宋体"/>
                <w:snapToGrid w:val="0"/>
                <w:color w:val="auto"/>
                <w:kern w:val="0"/>
                <w:sz w:val="24"/>
                <w:szCs w:val="24"/>
                <w:highlight w:val="none"/>
                <w:lang w:val="en-US" w:eastAsia="zh-CN" w:bidi="ar-SA"/>
              </w:rPr>
            </w:pPr>
            <w:r>
              <w:rPr>
                <w:rFonts w:hint="eastAsia" w:ascii="宋体" w:hAnsi="宋体" w:eastAsia="宋体" w:cs="宋体"/>
                <w:snapToGrid w:val="0"/>
                <w:color w:val="auto"/>
                <w:kern w:val="0"/>
                <w:sz w:val="24"/>
                <w:szCs w:val="24"/>
                <w:highlight w:val="none"/>
                <w:lang w:val="en-US" w:eastAsia="zh-CN" w:bidi="ar-SA"/>
              </w:rPr>
              <w:t>20</w:t>
            </w:r>
          </w:p>
        </w:tc>
        <w:tc>
          <w:tcPr>
            <w:tcW w:w="1995"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是否提供样品</w:t>
            </w:r>
          </w:p>
        </w:tc>
        <w:tc>
          <w:tcPr>
            <w:tcW w:w="6682" w:type="dxa"/>
            <w:noWrap w:val="0"/>
            <w:vAlign w:val="center"/>
          </w:tcPr>
          <w:p>
            <w:pPr>
              <w:keepLines w:val="0"/>
              <w:pageBreakBefore w:val="0"/>
              <w:widowControl w:val="0"/>
              <w:kinsoku/>
              <w:wordWrap w:val="0"/>
              <w:overflowPunct/>
              <w:topLinePunct w:val="0"/>
              <w:autoSpaceDE/>
              <w:autoSpaceDN/>
              <w:bidi w:val="0"/>
              <w:adjustRightInd/>
              <w:spacing w:line="360" w:lineRule="auto"/>
              <w:ind w:firstLine="480" w:firstLineChars="20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u w:val="none"/>
              </w:rPr>
              <w:t>本项目不需要提供样品</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jc w:val="center"/>
              <w:textAlignment w:val="auto"/>
              <w:rPr>
                <w:rFonts w:hint="eastAsia" w:ascii="宋体" w:hAnsi="宋体" w:eastAsia="宋体" w:cs="宋体"/>
                <w:snapToGrid w:val="0"/>
                <w:color w:val="auto"/>
                <w:kern w:val="0"/>
                <w:sz w:val="24"/>
                <w:szCs w:val="24"/>
                <w:highlight w:val="none"/>
                <w:lang w:val="en-US" w:eastAsia="zh-CN" w:bidi="ar-SA"/>
              </w:rPr>
            </w:pPr>
            <w:r>
              <w:rPr>
                <w:rFonts w:hint="eastAsia" w:ascii="宋体" w:hAnsi="宋体" w:eastAsia="宋体" w:cs="宋体"/>
                <w:snapToGrid w:val="0"/>
                <w:color w:val="auto"/>
                <w:kern w:val="0"/>
                <w:sz w:val="24"/>
                <w:szCs w:val="24"/>
                <w:highlight w:val="none"/>
                <w:lang w:val="en-US" w:eastAsia="zh-CN"/>
              </w:rPr>
              <w:t>21</w:t>
            </w:r>
          </w:p>
        </w:tc>
        <w:tc>
          <w:tcPr>
            <w:tcW w:w="1995" w:type="dxa"/>
            <w:tcBorders>
              <w:bottom w:val="single" w:color="auto" w:sz="4" w:space="0"/>
            </w:tcBorders>
            <w:noWrap w:val="0"/>
            <w:vAlign w:val="center"/>
          </w:tcPr>
          <w:p>
            <w:pPr>
              <w:keepLines w:val="0"/>
              <w:pageBreakBefore w:val="0"/>
              <w:widowControl w:val="0"/>
              <w:kinsoku/>
              <w:wordWrap w:val="0"/>
              <w:overflowPunct/>
              <w:topLinePunct w:val="0"/>
              <w:autoSpaceDE/>
              <w:autoSpaceDN/>
              <w:bidi w:val="0"/>
              <w:adjustRightInd/>
              <w:snapToGrid w:val="0"/>
              <w:spacing w:line="36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是否提供演示</w:t>
            </w:r>
          </w:p>
        </w:tc>
        <w:tc>
          <w:tcPr>
            <w:tcW w:w="6682" w:type="dxa"/>
            <w:tcBorders>
              <w:bottom w:val="single" w:color="auto" w:sz="4" w:space="0"/>
            </w:tcBorders>
            <w:noWrap w:val="0"/>
            <w:vAlign w:val="center"/>
          </w:tcPr>
          <w:p>
            <w:pPr>
              <w:keepLines w:val="0"/>
              <w:pageBreakBefore w:val="0"/>
              <w:widowControl w:val="0"/>
              <w:kinsoku/>
              <w:wordWrap w:val="0"/>
              <w:overflowPunct/>
              <w:topLinePunct w:val="0"/>
              <w:autoSpaceDE/>
              <w:autoSpaceDN/>
              <w:bidi w:val="0"/>
              <w:adjustRightInd/>
              <w:spacing w:line="360" w:lineRule="auto"/>
              <w:ind w:firstLine="480" w:firstLineChars="20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u w:val="none"/>
              </w:rPr>
              <w:t>本项目不需要提供演示</w:t>
            </w:r>
            <w:r>
              <w:rPr>
                <w:rFonts w:hint="eastAsia" w:ascii="宋体" w:hAnsi="宋体" w:eastAsia="宋体" w:cs="宋体"/>
                <w:color w:val="auto"/>
                <w:sz w:val="24"/>
                <w:szCs w:val="24"/>
                <w:highlight w:val="none"/>
              </w:rPr>
              <w:t>。</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648" w:type="dxa"/>
            <w:tcBorders>
              <w:bottom w:val="single" w:color="auto" w:sz="4" w:space="0"/>
            </w:tcBorders>
            <w:noWrap w:val="0"/>
            <w:vAlign w:val="center"/>
          </w:tcPr>
          <w:p>
            <w:pPr>
              <w:keepLines w:val="0"/>
              <w:pageBreakBefore w:val="0"/>
              <w:widowControl w:val="0"/>
              <w:kinsoku/>
              <w:wordWrap w:val="0"/>
              <w:overflowPunct/>
              <w:topLinePunct w:val="0"/>
              <w:autoSpaceDE/>
              <w:autoSpaceDN/>
              <w:bidi w:val="0"/>
              <w:adjustRightInd/>
              <w:snapToGrid w:val="0"/>
              <w:spacing w:line="360" w:lineRule="auto"/>
              <w:jc w:val="center"/>
              <w:textAlignment w:val="auto"/>
              <w:rPr>
                <w:rFonts w:hint="eastAsia" w:ascii="宋体" w:hAnsi="宋体" w:eastAsia="宋体" w:cs="宋体"/>
                <w:snapToGrid w:val="0"/>
                <w:color w:val="auto"/>
                <w:kern w:val="0"/>
                <w:sz w:val="24"/>
                <w:szCs w:val="24"/>
                <w:highlight w:val="none"/>
                <w:lang w:val="en-US" w:eastAsia="zh-CN" w:bidi="ar-SA"/>
              </w:rPr>
            </w:pPr>
            <w:r>
              <w:rPr>
                <w:rFonts w:hint="eastAsia" w:ascii="宋体" w:hAnsi="宋体" w:eastAsia="宋体" w:cs="宋体"/>
                <w:snapToGrid w:val="0"/>
                <w:color w:val="auto"/>
                <w:kern w:val="0"/>
                <w:sz w:val="24"/>
                <w:szCs w:val="24"/>
                <w:highlight w:val="none"/>
                <w:lang w:val="en-US" w:eastAsia="zh-CN" w:bidi="ar-SA"/>
              </w:rPr>
              <w:t>22</w:t>
            </w:r>
          </w:p>
        </w:tc>
        <w:tc>
          <w:tcPr>
            <w:tcW w:w="1995" w:type="dxa"/>
            <w:tcBorders>
              <w:top w:val="single" w:color="auto" w:sz="4" w:space="0"/>
              <w:bottom w:val="single" w:color="auto" w:sz="4" w:space="0"/>
            </w:tcBorders>
            <w:noWrap w:val="0"/>
            <w:vAlign w:val="center"/>
          </w:tcPr>
          <w:p>
            <w:pPr>
              <w:keepLines w:val="0"/>
              <w:pageBreakBefore w:val="0"/>
              <w:widowControl w:val="0"/>
              <w:kinsoku/>
              <w:wordWrap w:val="0"/>
              <w:overflowPunct/>
              <w:topLinePunct w:val="0"/>
              <w:autoSpaceDE/>
              <w:autoSpaceDN/>
              <w:bidi w:val="0"/>
              <w:adjustRightInd/>
              <w:snapToGrid w:val="0"/>
              <w:spacing w:line="36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投标人信用信息查询渠道及截止时点、信用信息查询记录和证据留存的具体方式、信用信息的使用规则</w:t>
            </w:r>
          </w:p>
        </w:tc>
        <w:tc>
          <w:tcPr>
            <w:tcW w:w="6682" w:type="dxa"/>
            <w:tcBorders>
              <w:top w:val="single" w:color="auto" w:sz="4" w:space="0"/>
              <w:bottom w:val="single" w:color="auto" w:sz="4" w:space="0"/>
            </w:tcBorders>
            <w:noWrap w:val="0"/>
            <w:vAlign w:val="center"/>
          </w:tcPr>
          <w:p>
            <w:pPr>
              <w:keepLines w:val="0"/>
              <w:pageBreakBefore w:val="0"/>
              <w:widowControl w:val="0"/>
              <w:kinsoku/>
              <w:wordWrap w:val="0"/>
              <w:overflowPunct/>
              <w:topLinePunct w:val="0"/>
              <w:autoSpaceDE/>
              <w:autoSpaceDN/>
              <w:bidi w:val="0"/>
              <w:adjustRightIn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1、查询渠道：信用中国（网址：http://www.creditchina.gov.cn）、中国政府采购网(网址：http://www.ccgp.gov.cn）。</w:t>
            </w:r>
          </w:p>
          <w:p>
            <w:pPr>
              <w:keepLines w:val="0"/>
              <w:pageBreakBefore w:val="0"/>
              <w:widowControl w:val="0"/>
              <w:kinsoku/>
              <w:wordWrap w:val="0"/>
              <w:overflowPunct/>
              <w:topLinePunct w:val="0"/>
              <w:autoSpaceDE/>
              <w:autoSpaceDN/>
              <w:bidi w:val="0"/>
              <w:adjustRightIn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2、截止时点：开标后评标前。</w:t>
            </w:r>
          </w:p>
          <w:p>
            <w:pPr>
              <w:keepLines w:val="0"/>
              <w:pageBreakBefore w:val="0"/>
              <w:widowControl w:val="0"/>
              <w:kinsoku/>
              <w:wordWrap w:val="0"/>
              <w:overflowPunct/>
              <w:topLinePunct w:val="0"/>
              <w:autoSpaceDE/>
              <w:autoSpaceDN/>
              <w:bidi w:val="0"/>
              <w:adjustRightIn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3、信用信息查询记录和证据留存的具体方式：由采购组织机构在规定查询时间内打印信用信息查询记录并归入项目档案。</w:t>
            </w:r>
          </w:p>
          <w:p>
            <w:pPr>
              <w:keepLines w:val="0"/>
              <w:pageBreakBefore w:val="0"/>
              <w:widowControl w:val="0"/>
              <w:kinsoku/>
              <w:wordWrap w:val="0"/>
              <w:overflowPunct/>
              <w:topLinePunct w:val="0"/>
              <w:autoSpaceDE/>
              <w:autoSpaceDN/>
              <w:bidi w:val="0"/>
              <w:adjustRightInd/>
              <w:spacing w:line="360" w:lineRule="auto"/>
              <w:ind w:firstLine="480" w:firstLineChars="20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4、使用规则：对列入失信被执行人、重大税收违法案件当事人名单、政府采购严重违法失信行为记录名单及其他不符合《上虞区区属国有企业货物和服务采购管理办法》第十八条规定条件的供应商，将被拒绝其参与采购活动。</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648" w:type="dxa"/>
            <w:tcBorders>
              <w:top w:val="single" w:color="auto" w:sz="4" w:space="0"/>
            </w:tcBorders>
            <w:noWrap w:val="0"/>
            <w:vAlign w:val="center"/>
          </w:tcPr>
          <w:p>
            <w:pPr>
              <w:keepLines w:val="0"/>
              <w:pageBreakBefore w:val="0"/>
              <w:widowControl w:val="0"/>
              <w:kinsoku/>
              <w:wordWrap w:val="0"/>
              <w:overflowPunct/>
              <w:topLinePunct w:val="0"/>
              <w:autoSpaceDE/>
              <w:autoSpaceDN/>
              <w:bidi w:val="0"/>
              <w:adjustRightInd/>
              <w:snapToGrid w:val="0"/>
              <w:spacing w:line="360" w:lineRule="auto"/>
              <w:jc w:val="center"/>
              <w:textAlignment w:val="auto"/>
              <w:rPr>
                <w:rFonts w:hint="eastAsia" w:ascii="宋体" w:hAnsi="宋体" w:eastAsia="宋体" w:cs="宋体"/>
                <w:i/>
                <w:iCs/>
                <w:snapToGrid w:val="0"/>
                <w:color w:val="auto"/>
                <w:kern w:val="0"/>
                <w:sz w:val="24"/>
                <w:szCs w:val="24"/>
                <w:highlight w:val="none"/>
                <w:u w:val="single"/>
                <w:lang w:val="en-US" w:eastAsia="zh-CN" w:bidi="ar-SA"/>
              </w:rPr>
            </w:pPr>
            <w:r>
              <w:rPr>
                <w:rFonts w:hint="eastAsia" w:ascii="宋体" w:hAnsi="宋体" w:eastAsia="宋体" w:cs="宋体"/>
                <w:color w:val="auto"/>
                <w:sz w:val="24"/>
                <w:szCs w:val="24"/>
                <w:highlight w:val="none"/>
                <w:lang w:val="en-US" w:eastAsia="zh-CN"/>
              </w:rPr>
              <w:t>23</w:t>
            </w:r>
          </w:p>
        </w:tc>
        <w:tc>
          <w:tcPr>
            <w:tcW w:w="1995" w:type="dxa"/>
            <w:tcBorders>
              <w:top w:val="single" w:color="auto" w:sz="4" w:space="0"/>
            </w:tcBorders>
            <w:noWrap w:val="0"/>
            <w:vAlign w:val="center"/>
          </w:tcPr>
          <w:p>
            <w:pPr>
              <w:keepLines w:val="0"/>
              <w:pageBreakBefore w:val="0"/>
              <w:widowControl w:val="0"/>
              <w:kinsoku/>
              <w:wordWrap w:val="0"/>
              <w:overflowPunct/>
              <w:topLinePunct w:val="0"/>
              <w:autoSpaceDE/>
              <w:autoSpaceDN/>
              <w:bidi w:val="0"/>
              <w:adjustRightInd/>
              <w:snapToGrid w:val="0"/>
              <w:spacing w:line="360" w:lineRule="auto"/>
              <w:jc w:val="center"/>
              <w:textAlignment w:val="auto"/>
              <w:rPr>
                <w:rFonts w:hint="eastAsia" w:ascii="宋体" w:hAnsi="宋体" w:eastAsia="宋体" w:cs="宋体"/>
                <w:i/>
                <w:iCs/>
                <w:color w:val="auto"/>
                <w:sz w:val="24"/>
                <w:szCs w:val="24"/>
                <w:highlight w:val="none"/>
                <w:u w:val="single"/>
                <w:lang w:val="en-US" w:eastAsia="zh-CN"/>
              </w:rPr>
            </w:pPr>
            <w:r>
              <w:rPr>
                <w:rFonts w:hint="eastAsia" w:ascii="宋体" w:hAnsi="宋体" w:eastAsia="宋体" w:cs="宋体"/>
                <w:color w:val="auto"/>
                <w:sz w:val="24"/>
                <w:szCs w:val="24"/>
                <w:highlight w:val="none"/>
                <w:lang w:val="en-US" w:eastAsia="zh-CN"/>
              </w:rPr>
              <w:t>金融支持</w:t>
            </w:r>
          </w:p>
        </w:tc>
        <w:tc>
          <w:tcPr>
            <w:tcW w:w="6682" w:type="dxa"/>
            <w:tcBorders>
              <w:top w:val="single" w:color="auto" w:sz="4" w:space="0"/>
            </w:tcBorders>
            <w:noWrap w:val="0"/>
            <w:vAlign w:val="top"/>
          </w:tcPr>
          <w:p>
            <w:pPr>
              <w:keepLines w:val="0"/>
              <w:pageBreakBefore w:val="0"/>
              <w:widowControl w:val="0"/>
              <w:kinsoku/>
              <w:wordWrap w:val="0"/>
              <w:overflowPunct/>
              <w:topLinePunct w:val="0"/>
              <w:autoSpaceDE/>
              <w:autoSpaceDN/>
              <w:bidi w:val="0"/>
              <w:adjustRightInd/>
              <w:spacing w:line="360" w:lineRule="auto"/>
              <w:ind w:firstLine="480" w:firstLineChars="200"/>
              <w:textAlignment w:val="auto"/>
              <w:rPr>
                <w:rFonts w:hint="eastAsia" w:ascii="宋体" w:hAnsi="宋体" w:eastAsia="宋体" w:cs="宋体"/>
                <w:i/>
                <w:iCs/>
                <w:color w:val="auto"/>
                <w:sz w:val="24"/>
                <w:szCs w:val="24"/>
                <w:highlight w:val="none"/>
                <w:u w:val="single"/>
                <w:lang w:val="en-US" w:eastAsia="zh-CN"/>
              </w:rPr>
            </w:pPr>
            <w:r>
              <w:rPr>
                <w:rFonts w:hint="eastAsia" w:ascii="宋体" w:hAnsi="宋体" w:eastAsia="宋体" w:cs="宋体"/>
                <w:color w:val="auto"/>
                <w:sz w:val="24"/>
                <w:szCs w:val="24"/>
                <w:highlight w:val="none"/>
              </w:rPr>
              <w:t>为支持和促进中小企业发展，进一步发挥政府采购政策功能，浙江省财政厅出台浙财采监〔2020〕3号文件，企业若有融资意向，可登陆政采云平台融资服务（https://jinrong.zcygov.cn/），查看相应融资政策文件及各相关银行服务方案。</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PrEx>
        <w:trPr>
          <w:trHeight w:val="567" w:hRule="atLeast"/>
          <w:jc w:val="center"/>
        </w:trPr>
        <w:tc>
          <w:tcPr>
            <w:tcW w:w="648"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jc w:val="center"/>
              <w:textAlignment w:val="auto"/>
              <w:rPr>
                <w:rFonts w:hint="eastAsia" w:ascii="宋体" w:hAnsi="宋体" w:eastAsia="宋体" w:cs="宋体"/>
                <w:snapToGrid w:val="0"/>
                <w:color w:val="auto"/>
                <w:kern w:val="0"/>
                <w:sz w:val="24"/>
                <w:szCs w:val="24"/>
                <w:highlight w:val="none"/>
                <w:lang w:val="en-US" w:eastAsia="zh-CN" w:bidi="ar-SA"/>
              </w:rPr>
            </w:pPr>
            <w:r>
              <w:rPr>
                <w:rFonts w:hint="eastAsia" w:ascii="宋体" w:hAnsi="宋体" w:eastAsia="宋体" w:cs="宋体"/>
                <w:snapToGrid w:val="0"/>
                <w:color w:val="auto"/>
                <w:kern w:val="0"/>
                <w:sz w:val="24"/>
                <w:szCs w:val="24"/>
                <w:highlight w:val="none"/>
                <w:lang w:val="en-US" w:eastAsia="zh-CN"/>
              </w:rPr>
              <w:t>24</w:t>
            </w:r>
          </w:p>
        </w:tc>
        <w:tc>
          <w:tcPr>
            <w:tcW w:w="1995" w:type="dxa"/>
            <w:noWrap w:val="0"/>
            <w:vAlign w:val="center"/>
          </w:tcPr>
          <w:p>
            <w:pPr>
              <w:keepLines w:val="0"/>
              <w:pageBreakBefore w:val="0"/>
              <w:widowControl w:val="0"/>
              <w:kinsoku/>
              <w:wordWrap w:val="0"/>
              <w:overflowPunct/>
              <w:topLinePunct w:val="0"/>
              <w:autoSpaceDE/>
              <w:autoSpaceDN/>
              <w:bidi w:val="0"/>
              <w:adjustRightInd/>
              <w:snapToGrid w:val="0"/>
              <w:spacing w:line="36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其他</w:t>
            </w:r>
          </w:p>
        </w:tc>
        <w:tc>
          <w:tcPr>
            <w:tcW w:w="6682" w:type="dxa"/>
            <w:noWrap w:val="0"/>
            <w:vAlign w:val="center"/>
          </w:tcPr>
          <w:p>
            <w:pPr>
              <w:keepLines w:val="0"/>
              <w:pageBreakBefore w:val="0"/>
              <w:widowControl w:val="0"/>
              <w:kinsoku/>
              <w:wordWrap w:val="0"/>
              <w:overflowPunct/>
              <w:topLinePunct w:val="0"/>
              <w:autoSpaceDE/>
              <w:autoSpaceDN/>
              <w:bidi w:val="0"/>
              <w:adjustRightInd/>
              <w:spacing w:line="360" w:lineRule="auto"/>
              <w:ind w:firstLine="482" w:firstLineChars="200"/>
              <w:textAlignment w:val="auto"/>
              <w:rPr>
                <w:rFonts w:hint="eastAsia" w:ascii="宋体" w:hAnsi="宋体" w:eastAsia="宋体" w:cs="宋体"/>
                <w:b/>
                <w:color w:val="auto"/>
                <w:kern w:val="2"/>
                <w:sz w:val="24"/>
                <w:szCs w:val="24"/>
                <w:highlight w:val="none"/>
                <w:lang w:val="en-US" w:eastAsia="zh-CN" w:bidi="ar-SA"/>
              </w:rPr>
            </w:pPr>
            <w:r>
              <w:rPr>
                <w:rFonts w:hint="eastAsia" w:ascii="宋体" w:hAnsi="宋体" w:eastAsia="宋体" w:cs="宋体"/>
                <w:b/>
                <w:color w:val="auto"/>
                <w:sz w:val="24"/>
                <w:szCs w:val="24"/>
                <w:highlight w:val="none"/>
              </w:rPr>
              <w:t>本</w:t>
            </w:r>
            <w:r>
              <w:rPr>
                <w:rFonts w:hint="eastAsia" w:ascii="宋体" w:hAnsi="宋体" w:eastAsia="宋体" w:cs="宋体"/>
                <w:b/>
                <w:color w:val="auto"/>
                <w:sz w:val="24"/>
                <w:szCs w:val="24"/>
                <w:highlight w:val="none"/>
                <w:lang w:eastAsia="zh-CN"/>
              </w:rPr>
              <w:t>采购</w:t>
            </w:r>
            <w:r>
              <w:rPr>
                <w:rFonts w:hint="eastAsia" w:ascii="宋体" w:hAnsi="宋体" w:eastAsia="宋体" w:cs="宋体"/>
                <w:b/>
                <w:color w:val="auto"/>
                <w:sz w:val="24"/>
                <w:szCs w:val="24"/>
                <w:highlight w:val="none"/>
              </w:rPr>
              <w:t>文件要求提供的身份证复印件皆需提供正反面，否则按</w:t>
            </w:r>
            <w:r>
              <w:rPr>
                <w:rFonts w:hint="eastAsia" w:ascii="宋体" w:hAnsi="宋体" w:eastAsia="宋体" w:cs="宋体"/>
                <w:b/>
                <w:color w:val="auto"/>
                <w:sz w:val="24"/>
                <w:szCs w:val="24"/>
                <w:highlight w:val="none"/>
                <w:lang w:eastAsia="zh-CN"/>
              </w:rPr>
              <w:t>未</w:t>
            </w:r>
            <w:r>
              <w:rPr>
                <w:rFonts w:hint="eastAsia" w:ascii="宋体" w:hAnsi="宋体" w:eastAsia="宋体" w:cs="宋体"/>
                <w:b/>
                <w:color w:val="auto"/>
                <w:sz w:val="24"/>
                <w:szCs w:val="24"/>
                <w:highlight w:val="none"/>
              </w:rPr>
              <w:t>提供处理。</w:t>
            </w:r>
          </w:p>
        </w:tc>
      </w:tr>
    </w:tbl>
    <w:p>
      <w:pPr>
        <w:pStyle w:val="51"/>
        <w:spacing w:before="0" w:line="360" w:lineRule="auto"/>
        <w:ind w:firstLine="486"/>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注：以上内容如有变化将另行通知。如通知其中某一内容发生变化，其余未提及的将不作变动。</w:t>
      </w:r>
    </w:p>
    <w:p>
      <w:pPr>
        <w:snapToGrid w:val="0"/>
        <w:spacing w:line="360" w:lineRule="auto"/>
        <w:jc w:val="center"/>
        <w:outlineLvl w:val="1"/>
        <w:rPr>
          <w:rFonts w:hint="eastAsia" w:ascii="宋体" w:hAnsi="宋体" w:eastAsia="宋体" w:cs="宋体"/>
          <w:b/>
          <w:color w:val="auto"/>
          <w:sz w:val="32"/>
          <w:highlight w:val="none"/>
        </w:rPr>
      </w:pPr>
      <w:r>
        <w:rPr>
          <w:rFonts w:hint="eastAsia" w:ascii="宋体" w:hAnsi="宋体" w:eastAsia="宋体" w:cs="宋体"/>
          <w:b/>
          <w:color w:val="auto"/>
          <w:sz w:val="32"/>
          <w:szCs w:val="20"/>
          <w:highlight w:val="none"/>
        </w:rPr>
        <w:br w:type="page"/>
      </w:r>
      <w:bookmarkStart w:id="21" w:name="_Toc24717"/>
      <w:r>
        <w:rPr>
          <w:rFonts w:hint="eastAsia" w:ascii="宋体" w:hAnsi="宋体" w:eastAsia="宋体" w:cs="宋体"/>
          <w:b/>
          <w:color w:val="auto"/>
          <w:sz w:val="32"/>
          <w:highlight w:val="none"/>
        </w:rPr>
        <w:t>一、总则</w:t>
      </w:r>
      <w:bookmarkEnd w:id="12"/>
      <w:bookmarkEnd w:id="21"/>
    </w:p>
    <w:p>
      <w:pPr>
        <w:pStyle w:val="14"/>
        <w:keepNext w:val="0"/>
        <w:keepLines w:val="0"/>
        <w:pageBreakBefore w:val="0"/>
        <w:widowControl w:val="0"/>
        <w:numPr>
          <w:ilvl w:val="0"/>
          <w:numId w:val="9"/>
        </w:numPr>
        <w:kinsoku/>
        <w:wordWrap/>
        <w:overflowPunct/>
        <w:topLinePunct w:val="0"/>
        <w:bidi w:val="0"/>
        <w:spacing w:line="360" w:lineRule="auto"/>
        <w:ind w:left="0" w:leftChars="0" w:firstLine="482" w:firstLineChars="200"/>
        <w:textAlignment w:val="auto"/>
        <w:outlineLvl w:val="2"/>
        <w:rPr>
          <w:rFonts w:hint="eastAsia" w:ascii="宋体" w:hAnsi="宋体" w:eastAsia="宋体" w:cs="宋体"/>
          <w:b/>
          <w:color w:val="auto"/>
          <w:sz w:val="24"/>
          <w:szCs w:val="24"/>
          <w:highlight w:val="none"/>
        </w:rPr>
      </w:pPr>
      <w:bookmarkStart w:id="22" w:name="_Hlt74730295"/>
      <w:bookmarkEnd w:id="22"/>
      <w:bookmarkStart w:id="23" w:name="_Hlt74714665"/>
      <w:bookmarkEnd w:id="23"/>
      <w:bookmarkStart w:id="24" w:name="_Toc91899872"/>
      <w:bookmarkStart w:id="25" w:name="_Hlt74730208"/>
      <w:bookmarkStart w:id="26" w:name="_Hlt74730112"/>
      <w:r>
        <w:rPr>
          <w:rFonts w:hint="eastAsia" w:ascii="宋体" w:hAnsi="宋体" w:eastAsia="宋体" w:cs="宋体"/>
          <w:b/>
          <w:color w:val="auto"/>
          <w:sz w:val="24"/>
          <w:szCs w:val="24"/>
          <w:highlight w:val="none"/>
        </w:rPr>
        <w:t>项目说明</w:t>
      </w:r>
      <w:bookmarkEnd w:id="24"/>
    </w:p>
    <w:p>
      <w:pPr>
        <w:pStyle w:val="51"/>
        <w:keepNext w:val="0"/>
        <w:keepLines w:val="0"/>
        <w:pageBreakBefore w:val="0"/>
        <w:widowControl w:val="0"/>
        <w:numPr>
          <w:ilvl w:val="0"/>
          <w:numId w:val="10"/>
        </w:numPr>
        <w:tabs>
          <w:tab w:val="left" w:pos="0"/>
        </w:tabs>
        <w:kinsoku/>
        <w:wordWrap/>
        <w:overflowPunct/>
        <w:topLinePunct w:val="0"/>
        <w:autoSpaceDE/>
        <w:autoSpaceDN/>
        <w:bidi w:val="0"/>
        <w:adjustRightInd w:val="0"/>
        <w:snapToGrid/>
        <w:spacing w:before="0" w:line="360" w:lineRule="auto"/>
        <w:ind w:left="0" w:leftChars="0" w:firstLine="480" w:firstLineChars="2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项目说明见前附表所述。投标人一旦参与本次招标活动，即被视为接受了本招标文件的所有内容，如有任何异议，均已在法定时间内提出。</w:t>
      </w:r>
    </w:p>
    <w:p>
      <w:pPr>
        <w:pStyle w:val="51"/>
        <w:keepNext w:val="0"/>
        <w:keepLines w:val="0"/>
        <w:pageBreakBefore w:val="0"/>
        <w:widowControl w:val="0"/>
        <w:numPr>
          <w:ilvl w:val="0"/>
          <w:numId w:val="10"/>
        </w:numPr>
        <w:tabs>
          <w:tab w:val="left" w:pos="0"/>
        </w:tabs>
        <w:kinsoku/>
        <w:wordWrap/>
        <w:overflowPunct/>
        <w:topLinePunct w:val="0"/>
        <w:autoSpaceDE/>
        <w:autoSpaceDN/>
        <w:bidi w:val="0"/>
        <w:adjustRightInd w:val="0"/>
        <w:snapToGrid/>
        <w:spacing w:before="0" w:line="360" w:lineRule="auto"/>
        <w:ind w:left="0" w:leftChars="0" w:firstLine="480" w:firstLineChars="2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投标人须对所投产品、方案、技术、服务等拥有合法的占有和处置权，并对涉及项目的所有内容可能侵权行为指控负责，保证不伤害采购人的利益。在法律范围内，如果出现文字、图片、商标和技术等侵权行为而造成的纠纷和产生的一切费用，采购人概不负责，由此给采购人造成损失的，</w:t>
      </w:r>
      <w:r>
        <w:rPr>
          <w:rFonts w:hint="eastAsia" w:ascii="宋体" w:hAnsi="宋体" w:eastAsia="宋体" w:cs="宋体"/>
          <w:color w:val="auto"/>
          <w:szCs w:val="24"/>
          <w:highlight w:val="none"/>
          <w:lang w:val="zh-CN"/>
        </w:rPr>
        <w:t>供应商</w:t>
      </w:r>
      <w:r>
        <w:rPr>
          <w:rFonts w:hint="eastAsia" w:ascii="宋体" w:hAnsi="宋体" w:eastAsia="宋体" w:cs="宋体"/>
          <w:color w:val="auto"/>
          <w:szCs w:val="24"/>
          <w:highlight w:val="none"/>
        </w:rPr>
        <w:t>应承担相应后果，</w:t>
      </w:r>
      <w:r>
        <w:rPr>
          <w:rFonts w:hint="eastAsia" w:ascii="宋体" w:hAnsi="宋体" w:eastAsia="宋体" w:cs="宋体"/>
          <w:color w:val="auto"/>
          <w:szCs w:val="24"/>
          <w:highlight w:val="none"/>
          <w:lang w:val="zh-CN"/>
        </w:rPr>
        <w:t>并负责赔偿。</w:t>
      </w:r>
      <w:r>
        <w:rPr>
          <w:rFonts w:hint="eastAsia" w:ascii="宋体" w:hAnsi="宋体" w:eastAsia="宋体" w:cs="宋体"/>
          <w:color w:val="auto"/>
          <w:szCs w:val="24"/>
          <w:highlight w:val="none"/>
        </w:rPr>
        <w:t>供应商为执行本项目合同而提供的技术资料等归采购人所有。</w:t>
      </w:r>
    </w:p>
    <w:p>
      <w:pPr>
        <w:keepNext w:val="0"/>
        <w:keepLines w:val="0"/>
        <w:pageBreakBefore w:val="0"/>
        <w:widowControl w:val="0"/>
        <w:kinsoku/>
        <w:wordWrap/>
        <w:overflowPunct/>
        <w:topLinePunct w:val="0"/>
        <w:bidi w:val="0"/>
        <w:snapToGrid w:val="0"/>
        <w:spacing w:line="360" w:lineRule="auto"/>
        <w:ind w:firstLine="480" w:firstLineChars="200"/>
        <w:jc w:val="left"/>
        <w:textAlignment w:val="auto"/>
        <w:rPr>
          <w:rFonts w:hint="eastAsia" w:ascii="宋体" w:hAnsi="宋体" w:eastAsia="宋体" w:cs="宋体"/>
          <w:color w:val="auto"/>
          <w:kern w:val="2"/>
          <w:sz w:val="24"/>
          <w:szCs w:val="24"/>
          <w:highlight w:val="none"/>
          <w:lang w:val="en-US" w:eastAsia="zh-CN" w:bidi="ar-SA"/>
        </w:rPr>
      </w:pPr>
      <w:bookmarkStart w:id="27" w:name="_Toc91899873"/>
      <w:r>
        <w:rPr>
          <w:rFonts w:hint="eastAsia" w:ascii="宋体" w:hAnsi="宋体" w:eastAsia="宋体" w:cs="宋体"/>
          <w:color w:val="auto"/>
          <w:kern w:val="2"/>
          <w:sz w:val="24"/>
          <w:szCs w:val="24"/>
          <w:highlight w:val="none"/>
          <w:lang w:val="en-US" w:eastAsia="zh-CN" w:bidi="ar-SA"/>
        </w:rPr>
        <w:t>1.3本招标文件所称公章是指单位法定名称章或者冠以单位法定名称的电子公章。</w:t>
      </w:r>
    </w:p>
    <w:p>
      <w:pPr>
        <w:keepNext w:val="0"/>
        <w:keepLines w:val="0"/>
        <w:pageBreakBefore w:val="0"/>
        <w:widowControl w:val="0"/>
        <w:kinsoku/>
        <w:wordWrap/>
        <w:overflowPunct/>
        <w:topLinePunct w:val="0"/>
        <w:bidi w:val="0"/>
        <w:snapToGrid w:val="0"/>
        <w:spacing w:line="360" w:lineRule="auto"/>
        <w:ind w:firstLine="480" w:firstLineChars="20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1.4公开招标</w:t>
      </w:r>
      <w:r>
        <w:rPr>
          <w:rFonts w:hint="eastAsia" w:ascii="宋体" w:hAnsi="宋体" w:eastAsia="宋体" w:cs="宋体"/>
          <w:strike w:val="0"/>
          <w:dstrike w:val="0"/>
          <w:color w:val="auto"/>
          <w:kern w:val="2"/>
          <w:sz w:val="24"/>
          <w:szCs w:val="24"/>
          <w:highlight w:val="none"/>
          <w:lang w:val="en-US" w:eastAsia="zh-CN" w:bidi="ar-SA"/>
        </w:rPr>
        <w:t>数额标准以上</w:t>
      </w:r>
      <w:r>
        <w:rPr>
          <w:rFonts w:hint="eastAsia" w:ascii="宋体" w:hAnsi="宋体" w:eastAsia="宋体" w:cs="宋体"/>
          <w:color w:val="auto"/>
          <w:kern w:val="2"/>
          <w:sz w:val="24"/>
          <w:szCs w:val="24"/>
          <w:highlight w:val="none"/>
          <w:lang w:val="en-US" w:eastAsia="zh-CN" w:bidi="ar-SA"/>
        </w:rPr>
        <w:t>的采购项目，投标截止后投标人不足3家或者通过资格审查或符合性审查的投标人不足3家的，除采购任务取消情形外，按照以下方式处理：</w:t>
      </w:r>
    </w:p>
    <w:p>
      <w:pPr>
        <w:pStyle w:val="51"/>
        <w:keepNext w:val="0"/>
        <w:keepLines w:val="0"/>
        <w:pageBreakBefore w:val="0"/>
        <w:widowControl w:val="0"/>
        <w:numPr>
          <w:ilvl w:val="0"/>
          <w:numId w:val="11"/>
        </w:numPr>
        <w:kinsoku/>
        <w:wordWrap/>
        <w:overflowPunct/>
        <w:topLinePunct w:val="0"/>
        <w:bidi w:val="0"/>
        <w:spacing w:before="0" w:line="360" w:lineRule="auto"/>
        <w:ind w:left="0" w:leftChars="0" w:firstLine="480" w:firstLineChars="200"/>
        <w:textAlignment w:val="auto"/>
        <w:rPr>
          <w:rFonts w:hint="eastAsia" w:ascii="宋体" w:hAnsi="宋体" w:eastAsia="宋体" w:cs="宋体"/>
          <w:i w:val="0"/>
          <w:iCs w:val="0"/>
          <w:strike w:val="0"/>
          <w:dstrike w:val="0"/>
          <w:color w:val="auto"/>
          <w:szCs w:val="24"/>
          <w:highlight w:val="none"/>
        </w:rPr>
      </w:pPr>
      <w:r>
        <w:rPr>
          <w:rFonts w:hint="eastAsia" w:ascii="宋体" w:hAnsi="宋体" w:eastAsia="宋体" w:cs="宋体"/>
          <w:i w:val="0"/>
          <w:iCs w:val="0"/>
          <w:strike w:val="0"/>
          <w:dstrike w:val="0"/>
          <w:color w:val="auto"/>
          <w:szCs w:val="24"/>
          <w:highlight w:val="none"/>
        </w:rPr>
        <w:t>招标文件存在不合理条款或者招标程序不符合规定的，采购人、采购代理机构改正后依法重新招标；</w:t>
      </w:r>
    </w:p>
    <w:p>
      <w:pPr>
        <w:pStyle w:val="51"/>
        <w:keepNext w:val="0"/>
        <w:keepLines w:val="0"/>
        <w:pageBreakBefore w:val="0"/>
        <w:widowControl w:val="0"/>
        <w:numPr>
          <w:ilvl w:val="0"/>
          <w:numId w:val="11"/>
        </w:numPr>
        <w:kinsoku/>
        <w:wordWrap/>
        <w:overflowPunct/>
        <w:topLinePunct w:val="0"/>
        <w:bidi w:val="0"/>
        <w:spacing w:before="0" w:line="360" w:lineRule="auto"/>
        <w:ind w:left="0" w:leftChars="0" w:firstLine="480" w:firstLineChars="200"/>
        <w:textAlignment w:val="auto"/>
        <w:rPr>
          <w:rFonts w:hint="eastAsia" w:ascii="宋体" w:hAnsi="宋体" w:eastAsia="宋体" w:cs="宋体"/>
          <w:i w:val="0"/>
          <w:iCs w:val="0"/>
          <w:strike w:val="0"/>
          <w:dstrike w:val="0"/>
          <w:color w:val="auto"/>
          <w:szCs w:val="24"/>
          <w:highlight w:val="none"/>
        </w:rPr>
      </w:pPr>
      <w:r>
        <w:rPr>
          <w:rFonts w:hint="eastAsia" w:ascii="宋体" w:hAnsi="宋体" w:eastAsia="宋体" w:cs="宋体"/>
          <w:i w:val="0"/>
          <w:iCs w:val="0"/>
          <w:strike w:val="0"/>
          <w:dstrike w:val="0"/>
          <w:color w:val="auto"/>
          <w:szCs w:val="24"/>
          <w:highlight w:val="none"/>
        </w:rPr>
        <w:t>招标文件没有不合理条款、招标程序符合规定，需要采用其他采购方式采购的，采购人应当依法报</w:t>
      </w:r>
      <w:r>
        <w:rPr>
          <w:rFonts w:hint="eastAsia" w:ascii="宋体" w:hAnsi="宋体" w:eastAsia="宋体" w:cs="宋体"/>
          <w:i w:val="0"/>
          <w:iCs w:val="0"/>
          <w:strike w:val="0"/>
          <w:dstrike w:val="0"/>
          <w:color w:val="auto"/>
          <w:szCs w:val="24"/>
          <w:highlight w:val="none"/>
          <w:lang w:val="en-US" w:eastAsia="zh-CN"/>
        </w:rPr>
        <w:t>相关</w:t>
      </w:r>
      <w:r>
        <w:rPr>
          <w:rFonts w:hint="eastAsia" w:ascii="宋体" w:hAnsi="宋体" w:eastAsia="宋体" w:cs="宋体"/>
          <w:i w:val="0"/>
          <w:iCs w:val="0"/>
          <w:strike w:val="0"/>
          <w:dstrike w:val="0"/>
          <w:color w:val="auto"/>
          <w:szCs w:val="24"/>
          <w:highlight w:val="none"/>
        </w:rPr>
        <w:t>部门批准。</w:t>
      </w:r>
    </w:p>
    <w:p>
      <w:pPr>
        <w:pStyle w:val="14"/>
        <w:keepNext w:val="0"/>
        <w:keepLines w:val="0"/>
        <w:pageBreakBefore w:val="0"/>
        <w:widowControl w:val="0"/>
        <w:numPr>
          <w:ilvl w:val="0"/>
          <w:numId w:val="9"/>
        </w:numPr>
        <w:kinsoku/>
        <w:wordWrap/>
        <w:overflowPunct/>
        <w:topLinePunct w:val="0"/>
        <w:bidi w:val="0"/>
        <w:spacing w:line="360" w:lineRule="auto"/>
        <w:ind w:left="0" w:leftChars="0" w:firstLine="482" w:firstLineChars="200"/>
        <w:textAlignment w:val="auto"/>
        <w:outlineLvl w:val="2"/>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采购方式</w:t>
      </w:r>
      <w:bookmarkEnd w:id="27"/>
    </w:p>
    <w:p>
      <w:pPr>
        <w:keepNext w:val="0"/>
        <w:keepLines w:val="0"/>
        <w:pageBreakBefore w:val="0"/>
        <w:widowControl w:val="0"/>
        <w:tabs>
          <w:tab w:val="left" w:pos="3780"/>
        </w:tabs>
        <w:kinsoku/>
        <w:wordWrap/>
        <w:overflowPunct/>
        <w:topLinePunct w:val="0"/>
        <w:bidi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公开招标。</w:t>
      </w:r>
      <w:bookmarkEnd w:id="25"/>
      <w:bookmarkEnd w:id="26"/>
      <w:bookmarkStart w:id="28" w:name="_Hlt68516771"/>
      <w:bookmarkEnd w:id="28"/>
      <w:bookmarkStart w:id="29" w:name="_Hlt74388212"/>
      <w:bookmarkEnd w:id="29"/>
    </w:p>
    <w:p>
      <w:pPr>
        <w:pStyle w:val="14"/>
        <w:keepNext w:val="0"/>
        <w:keepLines w:val="0"/>
        <w:pageBreakBefore w:val="0"/>
        <w:widowControl w:val="0"/>
        <w:numPr>
          <w:ilvl w:val="0"/>
          <w:numId w:val="9"/>
        </w:numPr>
        <w:kinsoku/>
        <w:wordWrap/>
        <w:overflowPunct/>
        <w:topLinePunct w:val="0"/>
        <w:bidi w:val="0"/>
        <w:spacing w:line="360" w:lineRule="auto"/>
        <w:ind w:left="0" w:leftChars="0" w:firstLine="482" w:firstLineChars="200"/>
        <w:textAlignment w:val="auto"/>
        <w:outlineLvl w:val="2"/>
        <w:rPr>
          <w:rFonts w:hint="eastAsia" w:ascii="宋体" w:hAnsi="宋体" w:eastAsia="宋体" w:cs="宋体"/>
          <w:b/>
          <w:color w:val="auto"/>
          <w:sz w:val="24"/>
          <w:szCs w:val="24"/>
          <w:highlight w:val="none"/>
        </w:rPr>
      </w:pPr>
      <w:bookmarkStart w:id="30" w:name="_Toc91899877"/>
      <w:bookmarkStart w:id="31" w:name="_Hlt74730303"/>
      <w:r>
        <w:rPr>
          <w:rFonts w:hint="eastAsia" w:ascii="宋体" w:hAnsi="宋体" w:eastAsia="宋体" w:cs="宋体"/>
          <w:b/>
          <w:color w:val="auto"/>
          <w:sz w:val="24"/>
          <w:szCs w:val="24"/>
          <w:highlight w:val="none"/>
        </w:rPr>
        <w:t>投标费用</w:t>
      </w:r>
      <w:bookmarkEnd w:id="30"/>
    </w:p>
    <w:bookmarkEnd w:id="31"/>
    <w:p>
      <w:pPr>
        <w:keepNext w:val="0"/>
        <w:keepLines w:val="0"/>
        <w:pageBreakBefore w:val="0"/>
        <w:widowControl w:val="0"/>
        <w:kinsoku/>
        <w:wordWrap/>
        <w:overflowPunct/>
        <w:topLinePunct w:val="0"/>
        <w:autoSpaceDE w:val="0"/>
        <w:autoSpaceDN w:val="0"/>
        <w:bidi w:val="0"/>
        <w:spacing w:line="360" w:lineRule="auto"/>
        <w:ind w:firstLine="523" w:firstLineChars="218"/>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投标人需自行承担涉及投标的一切费用（招标文件有其他相反规定除外）。</w:t>
      </w:r>
    </w:p>
    <w:p>
      <w:pPr>
        <w:spacing w:line="360" w:lineRule="auto"/>
        <w:jc w:val="center"/>
        <w:rPr>
          <w:rFonts w:hint="eastAsia" w:ascii="宋体" w:hAnsi="宋体" w:eastAsia="宋体" w:cs="宋体"/>
          <w:b/>
          <w:color w:val="auto"/>
          <w:sz w:val="24"/>
          <w:highlight w:val="none"/>
        </w:rPr>
      </w:pPr>
      <w:bookmarkStart w:id="32" w:name="_Hlt75236290"/>
      <w:bookmarkEnd w:id="32"/>
      <w:bookmarkStart w:id="33" w:name="_Hlt68072990"/>
      <w:bookmarkEnd w:id="33"/>
      <w:bookmarkStart w:id="34" w:name="_Hlt68057669"/>
      <w:bookmarkEnd w:id="34"/>
      <w:bookmarkStart w:id="35" w:name="_Hlt74729768"/>
      <w:bookmarkEnd w:id="35"/>
      <w:bookmarkStart w:id="36" w:name="_Hlt74707468"/>
      <w:bookmarkEnd w:id="36"/>
      <w:bookmarkStart w:id="37" w:name="_Toc91899879"/>
    </w:p>
    <w:p>
      <w:pPr>
        <w:snapToGrid w:val="0"/>
        <w:spacing w:line="360" w:lineRule="auto"/>
        <w:jc w:val="center"/>
        <w:outlineLvl w:val="1"/>
        <w:rPr>
          <w:rFonts w:hint="eastAsia" w:ascii="宋体" w:hAnsi="宋体" w:eastAsia="宋体" w:cs="宋体"/>
          <w:b/>
          <w:color w:val="auto"/>
          <w:sz w:val="32"/>
          <w:highlight w:val="none"/>
        </w:rPr>
      </w:pPr>
      <w:bookmarkStart w:id="38" w:name="_Toc7719"/>
      <w:r>
        <w:rPr>
          <w:rFonts w:hint="eastAsia" w:ascii="宋体" w:hAnsi="宋体" w:eastAsia="宋体" w:cs="宋体"/>
          <w:b/>
          <w:color w:val="auto"/>
          <w:sz w:val="32"/>
          <w:highlight w:val="none"/>
        </w:rPr>
        <w:t>二、招标文件</w:t>
      </w:r>
      <w:bookmarkEnd w:id="37"/>
      <w:bookmarkEnd w:id="38"/>
    </w:p>
    <w:p>
      <w:pPr>
        <w:pStyle w:val="14"/>
        <w:numPr>
          <w:ilvl w:val="0"/>
          <w:numId w:val="9"/>
        </w:numPr>
        <w:spacing w:line="360" w:lineRule="auto"/>
        <w:ind w:left="0" w:leftChars="0" w:firstLine="482" w:firstLineChars="200"/>
        <w:rPr>
          <w:rFonts w:hint="eastAsia" w:ascii="宋体" w:hAnsi="宋体" w:eastAsia="宋体" w:cs="宋体"/>
          <w:b/>
          <w:color w:val="auto"/>
          <w:sz w:val="24"/>
          <w:szCs w:val="24"/>
          <w:highlight w:val="none"/>
        </w:rPr>
      </w:pPr>
      <w:bookmarkStart w:id="39" w:name="_Toc91899880"/>
      <w:bookmarkStart w:id="40" w:name="_Hlt74730307"/>
      <w:r>
        <w:rPr>
          <w:rFonts w:hint="eastAsia" w:ascii="宋体" w:hAnsi="宋体" w:eastAsia="宋体" w:cs="宋体"/>
          <w:b/>
          <w:color w:val="auto"/>
          <w:sz w:val="24"/>
          <w:szCs w:val="24"/>
          <w:highlight w:val="none"/>
        </w:rPr>
        <w:t>招标文件的构成</w:t>
      </w:r>
      <w:bookmarkEnd w:id="39"/>
    </w:p>
    <w:bookmarkEnd w:id="40"/>
    <w:p>
      <w:pPr>
        <w:pStyle w:val="51"/>
        <w:keepNext w:val="0"/>
        <w:keepLines w:val="0"/>
        <w:pageBreakBefore w:val="0"/>
        <w:widowControl w:val="0"/>
        <w:numPr>
          <w:ilvl w:val="0"/>
          <w:numId w:val="12"/>
        </w:numPr>
        <w:kinsoku/>
        <w:wordWrap/>
        <w:overflowPunct/>
        <w:topLinePunct w:val="0"/>
        <w:autoSpaceDE/>
        <w:autoSpaceDN/>
        <w:bidi w:val="0"/>
        <w:adjustRightInd w:val="0"/>
        <w:snapToGrid/>
        <w:spacing w:before="0" w:beforeLines="0" w:line="360" w:lineRule="auto"/>
        <w:ind w:left="0" w:leftChars="0" w:firstLine="480" w:firstLineChars="2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招标文件包括下列文件及附件</w:t>
      </w:r>
    </w:p>
    <w:p>
      <w:pPr>
        <w:pStyle w:val="51"/>
        <w:keepNext w:val="0"/>
        <w:keepLines w:val="0"/>
        <w:pageBreakBefore w:val="0"/>
        <w:widowControl w:val="0"/>
        <w:numPr>
          <w:ilvl w:val="0"/>
          <w:numId w:val="13"/>
        </w:numPr>
        <w:kinsoku/>
        <w:wordWrap/>
        <w:overflowPunct/>
        <w:topLinePunct w:val="0"/>
        <w:autoSpaceDE/>
        <w:autoSpaceDN/>
        <w:bidi w:val="0"/>
        <w:adjustRightInd w:val="0"/>
        <w:snapToGrid/>
        <w:spacing w:before="0" w:line="360" w:lineRule="auto"/>
        <w:ind w:left="0" w:leftChars="0" w:firstLine="480" w:firstLineChars="2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第一部分 招标公告</w:t>
      </w:r>
    </w:p>
    <w:p>
      <w:pPr>
        <w:pStyle w:val="51"/>
        <w:numPr>
          <w:ilvl w:val="0"/>
          <w:numId w:val="13"/>
        </w:numPr>
        <w:spacing w:before="0" w:line="360" w:lineRule="auto"/>
        <w:ind w:left="0" w:leftChars="0"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 xml:space="preserve">第二部分 </w:t>
      </w:r>
      <w:r>
        <w:rPr>
          <w:rFonts w:hint="eastAsia" w:ascii="宋体" w:hAnsi="宋体" w:eastAsia="宋体" w:cs="宋体"/>
          <w:color w:val="auto"/>
          <w:szCs w:val="24"/>
          <w:highlight w:val="none"/>
          <w:lang w:eastAsia="zh-CN"/>
        </w:rPr>
        <w:t>投标</w:t>
      </w:r>
      <w:r>
        <w:rPr>
          <w:rFonts w:hint="eastAsia" w:ascii="宋体" w:hAnsi="宋体" w:eastAsia="宋体" w:cs="宋体"/>
          <w:color w:val="auto"/>
          <w:szCs w:val="24"/>
          <w:highlight w:val="none"/>
        </w:rPr>
        <w:t>须知</w:t>
      </w:r>
    </w:p>
    <w:p>
      <w:pPr>
        <w:pStyle w:val="51"/>
        <w:numPr>
          <w:ilvl w:val="0"/>
          <w:numId w:val="13"/>
        </w:numPr>
        <w:spacing w:before="0" w:line="360" w:lineRule="auto"/>
        <w:ind w:left="0" w:leftChars="0"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第三部分 评标办法及评分标准</w:t>
      </w:r>
    </w:p>
    <w:p>
      <w:pPr>
        <w:pStyle w:val="51"/>
        <w:numPr>
          <w:ilvl w:val="0"/>
          <w:numId w:val="13"/>
        </w:numPr>
        <w:spacing w:before="0" w:line="360" w:lineRule="auto"/>
        <w:ind w:left="0" w:leftChars="0"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第四部分 采购需求</w:t>
      </w:r>
    </w:p>
    <w:p>
      <w:pPr>
        <w:pStyle w:val="51"/>
        <w:numPr>
          <w:ilvl w:val="0"/>
          <w:numId w:val="13"/>
        </w:numPr>
        <w:spacing w:before="0" w:line="360" w:lineRule="auto"/>
        <w:ind w:left="0" w:leftChars="0"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第五部分 采购合同的一般和特殊条款</w:t>
      </w:r>
    </w:p>
    <w:p>
      <w:pPr>
        <w:pStyle w:val="51"/>
        <w:numPr>
          <w:ilvl w:val="0"/>
          <w:numId w:val="13"/>
        </w:numPr>
        <w:spacing w:before="0" w:line="360" w:lineRule="auto"/>
        <w:ind w:left="0" w:leftChars="0"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第六部分 应提交的有关格式范例</w:t>
      </w:r>
    </w:p>
    <w:p>
      <w:pPr>
        <w:pStyle w:val="51"/>
        <w:keepNext w:val="0"/>
        <w:keepLines w:val="0"/>
        <w:pageBreakBefore w:val="0"/>
        <w:widowControl w:val="0"/>
        <w:numPr>
          <w:ilvl w:val="0"/>
          <w:numId w:val="12"/>
        </w:numPr>
        <w:kinsoku/>
        <w:wordWrap/>
        <w:overflowPunct/>
        <w:topLinePunct w:val="0"/>
        <w:autoSpaceDE/>
        <w:autoSpaceDN/>
        <w:bidi w:val="0"/>
        <w:adjustRightInd w:val="0"/>
        <w:snapToGrid/>
        <w:spacing w:before="0" w:line="360" w:lineRule="auto"/>
        <w:ind w:left="0" w:leftChars="0" w:firstLine="480" w:firstLineChars="2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投标人应认真审阅招标文件中所有的内容，包括编制和提交采购响应文件须知、评标办法及评分标准、项目技术规范和服务要求、采购合同的一般和特殊条款、应提交的有关格式范例等。</w:t>
      </w:r>
    </w:p>
    <w:p>
      <w:pPr>
        <w:pStyle w:val="14"/>
        <w:numPr>
          <w:ilvl w:val="0"/>
          <w:numId w:val="9"/>
        </w:numPr>
        <w:spacing w:line="360" w:lineRule="auto"/>
        <w:ind w:left="0" w:leftChars="0"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招标文件的解释</w:t>
      </w:r>
    </w:p>
    <w:p>
      <w:pPr>
        <w:pStyle w:val="51"/>
        <w:keepNext w:val="0"/>
        <w:keepLines w:val="0"/>
        <w:pageBreakBefore w:val="0"/>
        <w:widowControl w:val="0"/>
        <w:numPr>
          <w:ilvl w:val="0"/>
          <w:numId w:val="14"/>
        </w:numPr>
        <w:kinsoku/>
        <w:wordWrap/>
        <w:overflowPunct/>
        <w:topLinePunct w:val="0"/>
        <w:autoSpaceDE/>
        <w:autoSpaceDN/>
        <w:bidi w:val="0"/>
        <w:adjustRightInd w:val="0"/>
        <w:snapToGrid/>
        <w:spacing w:before="0" w:line="360" w:lineRule="auto"/>
        <w:ind w:left="0" w:leftChars="0" w:firstLine="480" w:firstLineChars="2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已获取招标文件的潜在投标人，若有问题需要澄清，应于投标截止时间前，以书面形式向采购代理机构提出，采购代理机构与采购人研究后，对认为有必要回答的问题，将通过招标公告发布网站通知所有招标文件收受人。</w:t>
      </w:r>
    </w:p>
    <w:p>
      <w:pPr>
        <w:pStyle w:val="51"/>
        <w:keepNext w:val="0"/>
        <w:keepLines w:val="0"/>
        <w:pageBreakBefore w:val="0"/>
        <w:widowControl w:val="0"/>
        <w:numPr>
          <w:ilvl w:val="0"/>
          <w:numId w:val="14"/>
        </w:numPr>
        <w:kinsoku/>
        <w:wordWrap/>
        <w:overflowPunct/>
        <w:topLinePunct w:val="0"/>
        <w:autoSpaceDE/>
        <w:autoSpaceDN/>
        <w:bidi w:val="0"/>
        <w:adjustRightInd w:val="0"/>
        <w:snapToGrid/>
        <w:spacing w:before="0" w:line="360" w:lineRule="auto"/>
        <w:ind w:left="0" w:leftChars="0" w:firstLine="480" w:firstLineChars="2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采购代理机构如对已发出的招标文件进行必要澄清或者修改的，将在发布招标公告的网站上发布更正公告，同时视情况延长投标截止时间和开标时间。该澄清或者修改的内容为招标文件的组成部分。</w:t>
      </w:r>
    </w:p>
    <w:p>
      <w:pPr>
        <w:pStyle w:val="51"/>
        <w:keepNext w:val="0"/>
        <w:keepLines w:val="0"/>
        <w:pageBreakBefore w:val="0"/>
        <w:widowControl w:val="0"/>
        <w:numPr>
          <w:ilvl w:val="0"/>
          <w:numId w:val="14"/>
        </w:numPr>
        <w:kinsoku/>
        <w:wordWrap/>
        <w:overflowPunct/>
        <w:topLinePunct w:val="0"/>
        <w:autoSpaceDE/>
        <w:autoSpaceDN/>
        <w:bidi w:val="0"/>
        <w:adjustRightInd w:val="0"/>
        <w:snapToGrid/>
        <w:spacing w:before="0" w:line="360" w:lineRule="auto"/>
        <w:ind w:left="0" w:leftChars="0" w:firstLine="480" w:firstLineChars="2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不论采购代理机构向投标人发送的资料文件，还是投标人提出的问题，均采用书面形式。</w:t>
      </w:r>
    </w:p>
    <w:p>
      <w:pPr>
        <w:pStyle w:val="14"/>
        <w:numPr>
          <w:ilvl w:val="0"/>
          <w:numId w:val="9"/>
        </w:numPr>
        <w:spacing w:line="360" w:lineRule="auto"/>
        <w:ind w:left="0" w:leftChars="0"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招标文件的修改、澄清</w:t>
      </w:r>
    </w:p>
    <w:p>
      <w:pPr>
        <w:pStyle w:val="51"/>
        <w:keepNext w:val="0"/>
        <w:keepLines w:val="0"/>
        <w:pageBreakBefore w:val="0"/>
        <w:widowControl w:val="0"/>
        <w:numPr>
          <w:ilvl w:val="0"/>
          <w:numId w:val="15"/>
        </w:numPr>
        <w:kinsoku/>
        <w:wordWrap/>
        <w:overflowPunct/>
        <w:topLinePunct w:val="0"/>
        <w:autoSpaceDE/>
        <w:autoSpaceDN/>
        <w:bidi w:val="0"/>
        <w:adjustRightInd w:val="0"/>
        <w:snapToGrid/>
        <w:spacing w:before="0" w:line="360" w:lineRule="auto"/>
        <w:ind w:left="0" w:leftChars="0" w:firstLine="480" w:firstLineChars="2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从招标文件发出至投标截止时间前，采购代理机构可能会以补充通知的方式修改招标文件。补充通知作为招标文件的组成部分，各潜在投标人应自行在公告发布网站查看。若有必要，采购代理机构将酌情延长递交投标文件的截止日期。</w:t>
      </w:r>
    </w:p>
    <w:p>
      <w:pPr>
        <w:pStyle w:val="51"/>
        <w:keepNext w:val="0"/>
        <w:keepLines w:val="0"/>
        <w:pageBreakBefore w:val="0"/>
        <w:widowControl w:val="0"/>
        <w:numPr>
          <w:ilvl w:val="0"/>
          <w:numId w:val="15"/>
        </w:numPr>
        <w:kinsoku/>
        <w:wordWrap/>
        <w:overflowPunct/>
        <w:topLinePunct w:val="0"/>
        <w:autoSpaceDE/>
        <w:autoSpaceDN/>
        <w:bidi w:val="0"/>
        <w:adjustRightInd w:val="0"/>
        <w:snapToGrid/>
        <w:spacing w:before="0" w:line="360" w:lineRule="auto"/>
        <w:ind w:left="0" w:leftChars="0" w:firstLine="480" w:firstLineChars="2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对投标文件中含义不明、表述不一致或有明显计算错误等内容，评标委员会将对投标人进行询标，并要求投标人作</w:t>
      </w:r>
      <w:r>
        <w:rPr>
          <w:rFonts w:hint="eastAsia" w:ascii="宋体" w:hAnsi="宋体" w:eastAsia="宋体" w:cs="宋体"/>
          <w:color w:val="auto"/>
          <w:szCs w:val="24"/>
          <w:highlight w:val="none"/>
          <w:lang w:eastAsia="zh-CN"/>
        </w:rPr>
        <w:t>电子</w:t>
      </w:r>
      <w:r>
        <w:rPr>
          <w:rFonts w:hint="eastAsia" w:ascii="宋体" w:hAnsi="宋体" w:eastAsia="宋体" w:cs="宋体"/>
          <w:color w:val="auto"/>
          <w:szCs w:val="24"/>
          <w:highlight w:val="none"/>
        </w:rPr>
        <w:t>澄清</w:t>
      </w:r>
      <w:r>
        <w:rPr>
          <w:rFonts w:hint="eastAsia" w:ascii="宋体" w:hAnsi="宋体" w:eastAsia="宋体" w:cs="宋体"/>
          <w:color w:val="auto"/>
          <w:szCs w:val="24"/>
          <w:highlight w:val="none"/>
          <w:lang w:eastAsia="zh-CN"/>
        </w:rPr>
        <w:t>（询标由专家在政采云系统上发起询标函，投标人在澄清处在规定时间内进行答复）</w:t>
      </w:r>
      <w:r>
        <w:rPr>
          <w:rFonts w:hint="eastAsia" w:ascii="宋体" w:hAnsi="宋体" w:eastAsia="宋体" w:cs="宋体"/>
          <w:color w:val="auto"/>
          <w:szCs w:val="24"/>
          <w:highlight w:val="none"/>
        </w:rPr>
        <w:t>；投标人的</w:t>
      </w:r>
      <w:r>
        <w:rPr>
          <w:rFonts w:hint="eastAsia" w:ascii="宋体" w:hAnsi="宋体" w:eastAsia="宋体" w:cs="宋体"/>
          <w:color w:val="auto"/>
          <w:szCs w:val="24"/>
          <w:highlight w:val="none"/>
          <w:lang w:eastAsia="zh-CN"/>
        </w:rPr>
        <w:t>电子</w:t>
      </w:r>
      <w:r>
        <w:rPr>
          <w:rFonts w:hint="eastAsia" w:ascii="宋体" w:hAnsi="宋体" w:eastAsia="宋体" w:cs="宋体"/>
          <w:color w:val="auto"/>
          <w:szCs w:val="24"/>
          <w:highlight w:val="none"/>
        </w:rPr>
        <w:t>澄清，应由法定代表人</w:t>
      </w:r>
      <w:r>
        <w:rPr>
          <w:rFonts w:hint="eastAsia" w:ascii="宋体" w:hAnsi="宋体" w:eastAsia="宋体" w:cs="宋体"/>
          <w:color w:val="auto"/>
          <w:szCs w:val="24"/>
          <w:highlight w:val="none"/>
          <w:lang w:eastAsia="zh-CN"/>
        </w:rPr>
        <w:t>进行电子签章（也可由法定代表人或授权代表签字扫描后上传）</w:t>
      </w:r>
      <w:r>
        <w:rPr>
          <w:rFonts w:hint="eastAsia" w:ascii="宋体" w:hAnsi="宋体" w:eastAsia="宋体" w:cs="宋体"/>
          <w:color w:val="auto"/>
          <w:szCs w:val="24"/>
          <w:highlight w:val="none"/>
        </w:rPr>
        <w:t>，作为投标文件的补充部分，但澄清的内容不得改变投标文件的实质性内容。</w:t>
      </w:r>
    </w:p>
    <w:p>
      <w:pPr>
        <w:pStyle w:val="14"/>
        <w:numPr>
          <w:ilvl w:val="0"/>
          <w:numId w:val="9"/>
        </w:numPr>
        <w:spacing w:line="360" w:lineRule="auto"/>
        <w:ind w:left="0" w:leftChars="0"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投标报价</w:t>
      </w:r>
    </w:p>
    <w:p>
      <w:pPr>
        <w:pStyle w:val="51"/>
        <w:keepNext w:val="0"/>
        <w:keepLines w:val="0"/>
        <w:pageBreakBefore w:val="0"/>
        <w:widowControl w:val="0"/>
        <w:numPr>
          <w:ilvl w:val="0"/>
          <w:numId w:val="16"/>
        </w:numPr>
        <w:kinsoku/>
        <w:wordWrap/>
        <w:overflowPunct/>
        <w:topLinePunct w:val="0"/>
        <w:autoSpaceDE/>
        <w:autoSpaceDN/>
        <w:bidi w:val="0"/>
        <w:adjustRightInd w:val="0"/>
        <w:snapToGrid/>
        <w:spacing w:before="0" w:line="360" w:lineRule="auto"/>
        <w:ind w:left="0" w:leftChars="0" w:firstLine="480" w:firstLineChars="2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投标报价应包含项目所需全部货物、服务，不得缺漏</w:t>
      </w:r>
      <w:r>
        <w:rPr>
          <w:rFonts w:hint="eastAsia" w:ascii="宋体" w:hAnsi="宋体" w:eastAsia="宋体" w:cs="宋体"/>
          <w:color w:val="auto"/>
          <w:szCs w:val="24"/>
          <w:highlight w:val="none"/>
          <w:lang w:eastAsia="zh-CN"/>
        </w:rPr>
        <w:t>，</w:t>
      </w:r>
      <w:r>
        <w:rPr>
          <w:rFonts w:hint="eastAsia" w:ascii="宋体" w:hAnsi="宋体" w:eastAsia="宋体" w:cs="宋体"/>
          <w:color w:val="auto"/>
          <w:szCs w:val="24"/>
          <w:highlight w:val="none"/>
          <w:lang w:val="en-US" w:eastAsia="zh-CN"/>
        </w:rPr>
        <w:t>包括</w:t>
      </w:r>
      <w:r>
        <w:rPr>
          <w:rFonts w:hint="eastAsia" w:eastAsia="宋体" w:cs="宋体"/>
          <w:color w:val="auto"/>
          <w:szCs w:val="24"/>
          <w:highlight w:val="none"/>
          <w:lang w:val="en-US" w:eastAsia="zh-CN"/>
        </w:rPr>
        <w:t>但不限于</w:t>
      </w:r>
      <w:r>
        <w:rPr>
          <w:rFonts w:hint="eastAsia" w:ascii="宋体" w:hAnsi="宋体" w:eastAsia="宋体" w:cs="宋体"/>
          <w:b w:val="0"/>
          <w:bCs w:val="0"/>
          <w:color w:val="auto"/>
          <w:sz w:val="24"/>
          <w:szCs w:val="24"/>
          <w:highlight w:val="none"/>
          <w:lang w:val="en-US" w:eastAsia="zh-CN"/>
        </w:rPr>
        <w:t>主材费、包装费、运输费、运输损耗、装卸费、安装费、安装所用水电费、辅料、配件、工具、设计费、保管费、单机调试及联动调试费、第三方检验费、保修费、管理费、相关配合费、现场可能发生的二次搬运费、临时设施费、检验试验费、成品保护费、利润、保险、税金、其他不可预见费等为完成本合同项下所有工作直至竣工验收合格后交付采购人使用所产生的一切费用以及售后服务费用等</w:t>
      </w:r>
      <w:r>
        <w:rPr>
          <w:rFonts w:hint="eastAsia" w:ascii="宋体" w:hAnsi="宋体" w:eastAsia="宋体" w:cs="宋体"/>
          <w:color w:val="auto"/>
          <w:szCs w:val="24"/>
          <w:highlight w:val="none"/>
        </w:rPr>
        <w:t>。</w:t>
      </w:r>
    </w:p>
    <w:p>
      <w:pPr>
        <w:pStyle w:val="51"/>
        <w:keepNext w:val="0"/>
        <w:keepLines w:val="0"/>
        <w:pageBreakBefore w:val="0"/>
        <w:widowControl w:val="0"/>
        <w:numPr>
          <w:ilvl w:val="0"/>
          <w:numId w:val="16"/>
        </w:numPr>
        <w:kinsoku/>
        <w:wordWrap/>
        <w:overflowPunct/>
        <w:topLinePunct w:val="0"/>
        <w:autoSpaceDE/>
        <w:autoSpaceDN/>
        <w:bidi w:val="0"/>
        <w:adjustRightInd w:val="0"/>
        <w:snapToGrid/>
        <w:spacing w:before="0" w:line="360" w:lineRule="auto"/>
        <w:ind w:left="0" w:leftChars="0" w:firstLine="480" w:firstLineChars="2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其它费用处理</w:t>
      </w:r>
    </w:p>
    <w:p>
      <w:pPr>
        <w:pStyle w:val="51"/>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0" w:line="360" w:lineRule="auto"/>
        <w:ind w:leftChars="2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招标文件未列明，而投标人认为必需的费用也需列入报价。</w:t>
      </w:r>
    </w:p>
    <w:p>
      <w:pPr>
        <w:pStyle w:val="51"/>
        <w:keepNext w:val="0"/>
        <w:keepLines w:val="0"/>
        <w:pageBreakBefore w:val="0"/>
        <w:widowControl w:val="0"/>
        <w:numPr>
          <w:ilvl w:val="0"/>
          <w:numId w:val="16"/>
        </w:numPr>
        <w:kinsoku/>
        <w:wordWrap/>
        <w:overflowPunct/>
        <w:topLinePunct w:val="0"/>
        <w:autoSpaceDE/>
        <w:autoSpaceDN/>
        <w:bidi w:val="0"/>
        <w:adjustRightInd w:val="0"/>
        <w:snapToGrid/>
        <w:spacing w:before="0" w:line="360" w:lineRule="auto"/>
        <w:ind w:left="0" w:leftChars="0" w:firstLine="480" w:firstLineChars="2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投标货币</w:t>
      </w:r>
    </w:p>
    <w:p>
      <w:pPr>
        <w:pStyle w:val="51"/>
        <w:keepNext w:val="0"/>
        <w:keepLines w:val="0"/>
        <w:pageBreakBefore w:val="0"/>
        <w:widowControl w:val="0"/>
        <w:numPr>
          <w:ilvl w:val="0"/>
          <w:numId w:val="0"/>
        </w:numPr>
        <w:kinsoku/>
        <w:wordWrap/>
        <w:overflowPunct/>
        <w:topLinePunct w:val="0"/>
        <w:autoSpaceDE/>
        <w:autoSpaceDN/>
        <w:bidi w:val="0"/>
        <w:adjustRightInd w:val="0"/>
        <w:snapToGrid w:val="0"/>
        <w:spacing w:before="0" w:line="360" w:lineRule="auto"/>
        <w:ind w:firstLine="480" w:firstLineChars="20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投标文件中价格全部采用人民币报价。报价应是唯一的, 采购代理机构将不接受有选择的报价。</w:t>
      </w:r>
    </w:p>
    <w:p>
      <w:pPr>
        <w:pStyle w:val="9"/>
        <w:snapToGrid w:val="0"/>
        <w:spacing w:line="360" w:lineRule="auto"/>
        <w:ind w:firstLine="480" w:firstLineChars="200"/>
        <w:rPr>
          <w:rFonts w:hint="eastAsia" w:ascii="宋体" w:hAnsi="宋体" w:eastAsia="宋体" w:cs="宋体"/>
          <w:color w:val="auto"/>
          <w:szCs w:val="24"/>
          <w:highlight w:val="none"/>
        </w:rPr>
      </w:pPr>
    </w:p>
    <w:p>
      <w:pPr>
        <w:snapToGrid w:val="0"/>
        <w:spacing w:line="360" w:lineRule="auto"/>
        <w:jc w:val="center"/>
        <w:outlineLvl w:val="1"/>
        <w:rPr>
          <w:rFonts w:hint="eastAsia" w:ascii="宋体" w:hAnsi="宋体" w:eastAsia="宋体" w:cs="宋体"/>
          <w:b/>
          <w:color w:val="auto"/>
          <w:sz w:val="32"/>
          <w:highlight w:val="none"/>
        </w:rPr>
      </w:pPr>
      <w:bookmarkStart w:id="41" w:name="_Hlt75236011"/>
      <w:bookmarkEnd w:id="41"/>
      <w:bookmarkStart w:id="42" w:name="_Toc9544"/>
      <w:bookmarkStart w:id="43" w:name="_Toc91899884"/>
      <w:r>
        <w:rPr>
          <w:rFonts w:hint="eastAsia" w:ascii="宋体" w:hAnsi="宋体" w:eastAsia="宋体" w:cs="宋体"/>
          <w:b/>
          <w:color w:val="auto"/>
          <w:sz w:val="32"/>
          <w:highlight w:val="none"/>
        </w:rPr>
        <w:t>三、投标文件的编制</w:t>
      </w:r>
      <w:bookmarkEnd w:id="42"/>
      <w:bookmarkEnd w:id="43"/>
    </w:p>
    <w:p>
      <w:pPr>
        <w:pStyle w:val="14"/>
        <w:numPr>
          <w:ilvl w:val="0"/>
          <w:numId w:val="9"/>
        </w:numPr>
        <w:spacing w:line="360" w:lineRule="auto"/>
        <w:ind w:left="0" w:leftChars="0" w:firstLine="482" w:firstLineChars="200"/>
        <w:rPr>
          <w:rFonts w:hint="eastAsia" w:ascii="宋体" w:hAnsi="宋体" w:eastAsia="宋体" w:cs="宋体"/>
          <w:b/>
          <w:color w:val="auto"/>
          <w:sz w:val="24"/>
          <w:szCs w:val="24"/>
          <w:highlight w:val="none"/>
        </w:rPr>
      </w:pPr>
      <w:bookmarkStart w:id="44" w:name="_Toc86216991"/>
      <w:bookmarkStart w:id="45" w:name="_Toc91899892"/>
      <w:r>
        <w:rPr>
          <w:rFonts w:hint="eastAsia" w:ascii="宋体" w:hAnsi="宋体" w:eastAsia="宋体" w:cs="宋体"/>
          <w:b/>
          <w:color w:val="auto"/>
          <w:sz w:val="24"/>
          <w:szCs w:val="24"/>
          <w:highlight w:val="none"/>
        </w:rPr>
        <w:t>投标文件的语言</w:t>
      </w:r>
    </w:p>
    <w:p>
      <w:pPr>
        <w:pStyle w:val="51"/>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0" w:line="360" w:lineRule="auto"/>
        <w:ind w:firstLine="480" w:firstLineChars="200"/>
        <w:textAlignment w:val="auto"/>
        <w:rPr>
          <w:rFonts w:hint="eastAsia" w:ascii="宋体" w:hAnsi="宋体" w:eastAsia="宋体" w:cs="宋体"/>
          <w:color w:val="auto"/>
          <w:szCs w:val="24"/>
          <w:highlight w:val="none"/>
          <w:lang w:val="zh-CN"/>
        </w:rPr>
      </w:pPr>
      <w:r>
        <w:rPr>
          <w:rFonts w:hint="eastAsia" w:ascii="宋体" w:hAnsi="宋体" w:eastAsia="宋体" w:cs="宋体"/>
          <w:color w:val="auto"/>
          <w:szCs w:val="24"/>
          <w:highlight w:val="none"/>
        </w:rPr>
        <w:t>投标文件及投标人与采购有关的来往通知、函件和文件均应使用中文。</w:t>
      </w:r>
    </w:p>
    <w:p>
      <w:pPr>
        <w:pStyle w:val="14"/>
        <w:numPr>
          <w:ilvl w:val="0"/>
          <w:numId w:val="9"/>
        </w:numPr>
        <w:spacing w:line="360" w:lineRule="auto"/>
        <w:ind w:left="0" w:leftChars="0"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投标文件的组成</w:t>
      </w:r>
    </w:p>
    <w:p>
      <w:pPr>
        <w:pStyle w:val="51"/>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0" w:line="360" w:lineRule="auto"/>
        <w:ind w:firstLine="480" w:firstLineChars="2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投标文件应当包括以下主要内容：资格文件、</w:t>
      </w:r>
      <w:r>
        <w:rPr>
          <w:rFonts w:hint="eastAsia" w:ascii="宋体" w:hAnsi="宋体" w:eastAsia="宋体" w:cs="宋体"/>
          <w:color w:val="auto"/>
          <w:szCs w:val="24"/>
          <w:highlight w:val="none"/>
          <w:lang w:eastAsia="zh-CN"/>
        </w:rPr>
        <w:t>商务技术</w:t>
      </w:r>
      <w:r>
        <w:rPr>
          <w:rFonts w:hint="eastAsia" w:ascii="宋体" w:hAnsi="宋体" w:eastAsia="宋体" w:cs="宋体"/>
          <w:color w:val="auto"/>
          <w:szCs w:val="24"/>
          <w:highlight w:val="none"/>
        </w:rPr>
        <w:t>文件、报价文件。</w:t>
      </w:r>
    </w:p>
    <w:p>
      <w:pPr>
        <w:pStyle w:val="51"/>
        <w:keepNext w:val="0"/>
        <w:keepLines w:val="0"/>
        <w:pageBreakBefore w:val="0"/>
        <w:widowControl w:val="0"/>
        <w:numPr>
          <w:ilvl w:val="0"/>
          <w:numId w:val="17"/>
        </w:numPr>
        <w:kinsoku/>
        <w:wordWrap/>
        <w:overflowPunct/>
        <w:topLinePunct w:val="0"/>
        <w:autoSpaceDE/>
        <w:autoSpaceDN/>
        <w:bidi w:val="0"/>
        <w:adjustRightInd w:val="0"/>
        <w:snapToGrid/>
        <w:spacing w:before="0" w:line="360" w:lineRule="auto"/>
        <w:ind w:left="0" w:leftChars="0" w:firstLine="480" w:firstLineChars="2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资格文件包括以下内容：</w:t>
      </w:r>
    </w:p>
    <w:p>
      <w:pPr>
        <w:pStyle w:val="51"/>
        <w:numPr>
          <w:ilvl w:val="0"/>
          <w:numId w:val="18"/>
        </w:numPr>
        <w:spacing w:before="0" w:line="360" w:lineRule="auto"/>
        <w:ind w:left="0" w:leftChars="0"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法定代表人授权书（格式见附件）；如法定代表人直接参加投标并对相应文件签字的</w:t>
      </w:r>
      <w:r>
        <w:rPr>
          <w:rFonts w:hint="eastAsia" w:ascii="宋体" w:hAnsi="宋体" w:eastAsia="宋体" w:cs="宋体"/>
          <w:color w:val="auto"/>
          <w:szCs w:val="24"/>
          <w:highlight w:val="none"/>
          <w:lang w:eastAsia="zh-CN"/>
        </w:rPr>
        <w:t>（签字是指线下签字扫描后上传或者线上进行电子签章）</w:t>
      </w:r>
      <w:r>
        <w:rPr>
          <w:rFonts w:hint="eastAsia" w:ascii="宋体" w:hAnsi="宋体" w:eastAsia="宋体" w:cs="宋体"/>
          <w:color w:val="auto"/>
          <w:szCs w:val="24"/>
          <w:highlight w:val="none"/>
        </w:rPr>
        <w:t>，只需提供其身份证复印件，否则则应提供授权代表身份证复印件；</w:t>
      </w:r>
    </w:p>
    <w:p>
      <w:pPr>
        <w:pStyle w:val="51"/>
        <w:numPr>
          <w:ilvl w:val="0"/>
          <w:numId w:val="18"/>
        </w:numPr>
        <w:spacing w:before="0" w:line="360" w:lineRule="auto"/>
        <w:ind w:left="0" w:leftChars="0"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lang w:val="en-US" w:eastAsia="zh-CN"/>
        </w:rPr>
        <w:t>声明书；</w:t>
      </w:r>
    </w:p>
    <w:p>
      <w:pPr>
        <w:pStyle w:val="51"/>
        <w:numPr>
          <w:ilvl w:val="0"/>
          <w:numId w:val="18"/>
        </w:numPr>
        <w:spacing w:before="0" w:line="360" w:lineRule="auto"/>
        <w:ind w:left="0" w:leftChars="0"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营业执照(或事业法人登记证或其他工商等登记证明材料)复印件、税务登记证(或其它缴纳证明材料)复印件、社保登记证（或其它缴纳证明材料）复印件；实施“五证合一、一照一码”登记制度改革的，只需提供改革后取得的营业执照复印件；事业单位的，则提供有效的《事业单位法人证书》副本复印件并加盖单位公章；</w:t>
      </w:r>
    </w:p>
    <w:p>
      <w:pPr>
        <w:pStyle w:val="51"/>
        <w:numPr>
          <w:ilvl w:val="0"/>
          <w:numId w:val="18"/>
        </w:numPr>
        <w:spacing w:before="0" w:line="360" w:lineRule="auto"/>
        <w:ind w:left="0" w:leftChars="0"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w:t>
      </w:r>
      <w:r>
        <w:rPr>
          <w:rFonts w:hint="eastAsia" w:ascii="宋体" w:hAnsi="宋体" w:eastAsia="宋体" w:cs="宋体"/>
          <w:color w:val="auto"/>
          <w:szCs w:val="24"/>
          <w:highlight w:val="none"/>
          <w:lang w:val="en-US" w:eastAsia="zh-CN"/>
        </w:rPr>
        <w:t>国企</w:t>
      </w:r>
      <w:r>
        <w:rPr>
          <w:rFonts w:hint="eastAsia" w:ascii="宋体" w:hAnsi="宋体" w:eastAsia="宋体" w:cs="宋体"/>
          <w:color w:val="auto"/>
          <w:szCs w:val="24"/>
          <w:highlight w:val="none"/>
        </w:rPr>
        <w:t>采购活动，由单位负责人签署相关文件材料；</w:t>
      </w:r>
    </w:p>
    <w:p>
      <w:pPr>
        <w:pStyle w:val="51"/>
        <w:numPr>
          <w:ilvl w:val="0"/>
          <w:numId w:val="18"/>
        </w:numPr>
        <w:spacing w:before="0" w:line="360" w:lineRule="auto"/>
        <w:ind w:left="0" w:leftChars="0"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前一年度资产负债表等财务报表资料文件(新成立的公司，必须提供情况说明)</w:t>
      </w:r>
    </w:p>
    <w:p>
      <w:pPr>
        <w:pStyle w:val="51"/>
        <w:numPr>
          <w:ilvl w:val="0"/>
          <w:numId w:val="18"/>
        </w:numPr>
        <w:spacing w:before="0" w:line="360" w:lineRule="auto"/>
        <w:ind w:left="0" w:leftChars="0"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具有履行合同所必需的产品和专业技术能力的承诺函；</w:t>
      </w:r>
    </w:p>
    <w:p>
      <w:pPr>
        <w:pStyle w:val="51"/>
        <w:numPr>
          <w:ilvl w:val="0"/>
          <w:numId w:val="18"/>
        </w:numPr>
        <w:spacing w:before="0" w:line="360" w:lineRule="auto"/>
        <w:ind w:left="0" w:leftChars="0"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提供有效的依法缴纳税收证明（完税凭证或税务部门出具的证明）和提供有效的依法缴纳社会保障资金证明（缴纳凭证或人社部门出具的证明）；</w:t>
      </w:r>
    </w:p>
    <w:p>
      <w:pPr>
        <w:pStyle w:val="51"/>
        <w:numPr>
          <w:ilvl w:val="0"/>
          <w:numId w:val="18"/>
        </w:numPr>
        <w:spacing w:before="0" w:line="360" w:lineRule="auto"/>
        <w:ind w:left="0" w:leftChars="0"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参加</w:t>
      </w:r>
      <w:r>
        <w:rPr>
          <w:rFonts w:hint="eastAsia" w:ascii="宋体" w:hAnsi="宋体" w:eastAsia="宋体" w:cs="宋体"/>
          <w:color w:val="auto"/>
          <w:szCs w:val="24"/>
          <w:highlight w:val="none"/>
          <w:lang w:val="en-US" w:eastAsia="zh-CN"/>
        </w:rPr>
        <w:t>国企</w:t>
      </w:r>
      <w:r>
        <w:rPr>
          <w:rFonts w:hint="eastAsia" w:ascii="宋体" w:hAnsi="宋体" w:eastAsia="宋体" w:cs="宋体"/>
          <w:color w:val="auto"/>
          <w:szCs w:val="24"/>
          <w:highlight w:val="none"/>
        </w:rPr>
        <w:t>采购活动前三年内，在经营活动中没有重大违法记录的</w:t>
      </w:r>
      <w:r>
        <w:rPr>
          <w:rFonts w:hint="eastAsia" w:ascii="宋体" w:hAnsi="宋体" w:eastAsia="宋体" w:cs="宋体"/>
          <w:color w:val="auto"/>
          <w:szCs w:val="24"/>
          <w:highlight w:val="none"/>
          <w:lang w:eastAsia="zh-CN"/>
        </w:rPr>
        <w:t>声明；</w:t>
      </w:r>
    </w:p>
    <w:p>
      <w:pPr>
        <w:pStyle w:val="51"/>
        <w:numPr>
          <w:ilvl w:val="0"/>
          <w:numId w:val="18"/>
        </w:numPr>
        <w:spacing w:before="0" w:line="360" w:lineRule="auto"/>
        <w:ind w:left="0" w:leftChars="0"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提供采购公告中符合投标人特定条件要求的有效的其他资质复印件并加盖公司公章及需要说明的资料。</w:t>
      </w:r>
    </w:p>
    <w:p>
      <w:pPr>
        <w:pStyle w:val="51"/>
        <w:keepNext w:val="0"/>
        <w:keepLines w:val="0"/>
        <w:pageBreakBefore w:val="0"/>
        <w:widowControl w:val="0"/>
        <w:numPr>
          <w:ilvl w:val="0"/>
          <w:numId w:val="17"/>
        </w:numPr>
        <w:kinsoku/>
        <w:wordWrap/>
        <w:overflowPunct/>
        <w:topLinePunct w:val="0"/>
        <w:autoSpaceDE/>
        <w:autoSpaceDN/>
        <w:bidi w:val="0"/>
        <w:adjustRightInd w:val="0"/>
        <w:snapToGrid/>
        <w:spacing w:before="0" w:line="360" w:lineRule="auto"/>
        <w:ind w:left="0" w:leftChars="0" w:firstLine="480" w:firstLineChars="2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lang w:eastAsia="zh-CN"/>
        </w:rPr>
        <w:t>商务技术</w:t>
      </w:r>
      <w:r>
        <w:rPr>
          <w:rFonts w:hint="eastAsia" w:ascii="宋体" w:hAnsi="宋体" w:eastAsia="宋体" w:cs="宋体"/>
          <w:color w:val="auto"/>
          <w:szCs w:val="24"/>
          <w:highlight w:val="none"/>
        </w:rPr>
        <w:t>文件，本次招标需要投标人提供以下项所列的技术文件</w:t>
      </w:r>
    </w:p>
    <w:p>
      <w:pPr>
        <w:pStyle w:val="51"/>
        <w:numPr>
          <w:ilvl w:val="0"/>
          <w:numId w:val="19"/>
        </w:numPr>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评分对应表（格式见附件，主要用于评委对应评分内容）</w:t>
      </w:r>
      <w:r>
        <w:rPr>
          <w:rFonts w:hint="eastAsia" w:ascii="宋体" w:hAnsi="宋体" w:eastAsia="宋体" w:cs="宋体"/>
          <w:color w:val="auto"/>
          <w:szCs w:val="24"/>
          <w:highlight w:val="none"/>
          <w:lang w:eastAsia="zh-CN"/>
        </w:rPr>
        <w:t>；</w:t>
      </w:r>
    </w:p>
    <w:p>
      <w:pPr>
        <w:pStyle w:val="51"/>
        <w:numPr>
          <w:ilvl w:val="0"/>
          <w:numId w:val="19"/>
        </w:numPr>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投标人商务技术文件中资信分自评表（格式见附件）；</w:t>
      </w:r>
    </w:p>
    <w:p>
      <w:pPr>
        <w:pStyle w:val="51"/>
        <w:numPr>
          <w:ilvl w:val="0"/>
          <w:numId w:val="19"/>
        </w:numPr>
        <w:spacing w:before="0"/>
        <w:ind w:firstLine="480"/>
        <w:rPr>
          <w:rFonts w:hint="eastAsia" w:ascii="宋体" w:hAnsi="宋体" w:eastAsia="宋体" w:cs="宋体"/>
          <w:color w:val="auto"/>
          <w:szCs w:val="24"/>
          <w:highlight w:val="none"/>
        </w:rPr>
      </w:pPr>
      <w:r>
        <w:rPr>
          <w:rFonts w:hint="eastAsia" w:ascii="宋体" w:hAnsi="宋体" w:eastAsia="宋体" w:cs="宋体"/>
          <w:bCs/>
          <w:color w:val="auto"/>
          <w:highlight w:val="none"/>
        </w:rPr>
        <w:t>资信证书</w:t>
      </w:r>
      <w:r>
        <w:rPr>
          <w:rFonts w:hint="eastAsia" w:ascii="宋体" w:hAnsi="宋体" w:eastAsia="宋体" w:cs="宋体"/>
          <w:bCs/>
          <w:color w:val="auto"/>
          <w:highlight w:val="none"/>
          <w:lang w:eastAsia="zh-CN"/>
        </w:rPr>
        <w:t>；</w:t>
      </w:r>
    </w:p>
    <w:p>
      <w:pPr>
        <w:pStyle w:val="51"/>
        <w:numPr>
          <w:ilvl w:val="0"/>
          <w:numId w:val="19"/>
        </w:numPr>
        <w:spacing w:before="0"/>
        <w:ind w:firstLine="480"/>
        <w:rPr>
          <w:rFonts w:hint="eastAsia" w:ascii="宋体" w:hAnsi="宋体" w:eastAsia="宋体" w:cs="宋体"/>
          <w:color w:val="auto"/>
          <w:szCs w:val="24"/>
          <w:highlight w:val="none"/>
        </w:rPr>
      </w:pPr>
      <w:r>
        <w:rPr>
          <w:rFonts w:hint="eastAsia" w:ascii="宋体" w:hAnsi="宋体" w:eastAsia="宋体" w:cs="宋体"/>
          <w:bCs/>
          <w:color w:val="auto"/>
          <w:highlight w:val="none"/>
        </w:rPr>
        <w:t>体系认证</w:t>
      </w:r>
      <w:r>
        <w:rPr>
          <w:rFonts w:hint="eastAsia" w:ascii="宋体" w:hAnsi="宋体" w:eastAsia="宋体" w:cs="宋体"/>
          <w:bCs/>
          <w:color w:val="auto"/>
          <w:highlight w:val="none"/>
          <w:lang w:eastAsia="zh-CN"/>
        </w:rPr>
        <w:t>；</w:t>
      </w:r>
    </w:p>
    <w:p>
      <w:pPr>
        <w:pStyle w:val="51"/>
        <w:numPr>
          <w:ilvl w:val="0"/>
          <w:numId w:val="19"/>
        </w:numPr>
        <w:spacing w:before="0"/>
        <w:ind w:firstLine="480"/>
        <w:rPr>
          <w:rFonts w:hint="eastAsia" w:ascii="宋体" w:hAnsi="宋体" w:eastAsia="宋体" w:cs="宋体"/>
          <w:color w:val="auto"/>
          <w:szCs w:val="24"/>
          <w:highlight w:val="none"/>
        </w:rPr>
      </w:pPr>
      <w:r>
        <w:rPr>
          <w:rFonts w:hint="eastAsia" w:ascii="宋体" w:hAnsi="宋体" w:eastAsia="宋体" w:cs="宋体"/>
          <w:bCs/>
          <w:color w:val="auto"/>
          <w:highlight w:val="none"/>
        </w:rPr>
        <w:t>业绩</w:t>
      </w:r>
      <w:r>
        <w:rPr>
          <w:rFonts w:hint="eastAsia" w:ascii="宋体" w:hAnsi="宋体" w:eastAsia="宋体" w:cs="宋体"/>
          <w:bCs/>
          <w:color w:val="auto"/>
          <w:highlight w:val="none"/>
          <w:lang w:eastAsia="zh-CN"/>
        </w:rPr>
        <w:t>；</w:t>
      </w:r>
    </w:p>
    <w:p>
      <w:pPr>
        <w:pStyle w:val="51"/>
        <w:numPr>
          <w:ilvl w:val="0"/>
          <w:numId w:val="19"/>
        </w:numPr>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投标项目明细清单（含货物、服务等）（格式见附件）；</w:t>
      </w:r>
    </w:p>
    <w:p>
      <w:pPr>
        <w:pStyle w:val="51"/>
        <w:numPr>
          <w:ilvl w:val="0"/>
          <w:numId w:val="19"/>
        </w:numPr>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随机专用工具及备品备件明细表</w:t>
      </w:r>
      <w:r>
        <w:rPr>
          <w:rFonts w:hint="eastAsia" w:ascii="宋体" w:hAnsi="宋体" w:eastAsia="宋体" w:cs="宋体"/>
          <w:color w:val="auto"/>
          <w:szCs w:val="24"/>
          <w:highlight w:val="none"/>
          <w:lang w:eastAsia="zh-CN"/>
        </w:rPr>
        <w:t>；</w:t>
      </w:r>
    </w:p>
    <w:p>
      <w:pPr>
        <w:pStyle w:val="51"/>
        <w:numPr>
          <w:ilvl w:val="0"/>
          <w:numId w:val="19"/>
        </w:numPr>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投标人推荐的供选择的配套零部件及价格表</w:t>
      </w:r>
    </w:p>
    <w:p>
      <w:pPr>
        <w:pStyle w:val="51"/>
        <w:numPr>
          <w:ilvl w:val="0"/>
          <w:numId w:val="19"/>
        </w:numPr>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技术响应及建议表（格式见附件）；</w:t>
      </w:r>
    </w:p>
    <w:p>
      <w:pPr>
        <w:pStyle w:val="51"/>
        <w:numPr>
          <w:ilvl w:val="0"/>
          <w:numId w:val="19"/>
        </w:numPr>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商务响应表（格式见附件）；</w:t>
      </w:r>
    </w:p>
    <w:p>
      <w:pPr>
        <w:pStyle w:val="51"/>
        <w:numPr>
          <w:ilvl w:val="0"/>
          <w:numId w:val="19"/>
        </w:numPr>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产品符合性</w:t>
      </w:r>
      <w:r>
        <w:rPr>
          <w:rFonts w:hint="eastAsia" w:ascii="宋体" w:hAnsi="宋体" w:eastAsia="宋体" w:cs="宋体"/>
          <w:color w:val="auto"/>
          <w:szCs w:val="24"/>
          <w:highlight w:val="none"/>
          <w:lang w:eastAsia="zh-CN"/>
        </w:rPr>
        <w:t>；</w:t>
      </w:r>
    </w:p>
    <w:p>
      <w:pPr>
        <w:pStyle w:val="51"/>
        <w:numPr>
          <w:ilvl w:val="0"/>
          <w:numId w:val="19"/>
        </w:numPr>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产品优劣性</w:t>
      </w:r>
      <w:r>
        <w:rPr>
          <w:rFonts w:hint="eastAsia" w:ascii="宋体" w:hAnsi="宋体" w:eastAsia="宋体" w:cs="宋体"/>
          <w:color w:val="auto"/>
          <w:szCs w:val="24"/>
          <w:highlight w:val="none"/>
          <w:lang w:eastAsia="zh-CN"/>
        </w:rPr>
        <w:t>；</w:t>
      </w:r>
    </w:p>
    <w:p>
      <w:pPr>
        <w:pStyle w:val="51"/>
        <w:numPr>
          <w:ilvl w:val="0"/>
          <w:numId w:val="19"/>
        </w:numPr>
        <w:spacing w:before="0"/>
        <w:ind w:firstLine="480"/>
        <w:rPr>
          <w:rFonts w:hint="eastAsia" w:ascii="宋体" w:hAnsi="宋体" w:eastAsia="宋体" w:cs="宋体"/>
          <w:color w:val="auto"/>
          <w:szCs w:val="24"/>
          <w:highlight w:val="none"/>
        </w:rPr>
      </w:pPr>
      <w:r>
        <w:rPr>
          <w:rFonts w:hint="eastAsia" w:ascii="宋体" w:hAnsi="宋体" w:eastAsia="宋体" w:cs="宋体"/>
          <w:color w:val="auto"/>
          <w:highlight w:val="none"/>
        </w:rPr>
        <w:t>实施方案及合理化建议</w:t>
      </w:r>
      <w:r>
        <w:rPr>
          <w:rFonts w:hint="eastAsia" w:ascii="宋体" w:hAnsi="宋体" w:eastAsia="宋体" w:cs="宋体"/>
          <w:color w:val="auto"/>
          <w:szCs w:val="24"/>
          <w:highlight w:val="none"/>
        </w:rPr>
        <w:t>；</w:t>
      </w:r>
    </w:p>
    <w:p>
      <w:pPr>
        <w:pStyle w:val="51"/>
        <w:numPr>
          <w:ilvl w:val="0"/>
          <w:numId w:val="19"/>
        </w:numPr>
        <w:spacing w:before="0"/>
        <w:ind w:firstLine="480"/>
        <w:rPr>
          <w:rFonts w:hint="eastAsia" w:ascii="宋体" w:hAnsi="宋体" w:eastAsia="宋体" w:cs="宋体"/>
          <w:color w:val="auto"/>
          <w:szCs w:val="24"/>
          <w:highlight w:val="none"/>
        </w:rPr>
      </w:pPr>
      <w:r>
        <w:rPr>
          <w:rFonts w:hint="eastAsia" w:ascii="宋体" w:hAnsi="宋体" w:eastAsia="宋体" w:cs="宋体"/>
          <w:color w:val="auto"/>
          <w:highlight w:val="none"/>
        </w:rPr>
        <w:t>质保期</w:t>
      </w:r>
      <w:r>
        <w:rPr>
          <w:rFonts w:hint="eastAsia" w:ascii="宋体" w:hAnsi="宋体" w:eastAsia="宋体" w:cs="宋体"/>
          <w:color w:val="auto"/>
          <w:szCs w:val="24"/>
          <w:highlight w:val="none"/>
        </w:rPr>
        <w:t>；</w:t>
      </w:r>
    </w:p>
    <w:p>
      <w:pPr>
        <w:pStyle w:val="51"/>
        <w:numPr>
          <w:ilvl w:val="0"/>
          <w:numId w:val="19"/>
        </w:numPr>
        <w:spacing w:before="0"/>
        <w:ind w:firstLine="480"/>
        <w:rPr>
          <w:rFonts w:hint="eastAsia" w:ascii="宋体" w:hAnsi="宋体" w:eastAsia="宋体" w:cs="宋体"/>
          <w:color w:val="auto"/>
          <w:szCs w:val="24"/>
          <w:highlight w:val="none"/>
        </w:rPr>
      </w:pPr>
      <w:r>
        <w:rPr>
          <w:rFonts w:hint="eastAsia" w:ascii="宋体" w:hAnsi="宋体" w:eastAsia="宋体" w:cs="宋体"/>
          <w:color w:val="auto"/>
          <w:highlight w:val="none"/>
        </w:rPr>
        <w:t>售后服务网点</w:t>
      </w:r>
      <w:r>
        <w:rPr>
          <w:rFonts w:hint="eastAsia" w:ascii="宋体" w:hAnsi="宋体" w:eastAsia="宋体" w:cs="宋体"/>
          <w:color w:val="auto"/>
          <w:szCs w:val="24"/>
          <w:highlight w:val="none"/>
        </w:rPr>
        <w:t>；</w:t>
      </w:r>
    </w:p>
    <w:p>
      <w:pPr>
        <w:pStyle w:val="51"/>
        <w:numPr>
          <w:ilvl w:val="0"/>
          <w:numId w:val="19"/>
        </w:numPr>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 xml:space="preserve">投标方认为需要的其他文件资料。  </w:t>
      </w:r>
    </w:p>
    <w:p>
      <w:pPr>
        <w:pStyle w:val="51"/>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0" w:line="360" w:lineRule="auto"/>
        <w:ind w:firstLine="480" w:firstLineChars="2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注：以上内容应与评标办法中内容具有一致性。</w:t>
      </w:r>
    </w:p>
    <w:p>
      <w:pPr>
        <w:pStyle w:val="51"/>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0" w:line="360" w:lineRule="auto"/>
        <w:ind w:firstLine="480" w:firstLineChars="2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如果本项目涉及硬件设备采购，还需提供相关设备完整配置方案（设备名称、品牌、规格型号、数量、主要技术参数等），提供主要投标产品的技术参数证明材料（如官网截图、产品彩页、原厂技术说明等），明确表示该项指标所涉及的软硬件是标准配置还是选择配置。</w:t>
      </w:r>
    </w:p>
    <w:p>
      <w:pPr>
        <w:pStyle w:val="51"/>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0" w:line="360" w:lineRule="auto"/>
        <w:ind w:firstLine="480" w:firstLineChars="2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投标人在投标文件中应对项目技术规范和服务要求中所提出各项要求进行答复、说明和解释。如果投标人在技术偏离表中注明无偏离，评标结束后、签订采购合同前又认为其实际产品与投标技术需求不一致的，视为投标人在投标有效期内对其投标文件进行了实质性修改，其投标将被追认为无效投标。</w:t>
      </w:r>
      <w:r>
        <w:rPr>
          <w:rFonts w:hint="eastAsia" w:ascii="宋体" w:hAnsi="宋体" w:eastAsia="宋体" w:cs="宋体"/>
          <w:b/>
          <w:bCs/>
          <w:color w:val="auto"/>
          <w:szCs w:val="24"/>
          <w:highlight w:val="none"/>
        </w:rPr>
        <w:t>采购代理机构将把这一情况报送采购监管部门。实质性指标、关键性指标和重要指标需提供证明材料，如技术偏离表中仅复制粘贴而未说明或提供证明材料的，其产生的影响直至被认定为未实质性响应的后果将由供应商自行承担。</w:t>
      </w:r>
    </w:p>
    <w:p>
      <w:pPr>
        <w:pStyle w:val="51"/>
        <w:keepNext w:val="0"/>
        <w:keepLines w:val="0"/>
        <w:pageBreakBefore w:val="0"/>
        <w:widowControl w:val="0"/>
        <w:numPr>
          <w:ilvl w:val="0"/>
          <w:numId w:val="17"/>
        </w:numPr>
        <w:kinsoku/>
        <w:wordWrap/>
        <w:overflowPunct/>
        <w:topLinePunct w:val="0"/>
        <w:autoSpaceDE/>
        <w:autoSpaceDN/>
        <w:bidi w:val="0"/>
        <w:adjustRightInd w:val="0"/>
        <w:snapToGrid/>
        <w:spacing w:before="0" w:line="360" w:lineRule="auto"/>
        <w:ind w:left="0" w:leftChars="0" w:firstLine="480" w:firstLineChars="2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报价文件包括以下内容：</w:t>
      </w:r>
    </w:p>
    <w:p>
      <w:pPr>
        <w:pStyle w:val="51"/>
        <w:numPr>
          <w:ilvl w:val="0"/>
          <w:numId w:val="20"/>
        </w:numPr>
        <w:spacing w:before="0" w:line="360" w:lineRule="auto"/>
        <w:ind w:left="0" w:leftChars="0"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投标函（格式见附件）；</w:t>
      </w:r>
    </w:p>
    <w:p>
      <w:pPr>
        <w:pStyle w:val="51"/>
        <w:numPr>
          <w:ilvl w:val="0"/>
          <w:numId w:val="20"/>
        </w:numPr>
        <w:spacing w:before="0" w:line="360" w:lineRule="auto"/>
        <w:ind w:left="0" w:leftChars="0"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开标一览表（格式见附件）；</w:t>
      </w:r>
    </w:p>
    <w:p>
      <w:pPr>
        <w:pStyle w:val="51"/>
        <w:numPr>
          <w:ilvl w:val="0"/>
          <w:numId w:val="20"/>
        </w:numPr>
        <w:spacing w:before="0" w:line="360" w:lineRule="auto"/>
        <w:ind w:left="0" w:leftChars="0"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投标报价明细表（格式见附件）</w:t>
      </w:r>
      <w:r>
        <w:rPr>
          <w:rFonts w:hint="eastAsia" w:eastAsia="宋体" w:cs="宋体"/>
          <w:color w:val="auto"/>
          <w:szCs w:val="24"/>
          <w:highlight w:val="none"/>
          <w:lang w:eastAsia="zh-CN"/>
        </w:rPr>
        <w:t>。</w:t>
      </w:r>
    </w:p>
    <w:p>
      <w:pPr>
        <w:pStyle w:val="14"/>
        <w:numPr>
          <w:ilvl w:val="0"/>
          <w:numId w:val="9"/>
        </w:numPr>
        <w:spacing w:line="360" w:lineRule="auto"/>
        <w:ind w:left="0" w:leftChars="0" w:firstLine="482" w:firstLineChars="200"/>
        <w:rPr>
          <w:rFonts w:hint="eastAsia" w:ascii="宋体" w:hAnsi="宋体" w:eastAsia="宋体" w:cs="宋体"/>
          <w:b/>
          <w:color w:val="auto"/>
          <w:sz w:val="24"/>
          <w:szCs w:val="24"/>
          <w:highlight w:val="none"/>
        </w:rPr>
      </w:pPr>
      <w:bookmarkStart w:id="46" w:name="_Toc91899887"/>
      <w:r>
        <w:rPr>
          <w:rFonts w:hint="eastAsia" w:ascii="宋体" w:hAnsi="宋体" w:eastAsia="宋体" w:cs="宋体"/>
          <w:b/>
          <w:color w:val="auto"/>
          <w:sz w:val="24"/>
          <w:szCs w:val="24"/>
          <w:highlight w:val="none"/>
        </w:rPr>
        <w:t>投标有效期</w:t>
      </w:r>
    </w:p>
    <w:p>
      <w:pPr>
        <w:pStyle w:val="51"/>
        <w:keepNext w:val="0"/>
        <w:keepLines w:val="0"/>
        <w:pageBreakBefore w:val="0"/>
        <w:widowControl w:val="0"/>
        <w:numPr>
          <w:ilvl w:val="0"/>
          <w:numId w:val="21"/>
        </w:numPr>
        <w:kinsoku/>
        <w:wordWrap/>
        <w:overflowPunct/>
        <w:topLinePunct w:val="0"/>
        <w:autoSpaceDE/>
        <w:autoSpaceDN/>
        <w:bidi w:val="0"/>
        <w:adjustRightInd w:val="0"/>
        <w:snapToGrid/>
        <w:spacing w:before="0" w:line="360" w:lineRule="auto"/>
        <w:ind w:left="0" w:leftChars="0" w:firstLine="480" w:firstLineChars="200"/>
        <w:textAlignment w:val="auto"/>
        <w:rPr>
          <w:rFonts w:hint="eastAsia" w:ascii="宋体" w:hAnsi="宋体" w:eastAsia="宋体" w:cs="宋体"/>
          <w:b w:val="0"/>
          <w:bCs w:val="0"/>
          <w:color w:val="auto"/>
          <w:szCs w:val="24"/>
          <w:highlight w:val="none"/>
        </w:rPr>
      </w:pPr>
      <w:r>
        <w:rPr>
          <w:rFonts w:hint="eastAsia" w:ascii="宋体" w:hAnsi="宋体" w:eastAsia="宋体" w:cs="宋体"/>
          <w:b w:val="0"/>
          <w:bCs w:val="0"/>
          <w:color w:val="auto"/>
          <w:sz w:val="24"/>
          <w:highlight w:val="none"/>
        </w:rPr>
        <w:t>投标文件未在投标截止时间前完成传输的</w:t>
      </w:r>
      <w:r>
        <w:rPr>
          <w:rFonts w:hint="eastAsia" w:ascii="宋体" w:hAnsi="宋体" w:eastAsia="宋体" w:cs="宋体"/>
          <w:b w:val="0"/>
          <w:bCs w:val="0"/>
          <w:color w:val="auto"/>
          <w:sz w:val="24"/>
          <w:highlight w:val="none"/>
          <w:lang w:eastAsia="zh-CN"/>
        </w:rPr>
        <w:t>或者未按时解密的</w:t>
      </w:r>
      <w:r>
        <w:rPr>
          <w:rFonts w:hint="eastAsia" w:ascii="宋体" w:hAnsi="宋体" w:eastAsia="宋体" w:cs="宋体"/>
          <w:b w:val="0"/>
          <w:bCs w:val="0"/>
          <w:color w:val="auto"/>
          <w:sz w:val="24"/>
          <w:highlight w:val="none"/>
        </w:rPr>
        <w:t>，视为</w:t>
      </w:r>
      <w:r>
        <w:rPr>
          <w:rFonts w:hint="eastAsia" w:ascii="宋体" w:hAnsi="宋体" w:eastAsia="宋体" w:cs="宋体"/>
          <w:b w:val="0"/>
          <w:bCs w:val="0"/>
          <w:color w:val="auto"/>
          <w:sz w:val="24"/>
          <w:highlight w:val="none"/>
          <w:lang w:eastAsia="zh-CN"/>
        </w:rPr>
        <w:t>放弃投标</w:t>
      </w:r>
      <w:r>
        <w:rPr>
          <w:rFonts w:hint="eastAsia" w:ascii="宋体" w:hAnsi="宋体" w:eastAsia="宋体" w:cs="宋体"/>
          <w:b w:val="0"/>
          <w:bCs w:val="0"/>
          <w:color w:val="auto"/>
          <w:sz w:val="24"/>
          <w:highlight w:val="none"/>
        </w:rPr>
        <w:t>；</w:t>
      </w:r>
      <w:r>
        <w:rPr>
          <w:rFonts w:hint="eastAsia" w:ascii="宋体" w:hAnsi="宋体" w:eastAsia="宋体" w:cs="宋体"/>
          <w:b w:val="0"/>
          <w:bCs w:val="0"/>
          <w:color w:val="auto"/>
          <w:sz w:val="24"/>
          <w:highlight w:val="none"/>
          <w:lang w:eastAsia="zh-CN"/>
        </w:rPr>
        <w:t>投标文件解密失败后未提供备份文件或者备份文件也出现异常情况无法进行评审的</w:t>
      </w:r>
      <w:r>
        <w:rPr>
          <w:rFonts w:hint="eastAsia" w:ascii="宋体" w:hAnsi="宋体" w:eastAsia="宋体" w:cs="宋体"/>
          <w:b w:val="0"/>
          <w:bCs w:val="0"/>
          <w:color w:val="auto"/>
          <w:sz w:val="24"/>
          <w:highlight w:val="none"/>
        </w:rPr>
        <w:t>，亦视为</w:t>
      </w:r>
      <w:r>
        <w:rPr>
          <w:rFonts w:hint="eastAsia" w:ascii="宋体" w:hAnsi="宋体" w:eastAsia="宋体" w:cs="宋体"/>
          <w:b w:val="0"/>
          <w:bCs w:val="0"/>
          <w:color w:val="auto"/>
          <w:sz w:val="24"/>
          <w:highlight w:val="none"/>
          <w:lang w:eastAsia="zh-CN"/>
        </w:rPr>
        <w:t>放弃投标</w:t>
      </w:r>
      <w:r>
        <w:rPr>
          <w:rFonts w:hint="eastAsia" w:ascii="宋体" w:hAnsi="宋体" w:eastAsia="宋体" w:cs="宋体"/>
          <w:b w:val="0"/>
          <w:bCs w:val="0"/>
          <w:color w:val="auto"/>
          <w:sz w:val="24"/>
          <w:highlight w:val="none"/>
        </w:rPr>
        <w:t>。</w:t>
      </w:r>
    </w:p>
    <w:p>
      <w:pPr>
        <w:pStyle w:val="51"/>
        <w:keepNext w:val="0"/>
        <w:keepLines w:val="0"/>
        <w:pageBreakBefore w:val="0"/>
        <w:widowControl w:val="0"/>
        <w:numPr>
          <w:ilvl w:val="0"/>
          <w:numId w:val="21"/>
        </w:numPr>
        <w:kinsoku/>
        <w:wordWrap/>
        <w:overflowPunct/>
        <w:topLinePunct w:val="0"/>
        <w:autoSpaceDE/>
        <w:autoSpaceDN/>
        <w:bidi w:val="0"/>
        <w:adjustRightInd w:val="0"/>
        <w:snapToGrid/>
        <w:spacing w:before="0" w:line="360" w:lineRule="auto"/>
        <w:ind w:left="0" w:leftChars="0" w:firstLine="480" w:firstLineChars="2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投标文件</w:t>
      </w:r>
      <w:r>
        <w:rPr>
          <w:rFonts w:hint="eastAsia" w:ascii="宋体" w:hAnsi="宋体" w:eastAsia="宋体" w:cs="宋体"/>
          <w:color w:val="auto"/>
          <w:szCs w:val="24"/>
          <w:highlight w:val="none"/>
          <w:lang w:eastAsia="zh-CN"/>
        </w:rPr>
        <w:t>上传</w:t>
      </w:r>
      <w:r>
        <w:rPr>
          <w:rFonts w:hint="eastAsia" w:ascii="宋体" w:hAnsi="宋体" w:eastAsia="宋体" w:cs="宋体"/>
          <w:color w:val="auto"/>
          <w:szCs w:val="24"/>
          <w:highlight w:val="none"/>
        </w:rPr>
        <w:t>后，自投标截止日期起，在前附表所列的投标有效期内有效。</w:t>
      </w:r>
    </w:p>
    <w:p>
      <w:pPr>
        <w:pStyle w:val="51"/>
        <w:keepNext w:val="0"/>
        <w:keepLines w:val="0"/>
        <w:pageBreakBefore w:val="0"/>
        <w:widowControl w:val="0"/>
        <w:numPr>
          <w:ilvl w:val="0"/>
          <w:numId w:val="21"/>
        </w:numPr>
        <w:kinsoku/>
        <w:wordWrap/>
        <w:overflowPunct/>
        <w:topLinePunct w:val="0"/>
        <w:autoSpaceDE/>
        <w:autoSpaceDN/>
        <w:bidi w:val="0"/>
        <w:adjustRightInd w:val="0"/>
        <w:snapToGrid/>
        <w:spacing w:before="0" w:line="360" w:lineRule="auto"/>
        <w:ind w:left="0" w:leftChars="0" w:firstLine="480" w:firstLineChars="2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在原定投标有效期满之前，如果出现特殊情况，采购代理机构可以以书面形式通知投标人延长投标有效期。</w:t>
      </w:r>
    </w:p>
    <w:p>
      <w:pPr>
        <w:pStyle w:val="14"/>
        <w:numPr>
          <w:ilvl w:val="0"/>
          <w:numId w:val="9"/>
        </w:numPr>
        <w:spacing w:line="360" w:lineRule="auto"/>
        <w:ind w:left="0" w:leftChars="0"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投标人如有下列情况之一者列入不良行为记录：</w:t>
      </w:r>
    </w:p>
    <w:p>
      <w:pPr>
        <w:pStyle w:val="51"/>
        <w:keepNext w:val="0"/>
        <w:keepLines w:val="0"/>
        <w:pageBreakBefore w:val="0"/>
        <w:widowControl w:val="0"/>
        <w:numPr>
          <w:ilvl w:val="0"/>
          <w:numId w:val="22"/>
        </w:numPr>
        <w:kinsoku/>
        <w:wordWrap/>
        <w:overflowPunct/>
        <w:topLinePunct w:val="0"/>
        <w:autoSpaceDE/>
        <w:autoSpaceDN/>
        <w:bidi w:val="0"/>
        <w:adjustRightInd w:val="0"/>
        <w:snapToGrid/>
        <w:spacing w:before="0" w:line="360" w:lineRule="auto"/>
        <w:ind w:left="0" w:leftChars="0" w:firstLine="480" w:firstLineChars="2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投标人在投标有效期内撤回投标的；</w:t>
      </w:r>
    </w:p>
    <w:p>
      <w:pPr>
        <w:pStyle w:val="51"/>
        <w:keepNext w:val="0"/>
        <w:keepLines w:val="0"/>
        <w:pageBreakBefore w:val="0"/>
        <w:widowControl w:val="0"/>
        <w:numPr>
          <w:ilvl w:val="0"/>
          <w:numId w:val="22"/>
        </w:numPr>
        <w:kinsoku/>
        <w:wordWrap/>
        <w:overflowPunct/>
        <w:topLinePunct w:val="0"/>
        <w:autoSpaceDE/>
        <w:autoSpaceDN/>
        <w:bidi w:val="0"/>
        <w:adjustRightInd w:val="0"/>
        <w:snapToGrid/>
        <w:spacing w:before="0" w:line="360" w:lineRule="auto"/>
        <w:ind w:left="0" w:leftChars="0" w:firstLine="480" w:firstLineChars="2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中标人或中标候选人放弃中标或中标候选人资格的；</w:t>
      </w:r>
    </w:p>
    <w:p>
      <w:pPr>
        <w:pStyle w:val="51"/>
        <w:keepNext w:val="0"/>
        <w:keepLines w:val="0"/>
        <w:pageBreakBefore w:val="0"/>
        <w:widowControl w:val="0"/>
        <w:numPr>
          <w:ilvl w:val="0"/>
          <w:numId w:val="22"/>
        </w:numPr>
        <w:kinsoku/>
        <w:wordWrap/>
        <w:overflowPunct/>
        <w:topLinePunct w:val="0"/>
        <w:autoSpaceDE/>
        <w:autoSpaceDN/>
        <w:bidi w:val="0"/>
        <w:adjustRightInd w:val="0"/>
        <w:snapToGrid/>
        <w:spacing w:before="0" w:line="360" w:lineRule="auto"/>
        <w:ind w:left="0" w:leftChars="0" w:firstLine="480" w:firstLineChars="2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擅自修改或拒绝接受已经确认的条款；</w:t>
      </w:r>
    </w:p>
    <w:p>
      <w:pPr>
        <w:pStyle w:val="51"/>
        <w:keepNext w:val="0"/>
        <w:keepLines w:val="0"/>
        <w:pageBreakBefore w:val="0"/>
        <w:widowControl w:val="0"/>
        <w:numPr>
          <w:ilvl w:val="0"/>
          <w:numId w:val="22"/>
        </w:numPr>
        <w:kinsoku/>
        <w:wordWrap/>
        <w:overflowPunct/>
        <w:topLinePunct w:val="0"/>
        <w:autoSpaceDE/>
        <w:autoSpaceDN/>
        <w:bidi w:val="0"/>
        <w:adjustRightInd w:val="0"/>
        <w:snapToGrid/>
        <w:spacing w:before="0" w:line="360" w:lineRule="auto"/>
        <w:ind w:left="0" w:leftChars="0" w:firstLine="480" w:firstLineChars="2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中标人未按规定与采购人签订合同；</w:t>
      </w:r>
    </w:p>
    <w:p>
      <w:pPr>
        <w:pStyle w:val="51"/>
        <w:keepNext w:val="0"/>
        <w:keepLines w:val="0"/>
        <w:pageBreakBefore w:val="0"/>
        <w:widowControl w:val="0"/>
        <w:numPr>
          <w:ilvl w:val="0"/>
          <w:numId w:val="22"/>
        </w:numPr>
        <w:kinsoku/>
        <w:wordWrap/>
        <w:overflowPunct/>
        <w:topLinePunct w:val="0"/>
        <w:autoSpaceDE/>
        <w:autoSpaceDN/>
        <w:bidi w:val="0"/>
        <w:adjustRightInd w:val="0"/>
        <w:snapToGrid/>
        <w:spacing w:before="0" w:line="360" w:lineRule="auto"/>
        <w:ind w:left="0" w:leftChars="0" w:firstLine="480" w:firstLineChars="2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未按规定提供履约保证金；</w:t>
      </w:r>
    </w:p>
    <w:p>
      <w:pPr>
        <w:pStyle w:val="51"/>
        <w:keepNext w:val="0"/>
        <w:keepLines w:val="0"/>
        <w:pageBreakBefore w:val="0"/>
        <w:widowControl w:val="0"/>
        <w:numPr>
          <w:ilvl w:val="0"/>
          <w:numId w:val="22"/>
        </w:numPr>
        <w:kinsoku/>
        <w:wordWrap/>
        <w:overflowPunct/>
        <w:topLinePunct w:val="0"/>
        <w:autoSpaceDE/>
        <w:autoSpaceDN/>
        <w:bidi w:val="0"/>
        <w:adjustRightInd w:val="0"/>
        <w:snapToGrid/>
        <w:spacing w:before="0" w:line="360" w:lineRule="auto"/>
        <w:ind w:left="0" w:leftChars="0" w:firstLine="480" w:firstLineChars="2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投标人采取提供虚假资料等不正当手段的；</w:t>
      </w:r>
    </w:p>
    <w:p>
      <w:pPr>
        <w:pStyle w:val="51"/>
        <w:keepNext w:val="0"/>
        <w:keepLines w:val="0"/>
        <w:pageBreakBefore w:val="0"/>
        <w:widowControl w:val="0"/>
        <w:numPr>
          <w:ilvl w:val="0"/>
          <w:numId w:val="22"/>
        </w:numPr>
        <w:kinsoku/>
        <w:wordWrap/>
        <w:overflowPunct/>
        <w:topLinePunct w:val="0"/>
        <w:autoSpaceDE/>
        <w:autoSpaceDN/>
        <w:bidi w:val="0"/>
        <w:adjustRightInd w:val="0"/>
        <w:snapToGrid/>
        <w:spacing w:before="0" w:line="360" w:lineRule="auto"/>
        <w:ind w:left="0" w:leftChars="0" w:firstLine="480" w:firstLineChars="2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投标人在投标过程中串通投标的。</w:t>
      </w:r>
    </w:p>
    <w:p>
      <w:pPr>
        <w:pStyle w:val="14"/>
        <w:numPr>
          <w:ilvl w:val="0"/>
          <w:numId w:val="9"/>
        </w:numPr>
        <w:spacing w:line="360" w:lineRule="auto"/>
        <w:ind w:left="0" w:leftChars="0"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投标文件的编制和签署</w:t>
      </w:r>
    </w:p>
    <w:bookmarkEnd w:id="46"/>
    <w:p>
      <w:pPr>
        <w:pStyle w:val="51"/>
        <w:keepNext w:val="0"/>
        <w:keepLines w:val="0"/>
        <w:pageBreakBefore w:val="0"/>
        <w:widowControl w:val="0"/>
        <w:numPr>
          <w:ilvl w:val="0"/>
          <w:numId w:val="23"/>
        </w:numPr>
        <w:kinsoku/>
        <w:wordWrap/>
        <w:overflowPunct/>
        <w:topLinePunct w:val="0"/>
        <w:autoSpaceDE/>
        <w:autoSpaceDN/>
        <w:bidi w:val="0"/>
        <w:adjustRightInd w:val="0"/>
        <w:snapToGrid/>
        <w:spacing w:before="0" w:line="360" w:lineRule="auto"/>
        <w:ind w:left="0" w:leftChars="0" w:firstLine="480" w:firstLineChars="200"/>
        <w:textAlignment w:val="auto"/>
        <w:rPr>
          <w:rFonts w:hint="eastAsia" w:ascii="宋体" w:hAnsi="宋体" w:eastAsia="宋体" w:cs="宋体"/>
          <w:color w:val="auto"/>
          <w:szCs w:val="24"/>
          <w:highlight w:val="none"/>
        </w:rPr>
      </w:pPr>
      <w:r>
        <w:rPr>
          <w:rFonts w:hint="eastAsia" w:ascii="宋体" w:hAnsi="宋体" w:eastAsia="宋体" w:cs="宋体"/>
          <w:color w:val="auto"/>
          <w:sz w:val="24"/>
          <w:highlight w:val="none"/>
        </w:rPr>
        <w:t>按招标文件</w:t>
      </w:r>
      <w:r>
        <w:rPr>
          <w:rFonts w:hint="eastAsia" w:ascii="宋体" w:hAnsi="宋体" w:eastAsia="宋体" w:cs="宋体"/>
          <w:color w:val="auto"/>
          <w:sz w:val="24"/>
          <w:highlight w:val="none"/>
          <w:lang w:val="en-US" w:eastAsia="zh-CN"/>
        </w:rPr>
        <w:t>9</w:t>
      </w:r>
      <w:r>
        <w:rPr>
          <w:rFonts w:hint="eastAsia" w:ascii="宋体" w:hAnsi="宋体" w:eastAsia="宋体" w:cs="宋体"/>
          <w:color w:val="auto"/>
          <w:sz w:val="24"/>
          <w:highlight w:val="none"/>
        </w:rPr>
        <w:t>.1条、</w:t>
      </w:r>
      <w:r>
        <w:rPr>
          <w:rFonts w:hint="eastAsia" w:ascii="宋体" w:hAnsi="宋体" w:eastAsia="宋体" w:cs="宋体"/>
          <w:color w:val="auto"/>
          <w:sz w:val="24"/>
          <w:highlight w:val="none"/>
          <w:lang w:val="en-US" w:eastAsia="zh-CN"/>
        </w:rPr>
        <w:t>9</w:t>
      </w:r>
      <w:r>
        <w:rPr>
          <w:rFonts w:hint="eastAsia" w:ascii="宋体" w:hAnsi="宋体" w:eastAsia="宋体" w:cs="宋体"/>
          <w:color w:val="auto"/>
          <w:sz w:val="24"/>
          <w:highlight w:val="none"/>
        </w:rPr>
        <w:t>.2条、</w:t>
      </w:r>
      <w:r>
        <w:rPr>
          <w:rFonts w:hint="eastAsia" w:ascii="宋体" w:hAnsi="宋体" w:eastAsia="宋体" w:cs="宋体"/>
          <w:color w:val="auto"/>
          <w:sz w:val="24"/>
          <w:highlight w:val="none"/>
          <w:lang w:val="en-US" w:eastAsia="zh-CN"/>
        </w:rPr>
        <w:t>9</w:t>
      </w:r>
      <w:r>
        <w:rPr>
          <w:rFonts w:hint="eastAsia" w:ascii="宋体" w:hAnsi="宋体" w:eastAsia="宋体" w:cs="宋体"/>
          <w:color w:val="auto"/>
          <w:sz w:val="24"/>
          <w:highlight w:val="none"/>
        </w:rPr>
        <w:t>.3条要求提供的各种文件，投标文件分为资格文件、</w:t>
      </w:r>
      <w:r>
        <w:rPr>
          <w:rFonts w:hint="eastAsia" w:ascii="宋体" w:hAnsi="宋体" w:eastAsia="宋体" w:cs="宋体"/>
          <w:color w:val="auto"/>
          <w:sz w:val="24"/>
          <w:highlight w:val="none"/>
          <w:lang w:eastAsia="zh-CN"/>
        </w:rPr>
        <w:t>商务技术</w:t>
      </w:r>
      <w:r>
        <w:rPr>
          <w:rFonts w:hint="eastAsia" w:ascii="宋体" w:hAnsi="宋体" w:eastAsia="宋体" w:cs="宋体"/>
          <w:color w:val="auto"/>
          <w:sz w:val="24"/>
          <w:highlight w:val="none"/>
        </w:rPr>
        <w:t>文件和报价文件</w:t>
      </w:r>
      <w:r>
        <w:rPr>
          <w:rFonts w:hint="eastAsia" w:ascii="宋体" w:hAnsi="宋体" w:eastAsia="宋体" w:cs="宋体"/>
          <w:color w:val="auto"/>
          <w:sz w:val="24"/>
          <w:highlight w:val="none"/>
          <w:lang w:eastAsia="zh-CN"/>
        </w:rPr>
        <w:t>三</w:t>
      </w:r>
      <w:r>
        <w:rPr>
          <w:rFonts w:hint="eastAsia" w:ascii="宋体" w:hAnsi="宋体" w:eastAsia="宋体" w:cs="宋体"/>
          <w:color w:val="auto"/>
          <w:sz w:val="24"/>
          <w:highlight w:val="none"/>
        </w:rPr>
        <w:t>部分</w:t>
      </w:r>
      <w:r>
        <w:rPr>
          <w:rFonts w:hint="eastAsia" w:ascii="宋体" w:hAnsi="宋体" w:eastAsia="宋体" w:cs="宋体"/>
          <w:color w:val="auto"/>
          <w:sz w:val="24"/>
          <w:highlight w:val="none"/>
          <w:lang w:eastAsia="zh-CN"/>
        </w:rPr>
        <w:t>。</w:t>
      </w:r>
    </w:p>
    <w:p>
      <w:pPr>
        <w:pStyle w:val="51"/>
        <w:keepNext w:val="0"/>
        <w:keepLines w:val="0"/>
        <w:pageBreakBefore w:val="0"/>
        <w:widowControl w:val="0"/>
        <w:numPr>
          <w:ilvl w:val="0"/>
          <w:numId w:val="23"/>
        </w:numPr>
        <w:kinsoku/>
        <w:wordWrap/>
        <w:overflowPunct/>
        <w:topLinePunct w:val="0"/>
        <w:autoSpaceDE/>
        <w:autoSpaceDN/>
        <w:bidi w:val="0"/>
        <w:adjustRightInd w:val="0"/>
        <w:snapToGrid/>
        <w:spacing w:before="0" w:line="360" w:lineRule="auto"/>
        <w:ind w:left="0" w:leftChars="0" w:firstLine="480" w:firstLineChars="2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投标文件须按附件格式要求进行电子签章，投标人应写全称。（电子投标文件中所须加盖公章部分均应采用电子签章）</w:t>
      </w:r>
    </w:p>
    <w:p>
      <w:pPr>
        <w:pStyle w:val="51"/>
        <w:keepNext w:val="0"/>
        <w:keepLines w:val="0"/>
        <w:pageBreakBefore w:val="0"/>
        <w:widowControl w:val="0"/>
        <w:numPr>
          <w:ilvl w:val="0"/>
          <w:numId w:val="23"/>
        </w:numPr>
        <w:kinsoku/>
        <w:wordWrap/>
        <w:overflowPunct/>
        <w:topLinePunct w:val="0"/>
        <w:autoSpaceDE/>
        <w:autoSpaceDN/>
        <w:bidi w:val="0"/>
        <w:adjustRightInd w:val="0"/>
        <w:snapToGrid/>
        <w:spacing w:before="0" w:line="360" w:lineRule="auto"/>
        <w:ind w:left="0" w:leftChars="0" w:firstLine="480" w:firstLineChars="2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全套投标文件应无涂改和行间插字，除非这些删改是根据采购代理机构要求进行，或者是投标人造成的必须修改的错误。所修改处应由法定代表人或其授权代表签字盖章予以确认。</w:t>
      </w:r>
    </w:p>
    <w:p>
      <w:pPr>
        <w:pStyle w:val="51"/>
        <w:keepNext w:val="0"/>
        <w:keepLines w:val="0"/>
        <w:pageBreakBefore w:val="0"/>
        <w:widowControl w:val="0"/>
        <w:numPr>
          <w:ilvl w:val="0"/>
          <w:numId w:val="23"/>
        </w:numPr>
        <w:kinsoku/>
        <w:wordWrap/>
        <w:overflowPunct/>
        <w:topLinePunct w:val="0"/>
        <w:autoSpaceDE/>
        <w:autoSpaceDN/>
        <w:bidi w:val="0"/>
        <w:adjustRightInd w:val="0"/>
        <w:snapToGrid/>
        <w:spacing w:before="0" w:line="360" w:lineRule="auto"/>
        <w:ind w:left="0" w:leftChars="0" w:firstLine="480" w:firstLineChars="2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由于字迹模糊或表达不清引起的后果由投标人负责。</w:t>
      </w:r>
    </w:p>
    <w:p>
      <w:pPr>
        <w:pStyle w:val="14"/>
        <w:numPr>
          <w:ilvl w:val="0"/>
          <w:numId w:val="9"/>
        </w:numPr>
        <w:spacing w:line="360" w:lineRule="auto"/>
        <w:ind w:left="0" w:leftChars="0"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 投标文件的</w:t>
      </w:r>
      <w:r>
        <w:rPr>
          <w:rFonts w:hint="eastAsia" w:ascii="宋体" w:hAnsi="宋体" w:eastAsia="宋体" w:cs="宋体"/>
          <w:b/>
          <w:color w:val="auto"/>
          <w:sz w:val="24"/>
          <w:szCs w:val="24"/>
          <w:highlight w:val="none"/>
          <w:lang w:eastAsia="zh-CN"/>
        </w:rPr>
        <w:t>形式</w:t>
      </w:r>
    </w:p>
    <w:p>
      <w:pPr>
        <w:autoSpaceDE w:val="0"/>
        <w:autoSpaceDN w:val="0"/>
        <w:spacing w:line="360" w:lineRule="auto"/>
        <w:ind w:firstLine="480" w:firstLineChars="200"/>
        <w:textAlignment w:val="bottom"/>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2"/>
          <w:sz w:val="24"/>
          <w:szCs w:val="21"/>
          <w:highlight w:val="none"/>
          <w:lang w:val="en-US" w:eastAsia="zh-CN" w:bidi="ar-SA"/>
        </w:rPr>
        <w:t>投标文件为电子投标文件，电子投标文件按“政采云供应商项目采购-电子招投标操作指南”及本招标文件要求制作、加密传输。</w:t>
      </w:r>
      <w:r>
        <w:rPr>
          <w:rFonts w:hint="eastAsia" w:ascii="宋体" w:hAnsi="宋体" w:eastAsia="宋体" w:cs="宋体"/>
          <w:b w:val="0"/>
          <w:bCs w:val="0"/>
          <w:color w:val="auto"/>
          <w:sz w:val="24"/>
          <w:szCs w:val="24"/>
          <w:highlight w:val="none"/>
        </w:rPr>
        <w:t xml:space="preserve"> </w:t>
      </w:r>
    </w:p>
    <w:p>
      <w:pPr>
        <w:spacing w:line="360" w:lineRule="auto"/>
        <w:jc w:val="center"/>
        <w:rPr>
          <w:rFonts w:hint="eastAsia" w:ascii="宋体" w:hAnsi="宋体" w:eastAsia="宋体" w:cs="宋体"/>
          <w:b/>
          <w:color w:val="auto"/>
          <w:sz w:val="24"/>
          <w:highlight w:val="none"/>
        </w:rPr>
      </w:pPr>
    </w:p>
    <w:p>
      <w:pPr>
        <w:snapToGrid w:val="0"/>
        <w:spacing w:line="360" w:lineRule="auto"/>
        <w:jc w:val="center"/>
        <w:outlineLvl w:val="1"/>
        <w:rPr>
          <w:rFonts w:hint="eastAsia" w:ascii="宋体" w:hAnsi="宋体" w:eastAsia="宋体" w:cs="宋体"/>
          <w:b/>
          <w:color w:val="auto"/>
          <w:sz w:val="32"/>
          <w:highlight w:val="none"/>
        </w:rPr>
      </w:pPr>
      <w:bookmarkStart w:id="47" w:name="_Toc14793"/>
      <w:r>
        <w:rPr>
          <w:rFonts w:hint="eastAsia" w:ascii="宋体" w:hAnsi="宋体" w:eastAsia="宋体" w:cs="宋体"/>
          <w:b/>
          <w:color w:val="auto"/>
          <w:sz w:val="32"/>
          <w:highlight w:val="none"/>
        </w:rPr>
        <w:t>四、投标文件的递交</w:t>
      </w:r>
      <w:bookmarkEnd w:id="44"/>
      <w:bookmarkEnd w:id="47"/>
    </w:p>
    <w:bookmarkEnd w:id="45"/>
    <w:p>
      <w:pPr>
        <w:pStyle w:val="14"/>
        <w:numPr>
          <w:ilvl w:val="0"/>
          <w:numId w:val="9"/>
        </w:numPr>
        <w:spacing w:line="360" w:lineRule="auto"/>
        <w:ind w:left="0" w:leftChars="0" w:firstLine="482" w:firstLineChars="200"/>
        <w:rPr>
          <w:rFonts w:hint="eastAsia" w:ascii="宋体" w:hAnsi="宋体" w:eastAsia="宋体" w:cs="宋体"/>
          <w:b/>
          <w:color w:val="auto"/>
          <w:sz w:val="24"/>
          <w:szCs w:val="24"/>
          <w:highlight w:val="none"/>
        </w:rPr>
      </w:pPr>
      <w:bookmarkStart w:id="48" w:name="第三部分"/>
      <w:bookmarkStart w:id="49" w:name="_Toc164416483"/>
      <w:r>
        <w:rPr>
          <w:rFonts w:hint="eastAsia" w:ascii="宋体" w:hAnsi="宋体" w:eastAsia="宋体" w:cs="宋体"/>
          <w:b/>
          <w:color w:val="auto"/>
          <w:sz w:val="24"/>
          <w:szCs w:val="24"/>
          <w:highlight w:val="none"/>
        </w:rPr>
        <w:t>投标截止期</w:t>
      </w:r>
    </w:p>
    <w:p>
      <w:pPr>
        <w:pStyle w:val="51"/>
        <w:keepNext w:val="0"/>
        <w:keepLines w:val="0"/>
        <w:pageBreakBefore w:val="0"/>
        <w:widowControl w:val="0"/>
        <w:numPr>
          <w:ilvl w:val="0"/>
          <w:numId w:val="24"/>
        </w:numPr>
        <w:kinsoku/>
        <w:wordWrap/>
        <w:overflowPunct/>
        <w:topLinePunct w:val="0"/>
        <w:autoSpaceDE/>
        <w:autoSpaceDN/>
        <w:bidi w:val="0"/>
        <w:adjustRightInd w:val="0"/>
        <w:snapToGrid/>
        <w:spacing w:before="0" w:line="360" w:lineRule="auto"/>
        <w:ind w:left="0" w:leftChars="0" w:firstLine="480" w:firstLineChars="200"/>
        <w:textAlignment w:val="auto"/>
        <w:rPr>
          <w:rFonts w:hint="eastAsia" w:ascii="宋体" w:hAnsi="宋体" w:eastAsia="宋体" w:cs="宋体"/>
          <w:color w:val="auto"/>
          <w:szCs w:val="24"/>
          <w:highlight w:val="none"/>
        </w:rPr>
      </w:pPr>
      <w:r>
        <w:rPr>
          <w:rFonts w:hint="eastAsia" w:ascii="宋体" w:hAnsi="宋体" w:eastAsia="宋体" w:cs="宋体"/>
          <w:color w:val="auto"/>
          <w:sz w:val="24"/>
          <w:highlight w:val="none"/>
        </w:rPr>
        <w:t>投标文件必须在规定的投标截止时间前</w:t>
      </w:r>
      <w:r>
        <w:rPr>
          <w:rFonts w:hint="eastAsia" w:ascii="宋体" w:hAnsi="宋体" w:eastAsia="宋体" w:cs="宋体"/>
          <w:color w:val="auto"/>
          <w:sz w:val="24"/>
          <w:highlight w:val="none"/>
          <w:lang w:eastAsia="zh-CN"/>
        </w:rPr>
        <w:t>在政采云系统内完成传输，</w:t>
      </w:r>
      <w:r>
        <w:rPr>
          <w:rFonts w:hint="eastAsia" w:ascii="宋体" w:hAnsi="宋体" w:eastAsia="宋体" w:cs="宋体"/>
          <w:color w:val="auto"/>
          <w:sz w:val="24"/>
          <w:highlight w:val="none"/>
        </w:rPr>
        <w:t>以</w:t>
      </w:r>
      <w:r>
        <w:rPr>
          <w:rFonts w:hint="eastAsia" w:ascii="宋体" w:hAnsi="宋体" w:eastAsia="宋体" w:cs="宋体"/>
          <w:color w:val="auto"/>
          <w:sz w:val="24"/>
          <w:highlight w:val="none"/>
          <w:lang w:eastAsia="zh-CN"/>
        </w:rPr>
        <w:t>纸质、</w:t>
      </w:r>
      <w:r>
        <w:rPr>
          <w:rFonts w:hint="eastAsia" w:ascii="宋体" w:hAnsi="宋体" w:eastAsia="宋体" w:cs="宋体"/>
          <w:color w:val="auto"/>
          <w:sz w:val="24"/>
          <w:highlight w:val="none"/>
        </w:rPr>
        <w:t>电报、电话、传真形式的投标概不接受。</w:t>
      </w:r>
      <w:r>
        <w:rPr>
          <w:rFonts w:hint="eastAsia" w:ascii="宋体" w:hAnsi="宋体" w:eastAsia="宋体" w:cs="宋体"/>
          <w:color w:val="auto"/>
          <w:sz w:val="24"/>
          <w:highlight w:val="none"/>
          <w:lang w:eastAsia="zh-CN"/>
        </w:rPr>
        <w:t>为应对投标文件解密失败等异常情况，投标人可指派授权代表在投标截止时间之前到达开标地点提交备份文件。</w:t>
      </w:r>
    </w:p>
    <w:p>
      <w:pPr>
        <w:pStyle w:val="51"/>
        <w:keepNext w:val="0"/>
        <w:keepLines w:val="0"/>
        <w:pageBreakBefore w:val="0"/>
        <w:widowControl w:val="0"/>
        <w:numPr>
          <w:ilvl w:val="0"/>
          <w:numId w:val="24"/>
        </w:numPr>
        <w:kinsoku/>
        <w:wordWrap/>
        <w:overflowPunct/>
        <w:topLinePunct w:val="0"/>
        <w:autoSpaceDE/>
        <w:autoSpaceDN/>
        <w:bidi w:val="0"/>
        <w:adjustRightInd w:val="0"/>
        <w:snapToGrid/>
        <w:spacing w:before="0" w:line="360" w:lineRule="auto"/>
        <w:ind w:left="0" w:leftChars="0" w:firstLine="480" w:firstLineChars="200"/>
        <w:textAlignment w:val="auto"/>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rPr>
        <w:t>采购人因故推迟投标截止时间，将以</w:t>
      </w:r>
      <w:r>
        <w:rPr>
          <w:rFonts w:hint="eastAsia" w:ascii="宋体" w:hAnsi="宋体" w:eastAsia="宋体" w:cs="宋体"/>
          <w:b w:val="0"/>
          <w:bCs w:val="0"/>
          <w:color w:val="auto"/>
          <w:sz w:val="24"/>
          <w:highlight w:val="none"/>
          <w:lang w:eastAsia="zh-CN"/>
        </w:rPr>
        <w:t>公告</w:t>
      </w:r>
      <w:r>
        <w:rPr>
          <w:rFonts w:hint="eastAsia" w:ascii="宋体" w:hAnsi="宋体" w:eastAsia="宋体" w:cs="宋体"/>
          <w:b w:val="0"/>
          <w:bCs w:val="0"/>
          <w:color w:val="auto"/>
          <w:sz w:val="24"/>
          <w:highlight w:val="none"/>
        </w:rPr>
        <w:t>形式通知。在这种情况下，采购人和投标人的权利和义务将受到新的截止时间的约束。</w:t>
      </w:r>
    </w:p>
    <w:p>
      <w:pPr>
        <w:pStyle w:val="14"/>
        <w:numPr>
          <w:ilvl w:val="0"/>
          <w:numId w:val="9"/>
        </w:numPr>
        <w:spacing w:line="360" w:lineRule="auto"/>
        <w:ind w:left="0" w:leftChars="0"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投标文件的修改、撤销</w:t>
      </w:r>
    </w:p>
    <w:p>
      <w:pPr>
        <w:pStyle w:val="14"/>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应当在投标截止时间前完成电子交易文件的传输递交，投标截止时间前可以补充、修改或者撤回电子交易文件。补充或者修改电子交易文件的，应当先行撤回原文件，补充、修改后重新传输递交。投标截止时间前未完成传输的，视为投标文件撤回。</w:t>
      </w:r>
    </w:p>
    <w:p>
      <w:pPr>
        <w:spacing w:line="360" w:lineRule="auto"/>
        <w:jc w:val="center"/>
        <w:rPr>
          <w:rFonts w:hint="eastAsia" w:ascii="宋体" w:hAnsi="宋体" w:eastAsia="宋体" w:cs="宋体"/>
          <w:b/>
          <w:color w:val="auto"/>
          <w:sz w:val="24"/>
          <w:highlight w:val="none"/>
        </w:rPr>
      </w:pPr>
      <w:bookmarkStart w:id="50" w:name="_Toc91899897"/>
    </w:p>
    <w:p>
      <w:pPr>
        <w:snapToGrid w:val="0"/>
        <w:spacing w:line="360" w:lineRule="auto"/>
        <w:jc w:val="center"/>
        <w:outlineLvl w:val="1"/>
        <w:rPr>
          <w:rFonts w:hint="eastAsia" w:ascii="宋体" w:hAnsi="宋体" w:eastAsia="宋体" w:cs="宋体"/>
          <w:b/>
          <w:color w:val="auto"/>
          <w:sz w:val="32"/>
          <w:highlight w:val="none"/>
        </w:rPr>
      </w:pPr>
      <w:bookmarkStart w:id="51" w:name="_Toc393"/>
      <w:r>
        <w:rPr>
          <w:rFonts w:hint="eastAsia" w:ascii="宋体" w:hAnsi="宋体" w:eastAsia="宋体" w:cs="宋体"/>
          <w:b/>
          <w:color w:val="auto"/>
          <w:sz w:val="32"/>
          <w:highlight w:val="none"/>
        </w:rPr>
        <w:t>五、开标</w:t>
      </w:r>
      <w:bookmarkEnd w:id="50"/>
      <w:bookmarkEnd w:id="51"/>
    </w:p>
    <w:p>
      <w:pPr>
        <w:pStyle w:val="14"/>
        <w:numPr>
          <w:ilvl w:val="0"/>
          <w:numId w:val="9"/>
        </w:numPr>
        <w:spacing w:line="360" w:lineRule="auto"/>
        <w:ind w:left="0" w:leftChars="0"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开标</w:t>
      </w:r>
    </w:p>
    <w:p>
      <w:pPr>
        <w:pStyle w:val="14"/>
        <w:numPr>
          <w:ilvl w:val="0"/>
          <w:numId w:val="25"/>
        </w:numPr>
        <w:spacing w:line="360" w:lineRule="auto"/>
        <w:ind w:left="0" w:leftChars="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在投标截止时间前按规定提交投标文件的投标人在三家（含）以上的，由采购人</w:t>
      </w:r>
      <w:r>
        <w:rPr>
          <w:rFonts w:hint="eastAsia" w:ascii="宋体" w:hAnsi="宋体" w:eastAsia="宋体" w:cs="宋体"/>
          <w:color w:val="auto"/>
          <w:sz w:val="24"/>
          <w:highlight w:val="none"/>
          <w:lang w:eastAsia="zh-CN"/>
        </w:rPr>
        <w:t>或采购代理机构</w:t>
      </w:r>
      <w:r>
        <w:rPr>
          <w:rFonts w:hint="eastAsia" w:ascii="宋体" w:hAnsi="宋体" w:eastAsia="宋体" w:cs="宋体"/>
          <w:color w:val="auto"/>
          <w:sz w:val="24"/>
          <w:highlight w:val="none"/>
        </w:rPr>
        <w:t>组织进行开标。</w:t>
      </w:r>
    </w:p>
    <w:p>
      <w:pPr>
        <w:pStyle w:val="14"/>
        <w:numPr>
          <w:ilvl w:val="0"/>
          <w:numId w:val="25"/>
        </w:numPr>
        <w:spacing w:line="360" w:lineRule="auto"/>
        <w:ind w:left="0" w:leftChars="0" w:firstLine="482"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highlight w:val="none"/>
        </w:rPr>
        <w:t>投标人登录政采云平台，用“项目采购-开标评标”功能对电子投标文件进行在线解密。在线解密电子投标文件时间为开标时间起</w:t>
      </w:r>
      <w:r>
        <w:rPr>
          <w:rFonts w:hint="eastAsia" w:ascii="宋体" w:hAnsi="宋体" w:eastAsia="宋体" w:cs="宋体"/>
          <w:b/>
          <w:bCs/>
          <w:color w:val="auto"/>
          <w:sz w:val="24"/>
          <w:highlight w:val="none"/>
          <w:lang w:val="en-US" w:eastAsia="zh-CN"/>
        </w:rPr>
        <w:t>30分钟</w:t>
      </w:r>
      <w:r>
        <w:rPr>
          <w:rFonts w:hint="eastAsia" w:ascii="宋体" w:hAnsi="宋体" w:eastAsia="宋体" w:cs="宋体"/>
          <w:b/>
          <w:bCs/>
          <w:color w:val="auto"/>
          <w:sz w:val="24"/>
          <w:highlight w:val="none"/>
        </w:rPr>
        <w:t>内。</w:t>
      </w:r>
      <w:r>
        <w:rPr>
          <w:rFonts w:hint="eastAsia" w:ascii="宋体" w:hAnsi="宋体" w:eastAsia="宋体" w:cs="宋体"/>
          <w:b/>
          <w:bCs/>
          <w:strike w:val="0"/>
          <w:dstrike w:val="0"/>
          <w:color w:val="auto"/>
          <w:sz w:val="24"/>
          <w:highlight w:val="none"/>
          <w:lang w:eastAsia="zh-CN"/>
        </w:rPr>
        <w:t>若电子投标文件解密失败，则由采购代理机构工作人员上传投标人提供的备份文件。</w:t>
      </w:r>
      <w:r>
        <w:rPr>
          <w:rFonts w:hint="eastAsia" w:ascii="宋体" w:hAnsi="宋体" w:eastAsia="宋体" w:cs="宋体"/>
          <w:color w:val="auto"/>
          <w:kern w:val="2"/>
          <w:sz w:val="24"/>
          <w:szCs w:val="24"/>
          <w:highlight w:val="none"/>
          <w:lang w:val="en-US" w:eastAsia="zh-CN" w:bidi="ar-SA"/>
        </w:rPr>
        <w:t>备份文件（后缀名为.bfbs）须存储在U盘中，与上传的电子投标文件一致，用信封进行密封并盖章，由授权代表在投标截止时间前递交至开标地点。</w:t>
      </w:r>
    </w:p>
    <w:p>
      <w:pPr>
        <w:pStyle w:val="14"/>
        <w:numPr>
          <w:ilvl w:val="0"/>
          <w:numId w:val="25"/>
        </w:numPr>
        <w:spacing w:line="360" w:lineRule="auto"/>
        <w:ind w:left="0" w:leftChars="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采购人按招标文件规定的时间、地点公开开标。开标仪式由采购人</w:t>
      </w:r>
      <w:r>
        <w:rPr>
          <w:rFonts w:hint="eastAsia" w:ascii="宋体" w:hAnsi="宋体" w:eastAsia="宋体" w:cs="宋体"/>
          <w:color w:val="auto"/>
          <w:sz w:val="24"/>
          <w:highlight w:val="none"/>
          <w:lang w:eastAsia="zh-CN"/>
        </w:rPr>
        <w:t>或采购代理机构</w:t>
      </w:r>
      <w:r>
        <w:rPr>
          <w:rFonts w:hint="eastAsia" w:ascii="宋体" w:hAnsi="宋体" w:eastAsia="宋体" w:cs="宋体"/>
          <w:color w:val="auto"/>
          <w:sz w:val="24"/>
          <w:highlight w:val="none"/>
        </w:rPr>
        <w:t>主持及有关人员参加。</w:t>
      </w:r>
    </w:p>
    <w:p>
      <w:pPr>
        <w:pStyle w:val="51"/>
        <w:numPr>
          <w:ilvl w:val="0"/>
          <w:numId w:val="25"/>
        </w:numPr>
        <w:spacing w:before="0" w:line="360" w:lineRule="auto"/>
        <w:ind w:left="0" w:leftChars="0"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本项目为电子投标项目，</w:t>
      </w:r>
      <w:r>
        <w:rPr>
          <w:rFonts w:hint="eastAsia" w:ascii="宋体" w:hAnsi="宋体" w:eastAsia="宋体" w:cs="宋体"/>
          <w:color w:val="auto"/>
          <w:szCs w:val="24"/>
          <w:highlight w:val="none"/>
          <w:lang w:eastAsia="zh-CN"/>
        </w:rPr>
        <w:t>投标人一般不需要参加现场投标和开标，若投标人需要指派授权代表递交备份文件，则授权代表应</w:t>
      </w:r>
      <w:r>
        <w:rPr>
          <w:rFonts w:hint="eastAsia" w:ascii="宋体" w:hAnsi="宋体" w:eastAsia="宋体" w:cs="宋体"/>
          <w:color w:val="auto"/>
          <w:szCs w:val="24"/>
          <w:highlight w:val="none"/>
          <w:lang w:val="en-US" w:eastAsia="zh-CN"/>
        </w:rPr>
        <w:t>随身携带法定代表人授权书原件于投标截止时间前到达开标地点递交备份文件。</w:t>
      </w:r>
      <w:r>
        <w:rPr>
          <w:rFonts w:hint="eastAsia" w:ascii="宋体" w:hAnsi="宋体" w:eastAsia="宋体" w:cs="宋体"/>
          <w:color w:val="auto"/>
          <w:highlight w:val="none"/>
        </w:rPr>
        <w:t xml:space="preserve"> 若电子投标文件正常解锁，则U盘退还给供应商；若解锁失败，则由采购代理机构将U盘中的备份文件上传，该U盘将由采购代理机构保存。</w:t>
      </w:r>
    </w:p>
    <w:p>
      <w:pPr>
        <w:spacing w:line="360" w:lineRule="auto"/>
        <w:jc w:val="center"/>
        <w:rPr>
          <w:rFonts w:hint="eastAsia" w:ascii="宋体" w:hAnsi="宋体" w:eastAsia="宋体" w:cs="宋体"/>
          <w:b/>
          <w:color w:val="auto"/>
          <w:sz w:val="24"/>
          <w:highlight w:val="none"/>
        </w:rPr>
      </w:pPr>
    </w:p>
    <w:p>
      <w:pPr>
        <w:snapToGrid w:val="0"/>
        <w:spacing w:line="360" w:lineRule="auto"/>
        <w:jc w:val="center"/>
        <w:outlineLvl w:val="1"/>
        <w:rPr>
          <w:rFonts w:hint="eastAsia" w:ascii="宋体" w:hAnsi="宋体" w:eastAsia="宋体" w:cs="宋体"/>
          <w:b/>
          <w:color w:val="auto"/>
          <w:sz w:val="32"/>
          <w:highlight w:val="none"/>
        </w:rPr>
      </w:pPr>
      <w:bookmarkStart w:id="52" w:name="_Toc20910"/>
      <w:r>
        <w:rPr>
          <w:rFonts w:hint="eastAsia" w:ascii="宋体" w:hAnsi="宋体" w:eastAsia="宋体" w:cs="宋体"/>
          <w:b/>
          <w:color w:val="auto"/>
          <w:sz w:val="32"/>
          <w:highlight w:val="none"/>
        </w:rPr>
        <w:t>六、资格审查</w:t>
      </w:r>
      <w:bookmarkEnd w:id="52"/>
    </w:p>
    <w:p>
      <w:pPr>
        <w:pStyle w:val="14"/>
        <w:numPr>
          <w:ilvl w:val="0"/>
          <w:numId w:val="9"/>
        </w:numPr>
        <w:spacing w:line="360" w:lineRule="auto"/>
        <w:ind w:left="0" w:leftChars="0"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资格审查</w:t>
      </w:r>
    </w:p>
    <w:p>
      <w:pPr>
        <w:pStyle w:val="51"/>
        <w:numPr>
          <w:ilvl w:val="0"/>
          <w:numId w:val="26"/>
        </w:numPr>
        <w:spacing w:before="0" w:line="360" w:lineRule="auto"/>
        <w:ind w:left="0" w:leftChars="0" w:firstLine="480" w:firstLineChars="200"/>
        <w:rPr>
          <w:rFonts w:hint="eastAsia" w:ascii="宋体" w:hAnsi="宋体" w:eastAsia="宋体" w:cs="宋体"/>
          <w:color w:val="auto"/>
          <w:szCs w:val="24"/>
          <w:highlight w:val="none"/>
          <w:lang w:eastAsia="zh-CN"/>
        </w:rPr>
      </w:pPr>
      <w:bookmarkStart w:id="53" w:name="_Hlt75236101"/>
      <w:bookmarkEnd w:id="53"/>
      <w:bookmarkStart w:id="54" w:name="_Toc91899902"/>
      <w:r>
        <w:rPr>
          <w:rFonts w:hint="eastAsia" w:ascii="宋体" w:hAnsi="宋体" w:eastAsia="宋体" w:cs="宋体"/>
          <w:color w:val="auto"/>
          <w:szCs w:val="24"/>
          <w:highlight w:val="none"/>
        </w:rPr>
        <w:t>开标后，采购人或采购代理机构将依法对投标人的资格进行审查</w:t>
      </w:r>
      <w:r>
        <w:rPr>
          <w:rFonts w:hint="eastAsia" w:ascii="宋体" w:hAnsi="宋体" w:eastAsia="宋体" w:cs="宋体"/>
          <w:color w:val="auto"/>
          <w:szCs w:val="24"/>
          <w:highlight w:val="none"/>
          <w:lang w:eastAsia="zh-CN"/>
        </w:rPr>
        <w:t>；</w:t>
      </w:r>
    </w:p>
    <w:p>
      <w:pPr>
        <w:pStyle w:val="51"/>
        <w:numPr>
          <w:ilvl w:val="0"/>
          <w:numId w:val="26"/>
        </w:numPr>
        <w:spacing w:before="0" w:line="360" w:lineRule="auto"/>
        <w:ind w:left="0" w:leftChars="0"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采购人或采购代理机构依据法律法规和招标文件的规定，对投标人的基本资格条件、特定资格条件进行审查</w:t>
      </w:r>
      <w:r>
        <w:rPr>
          <w:rFonts w:hint="eastAsia" w:eastAsia="宋体" w:cs="宋体"/>
          <w:color w:val="auto"/>
          <w:szCs w:val="24"/>
          <w:highlight w:val="none"/>
          <w:lang w:eastAsia="zh-CN"/>
        </w:rPr>
        <w:t>；</w:t>
      </w:r>
    </w:p>
    <w:p>
      <w:pPr>
        <w:pStyle w:val="51"/>
        <w:numPr>
          <w:ilvl w:val="0"/>
          <w:numId w:val="26"/>
        </w:numPr>
        <w:spacing w:before="0" w:line="360" w:lineRule="auto"/>
        <w:ind w:left="0" w:leftChars="0" w:firstLine="480" w:firstLineChars="200"/>
        <w:rPr>
          <w:rFonts w:hint="eastAsia" w:ascii="宋体" w:hAnsi="宋体" w:eastAsia="宋体" w:cs="宋体"/>
          <w:color w:val="auto"/>
          <w:szCs w:val="24"/>
          <w:highlight w:val="none"/>
          <w:lang w:eastAsia="zh-CN"/>
        </w:rPr>
      </w:pPr>
      <w:r>
        <w:rPr>
          <w:rFonts w:hint="eastAsia" w:ascii="宋体" w:hAnsi="宋体" w:eastAsia="宋体" w:cs="宋体"/>
          <w:color w:val="auto"/>
          <w:szCs w:val="24"/>
          <w:highlight w:val="none"/>
          <w:lang w:val="en-US" w:eastAsia="zh-CN"/>
        </w:rPr>
        <w:t>采购人或采购代理机构将</w:t>
      </w:r>
      <w:r>
        <w:rPr>
          <w:rFonts w:hint="eastAsia" w:ascii="宋体" w:hAnsi="宋体" w:eastAsia="宋体" w:cs="宋体"/>
          <w:color w:val="auto"/>
          <w:szCs w:val="24"/>
          <w:highlight w:val="none"/>
        </w:rPr>
        <w:t>通过“信用中国”网站(www.creditchina.gov.cn)、中国政府采购网(</w:t>
      </w:r>
      <w:r>
        <w:rPr>
          <w:rFonts w:hint="eastAsia" w:ascii="宋体" w:hAnsi="宋体" w:eastAsia="宋体" w:cs="宋体"/>
          <w:color w:val="auto"/>
          <w:szCs w:val="24"/>
          <w:highlight w:val="none"/>
        </w:rPr>
        <w:fldChar w:fldCharType="begin"/>
      </w:r>
      <w:r>
        <w:rPr>
          <w:rFonts w:hint="eastAsia" w:ascii="宋体" w:hAnsi="宋体" w:eastAsia="宋体" w:cs="宋体"/>
          <w:color w:val="auto"/>
          <w:szCs w:val="24"/>
          <w:highlight w:val="none"/>
        </w:rPr>
        <w:instrText xml:space="preserve"> HYPERLINK "http://www.ccgp.gov.cn" </w:instrText>
      </w:r>
      <w:r>
        <w:rPr>
          <w:rFonts w:hint="eastAsia" w:ascii="宋体" w:hAnsi="宋体" w:eastAsia="宋体" w:cs="宋体"/>
          <w:color w:val="auto"/>
          <w:szCs w:val="24"/>
          <w:highlight w:val="none"/>
        </w:rPr>
        <w:fldChar w:fldCharType="separate"/>
      </w:r>
      <w:r>
        <w:rPr>
          <w:rFonts w:hint="eastAsia" w:ascii="宋体" w:hAnsi="宋体" w:eastAsia="宋体" w:cs="宋体"/>
          <w:color w:val="auto"/>
          <w:szCs w:val="24"/>
          <w:highlight w:val="none"/>
        </w:rPr>
        <w:t>www.ccgp.gov.cn</w:t>
      </w:r>
      <w:r>
        <w:rPr>
          <w:rFonts w:hint="eastAsia" w:ascii="宋体" w:hAnsi="宋体" w:eastAsia="宋体" w:cs="宋体"/>
          <w:color w:val="auto"/>
          <w:szCs w:val="24"/>
          <w:highlight w:val="none"/>
        </w:rPr>
        <w:fldChar w:fldCharType="end"/>
      </w:r>
      <w:r>
        <w:rPr>
          <w:rFonts w:hint="eastAsia" w:ascii="宋体" w:hAnsi="宋体" w:eastAsia="宋体" w:cs="宋体"/>
          <w:color w:val="auto"/>
          <w:szCs w:val="24"/>
          <w:highlight w:val="none"/>
        </w:rPr>
        <w:t>)渠道查询投标人开标后评标前的信用记录</w:t>
      </w:r>
      <w:r>
        <w:rPr>
          <w:rFonts w:hint="eastAsia" w:ascii="宋体" w:hAnsi="宋体" w:eastAsia="宋体" w:cs="宋体"/>
          <w:color w:val="auto"/>
          <w:szCs w:val="24"/>
          <w:highlight w:val="none"/>
          <w:lang w:eastAsia="zh-CN"/>
        </w:rPr>
        <w:t>，</w:t>
      </w:r>
      <w:r>
        <w:rPr>
          <w:rFonts w:hint="eastAsia" w:ascii="宋体" w:hAnsi="宋体" w:eastAsia="宋体" w:cs="宋体"/>
          <w:color w:val="auto"/>
          <w:szCs w:val="24"/>
          <w:highlight w:val="none"/>
        </w:rPr>
        <w:t>经查询投标人列入失信被执行人名单、重大税收违法案件当事人名单、政府采购严重违法失信行为记录名单的，其投标</w:t>
      </w:r>
      <w:r>
        <w:rPr>
          <w:rFonts w:hint="eastAsia" w:ascii="宋体" w:hAnsi="宋体" w:eastAsia="宋体" w:cs="宋体"/>
          <w:color w:val="auto"/>
          <w:szCs w:val="24"/>
          <w:highlight w:val="none"/>
          <w:lang w:eastAsia="zh-CN"/>
        </w:rPr>
        <w:t>无效；</w:t>
      </w:r>
    </w:p>
    <w:p>
      <w:pPr>
        <w:pStyle w:val="51"/>
        <w:numPr>
          <w:ilvl w:val="0"/>
          <w:numId w:val="26"/>
        </w:numPr>
        <w:spacing w:before="0" w:line="360" w:lineRule="auto"/>
        <w:ind w:left="0" w:leftChars="0"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采购人或采购代理机构出具《投标人资格审查意见表》，投标人未按照招标文件要求提供与基本资格条件、特定资格条件相应的有效资格证明材料的，视为投标人不具备招标文件中规定的资格要求，其投标无效。</w:t>
      </w:r>
    </w:p>
    <w:p>
      <w:pPr>
        <w:spacing w:line="360" w:lineRule="auto"/>
        <w:jc w:val="center"/>
        <w:rPr>
          <w:rFonts w:hint="eastAsia" w:ascii="宋体" w:hAnsi="宋体" w:eastAsia="宋体" w:cs="宋体"/>
          <w:b/>
          <w:color w:val="auto"/>
          <w:sz w:val="24"/>
          <w:highlight w:val="none"/>
        </w:rPr>
      </w:pPr>
    </w:p>
    <w:p>
      <w:pPr>
        <w:snapToGrid w:val="0"/>
        <w:spacing w:line="360" w:lineRule="auto"/>
        <w:jc w:val="center"/>
        <w:outlineLvl w:val="1"/>
        <w:rPr>
          <w:rFonts w:hint="eastAsia" w:ascii="宋体" w:hAnsi="宋体" w:eastAsia="宋体" w:cs="宋体"/>
          <w:b/>
          <w:color w:val="auto"/>
          <w:sz w:val="32"/>
          <w:highlight w:val="none"/>
        </w:rPr>
      </w:pPr>
      <w:bookmarkStart w:id="55" w:name="_Toc1410"/>
      <w:r>
        <w:rPr>
          <w:rFonts w:hint="eastAsia" w:ascii="宋体" w:hAnsi="宋体" w:eastAsia="宋体" w:cs="宋体"/>
          <w:b/>
          <w:color w:val="auto"/>
          <w:sz w:val="32"/>
          <w:highlight w:val="none"/>
        </w:rPr>
        <w:t>七、评标</w:t>
      </w:r>
      <w:bookmarkEnd w:id="54"/>
      <w:bookmarkEnd w:id="55"/>
    </w:p>
    <w:p>
      <w:pPr>
        <w:pStyle w:val="14"/>
        <w:numPr>
          <w:ilvl w:val="0"/>
          <w:numId w:val="9"/>
        </w:numPr>
        <w:spacing w:line="360" w:lineRule="auto"/>
        <w:ind w:left="0" w:leftChars="0" w:firstLine="482" w:firstLineChars="200"/>
        <w:rPr>
          <w:rFonts w:hint="eastAsia" w:ascii="宋体" w:hAnsi="宋体" w:eastAsia="宋体" w:cs="宋体"/>
          <w:b/>
          <w:color w:val="auto"/>
          <w:sz w:val="24"/>
          <w:szCs w:val="24"/>
          <w:highlight w:val="none"/>
        </w:rPr>
      </w:pPr>
      <w:bookmarkStart w:id="56" w:name="_Toc91899903"/>
      <w:r>
        <w:rPr>
          <w:rFonts w:hint="eastAsia" w:ascii="宋体" w:hAnsi="宋体" w:eastAsia="宋体" w:cs="宋体"/>
          <w:b/>
          <w:color w:val="auto"/>
          <w:sz w:val="24"/>
          <w:szCs w:val="24"/>
          <w:highlight w:val="none"/>
        </w:rPr>
        <w:t>评标原则</w:t>
      </w:r>
    </w:p>
    <w:p>
      <w:pPr>
        <w:pStyle w:val="51"/>
        <w:numPr>
          <w:ilvl w:val="0"/>
          <w:numId w:val="27"/>
        </w:numPr>
        <w:spacing w:before="0" w:line="360" w:lineRule="auto"/>
        <w:ind w:left="0" w:leftChars="0"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竞争优选；</w:t>
      </w:r>
    </w:p>
    <w:p>
      <w:pPr>
        <w:pStyle w:val="51"/>
        <w:numPr>
          <w:ilvl w:val="0"/>
          <w:numId w:val="27"/>
        </w:numPr>
        <w:spacing w:before="0" w:line="360" w:lineRule="auto"/>
        <w:ind w:left="0" w:leftChars="0"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lang w:val="zh-CN"/>
        </w:rPr>
        <w:t>坚持</w:t>
      </w:r>
      <w:r>
        <w:rPr>
          <w:rFonts w:hint="eastAsia" w:ascii="宋体" w:hAnsi="宋体" w:eastAsia="宋体" w:cs="宋体"/>
          <w:color w:val="auto"/>
          <w:szCs w:val="24"/>
          <w:highlight w:val="none"/>
        </w:rPr>
        <w:t>公平、公正、科学合理</w:t>
      </w:r>
      <w:r>
        <w:rPr>
          <w:rFonts w:hint="eastAsia" w:ascii="宋体" w:hAnsi="宋体" w:eastAsia="宋体" w:cs="宋体"/>
          <w:color w:val="auto"/>
          <w:szCs w:val="24"/>
          <w:highlight w:val="none"/>
          <w:lang w:val="zh-CN"/>
        </w:rPr>
        <w:t>的原则；</w:t>
      </w:r>
    </w:p>
    <w:p>
      <w:pPr>
        <w:pStyle w:val="51"/>
        <w:numPr>
          <w:ilvl w:val="0"/>
          <w:numId w:val="27"/>
        </w:numPr>
        <w:spacing w:before="0" w:line="360" w:lineRule="auto"/>
        <w:ind w:left="0" w:leftChars="0" w:firstLine="480" w:firstLineChars="200"/>
        <w:rPr>
          <w:rFonts w:hint="eastAsia" w:ascii="宋体" w:hAnsi="宋体" w:eastAsia="宋体" w:cs="宋体"/>
          <w:color w:val="auto"/>
          <w:szCs w:val="24"/>
          <w:highlight w:val="none"/>
          <w:lang w:val="zh-CN"/>
        </w:rPr>
      </w:pPr>
      <w:r>
        <w:rPr>
          <w:rFonts w:hint="eastAsia" w:ascii="宋体" w:hAnsi="宋体" w:eastAsia="宋体" w:cs="宋体"/>
          <w:color w:val="auto"/>
          <w:szCs w:val="24"/>
          <w:highlight w:val="none"/>
        </w:rPr>
        <w:t>价格合理，方案、产品先进可行；</w:t>
      </w:r>
    </w:p>
    <w:p>
      <w:pPr>
        <w:pStyle w:val="51"/>
        <w:numPr>
          <w:ilvl w:val="0"/>
          <w:numId w:val="27"/>
        </w:numPr>
        <w:spacing w:before="0" w:line="360" w:lineRule="auto"/>
        <w:ind w:left="0" w:leftChars="0" w:firstLine="480" w:firstLineChars="200"/>
        <w:rPr>
          <w:rFonts w:hint="eastAsia" w:ascii="宋体" w:hAnsi="宋体" w:eastAsia="宋体" w:cs="宋体"/>
          <w:color w:val="auto"/>
          <w:szCs w:val="24"/>
          <w:highlight w:val="none"/>
          <w:lang w:val="zh-CN"/>
        </w:rPr>
      </w:pPr>
      <w:r>
        <w:rPr>
          <w:rFonts w:hint="eastAsia" w:ascii="宋体" w:hAnsi="宋体" w:eastAsia="宋体" w:cs="宋体"/>
          <w:color w:val="auto"/>
          <w:szCs w:val="24"/>
          <w:highlight w:val="none"/>
          <w:lang w:val="zh-CN"/>
        </w:rPr>
        <w:t>反对不正当竞争。</w:t>
      </w:r>
    </w:p>
    <w:p>
      <w:pPr>
        <w:pStyle w:val="14"/>
        <w:numPr>
          <w:ilvl w:val="0"/>
          <w:numId w:val="9"/>
        </w:numPr>
        <w:spacing w:line="360" w:lineRule="auto"/>
        <w:ind w:left="0" w:leftChars="0"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评标组织</w:t>
      </w:r>
    </w:p>
    <w:p>
      <w:pPr>
        <w:pStyle w:val="51"/>
        <w:numPr>
          <w:ilvl w:val="0"/>
          <w:numId w:val="28"/>
        </w:numPr>
        <w:spacing w:before="0" w:line="360" w:lineRule="auto"/>
        <w:ind w:left="0" w:leftChars="0" w:firstLine="480" w:firstLineChars="200"/>
        <w:rPr>
          <w:rFonts w:hint="eastAsia" w:ascii="宋体" w:hAnsi="宋体" w:eastAsia="宋体" w:cs="宋体"/>
          <w:color w:val="auto"/>
          <w:szCs w:val="24"/>
          <w:highlight w:val="none"/>
          <w:lang w:val="zh-CN"/>
        </w:rPr>
      </w:pPr>
      <w:r>
        <w:rPr>
          <w:rFonts w:hint="eastAsia" w:ascii="宋体" w:hAnsi="宋体" w:eastAsia="宋体" w:cs="宋体"/>
          <w:color w:val="auto"/>
          <w:szCs w:val="24"/>
          <w:highlight w:val="none"/>
          <w:lang w:val="zh-CN"/>
        </w:rPr>
        <w:t>评标委员会由采购人代表和评审专家组成，成员人数应当为5人以上单数，其中评审专家不得少于成员总数的三分之二</w:t>
      </w:r>
      <w:r>
        <w:rPr>
          <w:rFonts w:hint="eastAsia" w:eastAsia="宋体" w:cs="宋体"/>
          <w:color w:val="auto"/>
          <w:szCs w:val="24"/>
          <w:highlight w:val="none"/>
          <w:lang w:val="zh-CN"/>
        </w:rPr>
        <w:t>；</w:t>
      </w:r>
    </w:p>
    <w:p>
      <w:pPr>
        <w:pStyle w:val="51"/>
        <w:numPr>
          <w:ilvl w:val="0"/>
          <w:numId w:val="28"/>
        </w:numPr>
        <w:spacing w:before="0" w:line="360" w:lineRule="auto"/>
        <w:ind w:left="0" w:leftChars="0" w:firstLine="480" w:firstLineChars="200"/>
        <w:rPr>
          <w:rFonts w:hint="eastAsia" w:ascii="宋体" w:hAnsi="宋体" w:eastAsia="宋体" w:cs="宋体"/>
          <w:color w:val="auto"/>
          <w:szCs w:val="24"/>
          <w:highlight w:val="none"/>
          <w:lang w:val="zh-CN"/>
        </w:rPr>
      </w:pPr>
      <w:r>
        <w:rPr>
          <w:rFonts w:hint="eastAsia" w:ascii="宋体" w:hAnsi="宋体" w:eastAsia="宋体" w:cs="宋体"/>
          <w:color w:val="auto"/>
          <w:szCs w:val="24"/>
          <w:highlight w:val="none"/>
          <w:lang w:val="zh-CN"/>
        </w:rPr>
        <w:t>评标工作由评标委员会负责，并</w:t>
      </w:r>
      <w:r>
        <w:rPr>
          <w:rFonts w:hint="eastAsia" w:eastAsia="宋体" w:cs="宋体"/>
          <w:color w:val="auto"/>
          <w:szCs w:val="24"/>
          <w:highlight w:val="none"/>
          <w:lang w:val="zh-CN"/>
        </w:rPr>
        <w:t>由</w:t>
      </w:r>
      <w:r>
        <w:rPr>
          <w:rFonts w:hint="eastAsia" w:ascii="宋体" w:hAnsi="宋体" w:eastAsia="宋体" w:cs="宋体"/>
          <w:color w:val="auto"/>
          <w:szCs w:val="24"/>
          <w:highlight w:val="none"/>
          <w:lang w:val="zh-CN"/>
        </w:rPr>
        <w:t>推选产生的组长主持</w:t>
      </w:r>
      <w:r>
        <w:rPr>
          <w:rFonts w:hint="eastAsia" w:eastAsia="宋体" w:cs="宋体"/>
          <w:color w:val="auto"/>
          <w:szCs w:val="24"/>
          <w:highlight w:val="none"/>
          <w:lang w:val="zh-CN"/>
        </w:rPr>
        <w:t>；</w:t>
      </w:r>
    </w:p>
    <w:p>
      <w:pPr>
        <w:pStyle w:val="51"/>
        <w:numPr>
          <w:ilvl w:val="0"/>
          <w:numId w:val="28"/>
        </w:numPr>
        <w:spacing w:before="0" w:line="360" w:lineRule="auto"/>
        <w:ind w:left="0" w:leftChars="0" w:firstLine="480" w:firstLineChars="200"/>
        <w:rPr>
          <w:rFonts w:hint="eastAsia" w:ascii="宋体" w:hAnsi="宋体" w:eastAsia="宋体" w:cs="宋体"/>
          <w:strike w:val="0"/>
          <w:dstrike w:val="0"/>
          <w:color w:val="auto"/>
          <w:szCs w:val="24"/>
          <w:highlight w:val="none"/>
          <w:lang w:val="zh-CN"/>
        </w:rPr>
      </w:pPr>
      <w:r>
        <w:rPr>
          <w:rFonts w:hint="eastAsia" w:ascii="宋体" w:hAnsi="宋体" w:eastAsia="宋体" w:cs="宋体"/>
          <w:strike w:val="0"/>
          <w:dstrike w:val="0"/>
          <w:color w:val="auto"/>
          <w:szCs w:val="24"/>
          <w:highlight w:val="none"/>
          <w:lang w:val="zh-CN"/>
        </w:rPr>
        <w:t>本次评标为在线评标。</w:t>
      </w:r>
    </w:p>
    <w:p>
      <w:pPr>
        <w:pStyle w:val="14"/>
        <w:numPr>
          <w:ilvl w:val="0"/>
          <w:numId w:val="9"/>
        </w:numPr>
        <w:spacing w:line="360" w:lineRule="auto"/>
        <w:ind w:left="0" w:leftChars="0"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评标办法</w:t>
      </w:r>
    </w:p>
    <w:p>
      <w:pPr>
        <w:spacing w:line="360" w:lineRule="auto"/>
        <w:ind w:firstLine="467" w:firstLineChars="194"/>
        <w:rPr>
          <w:rFonts w:hint="eastAsia" w:ascii="宋体" w:hAnsi="宋体" w:eastAsia="宋体" w:cs="宋体"/>
          <w:b/>
          <w:color w:val="auto"/>
          <w:kern w:val="0"/>
          <w:sz w:val="24"/>
          <w:szCs w:val="20"/>
          <w:highlight w:val="none"/>
        </w:rPr>
      </w:pPr>
      <w:r>
        <w:rPr>
          <w:rFonts w:hint="eastAsia" w:ascii="宋体" w:hAnsi="宋体" w:eastAsia="宋体" w:cs="宋体"/>
          <w:b/>
          <w:color w:val="auto"/>
          <w:kern w:val="0"/>
          <w:sz w:val="24"/>
          <w:szCs w:val="20"/>
          <w:highlight w:val="none"/>
        </w:rPr>
        <w:t>本项目评标办法是综合评分法，具体评标内容及评分标准等详见招标文件第三部分。</w:t>
      </w:r>
    </w:p>
    <w:p>
      <w:pPr>
        <w:pStyle w:val="14"/>
        <w:numPr>
          <w:ilvl w:val="0"/>
          <w:numId w:val="9"/>
        </w:numPr>
        <w:spacing w:line="360" w:lineRule="auto"/>
        <w:ind w:left="0" w:leftChars="0"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投标文件符合性审查</w:t>
      </w:r>
    </w:p>
    <w:p>
      <w:pPr>
        <w:pStyle w:val="51"/>
        <w:numPr>
          <w:ilvl w:val="0"/>
          <w:numId w:val="29"/>
        </w:numPr>
        <w:spacing w:before="0" w:line="360" w:lineRule="auto"/>
        <w:ind w:left="0" w:leftChars="0" w:firstLine="480" w:firstLineChars="200"/>
        <w:rPr>
          <w:rFonts w:hint="eastAsia" w:ascii="宋体" w:hAnsi="宋体" w:eastAsia="宋体" w:cs="宋体"/>
          <w:color w:val="auto"/>
          <w:szCs w:val="24"/>
          <w:highlight w:val="none"/>
          <w:lang w:val="zh-CN"/>
        </w:rPr>
      </w:pPr>
      <w:r>
        <w:rPr>
          <w:rFonts w:hint="eastAsia" w:ascii="宋体" w:hAnsi="宋体" w:eastAsia="宋体" w:cs="宋体"/>
          <w:color w:val="auto"/>
          <w:szCs w:val="24"/>
          <w:highlight w:val="none"/>
          <w:lang w:val="zh-CN"/>
        </w:rPr>
        <w:t>投标文件符合性审查：评标委员会依据招标文件的规定，从投标文件的有效性、完整性和对招标文件的响应程度进行审查，以确定是否对招标文件的要求作出实质性响应。</w:t>
      </w:r>
    </w:p>
    <w:p>
      <w:pPr>
        <w:pStyle w:val="51"/>
        <w:numPr>
          <w:ilvl w:val="0"/>
          <w:numId w:val="29"/>
        </w:numPr>
        <w:spacing w:before="0" w:line="360" w:lineRule="auto"/>
        <w:ind w:left="0" w:leftChars="0" w:firstLine="480" w:firstLineChars="200"/>
        <w:rPr>
          <w:rFonts w:hint="eastAsia" w:ascii="宋体" w:hAnsi="宋体" w:eastAsia="宋体" w:cs="宋体"/>
          <w:color w:val="auto"/>
          <w:szCs w:val="24"/>
          <w:highlight w:val="none"/>
          <w:lang w:val="zh-CN"/>
        </w:rPr>
      </w:pPr>
      <w:r>
        <w:rPr>
          <w:rFonts w:hint="eastAsia" w:ascii="宋体" w:hAnsi="宋体" w:eastAsia="宋体" w:cs="宋体"/>
          <w:color w:val="auto"/>
          <w:szCs w:val="24"/>
          <w:highlight w:val="none"/>
          <w:lang w:val="zh-CN"/>
        </w:rPr>
        <w:t>实质性响应的投标应该是与招标文件要求的主要条款相符，没有重大偏离或保留的投标。所谓重大偏离或保留是指影响合同的内容、项目建设质量，或者在实质上与招标文件不一致，而且限制了合同中采购人的权利或投标人的义务，纠正这些偏离或保留将会对其他实质性响应要求的投标人的竞争地位产生不公正的影响。评标委员会决定投标文件的响应性只根据投标文件本身的内容，而不寻求外部证据。</w:t>
      </w:r>
    </w:p>
    <w:p>
      <w:pPr>
        <w:pStyle w:val="51"/>
        <w:numPr>
          <w:ilvl w:val="0"/>
          <w:numId w:val="29"/>
        </w:numPr>
        <w:spacing w:before="0" w:line="360" w:lineRule="auto"/>
        <w:ind w:left="0" w:leftChars="0" w:firstLine="480" w:firstLineChars="200"/>
        <w:rPr>
          <w:rFonts w:hint="eastAsia" w:ascii="宋体" w:hAnsi="宋体" w:eastAsia="宋体" w:cs="宋体"/>
          <w:color w:val="auto"/>
          <w:szCs w:val="24"/>
          <w:highlight w:val="none"/>
          <w:lang w:val="zh-CN"/>
        </w:rPr>
      </w:pPr>
      <w:r>
        <w:rPr>
          <w:rFonts w:hint="eastAsia" w:ascii="宋体" w:hAnsi="宋体" w:eastAsia="宋体" w:cs="宋体"/>
          <w:color w:val="auto"/>
          <w:szCs w:val="24"/>
          <w:highlight w:val="none"/>
          <w:lang w:val="zh-CN"/>
        </w:rPr>
        <w:t xml:space="preserve">如果投标文件没有实质上响应招标文件的要求，评标委员会将判定无效投标，投标人不得通过修改或撤销不合要求的偏离或保留而使其投标成为实质性响应的投标。 </w:t>
      </w:r>
    </w:p>
    <w:p>
      <w:pPr>
        <w:pStyle w:val="51"/>
        <w:numPr>
          <w:ilvl w:val="0"/>
          <w:numId w:val="29"/>
        </w:numPr>
        <w:spacing w:before="0" w:line="360" w:lineRule="auto"/>
        <w:ind w:left="0" w:leftChars="0" w:firstLine="480" w:firstLineChars="200"/>
        <w:rPr>
          <w:rFonts w:hint="eastAsia" w:ascii="宋体" w:hAnsi="宋体" w:eastAsia="宋体" w:cs="宋体"/>
          <w:color w:val="auto"/>
          <w:szCs w:val="24"/>
          <w:highlight w:val="none"/>
          <w:lang w:val="zh-CN"/>
        </w:rPr>
      </w:pPr>
      <w:r>
        <w:rPr>
          <w:rFonts w:hint="eastAsia" w:ascii="宋体" w:hAnsi="宋体" w:eastAsia="宋体" w:cs="宋体"/>
          <w:color w:val="auto"/>
          <w:szCs w:val="24"/>
          <w:highlight w:val="none"/>
          <w:lang w:val="zh-CN"/>
        </w:rPr>
        <w:t>即按《评分标准》确定的标准，以经审查合格的投标文件进行资信、技术和商务评估，并综合进行比较与评价。</w:t>
      </w:r>
      <w:r>
        <w:rPr>
          <w:rFonts w:hint="eastAsia" w:ascii="宋体" w:hAnsi="宋体" w:eastAsia="宋体" w:cs="宋体"/>
          <w:color w:val="auto"/>
          <w:szCs w:val="24"/>
          <w:highlight w:val="none"/>
          <w:lang w:val="en-US" w:eastAsia="zh-CN"/>
        </w:rPr>
        <w:t>参照</w:t>
      </w:r>
      <w:r>
        <w:rPr>
          <w:rFonts w:hint="eastAsia" w:ascii="宋体" w:hAnsi="宋体" w:eastAsia="宋体" w:cs="宋体"/>
          <w:color w:val="auto"/>
          <w:szCs w:val="24"/>
          <w:highlight w:val="none"/>
          <w:lang w:val="zh-CN"/>
        </w:rPr>
        <w:t>《浙江省政府采购活动现场组织管理办法》的通知（浙财采监{2015}13号）规定，“对明显畸高、畸低的评分（其总评分偏离平均分30%以上的），评审小组组长应提醒相关评审人员进行复核或书面说明理由，评审人员拒绝说明的，由现场监督员据实记录；评审人员的评审、修改记录应保留原件，随项目其他资料一并存档。”</w:t>
      </w:r>
    </w:p>
    <w:p>
      <w:pPr>
        <w:pStyle w:val="14"/>
        <w:numPr>
          <w:ilvl w:val="0"/>
          <w:numId w:val="9"/>
        </w:numPr>
        <w:spacing w:line="360" w:lineRule="auto"/>
        <w:ind w:left="0" w:leftChars="0"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修正原则</w:t>
      </w:r>
    </w:p>
    <w:p>
      <w:pPr>
        <w:pStyle w:val="51"/>
        <w:numPr>
          <w:ilvl w:val="0"/>
          <w:numId w:val="0"/>
        </w:numPr>
        <w:spacing w:before="0" w:line="360" w:lineRule="auto"/>
        <w:ind w:leftChars="200"/>
        <w:rPr>
          <w:rFonts w:hint="eastAsia" w:ascii="宋体" w:hAnsi="宋体" w:eastAsia="宋体" w:cs="宋体"/>
          <w:color w:val="auto"/>
          <w:szCs w:val="24"/>
          <w:highlight w:val="none"/>
          <w:lang w:val="zh-CN"/>
        </w:rPr>
      </w:pPr>
      <w:r>
        <w:rPr>
          <w:rFonts w:hint="eastAsia" w:ascii="宋体" w:hAnsi="宋体" w:eastAsia="宋体" w:cs="宋体"/>
          <w:color w:val="auto"/>
          <w:szCs w:val="24"/>
          <w:highlight w:val="none"/>
          <w:lang w:val="zh-CN"/>
        </w:rPr>
        <w:t>投标文件报价出现前后不一致的，按照下列规定修正：</w:t>
      </w:r>
    </w:p>
    <w:p>
      <w:pPr>
        <w:pStyle w:val="51"/>
        <w:numPr>
          <w:ilvl w:val="0"/>
          <w:numId w:val="30"/>
        </w:numPr>
        <w:spacing w:before="0" w:line="360" w:lineRule="auto"/>
        <w:ind w:left="0" w:leftChars="0" w:firstLine="480" w:firstLineChars="200"/>
        <w:rPr>
          <w:rFonts w:hint="eastAsia" w:ascii="宋体" w:hAnsi="宋体" w:eastAsia="宋体" w:cs="宋体"/>
          <w:color w:val="auto"/>
          <w:szCs w:val="24"/>
          <w:highlight w:val="none"/>
          <w:lang w:val="zh-CN"/>
        </w:rPr>
      </w:pPr>
      <w:r>
        <w:rPr>
          <w:rFonts w:hint="eastAsia" w:ascii="宋体" w:hAnsi="宋体" w:eastAsia="宋体" w:cs="宋体"/>
          <w:color w:val="auto"/>
          <w:szCs w:val="24"/>
          <w:highlight w:val="none"/>
          <w:lang w:val="zh-CN"/>
        </w:rPr>
        <w:t>投标文件中投标（开标）一览表内容与投标文件中相应内容不一致的，以投标（开标）一览表为准；</w:t>
      </w:r>
    </w:p>
    <w:p>
      <w:pPr>
        <w:pStyle w:val="51"/>
        <w:numPr>
          <w:ilvl w:val="0"/>
          <w:numId w:val="30"/>
        </w:numPr>
        <w:spacing w:before="0" w:line="360" w:lineRule="auto"/>
        <w:ind w:left="0" w:leftChars="0" w:firstLine="480" w:firstLineChars="200"/>
        <w:rPr>
          <w:rFonts w:hint="eastAsia" w:ascii="宋体" w:hAnsi="宋体" w:eastAsia="宋体" w:cs="宋体"/>
          <w:color w:val="auto"/>
          <w:szCs w:val="24"/>
          <w:highlight w:val="none"/>
          <w:lang w:val="zh-CN"/>
        </w:rPr>
      </w:pPr>
      <w:r>
        <w:rPr>
          <w:rFonts w:hint="eastAsia" w:ascii="宋体" w:hAnsi="宋体" w:eastAsia="宋体" w:cs="宋体"/>
          <w:color w:val="auto"/>
          <w:szCs w:val="24"/>
          <w:highlight w:val="none"/>
          <w:lang w:val="zh-CN"/>
        </w:rPr>
        <w:t>大写金额和小写金额不一致的，以大写金额为准；</w:t>
      </w:r>
    </w:p>
    <w:p>
      <w:pPr>
        <w:pStyle w:val="51"/>
        <w:numPr>
          <w:ilvl w:val="0"/>
          <w:numId w:val="30"/>
        </w:numPr>
        <w:spacing w:before="0" w:line="360" w:lineRule="auto"/>
        <w:ind w:left="0" w:leftChars="0" w:firstLine="480" w:firstLineChars="200"/>
        <w:rPr>
          <w:rFonts w:hint="eastAsia" w:ascii="宋体" w:hAnsi="宋体" w:eastAsia="宋体" w:cs="宋体"/>
          <w:color w:val="auto"/>
          <w:szCs w:val="24"/>
          <w:highlight w:val="none"/>
          <w:lang w:val="zh-CN"/>
        </w:rPr>
      </w:pPr>
      <w:r>
        <w:rPr>
          <w:rFonts w:hint="eastAsia" w:ascii="宋体" w:hAnsi="宋体" w:eastAsia="宋体" w:cs="宋体"/>
          <w:color w:val="auto"/>
          <w:szCs w:val="24"/>
          <w:highlight w:val="none"/>
          <w:lang w:val="zh-CN"/>
        </w:rPr>
        <w:t>单价金额小数点或者百分比有明显错位的，以投标（开标）一览表的总价为准，并修改单价；</w:t>
      </w:r>
    </w:p>
    <w:p>
      <w:pPr>
        <w:pStyle w:val="51"/>
        <w:numPr>
          <w:ilvl w:val="0"/>
          <w:numId w:val="30"/>
        </w:numPr>
        <w:spacing w:before="0" w:line="360" w:lineRule="auto"/>
        <w:ind w:left="0" w:leftChars="0" w:firstLine="480" w:firstLineChars="200"/>
        <w:rPr>
          <w:rFonts w:hint="eastAsia" w:ascii="宋体" w:hAnsi="宋体" w:eastAsia="宋体" w:cs="宋体"/>
          <w:color w:val="auto"/>
          <w:szCs w:val="24"/>
          <w:highlight w:val="none"/>
          <w:lang w:val="zh-CN"/>
        </w:rPr>
      </w:pPr>
      <w:r>
        <w:rPr>
          <w:rFonts w:hint="eastAsia" w:ascii="宋体" w:hAnsi="宋体" w:eastAsia="宋体" w:cs="宋体"/>
          <w:color w:val="auto"/>
          <w:szCs w:val="24"/>
          <w:highlight w:val="none"/>
          <w:lang w:val="zh-CN"/>
        </w:rPr>
        <w:t>总价金额与按单价汇总金额不一致的，以单价金额计算结果为准。</w:t>
      </w:r>
    </w:p>
    <w:p>
      <w:pPr>
        <w:pStyle w:val="51"/>
        <w:numPr>
          <w:ilvl w:val="0"/>
          <w:numId w:val="0"/>
        </w:numPr>
        <w:spacing w:before="0" w:line="360" w:lineRule="auto"/>
        <w:ind w:firstLine="480" w:firstLineChars="200"/>
        <w:rPr>
          <w:rFonts w:hint="eastAsia" w:ascii="宋体" w:hAnsi="宋体" w:eastAsia="宋体" w:cs="宋体"/>
          <w:color w:val="auto"/>
          <w:szCs w:val="24"/>
          <w:highlight w:val="none"/>
          <w:lang w:val="zh-CN"/>
        </w:rPr>
      </w:pPr>
      <w:r>
        <w:rPr>
          <w:rFonts w:hint="eastAsia" w:ascii="宋体" w:hAnsi="宋体" w:eastAsia="宋体" w:cs="宋体"/>
          <w:color w:val="auto"/>
          <w:szCs w:val="24"/>
          <w:highlight w:val="none"/>
          <w:lang w:val="zh-CN"/>
        </w:rPr>
        <w:t>同时出现两种以上不一致的，按照前款规定的顺序修正。修正后的报价参照财政部公布第87号令《政府采购产品和服务招标投标管理办法》第五十一条第二款的规定经投标人确认后产生约束力，投标人不确认的，其投标无效。</w:t>
      </w:r>
    </w:p>
    <w:p>
      <w:pPr>
        <w:pStyle w:val="14"/>
        <w:numPr>
          <w:ilvl w:val="0"/>
          <w:numId w:val="9"/>
        </w:numPr>
        <w:spacing w:line="360" w:lineRule="auto"/>
        <w:ind w:left="0" w:leftChars="0"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投标文件的澄清</w:t>
      </w:r>
    </w:p>
    <w:p>
      <w:pPr>
        <w:pStyle w:val="51"/>
        <w:numPr>
          <w:ilvl w:val="0"/>
          <w:numId w:val="31"/>
        </w:numPr>
        <w:spacing w:before="0" w:line="360" w:lineRule="auto"/>
        <w:ind w:left="0" w:leftChars="0" w:firstLine="480" w:firstLineChars="200"/>
        <w:rPr>
          <w:rFonts w:hint="eastAsia" w:ascii="宋体" w:hAnsi="宋体" w:eastAsia="宋体" w:cs="宋体"/>
          <w:color w:val="auto"/>
          <w:szCs w:val="24"/>
          <w:highlight w:val="none"/>
          <w:lang w:val="zh-CN"/>
        </w:rPr>
      </w:pPr>
      <w:r>
        <w:rPr>
          <w:rFonts w:hint="eastAsia" w:ascii="宋体" w:hAnsi="宋体" w:eastAsia="宋体" w:cs="宋体"/>
          <w:color w:val="auto"/>
          <w:szCs w:val="24"/>
          <w:highlight w:val="none"/>
          <w:lang w:val="zh-CN"/>
        </w:rPr>
        <w:t>评审中</w:t>
      </w:r>
      <w:r>
        <w:rPr>
          <w:rFonts w:hint="eastAsia" w:ascii="宋体" w:hAnsi="宋体" w:eastAsia="宋体" w:cs="宋体"/>
          <w:color w:val="auto"/>
          <w:szCs w:val="24"/>
          <w:highlight w:val="none"/>
          <w:lang w:val="zh-CN" w:eastAsia="zh-CN"/>
        </w:rPr>
        <w:t>因投标文件</w:t>
      </w:r>
      <w:r>
        <w:rPr>
          <w:rFonts w:hint="eastAsia" w:ascii="宋体" w:hAnsi="宋体" w:eastAsia="宋体" w:cs="宋体"/>
          <w:color w:val="auto"/>
          <w:szCs w:val="24"/>
          <w:highlight w:val="none"/>
          <w:lang w:val="zh-CN"/>
        </w:rPr>
        <w:t>含义不明、表述不一致或有明显计算错误等内容需要供应商作出澄清、说明或者补正的，评标委员会和供应商应当通过政采云平台交换数据电文</w:t>
      </w:r>
      <w:r>
        <w:rPr>
          <w:rFonts w:hint="eastAsia" w:ascii="宋体" w:hAnsi="宋体" w:eastAsia="宋体" w:cs="宋体"/>
          <w:color w:val="auto"/>
          <w:szCs w:val="24"/>
          <w:highlight w:val="none"/>
          <w:lang w:val="zh-CN" w:eastAsia="zh-CN"/>
        </w:rPr>
        <w:t>，</w:t>
      </w:r>
      <w:r>
        <w:rPr>
          <w:rFonts w:hint="eastAsia" w:ascii="宋体" w:hAnsi="宋体" w:eastAsia="宋体" w:cs="宋体"/>
          <w:color w:val="auto"/>
          <w:szCs w:val="24"/>
          <w:highlight w:val="none"/>
          <w:lang w:val="zh-CN"/>
        </w:rPr>
        <w:t>给予供应商提交澄清说明或补正的时间不少于半小时，供应商已经明确表示澄清说明或补正完毕的除外。</w:t>
      </w:r>
    </w:p>
    <w:p>
      <w:pPr>
        <w:pStyle w:val="51"/>
        <w:numPr>
          <w:ilvl w:val="0"/>
          <w:numId w:val="31"/>
        </w:numPr>
        <w:spacing w:before="0" w:line="360" w:lineRule="auto"/>
        <w:ind w:left="0" w:leftChars="0" w:firstLine="480" w:firstLineChars="200"/>
        <w:rPr>
          <w:rFonts w:hint="eastAsia" w:ascii="宋体" w:hAnsi="宋体" w:eastAsia="宋体" w:cs="宋体"/>
          <w:color w:val="auto"/>
          <w:szCs w:val="24"/>
          <w:highlight w:val="none"/>
          <w:lang w:val="zh-CN"/>
        </w:rPr>
      </w:pPr>
      <w:r>
        <w:rPr>
          <w:rFonts w:hint="eastAsia" w:ascii="宋体" w:hAnsi="宋体" w:eastAsia="宋体" w:cs="宋体"/>
          <w:color w:val="auto"/>
          <w:szCs w:val="24"/>
          <w:highlight w:val="none"/>
          <w:lang w:val="zh-CN"/>
        </w:rPr>
        <w:t>供应商通过政采云平台交换的数据电文必须进行电子签章。</w:t>
      </w:r>
    </w:p>
    <w:p>
      <w:pPr>
        <w:pStyle w:val="14"/>
        <w:numPr>
          <w:ilvl w:val="0"/>
          <w:numId w:val="9"/>
        </w:numPr>
        <w:spacing w:line="360" w:lineRule="auto"/>
        <w:ind w:left="0" w:leftChars="0"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无效投标</w:t>
      </w:r>
    </w:p>
    <w:p>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经过审查，凡不符合有关规定，不响应招标文件的实质性条款，存在以下重大偏离之一的，经评标委员会认定，将因未通过资格性或符合性审查而被作为无效投标处理：</w:t>
      </w:r>
    </w:p>
    <w:p>
      <w:pPr>
        <w:numPr>
          <w:ilvl w:val="0"/>
          <w:numId w:val="32"/>
        </w:numPr>
        <w:spacing w:line="360" w:lineRule="auto"/>
        <w:ind w:left="0" w:leftChars="0" w:firstLine="482" w:firstLineChars="200"/>
        <w:rPr>
          <w:rFonts w:hint="eastAsia" w:ascii="宋体" w:hAnsi="宋体" w:eastAsia="宋体" w:cs="宋体"/>
          <w:b/>
          <w:bCs/>
          <w:color w:val="auto"/>
          <w:sz w:val="24"/>
          <w:szCs w:val="21"/>
          <w:highlight w:val="none"/>
        </w:rPr>
      </w:pPr>
      <w:r>
        <w:rPr>
          <w:rFonts w:hint="eastAsia" w:ascii="宋体" w:hAnsi="宋体" w:eastAsia="宋体" w:cs="宋体"/>
          <w:b/>
          <w:bCs/>
          <w:color w:val="auto"/>
          <w:sz w:val="24"/>
          <w:szCs w:val="21"/>
          <w:highlight w:val="none"/>
        </w:rPr>
        <w:t>未按照招标文件规定要求签署、盖章的；</w:t>
      </w:r>
    </w:p>
    <w:p>
      <w:pPr>
        <w:numPr>
          <w:ilvl w:val="0"/>
          <w:numId w:val="32"/>
        </w:numPr>
        <w:spacing w:line="360" w:lineRule="auto"/>
        <w:ind w:left="0" w:leftChars="0" w:firstLine="482" w:firstLineChars="200"/>
        <w:rPr>
          <w:rFonts w:hint="eastAsia" w:ascii="宋体" w:hAnsi="宋体" w:eastAsia="宋体" w:cs="宋体"/>
          <w:b/>
          <w:bCs/>
          <w:color w:val="auto"/>
          <w:sz w:val="24"/>
          <w:szCs w:val="21"/>
          <w:highlight w:val="none"/>
        </w:rPr>
      </w:pPr>
      <w:r>
        <w:rPr>
          <w:rFonts w:hint="eastAsia" w:ascii="宋体" w:hAnsi="宋体" w:eastAsia="宋体" w:cs="宋体"/>
          <w:b/>
          <w:bCs/>
          <w:color w:val="auto"/>
          <w:sz w:val="24"/>
          <w:szCs w:val="21"/>
          <w:highlight w:val="none"/>
        </w:rPr>
        <w:t>《法定代表人授权书》填写不全、错误、未加盖投标人公章</w:t>
      </w:r>
      <w:r>
        <w:rPr>
          <w:rFonts w:hint="eastAsia" w:ascii="宋体" w:hAnsi="宋体" w:eastAsia="宋体" w:cs="宋体"/>
          <w:b/>
          <w:bCs/>
          <w:color w:val="auto"/>
          <w:sz w:val="24"/>
          <w:szCs w:val="21"/>
          <w:highlight w:val="none"/>
          <w:lang w:eastAsia="zh-CN"/>
        </w:rPr>
        <w:t>（</w:t>
      </w:r>
      <w:r>
        <w:rPr>
          <w:rFonts w:hint="eastAsia" w:ascii="宋体" w:hAnsi="宋体" w:eastAsia="宋体" w:cs="宋体"/>
          <w:b/>
          <w:bCs/>
          <w:color w:val="auto"/>
          <w:sz w:val="24"/>
          <w:szCs w:val="21"/>
          <w:highlight w:val="none"/>
        </w:rPr>
        <w:t xml:space="preserve">公章和签字或盖章缺一不可）； </w:t>
      </w:r>
    </w:p>
    <w:p>
      <w:pPr>
        <w:numPr>
          <w:ilvl w:val="0"/>
          <w:numId w:val="32"/>
        </w:numPr>
        <w:spacing w:line="360" w:lineRule="auto"/>
        <w:ind w:left="0" w:leftChars="0" w:firstLine="482" w:firstLineChars="200"/>
        <w:rPr>
          <w:rFonts w:hint="eastAsia" w:ascii="宋体" w:hAnsi="宋体" w:eastAsia="宋体" w:cs="宋体"/>
          <w:b/>
          <w:bCs/>
          <w:color w:val="auto"/>
          <w:sz w:val="24"/>
          <w:szCs w:val="21"/>
          <w:highlight w:val="none"/>
        </w:rPr>
      </w:pPr>
      <w:r>
        <w:rPr>
          <w:rFonts w:hint="eastAsia" w:ascii="宋体" w:hAnsi="宋体" w:eastAsia="宋体" w:cs="宋体"/>
          <w:b/>
          <w:bCs/>
          <w:color w:val="auto"/>
          <w:sz w:val="24"/>
          <w:szCs w:val="21"/>
          <w:highlight w:val="none"/>
        </w:rPr>
        <w:t>个体工商户的身份证明与营业执照不一致的；</w:t>
      </w:r>
    </w:p>
    <w:p>
      <w:pPr>
        <w:numPr>
          <w:ilvl w:val="0"/>
          <w:numId w:val="32"/>
        </w:numPr>
        <w:spacing w:line="360" w:lineRule="auto"/>
        <w:ind w:left="0" w:leftChars="0" w:firstLine="482" w:firstLineChars="200"/>
        <w:rPr>
          <w:rFonts w:hint="eastAsia" w:ascii="宋体" w:hAnsi="宋体" w:eastAsia="宋体" w:cs="宋体"/>
          <w:b/>
          <w:bCs/>
          <w:color w:val="auto"/>
          <w:sz w:val="24"/>
          <w:szCs w:val="21"/>
          <w:highlight w:val="none"/>
        </w:rPr>
      </w:pPr>
      <w:r>
        <w:rPr>
          <w:rFonts w:hint="eastAsia" w:ascii="宋体" w:hAnsi="宋体" w:eastAsia="宋体" w:cs="宋体"/>
          <w:b/>
          <w:bCs/>
          <w:color w:val="auto"/>
          <w:sz w:val="24"/>
          <w:szCs w:val="21"/>
          <w:highlight w:val="none"/>
        </w:rPr>
        <w:t>投标文件中的投标函未加盖投标人的企业公章或填写不全的；</w:t>
      </w:r>
    </w:p>
    <w:p>
      <w:pPr>
        <w:numPr>
          <w:ilvl w:val="0"/>
          <w:numId w:val="32"/>
        </w:numPr>
        <w:spacing w:line="360" w:lineRule="auto"/>
        <w:ind w:left="0" w:leftChars="0" w:firstLine="482" w:firstLineChars="200"/>
        <w:rPr>
          <w:rFonts w:hint="eastAsia" w:ascii="宋体" w:hAnsi="宋体" w:eastAsia="宋体" w:cs="宋体"/>
          <w:b/>
          <w:bCs/>
          <w:color w:val="auto"/>
          <w:sz w:val="24"/>
          <w:szCs w:val="21"/>
          <w:highlight w:val="none"/>
        </w:rPr>
      </w:pPr>
      <w:r>
        <w:rPr>
          <w:rFonts w:hint="eastAsia" w:ascii="宋体" w:hAnsi="宋体" w:eastAsia="宋体" w:cs="宋体"/>
          <w:b/>
          <w:bCs/>
          <w:strike w:val="0"/>
          <w:dstrike w:val="0"/>
          <w:color w:val="auto"/>
          <w:sz w:val="24"/>
          <w:szCs w:val="21"/>
          <w:highlight w:val="none"/>
        </w:rPr>
        <w:t>报价一经涂改，未在涂改处加盖投标单位公章或者未经法定代表人或其授权代表签字或盖章的；</w:t>
      </w:r>
    </w:p>
    <w:p>
      <w:pPr>
        <w:numPr>
          <w:ilvl w:val="0"/>
          <w:numId w:val="32"/>
        </w:numPr>
        <w:spacing w:line="360" w:lineRule="auto"/>
        <w:ind w:left="0" w:leftChars="0" w:firstLine="482" w:firstLineChars="200"/>
        <w:rPr>
          <w:rFonts w:hint="eastAsia" w:ascii="宋体" w:hAnsi="宋体" w:eastAsia="宋体" w:cs="宋体"/>
          <w:b/>
          <w:bCs/>
          <w:color w:val="auto"/>
          <w:sz w:val="24"/>
          <w:szCs w:val="21"/>
          <w:highlight w:val="none"/>
        </w:rPr>
      </w:pPr>
      <w:r>
        <w:rPr>
          <w:rFonts w:hint="eastAsia" w:ascii="宋体" w:hAnsi="宋体" w:eastAsia="宋体" w:cs="宋体"/>
          <w:b/>
          <w:bCs/>
          <w:color w:val="auto"/>
          <w:sz w:val="24"/>
          <w:szCs w:val="21"/>
          <w:highlight w:val="none"/>
        </w:rPr>
        <w:t>因未按规定的格式填写，内容不全或主要实质性内容字迹模糊辨认不清,经评标委员会认定为无法评审的；</w:t>
      </w:r>
    </w:p>
    <w:p>
      <w:pPr>
        <w:numPr>
          <w:ilvl w:val="0"/>
          <w:numId w:val="32"/>
        </w:numPr>
        <w:spacing w:line="360" w:lineRule="auto"/>
        <w:ind w:left="0" w:leftChars="0" w:firstLine="482" w:firstLineChars="200"/>
        <w:rPr>
          <w:rFonts w:hint="eastAsia" w:ascii="宋体" w:hAnsi="宋体" w:eastAsia="宋体" w:cs="宋体"/>
          <w:b/>
          <w:bCs/>
          <w:color w:val="auto"/>
          <w:sz w:val="24"/>
          <w:szCs w:val="21"/>
          <w:highlight w:val="none"/>
        </w:rPr>
      </w:pPr>
      <w:r>
        <w:rPr>
          <w:rFonts w:hint="eastAsia" w:ascii="宋体" w:hAnsi="宋体" w:eastAsia="宋体" w:cs="宋体"/>
          <w:b/>
          <w:bCs/>
          <w:color w:val="auto"/>
          <w:sz w:val="24"/>
          <w:szCs w:val="21"/>
          <w:highlight w:val="none"/>
        </w:rPr>
        <w:t>出现同一标的物或本次招标产品(服务)内的主要产品(重要组成部分)出现技术、商务描述不一致或前后描述不一致，经评标委员会认定为无法评审的；</w:t>
      </w:r>
    </w:p>
    <w:p>
      <w:pPr>
        <w:numPr>
          <w:ilvl w:val="0"/>
          <w:numId w:val="32"/>
        </w:numPr>
        <w:spacing w:line="360" w:lineRule="auto"/>
        <w:ind w:left="0" w:leftChars="0" w:firstLine="482" w:firstLineChars="200"/>
        <w:rPr>
          <w:rFonts w:hint="eastAsia" w:ascii="宋体" w:hAnsi="宋体" w:eastAsia="宋体" w:cs="宋体"/>
          <w:b/>
          <w:bCs/>
          <w:color w:val="auto"/>
          <w:sz w:val="24"/>
          <w:szCs w:val="21"/>
          <w:highlight w:val="none"/>
        </w:rPr>
      </w:pPr>
      <w:r>
        <w:rPr>
          <w:rFonts w:hint="eastAsia" w:ascii="宋体" w:hAnsi="宋体" w:eastAsia="宋体" w:cs="宋体"/>
          <w:b/>
          <w:bCs/>
          <w:color w:val="auto"/>
          <w:sz w:val="24"/>
          <w:szCs w:val="21"/>
          <w:highlight w:val="none"/>
        </w:rPr>
        <w:t>投标详细配置清单响应表不真实填写或弄虚作假的；改变招标文件提供的清单中的计量单位、工程数量；</w:t>
      </w:r>
    </w:p>
    <w:p>
      <w:pPr>
        <w:numPr>
          <w:ilvl w:val="0"/>
          <w:numId w:val="32"/>
        </w:numPr>
        <w:spacing w:line="360" w:lineRule="auto"/>
        <w:ind w:left="0" w:leftChars="0" w:firstLine="482" w:firstLineChars="200"/>
        <w:rPr>
          <w:rFonts w:hint="eastAsia" w:ascii="宋体" w:hAnsi="宋体" w:eastAsia="宋体" w:cs="宋体"/>
          <w:b/>
          <w:bCs/>
          <w:color w:val="auto"/>
          <w:sz w:val="24"/>
          <w:szCs w:val="21"/>
          <w:highlight w:val="none"/>
        </w:rPr>
      </w:pPr>
      <w:r>
        <w:rPr>
          <w:rFonts w:hint="eastAsia" w:ascii="宋体" w:hAnsi="宋体" w:eastAsia="宋体" w:cs="宋体"/>
          <w:b/>
          <w:bCs/>
          <w:color w:val="auto"/>
          <w:sz w:val="24"/>
          <w:szCs w:val="21"/>
          <w:highlight w:val="none"/>
        </w:rPr>
        <w:t>对招标产品技术规格未详细应答，致使其技术文件无法评审的；</w:t>
      </w:r>
    </w:p>
    <w:p>
      <w:pPr>
        <w:numPr>
          <w:ilvl w:val="0"/>
          <w:numId w:val="32"/>
        </w:numPr>
        <w:spacing w:line="360" w:lineRule="auto"/>
        <w:ind w:left="0" w:leftChars="0" w:firstLine="482" w:firstLineChars="200"/>
        <w:rPr>
          <w:rFonts w:hint="eastAsia" w:ascii="宋体" w:hAnsi="宋体" w:eastAsia="宋体" w:cs="宋体"/>
          <w:b/>
          <w:bCs/>
          <w:color w:val="auto"/>
          <w:sz w:val="24"/>
          <w:szCs w:val="21"/>
          <w:highlight w:val="none"/>
        </w:rPr>
      </w:pPr>
      <w:r>
        <w:rPr>
          <w:rFonts w:hint="eastAsia" w:ascii="宋体" w:hAnsi="宋体" w:eastAsia="宋体" w:cs="宋体"/>
          <w:b/>
          <w:bCs/>
          <w:color w:val="auto"/>
          <w:sz w:val="24"/>
          <w:szCs w:val="21"/>
          <w:highlight w:val="none"/>
        </w:rPr>
        <w:t>投标文件有招标方不能接受的条件；</w:t>
      </w:r>
    </w:p>
    <w:p>
      <w:pPr>
        <w:numPr>
          <w:ilvl w:val="0"/>
          <w:numId w:val="32"/>
        </w:numPr>
        <w:spacing w:line="360" w:lineRule="auto"/>
        <w:ind w:left="0" w:leftChars="0" w:firstLine="482" w:firstLineChars="200"/>
        <w:rPr>
          <w:rFonts w:hint="eastAsia" w:ascii="宋体" w:hAnsi="宋体" w:eastAsia="宋体" w:cs="宋体"/>
          <w:b/>
          <w:bCs/>
          <w:color w:val="auto"/>
          <w:sz w:val="24"/>
          <w:szCs w:val="21"/>
          <w:highlight w:val="none"/>
        </w:rPr>
      </w:pPr>
      <w:r>
        <w:rPr>
          <w:rFonts w:hint="eastAsia" w:ascii="宋体" w:hAnsi="宋体" w:eastAsia="宋体" w:cs="宋体"/>
          <w:b/>
          <w:bCs/>
          <w:color w:val="auto"/>
          <w:sz w:val="24"/>
          <w:szCs w:val="21"/>
          <w:highlight w:val="none"/>
        </w:rPr>
        <w:t>评标委员会认为投标人的报价明显低于其他通过符合性审查投标人的报价，有可能影响产品质量或者不能诚信履约的，应当要求其在评标现场合理的时间内通过政采云平台提供线上说明，必要时提交相关证明材料</w:t>
      </w:r>
      <w:r>
        <w:rPr>
          <w:rFonts w:hint="eastAsia" w:eastAsia="宋体" w:cs="宋体"/>
          <w:b/>
          <w:bCs/>
          <w:color w:val="auto"/>
          <w:sz w:val="24"/>
          <w:szCs w:val="21"/>
          <w:highlight w:val="none"/>
          <w:lang w:eastAsia="zh-CN"/>
        </w:rPr>
        <w:t>；</w:t>
      </w:r>
    </w:p>
    <w:p>
      <w:pPr>
        <w:numPr>
          <w:ilvl w:val="0"/>
          <w:numId w:val="32"/>
        </w:numPr>
        <w:spacing w:line="360" w:lineRule="auto"/>
        <w:ind w:left="0" w:leftChars="0" w:firstLine="482" w:firstLineChars="200"/>
        <w:rPr>
          <w:rFonts w:hint="eastAsia" w:ascii="宋体" w:hAnsi="宋体" w:eastAsia="宋体" w:cs="宋体"/>
          <w:b/>
          <w:bCs/>
          <w:color w:val="auto"/>
          <w:sz w:val="24"/>
          <w:szCs w:val="21"/>
          <w:highlight w:val="none"/>
        </w:rPr>
      </w:pPr>
      <w:r>
        <w:rPr>
          <w:rFonts w:hint="eastAsia" w:ascii="宋体" w:hAnsi="宋体" w:eastAsia="宋体" w:cs="宋体"/>
          <w:b/>
          <w:bCs/>
          <w:color w:val="auto"/>
          <w:sz w:val="24"/>
          <w:szCs w:val="21"/>
          <w:highlight w:val="none"/>
        </w:rPr>
        <w:t>投标报价超过预算金额或最高限价的；</w:t>
      </w:r>
    </w:p>
    <w:p>
      <w:pPr>
        <w:numPr>
          <w:ilvl w:val="0"/>
          <w:numId w:val="32"/>
        </w:numPr>
        <w:spacing w:line="360" w:lineRule="auto"/>
        <w:ind w:left="0" w:leftChars="0" w:firstLine="482" w:firstLineChars="200"/>
        <w:rPr>
          <w:rFonts w:hint="eastAsia" w:ascii="宋体" w:hAnsi="宋体" w:eastAsia="宋体" w:cs="宋体"/>
          <w:b/>
          <w:bCs/>
          <w:color w:val="auto"/>
          <w:sz w:val="24"/>
          <w:szCs w:val="21"/>
          <w:highlight w:val="none"/>
        </w:rPr>
      </w:pPr>
      <w:r>
        <w:rPr>
          <w:rFonts w:hint="eastAsia" w:ascii="宋体" w:hAnsi="宋体" w:eastAsia="宋体" w:cs="宋体"/>
          <w:b/>
          <w:bCs/>
          <w:color w:val="auto"/>
          <w:sz w:val="24"/>
          <w:szCs w:val="21"/>
          <w:highlight w:val="none"/>
        </w:rPr>
        <w:t>投标文件“</w:t>
      </w:r>
      <w:r>
        <w:rPr>
          <w:rFonts w:hint="eastAsia" w:ascii="宋体" w:hAnsi="宋体" w:eastAsia="宋体" w:cs="宋体"/>
          <w:b/>
          <w:bCs/>
          <w:color w:val="auto"/>
          <w:sz w:val="24"/>
          <w:szCs w:val="21"/>
          <w:highlight w:val="none"/>
          <w:lang w:eastAsia="zh-CN"/>
        </w:rPr>
        <w:t>商务技术</w:t>
      </w:r>
      <w:r>
        <w:rPr>
          <w:rFonts w:hint="eastAsia" w:ascii="宋体" w:hAnsi="宋体" w:eastAsia="宋体" w:cs="宋体"/>
          <w:b/>
          <w:bCs/>
          <w:color w:val="auto"/>
          <w:sz w:val="24"/>
          <w:szCs w:val="21"/>
          <w:highlight w:val="none"/>
        </w:rPr>
        <w:t>文件资料”部分中出现《开标一览表》或《投标报价明细表》相关内容的；</w:t>
      </w:r>
    </w:p>
    <w:p>
      <w:pPr>
        <w:numPr>
          <w:ilvl w:val="0"/>
          <w:numId w:val="32"/>
        </w:numPr>
        <w:spacing w:line="360" w:lineRule="auto"/>
        <w:ind w:left="0" w:leftChars="0" w:firstLine="482" w:firstLineChars="200"/>
        <w:rPr>
          <w:rFonts w:hint="eastAsia" w:ascii="宋体" w:hAnsi="宋体" w:eastAsia="宋体" w:cs="宋体"/>
          <w:b/>
          <w:bCs/>
          <w:color w:val="auto"/>
          <w:sz w:val="24"/>
          <w:szCs w:val="21"/>
          <w:highlight w:val="none"/>
        </w:rPr>
      </w:pPr>
      <w:r>
        <w:rPr>
          <w:rFonts w:hint="eastAsia" w:ascii="宋体" w:hAnsi="宋体" w:eastAsia="宋体" w:cs="宋体"/>
          <w:b/>
          <w:bCs/>
          <w:color w:val="auto"/>
          <w:sz w:val="24"/>
          <w:szCs w:val="21"/>
          <w:highlight w:val="none"/>
        </w:rPr>
        <w:t>评标委员会认定有重大偏差或实质性不响应招标文件要求的，即“★”的关键性指标及技术参数要求负偏离或缺漏；</w:t>
      </w:r>
    </w:p>
    <w:p>
      <w:pPr>
        <w:numPr>
          <w:ilvl w:val="0"/>
          <w:numId w:val="32"/>
        </w:numPr>
        <w:spacing w:line="360" w:lineRule="auto"/>
        <w:ind w:left="0" w:leftChars="0" w:firstLine="482" w:firstLineChars="200"/>
        <w:rPr>
          <w:rFonts w:hint="eastAsia" w:ascii="宋体" w:hAnsi="宋体" w:eastAsia="宋体" w:cs="宋体"/>
          <w:b/>
          <w:bCs/>
          <w:color w:val="auto"/>
          <w:sz w:val="24"/>
          <w:szCs w:val="21"/>
          <w:highlight w:val="none"/>
        </w:rPr>
      </w:pPr>
      <w:r>
        <w:rPr>
          <w:rFonts w:hint="eastAsia" w:ascii="宋体" w:hAnsi="宋体" w:eastAsia="宋体" w:cs="宋体"/>
          <w:b/>
          <w:bCs/>
          <w:color w:val="auto"/>
          <w:sz w:val="24"/>
          <w:szCs w:val="21"/>
          <w:highlight w:val="none"/>
        </w:rPr>
        <w:t>投标人拒绝按招标文件规定的修正原则对投标文件进行修改的；</w:t>
      </w:r>
    </w:p>
    <w:p>
      <w:pPr>
        <w:numPr>
          <w:ilvl w:val="0"/>
          <w:numId w:val="32"/>
        </w:numPr>
        <w:spacing w:line="360" w:lineRule="auto"/>
        <w:ind w:left="0" w:leftChars="0" w:firstLine="482" w:firstLineChars="200"/>
        <w:rPr>
          <w:rFonts w:hint="eastAsia" w:ascii="宋体" w:hAnsi="宋体" w:eastAsia="宋体" w:cs="宋体"/>
          <w:b/>
          <w:bCs/>
          <w:color w:val="auto"/>
          <w:sz w:val="24"/>
          <w:szCs w:val="21"/>
          <w:highlight w:val="none"/>
        </w:rPr>
      </w:pPr>
      <w:r>
        <w:rPr>
          <w:rFonts w:hint="eastAsia" w:ascii="宋体" w:hAnsi="宋体" w:eastAsia="宋体" w:cs="宋体"/>
          <w:b/>
          <w:bCs/>
          <w:color w:val="auto"/>
          <w:sz w:val="24"/>
          <w:szCs w:val="21"/>
          <w:highlight w:val="none"/>
        </w:rPr>
        <w:t>有下列情形之一的，视为投标人串通投标，其投标无效：</w:t>
      </w:r>
    </w:p>
    <w:p>
      <w:pPr>
        <w:numPr>
          <w:ilvl w:val="0"/>
          <w:numId w:val="33"/>
        </w:numPr>
        <w:spacing w:line="360" w:lineRule="auto"/>
        <w:ind w:left="0" w:leftChars="0" w:firstLine="482" w:firstLineChars="200"/>
        <w:rPr>
          <w:rFonts w:hint="eastAsia" w:ascii="宋体" w:hAnsi="宋体" w:eastAsia="宋体" w:cs="宋体"/>
          <w:b/>
          <w:bCs/>
          <w:color w:val="auto"/>
          <w:sz w:val="24"/>
          <w:szCs w:val="21"/>
          <w:highlight w:val="none"/>
        </w:rPr>
      </w:pPr>
      <w:r>
        <w:rPr>
          <w:rFonts w:hint="eastAsia" w:ascii="宋体" w:hAnsi="宋体" w:eastAsia="宋体" w:cs="宋体"/>
          <w:b/>
          <w:bCs/>
          <w:color w:val="auto"/>
          <w:sz w:val="24"/>
          <w:szCs w:val="21"/>
          <w:highlight w:val="none"/>
        </w:rPr>
        <w:t>不同投标人的投标文件由同一单位或者个人编制；</w:t>
      </w:r>
    </w:p>
    <w:p>
      <w:pPr>
        <w:numPr>
          <w:ilvl w:val="0"/>
          <w:numId w:val="33"/>
        </w:numPr>
        <w:spacing w:line="360" w:lineRule="auto"/>
        <w:ind w:left="0" w:leftChars="0" w:firstLine="482" w:firstLineChars="200"/>
        <w:rPr>
          <w:rFonts w:hint="eastAsia" w:ascii="宋体" w:hAnsi="宋体" w:eastAsia="宋体" w:cs="宋体"/>
          <w:b/>
          <w:bCs/>
          <w:color w:val="auto"/>
          <w:sz w:val="24"/>
          <w:szCs w:val="21"/>
          <w:highlight w:val="none"/>
        </w:rPr>
      </w:pPr>
      <w:r>
        <w:rPr>
          <w:rFonts w:hint="eastAsia" w:ascii="宋体" w:hAnsi="宋体" w:eastAsia="宋体" w:cs="宋体"/>
          <w:b/>
          <w:bCs/>
          <w:color w:val="auto"/>
          <w:sz w:val="24"/>
          <w:szCs w:val="21"/>
          <w:highlight w:val="none"/>
        </w:rPr>
        <w:t>不同投标人委托同一单位或者个人办理投标事宜；</w:t>
      </w:r>
    </w:p>
    <w:p>
      <w:pPr>
        <w:numPr>
          <w:ilvl w:val="0"/>
          <w:numId w:val="33"/>
        </w:numPr>
        <w:spacing w:line="360" w:lineRule="auto"/>
        <w:ind w:left="0" w:leftChars="0" w:firstLine="482" w:firstLineChars="200"/>
        <w:rPr>
          <w:rFonts w:hint="eastAsia" w:ascii="宋体" w:hAnsi="宋体" w:eastAsia="宋体" w:cs="宋体"/>
          <w:b/>
          <w:bCs/>
          <w:color w:val="auto"/>
          <w:sz w:val="24"/>
          <w:szCs w:val="21"/>
          <w:highlight w:val="none"/>
        </w:rPr>
      </w:pPr>
      <w:r>
        <w:rPr>
          <w:rFonts w:hint="eastAsia" w:ascii="宋体" w:hAnsi="宋体" w:eastAsia="宋体" w:cs="宋体"/>
          <w:b/>
          <w:bCs/>
          <w:color w:val="auto"/>
          <w:sz w:val="24"/>
          <w:szCs w:val="21"/>
          <w:highlight w:val="none"/>
        </w:rPr>
        <w:t>不同投标人的投标文件载明的项目管理成员或者联系人员为同一人；</w:t>
      </w:r>
    </w:p>
    <w:p>
      <w:pPr>
        <w:numPr>
          <w:ilvl w:val="0"/>
          <w:numId w:val="33"/>
        </w:numPr>
        <w:spacing w:line="360" w:lineRule="auto"/>
        <w:ind w:left="0" w:leftChars="0" w:firstLine="482" w:firstLineChars="200"/>
        <w:rPr>
          <w:rFonts w:hint="eastAsia" w:ascii="宋体" w:hAnsi="宋体" w:eastAsia="宋体" w:cs="宋体"/>
          <w:b/>
          <w:bCs/>
          <w:color w:val="auto"/>
          <w:sz w:val="24"/>
          <w:szCs w:val="21"/>
          <w:highlight w:val="none"/>
        </w:rPr>
      </w:pPr>
      <w:r>
        <w:rPr>
          <w:rFonts w:hint="eastAsia" w:ascii="宋体" w:hAnsi="宋体" w:eastAsia="宋体" w:cs="宋体"/>
          <w:b/>
          <w:bCs/>
          <w:color w:val="auto"/>
          <w:sz w:val="24"/>
          <w:szCs w:val="21"/>
          <w:highlight w:val="none"/>
        </w:rPr>
        <w:t>不同投标人的投标文件异常一致或者投标报价呈规律性差异；</w:t>
      </w:r>
    </w:p>
    <w:p>
      <w:pPr>
        <w:numPr>
          <w:ilvl w:val="0"/>
          <w:numId w:val="33"/>
        </w:numPr>
        <w:spacing w:line="360" w:lineRule="auto"/>
        <w:ind w:left="0" w:leftChars="0" w:firstLine="482" w:firstLineChars="200"/>
        <w:rPr>
          <w:rFonts w:hint="eastAsia" w:ascii="宋体" w:hAnsi="宋体" w:eastAsia="宋体" w:cs="宋体"/>
          <w:b/>
          <w:bCs/>
          <w:color w:val="auto"/>
          <w:sz w:val="24"/>
          <w:szCs w:val="21"/>
          <w:highlight w:val="none"/>
        </w:rPr>
      </w:pPr>
      <w:r>
        <w:rPr>
          <w:rFonts w:hint="eastAsia" w:ascii="宋体" w:hAnsi="宋体" w:eastAsia="宋体" w:cs="宋体"/>
          <w:b/>
          <w:bCs/>
          <w:color w:val="auto"/>
          <w:sz w:val="24"/>
          <w:szCs w:val="21"/>
          <w:highlight w:val="none"/>
          <w:lang w:eastAsia="zh-CN"/>
        </w:rPr>
        <w:t>不同</w:t>
      </w:r>
      <w:r>
        <w:rPr>
          <w:rFonts w:hint="eastAsia" w:ascii="宋体" w:hAnsi="宋体" w:eastAsia="宋体" w:cs="宋体"/>
          <w:b/>
          <w:bCs/>
          <w:color w:val="auto"/>
          <w:sz w:val="24"/>
          <w:szCs w:val="21"/>
          <w:highlight w:val="none"/>
        </w:rPr>
        <w:t>投标人提供的投标文件出自同一终端设备的，或在相同Internet主机分配地址（相同IP地址）报名或网上投标的，且经询标澄清投标人无令人信服的理由和可靠证据证明其合理性的，经评标委员会半数以上成员确认有串通投标嫌疑的</w:t>
      </w:r>
      <w:r>
        <w:rPr>
          <w:rFonts w:hint="eastAsia" w:ascii="宋体" w:hAnsi="宋体" w:eastAsia="宋体" w:cs="宋体"/>
          <w:b/>
          <w:bCs/>
          <w:color w:val="auto"/>
          <w:sz w:val="24"/>
          <w:szCs w:val="21"/>
          <w:highlight w:val="none"/>
          <w:lang w:eastAsia="zh-CN"/>
        </w:rPr>
        <w:t>。</w:t>
      </w:r>
    </w:p>
    <w:p>
      <w:pPr>
        <w:pStyle w:val="14"/>
        <w:numPr>
          <w:ilvl w:val="0"/>
          <w:numId w:val="9"/>
        </w:numPr>
        <w:spacing w:line="360" w:lineRule="auto"/>
        <w:ind w:left="0" w:leftChars="0"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废标</w:t>
      </w:r>
    </w:p>
    <w:p>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highlight w:val="none"/>
          <w:lang w:eastAsia="zh-CN"/>
        </w:rPr>
        <w:t>根据</w:t>
      </w:r>
      <w:r>
        <w:rPr>
          <w:rFonts w:hint="eastAsia" w:ascii="宋体" w:hAnsi="宋体" w:eastAsia="宋体" w:cs="宋体"/>
          <w:color w:val="auto"/>
          <w:sz w:val="24"/>
          <w:highlight w:val="none"/>
        </w:rPr>
        <w:t>《</w:t>
      </w:r>
      <w:r>
        <w:rPr>
          <w:rFonts w:hint="eastAsia" w:eastAsia="宋体" w:cs="宋体"/>
          <w:color w:val="auto"/>
          <w:sz w:val="24"/>
          <w:highlight w:val="none"/>
          <w:lang w:eastAsia="zh-CN"/>
        </w:rPr>
        <w:t>上虞区区属国有企业货物和服务采购管理办法</w:t>
      </w:r>
      <w:r>
        <w:rPr>
          <w:rFonts w:hint="eastAsia" w:ascii="宋体" w:hAnsi="宋体" w:eastAsia="宋体" w:cs="宋体"/>
          <w:color w:val="auto"/>
          <w:sz w:val="24"/>
          <w:highlight w:val="none"/>
        </w:rPr>
        <w:t>》</w:t>
      </w:r>
      <w:r>
        <w:rPr>
          <w:rFonts w:hint="eastAsia" w:ascii="宋体" w:hAnsi="宋体" w:eastAsia="宋体" w:cs="宋体"/>
          <w:color w:val="auto"/>
          <w:sz w:val="24"/>
          <w:szCs w:val="21"/>
          <w:highlight w:val="none"/>
        </w:rPr>
        <w:t>第</w:t>
      </w:r>
      <w:r>
        <w:rPr>
          <w:rFonts w:hint="eastAsia" w:eastAsia="宋体" w:cs="宋体"/>
          <w:color w:val="auto"/>
          <w:sz w:val="24"/>
          <w:szCs w:val="21"/>
          <w:highlight w:val="none"/>
          <w:lang w:eastAsia="zh-CN"/>
        </w:rPr>
        <w:t>四</w:t>
      </w:r>
      <w:r>
        <w:rPr>
          <w:rFonts w:hint="eastAsia" w:ascii="宋体" w:hAnsi="宋体" w:eastAsia="宋体" w:cs="宋体"/>
          <w:color w:val="auto"/>
          <w:sz w:val="24"/>
          <w:szCs w:val="21"/>
          <w:highlight w:val="none"/>
        </w:rPr>
        <w:t>十</w:t>
      </w:r>
      <w:r>
        <w:rPr>
          <w:rFonts w:hint="eastAsia" w:ascii="宋体" w:hAnsi="宋体" w:eastAsia="宋体" w:cs="宋体"/>
          <w:color w:val="auto"/>
          <w:sz w:val="24"/>
          <w:szCs w:val="21"/>
          <w:highlight w:val="none"/>
          <w:lang w:eastAsia="zh-CN"/>
        </w:rPr>
        <w:t>二</w:t>
      </w:r>
      <w:r>
        <w:rPr>
          <w:rFonts w:hint="eastAsia" w:ascii="宋体" w:hAnsi="宋体" w:eastAsia="宋体" w:cs="宋体"/>
          <w:color w:val="auto"/>
          <w:sz w:val="24"/>
          <w:szCs w:val="21"/>
          <w:highlight w:val="none"/>
        </w:rPr>
        <w:t>条之规定</w:t>
      </w:r>
      <w:r>
        <w:rPr>
          <w:rFonts w:hint="eastAsia" w:eastAsia="宋体" w:cs="宋体"/>
          <w:color w:val="auto"/>
          <w:sz w:val="24"/>
          <w:szCs w:val="21"/>
          <w:highlight w:val="none"/>
          <w:lang w:eastAsia="zh-CN"/>
        </w:rPr>
        <w:t>：</w:t>
      </w:r>
      <w:r>
        <w:rPr>
          <w:rFonts w:hint="eastAsia" w:ascii="宋体" w:hAnsi="宋体" w:eastAsia="宋体" w:cs="宋体"/>
          <w:color w:val="auto"/>
          <w:sz w:val="24"/>
          <w:szCs w:val="21"/>
          <w:highlight w:val="none"/>
        </w:rPr>
        <w:t>在公开招标采购中，出现下列情形之一的，应予终止采购程序或废标：</w:t>
      </w:r>
    </w:p>
    <w:p>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（一）符合专业条件的供应商或者对采购文件作实质响应的供应商不足3家；</w:t>
      </w:r>
    </w:p>
    <w:p>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（二）出现影响采购公正的违法、违规行为；</w:t>
      </w:r>
    </w:p>
    <w:p>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（三）投标人的报价均超过了采购预算；</w:t>
      </w:r>
    </w:p>
    <w:p>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（四）因重大变故，采购任务取消。</w:t>
      </w:r>
    </w:p>
    <w:p>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终止采购程序或废标后，采购人应当将决定及相关理由及时通知所有投标供应商；评审现场废标决定由采购人根据评标委员会提出的废标意见作出；非评审现场废标决定原则上由采购人主管部门作出，另有约定的除外。除采购任务取消情形外，应当重新组织招标。</w:t>
      </w:r>
    </w:p>
    <w:p>
      <w:pPr>
        <w:pStyle w:val="14"/>
        <w:numPr>
          <w:ilvl w:val="0"/>
          <w:numId w:val="9"/>
        </w:numPr>
        <w:spacing w:line="360" w:lineRule="auto"/>
        <w:ind w:left="0" w:leftChars="0" w:firstLine="482" w:firstLineChars="200"/>
        <w:rPr>
          <w:rFonts w:hint="eastAsia" w:ascii="宋体" w:hAnsi="宋体" w:eastAsia="宋体" w:cs="宋体"/>
          <w:b/>
          <w:color w:val="auto"/>
          <w:sz w:val="24"/>
          <w:szCs w:val="24"/>
          <w:highlight w:val="none"/>
        </w:rPr>
      </w:pPr>
      <w:r>
        <w:rPr>
          <w:rFonts w:hint="eastAsia" w:ascii="宋体" w:hAnsi="宋体" w:eastAsia="宋体" w:cs="宋体"/>
          <w:b/>
          <w:bCs/>
          <w:color w:val="auto"/>
          <w:sz w:val="24"/>
          <w:szCs w:val="24"/>
          <w:highlight w:val="none"/>
          <w:lang w:val="zh-CN"/>
        </w:rPr>
        <w:t>中止电子交易活动和</w:t>
      </w:r>
      <w:r>
        <w:rPr>
          <w:rFonts w:hint="eastAsia" w:ascii="宋体" w:hAnsi="宋体" w:eastAsia="宋体" w:cs="宋体"/>
          <w:b/>
          <w:color w:val="auto"/>
          <w:sz w:val="24"/>
          <w:szCs w:val="24"/>
          <w:highlight w:val="none"/>
        </w:rPr>
        <w:t>重新组织采购</w:t>
      </w:r>
    </w:p>
    <w:p>
      <w:pPr>
        <w:pStyle w:val="51"/>
        <w:keepNext w:val="0"/>
        <w:keepLines w:val="0"/>
        <w:pageBreakBefore w:val="0"/>
        <w:widowControl w:val="0"/>
        <w:numPr>
          <w:ilvl w:val="0"/>
          <w:numId w:val="0"/>
        </w:numPr>
        <w:tabs>
          <w:tab w:val="left" w:pos="0"/>
        </w:tabs>
        <w:kinsoku/>
        <w:wordWrap/>
        <w:overflowPunct/>
        <w:topLinePunct w:val="0"/>
        <w:autoSpaceDE/>
        <w:autoSpaceDN/>
        <w:bidi w:val="0"/>
        <w:snapToGrid/>
        <w:spacing w:before="0" w:line="360" w:lineRule="auto"/>
        <w:ind w:leftChars="0" w:firstLine="480" w:firstLineChars="200"/>
        <w:textAlignment w:val="auto"/>
        <w:rPr>
          <w:rFonts w:hint="eastAsia" w:ascii="宋体" w:hAnsi="宋体" w:eastAsia="宋体" w:cs="宋体"/>
          <w:color w:val="auto"/>
          <w:szCs w:val="24"/>
          <w:highlight w:val="none"/>
          <w:lang w:val="zh-CN"/>
        </w:rPr>
      </w:pPr>
      <w:r>
        <w:rPr>
          <w:rFonts w:hint="eastAsia" w:ascii="宋体" w:hAnsi="宋体" w:eastAsia="宋体" w:cs="宋体"/>
          <w:color w:val="auto"/>
          <w:szCs w:val="24"/>
          <w:highlight w:val="none"/>
          <w:lang w:val="en-US" w:eastAsia="zh-CN"/>
        </w:rPr>
        <w:t>26.1</w:t>
      </w:r>
      <w:r>
        <w:rPr>
          <w:rFonts w:hint="eastAsia" w:ascii="宋体" w:hAnsi="宋体" w:eastAsia="宋体" w:cs="宋体"/>
          <w:color w:val="auto"/>
          <w:szCs w:val="24"/>
          <w:highlight w:val="none"/>
          <w:lang w:val="zh-CN"/>
        </w:rPr>
        <w:t>采购过程中出现以下情形，导致电子交易平台无法正常运行，或者无法保证电子交易的公平、公正和安全时，采购组织机构可中止电子交易活动：</w:t>
      </w:r>
    </w:p>
    <w:p>
      <w:pPr>
        <w:keepNext w:val="0"/>
        <w:keepLines w:val="0"/>
        <w:pageBreakBefore w:val="0"/>
        <w:widowControl w:val="0"/>
        <w:numPr>
          <w:ilvl w:val="0"/>
          <w:numId w:val="34"/>
        </w:numPr>
        <w:tabs>
          <w:tab w:val="left" w:pos="0"/>
        </w:tabs>
        <w:kinsoku/>
        <w:wordWrap/>
        <w:overflowPunct/>
        <w:topLinePunct w:val="0"/>
        <w:autoSpaceDE/>
        <w:autoSpaceDN/>
        <w:bidi w:val="0"/>
        <w:snapToGrid/>
        <w:spacing w:line="360" w:lineRule="auto"/>
        <w:ind w:left="0" w:leftChars="0" w:firstLine="480" w:firstLineChars="200"/>
        <w:textAlignment w:val="auto"/>
        <w:rPr>
          <w:rFonts w:hint="eastAsia" w:ascii="宋体" w:hAnsi="宋体" w:eastAsia="宋体" w:cs="宋体"/>
          <w:b w:val="0"/>
          <w:bCs w:val="0"/>
          <w:color w:val="auto"/>
          <w:sz w:val="24"/>
          <w:szCs w:val="21"/>
          <w:highlight w:val="none"/>
        </w:rPr>
      </w:pPr>
      <w:r>
        <w:rPr>
          <w:rFonts w:hint="eastAsia" w:ascii="宋体" w:hAnsi="宋体" w:eastAsia="宋体" w:cs="宋体"/>
          <w:b w:val="0"/>
          <w:bCs w:val="0"/>
          <w:color w:val="auto"/>
          <w:sz w:val="24"/>
          <w:szCs w:val="21"/>
          <w:highlight w:val="none"/>
        </w:rPr>
        <w:t xml:space="preserve">电子交易平台发生故障而无法登录访问的； </w:t>
      </w:r>
    </w:p>
    <w:p>
      <w:pPr>
        <w:keepNext w:val="0"/>
        <w:keepLines w:val="0"/>
        <w:pageBreakBefore w:val="0"/>
        <w:widowControl w:val="0"/>
        <w:numPr>
          <w:ilvl w:val="0"/>
          <w:numId w:val="34"/>
        </w:numPr>
        <w:tabs>
          <w:tab w:val="left" w:pos="0"/>
        </w:tabs>
        <w:kinsoku/>
        <w:wordWrap/>
        <w:overflowPunct/>
        <w:topLinePunct w:val="0"/>
        <w:autoSpaceDE/>
        <w:autoSpaceDN/>
        <w:bidi w:val="0"/>
        <w:snapToGrid/>
        <w:spacing w:line="360" w:lineRule="auto"/>
        <w:ind w:left="0" w:leftChars="0" w:firstLine="480" w:firstLineChars="200"/>
        <w:textAlignment w:val="auto"/>
        <w:rPr>
          <w:rFonts w:hint="eastAsia" w:ascii="宋体" w:hAnsi="宋体" w:eastAsia="宋体" w:cs="宋体"/>
          <w:b w:val="0"/>
          <w:bCs w:val="0"/>
          <w:color w:val="auto"/>
          <w:sz w:val="24"/>
          <w:szCs w:val="21"/>
          <w:highlight w:val="none"/>
        </w:rPr>
      </w:pPr>
      <w:r>
        <w:rPr>
          <w:rFonts w:hint="eastAsia" w:ascii="宋体" w:hAnsi="宋体" w:eastAsia="宋体" w:cs="宋体"/>
          <w:b w:val="0"/>
          <w:bCs w:val="0"/>
          <w:color w:val="auto"/>
          <w:sz w:val="24"/>
          <w:szCs w:val="21"/>
          <w:highlight w:val="none"/>
        </w:rPr>
        <w:t>电子交易平台应用或数据库出现错误，不能进行正常操作的；</w:t>
      </w:r>
    </w:p>
    <w:p>
      <w:pPr>
        <w:keepNext w:val="0"/>
        <w:keepLines w:val="0"/>
        <w:pageBreakBefore w:val="0"/>
        <w:widowControl w:val="0"/>
        <w:numPr>
          <w:ilvl w:val="0"/>
          <w:numId w:val="34"/>
        </w:numPr>
        <w:tabs>
          <w:tab w:val="left" w:pos="0"/>
        </w:tabs>
        <w:kinsoku/>
        <w:wordWrap/>
        <w:overflowPunct/>
        <w:topLinePunct w:val="0"/>
        <w:autoSpaceDE/>
        <w:autoSpaceDN/>
        <w:bidi w:val="0"/>
        <w:snapToGrid/>
        <w:spacing w:line="360" w:lineRule="auto"/>
        <w:ind w:left="0" w:leftChars="0" w:firstLine="480" w:firstLineChars="200"/>
        <w:textAlignment w:val="auto"/>
        <w:rPr>
          <w:rFonts w:hint="eastAsia" w:ascii="宋体" w:hAnsi="宋体" w:eastAsia="宋体" w:cs="宋体"/>
          <w:b w:val="0"/>
          <w:bCs w:val="0"/>
          <w:color w:val="auto"/>
          <w:sz w:val="24"/>
          <w:szCs w:val="21"/>
          <w:highlight w:val="none"/>
        </w:rPr>
      </w:pPr>
      <w:r>
        <w:rPr>
          <w:rFonts w:hint="eastAsia" w:ascii="宋体" w:hAnsi="宋体" w:eastAsia="宋体" w:cs="宋体"/>
          <w:b w:val="0"/>
          <w:bCs w:val="0"/>
          <w:color w:val="auto"/>
          <w:sz w:val="24"/>
          <w:szCs w:val="21"/>
          <w:highlight w:val="none"/>
        </w:rPr>
        <w:t>电子交易平台发现严重安全漏洞，有潜在泄密危险的；</w:t>
      </w:r>
    </w:p>
    <w:p>
      <w:pPr>
        <w:keepNext w:val="0"/>
        <w:keepLines w:val="0"/>
        <w:pageBreakBefore w:val="0"/>
        <w:widowControl w:val="0"/>
        <w:numPr>
          <w:ilvl w:val="0"/>
          <w:numId w:val="34"/>
        </w:numPr>
        <w:tabs>
          <w:tab w:val="left" w:pos="0"/>
        </w:tabs>
        <w:kinsoku/>
        <w:wordWrap/>
        <w:overflowPunct/>
        <w:topLinePunct w:val="0"/>
        <w:autoSpaceDE/>
        <w:autoSpaceDN/>
        <w:bidi w:val="0"/>
        <w:snapToGrid/>
        <w:spacing w:line="360" w:lineRule="auto"/>
        <w:ind w:left="0" w:leftChars="0" w:firstLine="480" w:firstLineChars="200"/>
        <w:textAlignment w:val="auto"/>
        <w:rPr>
          <w:rFonts w:hint="eastAsia" w:ascii="宋体" w:hAnsi="宋体" w:eastAsia="宋体" w:cs="宋体"/>
          <w:b w:val="0"/>
          <w:bCs w:val="0"/>
          <w:color w:val="auto"/>
          <w:sz w:val="24"/>
          <w:szCs w:val="21"/>
          <w:highlight w:val="none"/>
        </w:rPr>
      </w:pPr>
      <w:r>
        <w:rPr>
          <w:rFonts w:hint="eastAsia" w:ascii="宋体" w:hAnsi="宋体" w:eastAsia="宋体" w:cs="宋体"/>
          <w:b w:val="0"/>
          <w:bCs w:val="0"/>
          <w:color w:val="auto"/>
          <w:sz w:val="24"/>
          <w:szCs w:val="21"/>
          <w:highlight w:val="none"/>
        </w:rPr>
        <w:t>病毒发作导致不能进行正常操作的；</w:t>
      </w:r>
    </w:p>
    <w:p>
      <w:pPr>
        <w:keepNext w:val="0"/>
        <w:keepLines w:val="0"/>
        <w:pageBreakBefore w:val="0"/>
        <w:widowControl w:val="0"/>
        <w:numPr>
          <w:ilvl w:val="0"/>
          <w:numId w:val="34"/>
        </w:numPr>
        <w:tabs>
          <w:tab w:val="left" w:pos="0"/>
        </w:tabs>
        <w:kinsoku/>
        <w:wordWrap/>
        <w:overflowPunct/>
        <w:topLinePunct w:val="0"/>
        <w:autoSpaceDE/>
        <w:autoSpaceDN/>
        <w:bidi w:val="0"/>
        <w:snapToGrid/>
        <w:spacing w:line="360" w:lineRule="auto"/>
        <w:ind w:left="0" w:leftChars="0" w:firstLine="480" w:firstLineChars="200"/>
        <w:textAlignment w:val="auto"/>
        <w:rPr>
          <w:rFonts w:hint="eastAsia" w:ascii="宋体" w:hAnsi="宋体" w:eastAsia="宋体" w:cs="宋体"/>
          <w:b w:val="0"/>
          <w:bCs w:val="0"/>
          <w:color w:val="auto"/>
          <w:sz w:val="24"/>
          <w:szCs w:val="21"/>
          <w:highlight w:val="none"/>
        </w:rPr>
      </w:pPr>
      <w:r>
        <w:rPr>
          <w:rFonts w:hint="eastAsia" w:ascii="宋体" w:hAnsi="宋体" w:eastAsia="宋体" w:cs="宋体"/>
          <w:b w:val="0"/>
          <w:bCs w:val="0"/>
          <w:color w:val="auto"/>
          <w:sz w:val="24"/>
          <w:szCs w:val="21"/>
          <w:highlight w:val="none"/>
        </w:rPr>
        <w:t>其他无法保证电子交易的公平、公正和安全的情况。</w:t>
      </w:r>
    </w:p>
    <w:p>
      <w:pPr>
        <w:pStyle w:val="51"/>
        <w:keepNext w:val="0"/>
        <w:keepLines w:val="0"/>
        <w:pageBreakBefore w:val="0"/>
        <w:widowControl w:val="0"/>
        <w:numPr>
          <w:ilvl w:val="0"/>
          <w:numId w:val="0"/>
        </w:numPr>
        <w:tabs>
          <w:tab w:val="left" w:pos="0"/>
        </w:tabs>
        <w:kinsoku/>
        <w:wordWrap/>
        <w:overflowPunct/>
        <w:topLinePunct w:val="0"/>
        <w:autoSpaceDE/>
        <w:autoSpaceDN/>
        <w:bidi w:val="0"/>
        <w:snapToGrid/>
        <w:spacing w:before="0" w:line="360" w:lineRule="auto"/>
        <w:ind w:leftChars="0" w:firstLine="480" w:firstLineChars="200"/>
        <w:textAlignment w:val="auto"/>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26.2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pPr>
        <w:pStyle w:val="14"/>
        <w:numPr>
          <w:ilvl w:val="0"/>
          <w:numId w:val="9"/>
        </w:numPr>
        <w:spacing w:line="360" w:lineRule="auto"/>
        <w:ind w:left="0" w:leftChars="0" w:firstLine="482" w:firstLineChars="200"/>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rPr>
        <w:t>保密及其它注意事项</w:t>
      </w:r>
    </w:p>
    <w:p>
      <w:pPr>
        <w:pStyle w:val="51"/>
        <w:numPr>
          <w:ilvl w:val="0"/>
          <w:numId w:val="35"/>
        </w:numPr>
        <w:spacing w:before="0" w:line="360" w:lineRule="auto"/>
        <w:ind w:left="0" w:leftChars="0" w:firstLine="480" w:firstLineChars="200"/>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评标是招标工作的重要环节，评标工作由评标委员会独立进行。评标委员会将遵照评标原则，公正、平等地对待所有投标人；</w:t>
      </w:r>
    </w:p>
    <w:p>
      <w:pPr>
        <w:pStyle w:val="51"/>
        <w:numPr>
          <w:ilvl w:val="0"/>
          <w:numId w:val="35"/>
        </w:numPr>
        <w:spacing w:before="0" w:line="360" w:lineRule="auto"/>
        <w:ind w:left="0" w:leftChars="0" w:firstLine="480" w:firstLineChars="200"/>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在开标、投标期间，投标人不得向评委询问评标情况，不得进行旨在影响评标结果的活动。采购人不得在中标人确定前，与投标人就投标价格、投标方案等实质性内容进行谈判；</w:t>
      </w:r>
    </w:p>
    <w:p>
      <w:pPr>
        <w:pStyle w:val="51"/>
        <w:numPr>
          <w:ilvl w:val="0"/>
          <w:numId w:val="35"/>
        </w:numPr>
        <w:spacing w:before="0" w:line="360" w:lineRule="auto"/>
        <w:ind w:left="0" w:leftChars="0" w:firstLine="480" w:firstLineChars="200"/>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为保证定标的公正性，在评标过程中，评委不得与投标人私下交换意见。在招标工作结束后，凡与评标情况有接触的任何人，不得也不应将评标情况扩散出评委人员之外；</w:t>
      </w:r>
    </w:p>
    <w:p>
      <w:pPr>
        <w:pStyle w:val="51"/>
        <w:numPr>
          <w:ilvl w:val="0"/>
          <w:numId w:val="35"/>
        </w:numPr>
        <w:spacing w:before="0" w:line="360" w:lineRule="auto"/>
        <w:ind w:left="0" w:leftChars="0" w:firstLine="480" w:firstLineChars="200"/>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投标人相互之间，或与采购人相互不得串通投标，不得排挤其他投标人的公平竞争，损害采购人或者其他投标人的合法权益；</w:t>
      </w:r>
    </w:p>
    <w:p>
      <w:pPr>
        <w:pStyle w:val="51"/>
        <w:numPr>
          <w:ilvl w:val="0"/>
          <w:numId w:val="35"/>
        </w:numPr>
        <w:spacing w:before="0" w:line="360" w:lineRule="auto"/>
        <w:ind w:left="0" w:leftChars="0" w:firstLine="480" w:firstLineChars="200"/>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评标委员会不向投标人解释未中标的原因；</w:t>
      </w:r>
    </w:p>
    <w:p>
      <w:pPr>
        <w:pStyle w:val="51"/>
        <w:numPr>
          <w:ilvl w:val="0"/>
          <w:numId w:val="35"/>
        </w:numPr>
        <w:spacing w:before="0" w:line="360" w:lineRule="auto"/>
        <w:ind w:left="0" w:leftChars="0" w:firstLine="480" w:firstLineChars="200"/>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特别说明：政采云公司如对电子化开标及评审程序有调整的，按调整后的程序操作。</w:t>
      </w:r>
    </w:p>
    <w:p>
      <w:pPr>
        <w:spacing w:line="360" w:lineRule="auto"/>
        <w:jc w:val="both"/>
        <w:rPr>
          <w:rFonts w:hint="eastAsia" w:ascii="宋体" w:hAnsi="宋体" w:eastAsia="宋体" w:cs="宋体"/>
          <w:b/>
          <w:color w:val="auto"/>
          <w:sz w:val="24"/>
          <w:highlight w:val="none"/>
        </w:rPr>
      </w:pPr>
    </w:p>
    <w:p>
      <w:pPr>
        <w:snapToGrid w:val="0"/>
        <w:spacing w:line="360" w:lineRule="auto"/>
        <w:jc w:val="center"/>
        <w:outlineLvl w:val="1"/>
        <w:rPr>
          <w:rFonts w:hint="eastAsia" w:ascii="宋体" w:hAnsi="宋体" w:eastAsia="宋体" w:cs="宋体"/>
          <w:b/>
          <w:color w:val="auto"/>
          <w:sz w:val="32"/>
          <w:highlight w:val="none"/>
        </w:rPr>
      </w:pPr>
      <w:bookmarkStart w:id="57" w:name="_Toc28138"/>
      <w:r>
        <w:rPr>
          <w:rFonts w:hint="eastAsia" w:ascii="宋体" w:hAnsi="宋体" w:eastAsia="宋体" w:cs="宋体"/>
          <w:b/>
          <w:color w:val="auto"/>
          <w:sz w:val="32"/>
          <w:highlight w:val="none"/>
        </w:rPr>
        <w:t>八、定 标</w:t>
      </w:r>
      <w:bookmarkEnd w:id="57"/>
    </w:p>
    <w:p>
      <w:pPr>
        <w:pStyle w:val="51"/>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0" w:line="360" w:lineRule="auto"/>
        <w:ind w:leftChars="0" w:firstLine="480" w:firstLineChars="20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28.1项目由评标委员会根据第三部分《评标办法与评分标准》规定提出中标候选人排序。</w:t>
      </w:r>
    </w:p>
    <w:p>
      <w:pPr>
        <w:pStyle w:val="51"/>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0" w:line="360" w:lineRule="auto"/>
        <w:ind w:leftChars="0" w:firstLine="480" w:firstLineChars="20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28.2采购代理机构应当在评标结束后2个工作日内将评标报告送采购人。</w:t>
      </w:r>
    </w:p>
    <w:p>
      <w:pPr>
        <w:pStyle w:val="51"/>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0" w:line="360" w:lineRule="auto"/>
        <w:ind w:leftChars="0" w:firstLine="480" w:firstLineChars="20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28.3采购人应当自收到评标报告之日起5个工作日内，在评标报告确定的中标候选人名单中按顺序确定中标人。采购人在收到评标报告5个工作日内未按评标报告推荐的中标候选人顺序确定中标人，又不能说明合法理由的，视同按评标报告推荐的顺序确定排名第一的中标候选人为中标人。</w:t>
      </w:r>
    </w:p>
    <w:p>
      <w:pPr>
        <w:pStyle w:val="51"/>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0" w:line="360" w:lineRule="auto"/>
        <w:ind w:leftChars="0" w:firstLine="480" w:firstLineChars="20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28.4采购人或者采购代理机构应当自中标人确定之日起2个工作日内，在发布招标公告的网站上公告中标结果，公告期限为1个工作日。在公告中标结果的同时，采购人或者采购代理机构应当向中标人发出中标通知书</w:t>
      </w:r>
      <w:r>
        <w:rPr>
          <w:rFonts w:hint="eastAsia" w:eastAsia="宋体" w:cs="宋体"/>
          <w:color w:val="auto"/>
          <w:kern w:val="2"/>
          <w:sz w:val="24"/>
          <w:szCs w:val="24"/>
          <w:highlight w:val="none"/>
          <w:lang w:val="en-US" w:eastAsia="zh-CN" w:bidi="ar-SA"/>
        </w:rPr>
        <w:t>。</w:t>
      </w:r>
    </w:p>
    <w:p>
      <w:pPr>
        <w:pStyle w:val="51"/>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0" w:line="360" w:lineRule="auto"/>
        <w:ind w:leftChars="0" w:firstLine="480" w:firstLineChars="20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28.5中标人应携带介绍信自行前往采购代理机构领取中标通知书。</w:t>
      </w:r>
    </w:p>
    <w:p>
      <w:pPr>
        <w:pStyle w:val="51"/>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0" w:line="360" w:lineRule="auto"/>
        <w:ind w:leftChars="0" w:firstLine="480" w:firstLineChars="20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28.6中标通知书发出后，采购人不得违法改变中标结果，中标人无正当理由不得放弃中标。</w:t>
      </w:r>
    </w:p>
    <w:p>
      <w:pPr>
        <w:snapToGrid w:val="0"/>
        <w:spacing w:line="360" w:lineRule="auto"/>
        <w:jc w:val="center"/>
        <w:outlineLvl w:val="1"/>
        <w:rPr>
          <w:rFonts w:hint="eastAsia" w:ascii="宋体" w:hAnsi="宋体" w:eastAsia="宋体" w:cs="宋体"/>
          <w:b/>
          <w:color w:val="auto"/>
          <w:sz w:val="32"/>
          <w:highlight w:val="none"/>
        </w:rPr>
      </w:pPr>
      <w:bookmarkStart w:id="58" w:name="_Toc5883"/>
      <w:r>
        <w:rPr>
          <w:rFonts w:hint="eastAsia" w:ascii="宋体" w:hAnsi="宋体" w:eastAsia="宋体" w:cs="宋体"/>
          <w:b/>
          <w:color w:val="auto"/>
          <w:sz w:val="32"/>
          <w:highlight w:val="none"/>
        </w:rPr>
        <w:t>九、合同签订及其他</w:t>
      </w:r>
      <w:bookmarkEnd w:id="58"/>
    </w:p>
    <w:p>
      <w:pPr>
        <w:pStyle w:val="51"/>
        <w:numPr>
          <w:ilvl w:val="0"/>
          <w:numId w:val="0"/>
        </w:numPr>
        <w:tabs>
          <w:tab w:val="left" w:pos="0"/>
        </w:tabs>
        <w:spacing w:before="0" w:line="360" w:lineRule="auto"/>
        <w:ind w:firstLine="480" w:firstLineChars="200"/>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29.1 采购人应当自中标通知书发出之日起30日内，按照招标文件和中标人投标文件的规定，与中标人签订书面合同。所签订的合同不得对招标文件确定的事项和中标人投标文件作实质性修改。</w:t>
      </w:r>
    </w:p>
    <w:p>
      <w:pPr>
        <w:pStyle w:val="51"/>
        <w:numPr>
          <w:ilvl w:val="0"/>
          <w:numId w:val="0"/>
        </w:numPr>
        <w:tabs>
          <w:tab w:val="left" w:pos="0"/>
        </w:tabs>
        <w:spacing w:before="0" w:line="360" w:lineRule="auto"/>
        <w:ind w:firstLine="480" w:firstLineChars="200"/>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29.2 中标或者成交供应商拒绝与采购人签订合同的，采购人可以按照评审报告推荐的中标或者成交候选人名单排序，确定下一候选人为中标或者成交供应商，也可以重新开展采购活动。</w:t>
      </w:r>
    </w:p>
    <w:p>
      <w:pPr>
        <w:pStyle w:val="14"/>
        <w:numPr>
          <w:ilvl w:val="0"/>
          <w:numId w:val="0"/>
        </w:numPr>
        <w:spacing w:line="360" w:lineRule="auto"/>
        <w:ind w:left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30.</w:t>
      </w:r>
      <w:r>
        <w:rPr>
          <w:rFonts w:hint="eastAsia" w:ascii="宋体" w:hAnsi="宋体" w:eastAsia="宋体" w:cs="宋体"/>
          <w:b/>
          <w:color w:val="auto"/>
          <w:sz w:val="24"/>
          <w:szCs w:val="24"/>
          <w:highlight w:val="none"/>
        </w:rPr>
        <w:t>履约保证金</w:t>
      </w:r>
    </w:p>
    <w:p>
      <w:pPr>
        <w:spacing w:line="360" w:lineRule="auto"/>
        <w:ind w:firstLine="482" w:firstLineChars="200"/>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中标人在收到中标通知书后提供合同价</w:t>
      </w:r>
      <w:r>
        <w:rPr>
          <w:rFonts w:hint="eastAsia" w:eastAsia="宋体" w:cs="宋体"/>
          <w:b/>
          <w:bCs/>
          <w:color w:val="auto"/>
          <w:sz w:val="24"/>
          <w:szCs w:val="24"/>
          <w:highlight w:val="none"/>
          <w:lang w:val="en-US" w:eastAsia="zh-CN"/>
        </w:rPr>
        <w:t>2.5</w:t>
      </w:r>
      <w:r>
        <w:rPr>
          <w:rFonts w:hint="eastAsia" w:ascii="宋体" w:hAnsi="宋体" w:eastAsia="宋体" w:cs="宋体"/>
          <w:b/>
          <w:bCs/>
          <w:color w:val="auto"/>
          <w:sz w:val="24"/>
          <w:szCs w:val="24"/>
          <w:highlight w:val="none"/>
        </w:rPr>
        <w:t>%的履约保证金</w:t>
      </w:r>
      <w:r>
        <w:rPr>
          <w:rFonts w:hint="eastAsia" w:ascii="宋体" w:hAnsi="宋体" w:eastAsia="宋体" w:cs="宋体"/>
          <w:b/>
          <w:bCs/>
          <w:color w:val="auto"/>
          <w:sz w:val="24"/>
          <w:szCs w:val="24"/>
          <w:highlight w:val="none"/>
          <w:lang w:eastAsia="zh-CN"/>
        </w:rPr>
        <w:t>（</w:t>
      </w:r>
      <w:r>
        <w:rPr>
          <w:rFonts w:hint="eastAsia" w:ascii="宋体" w:hAnsi="宋体" w:eastAsia="宋体" w:cs="宋体"/>
          <w:bCs/>
          <w:color w:val="auto"/>
          <w:sz w:val="24"/>
          <w:szCs w:val="24"/>
          <w:highlight w:val="none"/>
          <w:lang w:val="en-US" w:eastAsia="zh-CN"/>
        </w:rPr>
        <w:t>应当以支票、汇票、本票或者金融机构、保险公司、担保机构出具的保函等非现金形式提交</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en-US" w:eastAsia="zh-CN"/>
        </w:rPr>
        <w:t>项目</w:t>
      </w:r>
      <w:r>
        <w:rPr>
          <w:rFonts w:hint="eastAsia" w:eastAsia="宋体" w:cs="宋体"/>
          <w:b/>
          <w:bCs/>
          <w:color w:val="auto"/>
          <w:sz w:val="24"/>
          <w:szCs w:val="24"/>
          <w:highlight w:val="none"/>
          <w:lang w:val="en-US" w:eastAsia="zh-CN"/>
        </w:rPr>
        <w:t>经</w:t>
      </w:r>
      <w:r>
        <w:rPr>
          <w:rFonts w:hint="eastAsia" w:ascii="宋体" w:hAnsi="宋体" w:eastAsia="宋体" w:cs="宋体"/>
          <w:color w:val="000000"/>
          <w:kern w:val="2"/>
          <w:sz w:val="24"/>
          <w:szCs w:val="24"/>
          <w:highlight w:val="none"/>
          <w:lang w:eastAsia="zh-CN"/>
        </w:rPr>
        <w:t>验收、试运行</w:t>
      </w:r>
      <w:r>
        <w:rPr>
          <w:rFonts w:hint="eastAsia" w:ascii="宋体" w:hAnsi="宋体" w:eastAsia="宋体" w:cs="宋体"/>
          <w:b/>
          <w:bCs/>
          <w:color w:val="auto"/>
          <w:sz w:val="24"/>
          <w:szCs w:val="24"/>
          <w:highlight w:val="none"/>
          <w:lang w:val="en-US" w:eastAsia="zh-CN"/>
        </w:rPr>
        <w:t>合格，</w:t>
      </w:r>
      <w:r>
        <w:rPr>
          <w:rFonts w:hint="eastAsia" w:ascii="宋体" w:hAnsi="宋体" w:eastAsia="宋体" w:cs="宋体"/>
          <w:bCs/>
          <w:color w:val="auto"/>
          <w:sz w:val="24"/>
          <w:szCs w:val="24"/>
          <w:highlight w:val="none"/>
        </w:rPr>
        <w:t>且所有合同义务都已履行完毕后</w:t>
      </w:r>
      <w:r>
        <w:rPr>
          <w:rFonts w:hint="eastAsia" w:eastAsia="宋体" w:cs="宋体"/>
          <w:bCs/>
          <w:color w:val="auto"/>
          <w:sz w:val="24"/>
          <w:szCs w:val="24"/>
          <w:highlight w:val="none"/>
          <w:lang w:val="en-US" w:eastAsia="zh-CN"/>
        </w:rPr>
        <w:t>28</w:t>
      </w:r>
      <w:r>
        <w:rPr>
          <w:rFonts w:hint="eastAsia" w:ascii="宋体" w:hAnsi="宋体" w:eastAsia="宋体" w:cs="宋体"/>
          <w:bCs/>
          <w:color w:val="auto"/>
          <w:sz w:val="24"/>
          <w:szCs w:val="24"/>
          <w:highlight w:val="none"/>
        </w:rPr>
        <w:t>天内，</w:t>
      </w:r>
      <w:r>
        <w:rPr>
          <w:rFonts w:hint="eastAsia" w:ascii="宋体" w:hAnsi="宋体" w:eastAsia="宋体" w:cs="宋体"/>
          <w:b/>
          <w:bCs/>
          <w:color w:val="auto"/>
          <w:sz w:val="24"/>
          <w:szCs w:val="24"/>
          <w:highlight w:val="none"/>
        </w:rPr>
        <w:t>无息退还履约</w:t>
      </w:r>
      <w:r>
        <w:rPr>
          <w:rFonts w:hint="eastAsia" w:ascii="宋体" w:hAnsi="宋体" w:eastAsia="宋体" w:cs="宋体"/>
          <w:b/>
          <w:bCs/>
          <w:color w:val="auto"/>
          <w:sz w:val="24"/>
          <w:szCs w:val="24"/>
          <w:highlight w:val="none"/>
          <w:lang w:val="en-US" w:eastAsia="zh-CN"/>
        </w:rPr>
        <w:t>保证金</w:t>
      </w:r>
      <w:r>
        <w:rPr>
          <w:rFonts w:hint="eastAsia" w:ascii="宋体" w:hAnsi="宋体" w:eastAsia="宋体" w:cs="宋体"/>
          <w:bCs/>
          <w:color w:val="auto"/>
          <w:sz w:val="24"/>
          <w:szCs w:val="24"/>
          <w:highlight w:val="none"/>
        </w:rPr>
        <w:t>（</w:t>
      </w:r>
      <w:r>
        <w:rPr>
          <w:rFonts w:hint="eastAsia" w:eastAsia="宋体" w:cs="宋体"/>
          <w:bCs/>
          <w:color w:val="auto"/>
          <w:sz w:val="24"/>
          <w:szCs w:val="24"/>
          <w:highlight w:val="none"/>
          <w:lang w:eastAsia="zh-CN"/>
        </w:rPr>
        <w:t>采用金融机构、保险公司、担保机构出具的保函等形式提交履约担保的，则保函自动失效</w:t>
      </w:r>
      <w:r>
        <w:rPr>
          <w:rFonts w:hint="eastAsia" w:ascii="宋体" w:hAnsi="宋体" w:eastAsia="宋体" w:cs="宋体"/>
          <w:bCs/>
          <w:color w:val="auto"/>
          <w:sz w:val="24"/>
          <w:szCs w:val="24"/>
          <w:highlight w:val="none"/>
        </w:rPr>
        <w:t>）。</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注：采购人可以邀请参加本项目的其他投标人或者第三方机构参与验收。参与验收的投标人或者第三方机构的意见作为验收书的参考资料一并存档。</w:t>
      </w:r>
    </w:p>
    <w:p>
      <w:pPr>
        <w:pStyle w:val="14"/>
        <w:numPr>
          <w:ilvl w:val="0"/>
          <w:numId w:val="0"/>
        </w:numPr>
        <w:spacing w:line="360" w:lineRule="auto"/>
        <w:ind w:left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31.</w:t>
      </w:r>
      <w:r>
        <w:rPr>
          <w:rFonts w:hint="eastAsia" w:ascii="宋体" w:hAnsi="宋体" w:eastAsia="宋体" w:cs="宋体"/>
          <w:b/>
          <w:color w:val="auto"/>
          <w:sz w:val="24"/>
          <w:szCs w:val="24"/>
          <w:highlight w:val="none"/>
        </w:rPr>
        <w:t>验收</w:t>
      </w:r>
    </w:p>
    <w:p>
      <w:pPr>
        <w:pStyle w:val="51"/>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0" w:line="360" w:lineRule="auto"/>
        <w:ind w:leftChars="0" w:firstLine="480" w:firstLineChars="200"/>
        <w:textAlignment w:val="auto"/>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31.1采购人组织对供应商履约的验收，大型或者复杂的采购项目，应当邀请国家认可的质量检测机构参加验收工作。验收方成员应当在验收书上签字，并承担相应的法律责任。如果发现与合同中要求不符，供应商须承担由此发生的一切损失和费用，并接受相应的处理。</w:t>
      </w:r>
    </w:p>
    <w:p>
      <w:pPr>
        <w:pStyle w:val="51"/>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0" w:line="360" w:lineRule="auto"/>
        <w:ind w:leftChars="0" w:firstLine="480" w:firstLineChars="200"/>
        <w:textAlignment w:val="auto"/>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31.2采购人应当及时对采购项目进行验收，采购人可以邀请参加本项目的其他投标人或者第三方机构参与验收，参与验收的投标人或者第三方机构的意见作为验收书的参考资料一并存档。</w:t>
      </w:r>
    </w:p>
    <w:p>
      <w:pPr>
        <w:pStyle w:val="51"/>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0" w:line="360" w:lineRule="auto"/>
        <w:ind w:leftChars="0" w:firstLine="480" w:firstLineChars="200"/>
        <w:textAlignment w:val="auto"/>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31.3采购人负责加强对中标人的履约管理，并按照采购合同约定，及时向中标人支付采购资金。对于中标人违反采购合同约定的行为，采购人应当及时处理，依法追究其违约责任。</w:t>
      </w:r>
    </w:p>
    <w:p>
      <w:pPr>
        <w:pStyle w:val="14"/>
        <w:numPr>
          <w:ilvl w:val="0"/>
          <w:numId w:val="0"/>
        </w:numPr>
        <w:spacing w:line="360" w:lineRule="auto"/>
        <w:ind w:left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32.</w:t>
      </w:r>
      <w:r>
        <w:rPr>
          <w:rFonts w:hint="eastAsia" w:ascii="宋体" w:hAnsi="宋体" w:eastAsia="宋体" w:cs="宋体"/>
          <w:b/>
          <w:color w:val="auto"/>
          <w:sz w:val="24"/>
          <w:szCs w:val="24"/>
          <w:highlight w:val="none"/>
        </w:rPr>
        <w:t>货款结算方式</w:t>
      </w:r>
    </w:p>
    <w:p>
      <w:pPr>
        <w:tabs>
          <w:tab w:val="left" w:pos="0"/>
        </w:tabs>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付款方式：采购人与中标人依照</w:t>
      </w:r>
      <w:r>
        <w:rPr>
          <w:rFonts w:hint="eastAsia" w:eastAsia="宋体" w:cs="宋体"/>
          <w:color w:val="auto"/>
          <w:sz w:val="24"/>
          <w:highlight w:val="none"/>
          <w:lang w:eastAsia="zh-CN"/>
        </w:rPr>
        <w:t>采购合同</w:t>
      </w:r>
      <w:r>
        <w:rPr>
          <w:rFonts w:hint="eastAsia" w:ascii="宋体" w:hAnsi="宋体" w:eastAsia="宋体" w:cs="宋体"/>
          <w:color w:val="auto"/>
          <w:sz w:val="24"/>
          <w:highlight w:val="none"/>
        </w:rPr>
        <w:t>规定的付款方式进行项目款项的支付。</w:t>
      </w:r>
    </w:p>
    <w:p>
      <w:pPr>
        <w:pStyle w:val="14"/>
        <w:numPr>
          <w:ilvl w:val="0"/>
          <w:numId w:val="0"/>
        </w:numPr>
        <w:spacing w:line="360" w:lineRule="auto"/>
        <w:ind w:left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33.</w:t>
      </w:r>
      <w:r>
        <w:rPr>
          <w:rFonts w:hint="eastAsia" w:ascii="宋体" w:hAnsi="宋体" w:eastAsia="宋体" w:cs="宋体"/>
          <w:b/>
          <w:color w:val="auto"/>
          <w:sz w:val="24"/>
          <w:szCs w:val="24"/>
          <w:highlight w:val="none"/>
        </w:rPr>
        <w:t>售后服务考核</w:t>
      </w:r>
    </w:p>
    <w:p>
      <w:pPr>
        <w:tabs>
          <w:tab w:val="left" w:pos="0"/>
        </w:tabs>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采购代理机构将配合采购人主管部门不定期对合同的履约情况进行检查，发现弄虚作假，偷工减料，以次充好，达不到国家、行业有关标准和技术文件规定的，一经查实，由有关职能部门给与相应处罚。</w:t>
      </w:r>
    </w:p>
    <w:p>
      <w:pPr>
        <w:spacing w:line="360" w:lineRule="auto"/>
        <w:jc w:val="center"/>
        <w:rPr>
          <w:rFonts w:hint="eastAsia" w:ascii="宋体" w:hAnsi="宋体" w:eastAsia="宋体" w:cs="宋体"/>
          <w:b/>
          <w:color w:val="auto"/>
          <w:sz w:val="24"/>
          <w:highlight w:val="none"/>
        </w:rPr>
      </w:pPr>
    </w:p>
    <w:p>
      <w:pPr>
        <w:snapToGrid w:val="0"/>
        <w:spacing w:line="360" w:lineRule="auto"/>
        <w:jc w:val="center"/>
        <w:outlineLvl w:val="1"/>
        <w:rPr>
          <w:rFonts w:hint="eastAsia" w:ascii="宋体" w:hAnsi="宋体" w:eastAsia="宋体" w:cs="宋体"/>
          <w:b/>
          <w:color w:val="auto"/>
          <w:sz w:val="32"/>
          <w:highlight w:val="none"/>
        </w:rPr>
      </w:pPr>
      <w:bookmarkStart w:id="59" w:name="_Toc27423"/>
      <w:r>
        <w:rPr>
          <w:rFonts w:hint="eastAsia" w:ascii="宋体" w:hAnsi="宋体" w:eastAsia="宋体" w:cs="宋体"/>
          <w:b/>
          <w:color w:val="auto"/>
          <w:sz w:val="32"/>
          <w:highlight w:val="none"/>
        </w:rPr>
        <w:t>十、质疑与投诉</w:t>
      </w:r>
      <w:bookmarkEnd w:id="59"/>
    </w:p>
    <w:p>
      <w:pPr>
        <w:tabs>
          <w:tab w:val="left" w:pos="0"/>
        </w:tabs>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根据</w:t>
      </w:r>
      <w:r>
        <w:rPr>
          <w:rFonts w:hint="eastAsia" w:ascii="宋体" w:hAnsi="宋体" w:eastAsia="宋体" w:cs="宋体"/>
          <w:color w:val="auto"/>
          <w:sz w:val="24"/>
          <w:highlight w:val="none"/>
        </w:rPr>
        <w:t>《</w:t>
      </w:r>
      <w:r>
        <w:rPr>
          <w:rFonts w:hint="eastAsia" w:eastAsia="宋体" w:cs="宋体"/>
          <w:color w:val="auto"/>
          <w:sz w:val="24"/>
          <w:highlight w:val="none"/>
          <w:lang w:eastAsia="zh-CN"/>
        </w:rPr>
        <w:t>上虞区区属国有企业货物和服务采购管理办法</w:t>
      </w:r>
      <w:r>
        <w:rPr>
          <w:rFonts w:hint="eastAsia" w:ascii="宋体" w:hAnsi="宋体" w:eastAsia="宋体" w:cs="宋体"/>
          <w:color w:val="auto"/>
          <w:sz w:val="24"/>
          <w:highlight w:val="none"/>
        </w:rPr>
        <w:t>》等有关规定，国企采购供应商可以依法提起质疑和投诉。</w:t>
      </w:r>
    </w:p>
    <w:p>
      <w:pPr>
        <w:pStyle w:val="14"/>
        <w:numPr>
          <w:ilvl w:val="0"/>
          <w:numId w:val="0"/>
        </w:numPr>
        <w:spacing w:line="360" w:lineRule="auto"/>
        <w:ind w:leftChars="200"/>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en-US" w:eastAsia="zh-CN"/>
        </w:rPr>
        <w:t>34.</w:t>
      </w:r>
      <w:r>
        <w:rPr>
          <w:rFonts w:hint="eastAsia" w:ascii="宋体" w:hAnsi="宋体" w:eastAsia="宋体" w:cs="宋体"/>
          <w:b/>
          <w:color w:val="auto"/>
          <w:sz w:val="24"/>
          <w:szCs w:val="24"/>
          <w:highlight w:val="none"/>
          <w:lang w:val="zh-CN"/>
        </w:rPr>
        <w:t>供应商询问</w:t>
      </w:r>
    </w:p>
    <w:p>
      <w:pPr>
        <w:pStyle w:val="14"/>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供应商对</w:t>
      </w:r>
      <w:r>
        <w:rPr>
          <w:rFonts w:hint="eastAsia" w:ascii="宋体" w:hAnsi="宋体" w:eastAsia="宋体" w:cs="宋体"/>
          <w:color w:val="auto"/>
          <w:sz w:val="24"/>
          <w:highlight w:val="none"/>
          <w:lang w:val="en-US" w:eastAsia="zh-CN"/>
        </w:rPr>
        <w:t>国企</w:t>
      </w:r>
      <w:r>
        <w:rPr>
          <w:rFonts w:hint="eastAsia" w:ascii="宋体" w:hAnsi="宋体" w:eastAsia="宋体" w:cs="宋体"/>
          <w:color w:val="auto"/>
          <w:sz w:val="24"/>
          <w:highlight w:val="none"/>
        </w:rPr>
        <w:t>采购活动事项有疑问的，可以向采购代理机构提出询问，采购代理机构将对供应商依法提出的询问作出答复，但答复的内容不得涉及商业秘密。</w:t>
      </w:r>
    </w:p>
    <w:p>
      <w:pPr>
        <w:pStyle w:val="14"/>
        <w:numPr>
          <w:ilvl w:val="0"/>
          <w:numId w:val="0"/>
        </w:numPr>
        <w:spacing w:line="360" w:lineRule="auto"/>
        <w:ind w:leftChars="200"/>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en-US" w:eastAsia="zh-CN"/>
        </w:rPr>
        <w:t>35.</w:t>
      </w:r>
      <w:r>
        <w:rPr>
          <w:rFonts w:hint="eastAsia" w:ascii="宋体" w:hAnsi="宋体" w:eastAsia="宋体" w:cs="宋体"/>
          <w:b/>
          <w:color w:val="auto"/>
          <w:sz w:val="24"/>
          <w:szCs w:val="24"/>
          <w:highlight w:val="none"/>
          <w:lang w:val="zh-CN"/>
        </w:rPr>
        <w:t>供应商质疑</w:t>
      </w:r>
    </w:p>
    <w:p>
      <w:pPr>
        <w:pStyle w:val="51"/>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0" w:line="360" w:lineRule="auto"/>
        <w:ind w:leftChars="0" w:firstLine="480" w:firstLineChars="200"/>
        <w:textAlignment w:val="auto"/>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35.1供应商认为采购文件、采购过程和成交结果使自己的权益受到损害的，可以在知道或者应知其权益受到损害之日起七个工作日内，以书面形式向采购代理机构提出质疑，否则，采购代理机构不予受理：</w:t>
      </w:r>
    </w:p>
    <w:p>
      <w:pPr>
        <w:pStyle w:val="14"/>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认为采购文件使自己的权益受到损害的，可以自收到采购文件之日（发售截止日之后收到采购文件的，以发售截止日为准）或者采购文件公告期限届满之日（公告发布后的第6个工作日）起7个工作日内，以书面形式向采购人和采购代理机构提出质疑。质疑函范本请到浙江政府采购网下载专区</w:t>
      </w:r>
      <w:r>
        <w:rPr>
          <w:rFonts w:hint="eastAsia" w:ascii="宋体" w:hAnsi="宋体" w:eastAsia="宋体" w:cs="宋体"/>
          <w:color w:val="auto"/>
          <w:sz w:val="24"/>
          <w:highlight w:val="none"/>
          <w:u w:val="none"/>
        </w:rPr>
        <w:t>下载。</w:t>
      </w:r>
      <w:r>
        <w:rPr>
          <w:rFonts w:hint="eastAsia" w:ascii="宋体" w:hAnsi="宋体" w:eastAsia="宋体" w:cs="宋体"/>
          <w:b/>
          <w:color w:val="auto"/>
          <w:sz w:val="24"/>
          <w:highlight w:val="none"/>
          <w:u w:val="none"/>
        </w:rPr>
        <w:t>供应商在法定质疑期内应一次性提出针对同一采购程序环节的质疑</w:t>
      </w:r>
      <w:r>
        <w:rPr>
          <w:rFonts w:hint="eastAsia" w:ascii="宋体" w:hAnsi="宋体" w:eastAsia="宋体" w:cs="宋体"/>
          <w:b/>
          <w:color w:val="auto"/>
          <w:sz w:val="24"/>
          <w:highlight w:val="none"/>
          <w:u w:val="none"/>
          <w:lang w:eastAsia="zh-CN"/>
        </w:rPr>
        <w:t>，</w:t>
      </w:r>
      <w:r>
        <w:rPr>
          <w:rFonts w:hint="eastAsia" w:ascii="宋体" w:hAnsi="宋体" w:eastAsia="宋体" w:cs="宋体"/>
          <w:b/>
          <w:color w:val="auto"/>
          <w:sz w:val="24"/>
          <w:highlight w:val="none"/>
          <w:u w:val="none"/>
        </w:rPr>
        <w:t>否则质疑将不予受理。</w:t>
      </w:r>
    </w:p>
    <w:p>
      <w:pPr>
        <w:pStyle w:val="51"/>
        <w:numPr>
          <w:ilvl w:val="0"/>
          <w:numId w:val="0"/>
        </w:numPr>
        <w:tabs>
          <w:tab w:val="left" w:pos="0"/>
        </w:tabs>
        <w:spacing w:before="0" w:line="360" w:lineRule="auto"/>
        <w:ind w:firstLine="480" w:firstLineChars="200"/>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35.2供应商提交的质疑书需一式三份，由法定代表人签字（或盖章）并加盖单位公章。质疑书至少应包括下列主要内容：</w:t>
      </w:r>
    </w:p>
    <w:p>
      <w:pPr>
        <w:pStyle w:val="14"/>
        <w:numPr>
          <w:ilvl w:val="0"/>
          <w:numId w:val="36"/>
        </w:numPr>
        <w:spacing w:line="360" w:lineRule="auto"/>
        <w:ind w:left="0" w:leftChars="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质疑人的名称、地址、邮政编码、联系人、联系电话，以及被质疑人名称及联系方式；</w:t>
      </w:r>
    </w:p>
    <w:p>
      <w:pPr>
        <w:pStyle w:val="14"/>
        <w:numPr>
          <w:ilvl w:val="0"/>
          <w:numId w:val="36"/>
        </w:numPr>
        <w:spacing w:line="360" w:lineRule="auto"/>
        <w:ind w:left="0" w:leftChars="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被质疑采购项目名称、编号及采购内容；</w:t>
      </w:r>
    </w:p>
    <w:p>
      <w:pPr>
        <w:pStyle w:val="14"/>
        <w:numPr>
          <w:ilvl w:val="0"/>
          <w:numId w:val="36"/>
        </w:numPr>
        <w:spacing w:line="360" w:lineRule="auto"/>
        <w:ind w:left="0" w:leftChars="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具体的质疑事项及事实依据；</w:t>
      </w:r>
    </w:p>
    <w:p>
      <w:pPr>
        <w:pStyle w:val="14"/>
        <w:numPr>
          <w:ilvl w:val="0"/>
          <w:numId w:val="36"/>
        </w:numPr>
        <w:spacing w:line="360" w:lineRule="auto"/>
        <w:ind w:left="0" w:leftChars="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认为自己合法权益受到损害或可能受到损害的相关证据材料；</w:t>
      </w:r>
    </w:p>
    <w:p>
      <w:pPr>
        <w:pStyle w:val="14"/>
        <w:numPr>
          <w:ilvl w:val="0"/>
          <w:numId w:val="36"/>
        </w:numPr>
        <w:spacing w:line="360" w:lineRule="auto"/>
        <w:ind w:left="0" w:leftChars="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提出质疑的日期。</w:t>
      </w:r>
    </w:p>
    <w:p>
      <w:pPr>
        <w:pStyle w:val="14"/>
        <w:spacing w:line="360" w:lineRule="auto"/>
        <w:ind w:firstLine="482" w:firstLineChars="200"/>
        <w:rPr>
          <w:rFonts w:hint="eastAsia" w:ascii="宋体" w:hAnsi="宋体" w:eastAsia="宋体" w:cs="宋体"/>
          <w:b/>
          <w:color w:val="auto"/>
          <w:sz w:val="24"/>
          <w:highlight w:val="none"/>
          <w:u w:val="none"/>
        </w:rPr>
      </w:pPr>
      <w:r>
        <w:rPr>
          <w:rFonts w:hint="eastAsia" w:ascii="宋体" w:hAnsi="宋体" w:eastAsia="宋体" w:cs="宋体"/>
          <w:b/>
          <w:color w:val="auto"/>
          <w:sz w:val="24"/>
          <w:highlight w:val="none"/>
          <w:u w:val="none"/>
        </w:rPr>
        <w:t>未按上述内容填写的质疑书将不予受理。</w:t>
      </w:r>
    </w:p>
    <w:p>
      <w:pPr>
        <w:pStyle w:val="51"/>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0" w:line="360" w:lineRule="auto"/>
        <w:ind w:leftChars="0" w:firstLine="480" w:firstLineChars="200"/>
        <w:textAlignment w:val="auto"/>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35.3采购代理机构应当在收到供应商的书面质疑后七个工作日内作出答复，并以书面形式通知质疑供应商和其他与质疑处理结果有利害关系的国企采购当事人，但答复的内容不得涉及商业秘密。</w:t>
      </w:r>
    </w:p>
    <w:p>
      <w:pPr>
        <w:pStyle w:val="51"/>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0" w:line="360" w:lineRule="auto"/>
        <w:ind w:leftChars="0" w:firstLine="480" w:firstLineChars="200"/>
        <w:textAlignment w:val="auto"/>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35.4询问或者质疑事项可能影响采购结果的，采购人应当暂停签订合同，已经签订合同的，应当中止履行合同。</w:t>
      </w:r>
    </w:p>
    <w:p>
      <w:pPr>
        <w:pStyle w:val="14"/>
        <w:numPr>
          <w:ilvl w:val="0"/>
          <w:numId w:val="0"/>
        </w:numPr>
        <w:spacing w:line="360" w:lineRule="auto"/>
        <w:ind w:leftChars="200"/>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en-US" w:eastAsia="zh-CN"/>
        </w:rPr>
        <w:t>36</w:t>
      </w:r>
      <w:r>
        <w:rPr>
          <w:rFonts w:hint="eastAsia" w:ascii="宋体" w:hAnsi="宋体" w:eastAsia="宋体" w:cs="宋体"/>
          <w:b/>
          <w:color w:val="auto"/>
          <w:sz w:val="24"/>
          <w:szCs w:val="24"/>
          <w:highlight w:val="none"/>
          <w:lang w:val="zh-CN"/>
        </w:rPr>
        <w:t>供应商投诉</w:t>
      </w:r>
    </w:p>
    <w:p>
      <w:pPr>
        <w:pStyle w:val="51"/>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0" w:line="360" w:lineRule="auto"/>
        <w:ind w:leftChars="0" w:firstLine="480" w:firstLineChars="200"/>
        <w:textAlignment w:val="auto"/>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36.1供应商质疑、投诉应当有明确的请求和必要的证明材料，供应商投诉的事项不得超出已质疑事项的范围，不符合上述要求的投诉将不予受理。</w:t>
      </w:r>
    </w:p>
    <w:p>
      <w:pPr>
        <w:pStyle w:val="51"/>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0" w:line="360" w:lineRule="auto"/>
        <w:ind w:leftChars="0" w:firstLine="480" w:firstLineChars="200"/>
        <w:textAlignment w:val="auto"/>
        <w:rPr>
          <w:rFonts w:hint="eastAsia" w:ascii="宋体" w:hAnsi="宋体" w:eastAsia="宋体" w:cs="宋体"/>
          <w:b/>
          <w:color w:val="auto"/>
          <w:sz w:val="24"/>
          <w:highlight w:val="none"/>
        </w:rPr>
      </w:pPr>
      <w:r>
        <w:rPr>
          <w:rFonts w:hint="eastAsia" w:ascii="宋体" w:hAnsi="宋体" w:eastAsia="宋体" w:cs="宋体"/>
          <w:color w:val="auto"/>
          <w:szCs w:val="24"/>
          <w:highlight w:val="none"/>
          <w:lang w:val="en-US" w:eastAsia="zh-CN"/>
        </w:rPr>
        <w:t>36.2质疑供应商对采购代理机构的答复不满意或者采购代理机构未在规定的时间内作出答复的，可以在答复期满后十五个工作日内向</w:t>
      </w:r>
      <w:r>
        <w:rPr>
          <w:rFonts w:hint="eastAsia" w:eastAsia="宋体" w:cs="宋体"/>
          <w:color w:val="auto"/>
          <w:szCs w:val="24"/>
          <w:highlight w:val="none"/>
          <w:lang w:val="en-US" w:eastAsia="zh-CN"/>
        </w:rPr>
        <w:t>采购人上级主管</w:t>
      </w:r>
      <w:r>
        <w:rPr>
          <w:rFonts w:hint="eastAsia" w:ascii="宋体" w:hAnsi="宋体" w:eastAsia="宋体" w:cs="宋体"/>
          <w:color w:val="auto"/>
          <w:szCs w:val="24"/>
          <w:highlight w:val="none"/>
          <w:lang w:val="en-US" w:eastAsia="zh-CN"/>
        </w:rPr>
        <w:t>部门提出投诉</w:t>
      </w:r>
      <w:r>
        <w:rPr>
          <w:rFonts w:hint="eastAsia" w:cs="宋体"/>
          <w:color w:val="auto"/>
          <w:szCs w:val="24"/>
          <w:highlight w:val="none"/>
          <w:lang w:val="en-US" w:eastAsia="zh-CN"/>
        </w:rPr>
        <w:t>，</w:t>
      </w:r>
      <w:r>
        <w:rPr>
          <w:rFonts w:hint="eastAsia" w:ascii="宋体" w:hAnsi="宋体" w:eastAsia="宋体" w:cs="宋体"/>
          <w:color w:val="auto"/>
          <w:szCs w:val="24"/>
          <w:highlight w:val="none"/>
          <w:lang w:val="en-US" w:eastAsia="zh-CN"/>
        </w:rPr>
        <w:t>投诉书范本请到浙江政府采购网下载专区下载</w:t>
      </w:r>
      <w:r>
        <w:rPr>
          <w:rFonts w:hint="eastAsia" w:cs="宋体"/>
          <w:color w:val="auto"/>
          <w:szCs w:val="24"/>
          <w:highlight w:val="none"/>
          <w:lang w:val="en-US" w:eastAsia="zh-CN"/>
        </w:rPr>
        <w:t>。</w:t>
      </w:r>
    </w:p>
    <w:bookmarkEnd w:id="56"/>
    <w:p>
      <w:pPr>
        <w:adjustRightInd/>
        <w:spacing w:after="167" w:afterLines="50" w:line="360" w:lineRule="auto"/>
        <w:jc w:val="center"/>
        <w:outlineLvl w:val="9"/>
        <w:rPr>
          <w:rFonts w:hint="eastAsia" w:ascii="宋体" w:hAnsi="宋体" w:eastAsia="宋体" w:cs="宋体"/>
          <w:b/>
          <w:color w:val="auto"/>
          <w:sz w:val="36"/>
          <w:szCs w:val="36"/>
          <w:highlight w:val="none"/>
        </w:rPr>
      </w:pPr>
    </w:p>
    <w:p>
      <w:pPr>
        <w:adjustRightInd/>
        <w:spacing w:after="167" w:afterLines="50" w:line="360" w:lineRule="auto"/>
        <w:jc w:val="center"/>
        <w:outlineLvl w:val="9"/>
        <w:rPr>
          <w:rFonts w:hint="eastAsia" w:ascii="宋体" w:hAnsi="宋体" w:eastAsia="宋体" w:cs="宋体"/>
          <w:b/>
          <w:color w:val="auto"/>
          <w:sz w:val="36"/>
          <w:szCs w:val="36"/>
          <w:highlight w:val="none"/>
        </w:rPr>
      </w:pPr>
    </w:p>
    <w:p>
      <w:pPr>
        <w:adjustRightInd/>
        <w:spacing w:after="167" w:afterLines="50" w:line="360" w:lineRule="auto"/>
        <w:jc w:val="center"/>
        <w:outlineLvl w:val="9"/>
        <w:rPr>
          <w:rFonts w:hint="eastAsia" w:ascii="宋体" w:hAnsi="宋体" w:eastAsia="宋体" w:cs="宋体"/>
          <w:b/>
          <w:color w:val="auto"/>
          <w:sz w:val="36"/>
          <w:szCs w:val="36"/>
          <w:highlight w:val="none"/>
        </w:rPr>
      </w:pPr>
    </w:p>
    <w:p>
      <w:pPr>
        <w:adjustRightInd/>
        <w:spacing w:after="167" w:afterLines="50" w:line="360" w:lineRule="auto"/>
        <w:jc w:val="center"/>
        <w:outlineLvl w:val="9"/>
        <w:rPr>
          <w:rFonts w:hint="eastAsia" w:ascii="宋体" w:hAnsi="宋体" w:eastAsia="宋体" w:cs="宋体"/>
          <w:b/>
          <w:color w:val="auto"/>
          <w:sz w:val="36"/>
          <w:szCs w:val="36"/>
          <w:highlight w:val="none"/>
        </w:rPr>
      </w:pPr>
    </w:p>
    <w:p>
      <w:pPr>
        <w:adjustRightInd/>
        <w:spacing w:after="167" w:afterLines="50" w:line="360" w:lineRule="auto"/>
        <w:jc w:val="center"/>
        <w:outlineLvl w:val="9"/>
        <w:rPr>
          <w:rFonts w:hint="eastAsia" w:ascii="宋体" w:hAnsi="宋体" w:eastAsia="宋体" w:cs="宋体"/>
          <w:b/>
          <w:color w:val="auto"/>
          <w:sz w:val="36"/>
          <w:szCs w:val="36"/>
          <w:highlight w:val="none"/>
        </w:rPr>
      </w:pPr>
    </w:p>
    <w:p>
      <w:pPr>
        <w:adjustRightInd/>
        <w:spacing w:after="167" w:afterLines="50" w:line="360" w:lineRule="auto"/>
        <w:jc w:val="center"/>
        <w:outlineLvl w:val="9"/>
        <w:rPr>
          <w:rFonts w:hint="eastAsia" w:ascii="宋体" w:hAnsi="宋体" w:eastAsia="宋体" w:cs="宋体"/>
          <w:b/>
          <w:color w:val="auto"/>
          <w:sz w:val="36"/>
          <w:szCs w:val="36"/>
          <w:highlight w:val="none"/>
        </w:rPr>
      </w:pPr>
    </w:p>
    <w:p>
      <w:pPr>
        <w:adjustRightInd/>
        <w:spacing w:after="167" w:afterLines="50" w:line="360" w:lineRule="auto"/>
        <w:jc w:val="center"/>
        <w:outlineLvl w:val="9"/>
        <w:rPr>
          <w:rFonts w:hint="eastAsia" w:ascii="宋体" w:hAnsi="宋体" w:eastAsia="宋体" w:cs="宋体"/>
          <w:b/>
          <w:color w:val="auto"/>
          <w:sz w:val="36"/>
          <w:szCs w:val="36"/>
          <w:highlight w:val="none"/>
        </w:rPr>
      </w:pPr>
    </w:p>
    <w:p>
      <w:pPr>
        <w:adjustRightInd/>
        <w:spacing w:after="167" w:afterLines="50"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br w:type="page"/>
      </w:r>
      <w:bookmarkStart w:id="60" w:name="_Toc23789"/>
      <w:bookmarkStart w:id="61" w:name="_Toc24088"/>
      <w:r>
        <w:rPr>
          <w:rFonts w:hint="eastAsia" w:ascii="宋体" w:hAnsi="宋体" w:eastAsia="宋体" w:cs="宋体"/>
          <w:b/>
          <w:color w:val="auto"/>
          <w:sz w:val="36"/>
          <w:szCs w:val="36"/>
          <w:highlight w:val="none"/>
        </w:rPr>
        <w:t xml:space="preserve">第三部分  </w:t>
      </w:r>
      <w:bookmarkEnd w:id="48"/>
      <w:bookmarkEnd w:id="49"/>
      <w:bookmarkStart w:id="62" w:name="_Toc184313270"/>
      <w:bookmarkEnd w:id="62"/>
      <w:bookmarkStart w:id="63" w:name="_Toc184308100"/>
      <w:bookmarkEnd w:id="63"/>
      <w:bookmarkStart w:id="64" w:name="_Toc184310344"/>
      <w:bookmarkEnd w:id="64"/>
      <w:bookmarkStart w:id="65" w:name="_Toc184313305"/>
      <w:bookmarkEnd w:id="65"/>
      <w:bookmarkStart w:id="66" w:name="_Toc184313273"/>
      <w:bookmarkEnd w:id="66"/>
      <w:bookmarkStart w:id="67" w:name="_Toc184314422"/>
      <w:bookmarkEnd w:id="67"/>
      <w:bookmarkStart w:id="68" w:name="_Toc184314444"/>
      <w:bookmarkEnd w:id="68"/>
      <w:bookmarkStart w:id="69" w:name="_Toc184314463"/>
      <w:bookmarkEnd w:id="69"/>
      <w:bookmarkStart w:id="70" w:name="_Toc184308091"/>
      <w:bookmarkEnd w:id="70"/>
      <w:bookmarkStart w:id="71" w:name="_Toc184313274"/>
      <w:bookmarkEnd w:id="71"/>
      <w:bookmarkStart w:id="72" w:name="_Toc184312120"/>
      <w:bookmarkEnd w:id="72"/>
      <w:bookmarkStart w:id="73" w:name="_Toc184313292"/>
      <w:bookmarkEnd w:id="73"/>
      <w:bookmarkStart w:id="74" w:name="_Toc184308108"/>
      <w:bookmarkEnd w:id="74"/>
      <w:bookmarkStart w:id="75" w:name="_Toc184314477"/>
      <w:bookmarkEnd w:id="75"/>
      <w:bookmarkStart w:id="76" w:name="_Toc184310281"/>
      <w:bookmarkEnd w:id="76"/>
      <w:bookmarkStart w:id="77" w:name="_Toc184310300"/>
      <w:bookmarkEnd w:id="77"/>
      <w:bookmarkStart w:id="78" w:name="_Toc184312115"/>
      <w:bookmarkEnd w:id="78"/>
      <w:bookmarkStart w:id="79" w:name="_Toc184312122"/>
      <w:bookmarkEnd w:id="79"/>
      <w:bookmarkStart w:id="80" w:name="_Toc184308076"/>
      <w:bookmarkEnd w:id="80"/>
      <w:bookmarkStart w:id="81" w:name="_Toc184312070"/>
      <w:bookmarkEnd w:id="81"/>
      <w:bookmarkStart w:id="82" w:name="_Toc184312091"/>
      <w:bookmarkEnd w:id="82"/>
      <w:bookmarkStart w:id="83" w:name="_Toc184308059"/>
      <w:bookmarkEnd w:id="83"/>
      <w:bookmarkStart w:id="84" w:name="_Toc184308043"/>
      <w:bookmarkEnd w:id="84"/>
      <w:bookmarkStart w:id="85" w:name="_Toc184308069"/>
      <w:bookmarkEnd w:id="85"/>
      <w:bookmarkStart w:id="86" w:name="_Toc184313299"/>
      <w:bookmarkEnd w:id="86"/>
      <w:bookmarkStart w:id="87" w:name="_Toc184314460"/>
      <w:bookmarkEnd w:id="87"/>
      <w:bookmarkStart w:id="88" w:name="_Toc184312104"/>
      <w:bookmarkEnd w:id="88"/>
      <w:bookmarkStart w:id="89" w:name="_Toc184314467"/>
      <w:bookmarkEnd w:id="89"/>
      <w:bookmarkStart w:id="90" w:name="_Toc184312102"/>
      <w:bookmarkEnd w:id="90"/>
      <w:bookmarkStart w:id="91" w:name="_Toc184308062"/>
      <w:bookmarkEnd w:id="91"/>
      <w:bookmarkStart w:id="92" w:name="_Toc184312094"/>
      <w:bookmarkEnd w:id="92"/>
      <w:bookmarkStart w:id="93" w:name="_Toc184312106"/>
      <w:bookmarkEnd w:id="93"/>
      <w:bookmarkStart w:id="94" w:name="_Toc184310306"/>
      <w:bookmarkEnd w:id="94"/>
      <w:bookmarkStart w:id="95" w:name="_Toc184308037"/>
      <w:bookmarkEnd w:id="95"/>
      <w:bookmarkStart w:id="96" w:name="_Toc184312080"/>
      <w:bookmarkEnd w:id="96"/>
      <w:bookmarkStart w:id="97" w:name="_Toc184314461"/>
      <w:bookmarkEnd w:id="97"/>
      <w:bookmarkStart w:id="98" w:name="_Toc184310277"/>
      <w:bookmarkEnd w:id="98"/>
      <w:bookmarkStart w:id="99" w:name="_Toc184310297"/>
      <w:bookmarkEnd w:id="99"/>
      <w:bookmarkStart w:id="100" w:name="_Toc184310323"/>
      <w:bookmarkEnd w:id="100"/>
      <w:bookmarkStart w:id="101" w:name="_Toc184314454"/>
      <w:bookmarkEnd w:id="101"/>
      <w:bookmarkStart w:id="102" w:name="_Toc184313306"/>
      <w:bookmarkEnd w:id="102"/>
      <w:bookmarkStart w:id="103" w:name="_Toc184312124"/>
      <w:bookmarkEnd w:id="103"/>
      <w:bookmarkStart w:id="104" w:name="_Toc184314412"/>
      <w:bookmarkEnd w:id="104"/>
      <w:bookmarkStart w:id="105" w:name="_Toc184313293"/>
      <w:bookmarkEnd w:id="105"/>
      <w:bookmarkStart w:id="106" w:name="_Toc184313264"/>
      <w:bookmarkEnd w:id="106"/>
      <w:bookmarkStart w:id="107" w:name="_Toc184314476"/>
      <w:bookmarkEnd w:id="107"/>
      <w:bookmarkStart w:id="108" w:name="_Toc184310325"/>
      <w:bookmarkEnd w:id="108"/>
      <w:bookmarkStart w:id="109" w:name="_Toc184313250"/>
      <w:bookmarkEnd w:id="109"/>
      <w:bookmarkStart w:id="110" w:name="_Toc184313291"/>
      <w:bookmarkEnd w:id="110"/>
      <w:bookmarkStart w:id="111" w:name="_Toc184314453"/>
      <w:bookmarkEnd w:id="111"/>
      <w:bookmarkStart w:id="112" w:name="_Toc184313258"/>
      <w:bookmarkEnd w:id="112"/>
      <w:bookmarkStart w:id="113" w:name="_Toc184314438"/>
      <w:bookmarkEnd w:id="113"/>
      <w:bookmarkStart w:id="114" w:name="_Toc184308050"/>
      <w:bookmarkEnd w:id="114"/>
      <w:bookmarkStart w:id="115" w:name="_Toc184313268"/>
      <w:bookmarkEnd w:id="115"/>
      <w:bookmarkStart w:id="116" w:name="_Toc184308040"/>
      <w:bookmarkEnd w:id="116"/>
      <w:bookmarkStart w:id="117" w:name="_Toc184308061"/>
      <w:bookmarkEnd w:id="117"/>
      <w:bookmarkStart w:id="118" w:name="_Toc184308093"/>
      <w:bookmarkEnd w:id="118"/>
      <w:bookmarkStart w:id="119" w:name="_Toc184312128"/>
      <w:bookmarkEnd w:id="119"/>
      <w:bookmarkStart w:id="120" w:name="_Toc184308106"/>
      <w:bookmarkEnd w:id="120"/>
      <w:bookmarkStart w:id="121" w:name="_Toc184313244"/>
      <w:bookmarkEnd w:id="121"/>
      <w:bookmarkStart w:id="122" w:name="_Toc184312132"/>
      <w:bookmarkEnd w:id="122"/>
      <w:bookmarkStart w:id="123" w:name="_Toc184313310"/>
      <w:bookmarkEnd w:id="123"/>
      <w:bookmarkStart w:id="124" w:name="_Toc184312133"/>
      <w:bookmarkEnd w:id="124"/>
      <w:bookmarkStart w:id="125" w:name="_Toc184308077"/>
      <w:bookmarkEnd w:id="125"/>
      <w:bookmarkStart w:id="126" w:name="_Toc184314447"/>
      <w:bookmarkEnd w:id="126"/>
      <w:bookmarkStart w:id="127" w:name="_Toc184314417"/>
      <w:bookmarkEnd w:id="127"/>
      <w:bookmarkStart w:id="128" w:name="_Toc184313286"/>
      <w:bookmarkEnd w:id="128"/>
      <w:bookmarkStart w:id="129" w:name="_Toc184310318"/>
      <w:bookmarkEnd w:id="129"/>
      <w:bookmarkStart w:id="130" w:name="_Toc184312100"/>
      <w:bookmarkEnd w:id="130"/>
      <w:bookmarkStart w:id="131" w:name="_Toc184310274"/>
      <w:bookmarkEnd w:id="131"/>
      <w:bookmarkStart w:id="132" w:name="_Toc184308085"/>
      <w:bookmarkEnd w:id="132"/>
      <w:bookmarkStart w:id="133" w:name="_Toc184310309"/>
      <w:bookmarkEnd w:id="133"/>
      <w:bookmarkStart w:id="134" w:name="_Toc184310310"/>
      <w:bookmarkEnd w:id="134"/>
      <w:bookmarkStart w:id="135" w:name="_Toc184313297"/>
      <w:bookmarkEnd w:id="135"/>
      <w:bookmarkStart w:id="136" w:name="_Toc184313239"/>
      <w:bookmarkEnd w:id="136"/>
      <w:bookmarkStart w:id="137" w:name="_Toc184313290"/>
      <w:bookmarkEnd w:id="137"/>
      <w:bookmarkStart w:id="138" w:name="_Toc184312118"/>
      <w:bookmarkEnd w:id="138"/>
      <w:bookmarkStart w:id="139" w:name="_Toc184310322"/>
      <w:bookmarkEnd w:id="139"/>
      <w:bookmarkStart w:id="140" w:name="_Toc184313257"/>
      <w:bookmarkEnd w:id="140"/>
      <w:bookmarkStart w:id="141" w:name="_Toc184308090"/>
      <w:bookmarkEnd w:id="141"/>
      <w:bookmarkStart w:id="142" w:name="_Toc184308039"/>
      <w:bookmarkEnd w:id="142"/>
      <w:bookmarkStart w:id="143" w:name="_Toc184310315"/>
      <w:bookmarkEnd w:id="143"/>
      <w:bookmarkStart w:id="144" w:name="_Toc184312136"/>
      <w:bookmarkEnd w:id="144"/>
      <w:bookmarkStart w:id="145" w:name="_Toc184312098"/>
      <w:bookmarkEnd w:id="145"/>
      <w:bookmarkStart w:id="146" w:name="_Toc184314473"/>
      <w:bookmarkEnd w:id="146"/>
      <w:bookmarkStart w:id="147" w:name="_Toc184313303"/>
      <w:bookmarkEnd w:id="147"/>
      <w:bookmarkStart w:id="148" w:name="_Toc184310319"/>
      <w:bookmarkEnd w:id="148"/>
      <w:bookmarkStart w:id="149" w:name="_Toc184310288"/>
      <w:bookmarkEnd w:id="149"/>
      <w:bookmarkStart w:id="150" w:name="_Toc184314468"/>
      <w:bookmarkEnd w:id="150"/>
      <w:bookmarkStart w:id="151" w:name="_Toc184310284"/>
      <w:bookmarkEnd w:id="151"/>
      <w:bookmarkStart w:id="152" w:name="_Toc184310320"/>
      <w:bookmarkEnd w:id="152"/>
      <w:bookmarkStart w:id="153" w:name="_Toc184314470"/>
      <w:bookmarkEnd w:id="153"/>
      <w:bookmarkStart w:id="154" w:name="_Toc184313259"/>
      <w:bookmarkEnd w:id="154"/>
      <w:bookmarkStart w:id="155" w:name="_Toc184314424"/>
      <w:bookmarkEnd w:id="155"/>
      <w:bookmarkStart w:id="156" w:name="_Toc184308095"/>
      <w:bookmarkEnd w:id="156"/>
      <w:bookmarkStart w:id="157" w:name="_Toc184314423"/>
      <w:bookmarkEnd w:id="157"/>
      <w:bookmarkStart w:id="158" w:name="_Toc184314452"/>
      <w:bookmarkEnd w:id="158"/>
      <w:bookmarkStart w:id="159" w:name="_Toc184314431"/>
      <w:bookmarkEnd w:id="159"/>
      <w:bookmarkStart w:id="160" w:name="_Toc184314481"/>
      <w:bookmarkEnd w:id="160"/>
      <w:bookmarkStart w:id="161" w:name="_Toc184308054"/>
      <w:bookmarkEnd w:id="161"/>
      <w:bookmarkStart w:id="162" w:name="_Toc184313243"/>
      <w:bookmarkEnd w:id="162"/>
      <w:bookmarkStart w:id="163" w:name="_Toc184314455"/>
      <w:bookmarkEnd w:id="163"/>
      <w:bookmarkStart w:id="164" w:name="_Toc184310272"/>
      <w:bookmarkEnd w:id="164"/>
      <w:bookmarkStart w:id="165" w:name="_Toc184312084"/>
      <w:bookmarkEnd w:id="165"/>
      <w:bookmarkStart w:id="166" w:name="_Toc184308078"/>
      <w:bookmarkEnd w:id="166"/>
      <w:bookmarkStart w:id="167" w:name="_Toc184310334"/>
      <w:bookmarkEnd w:id="167"/>
      <w:bookmarkStart w:id="168" w:name="_Toc184308072"/>
      <w:bookmarkEnd w:id="168"/>
      <w:bookmarkStart w:id="169" w:name="_Toc184313240"/>
      <w:bookmarkEnd w:id="169"/>
      <w:bookmarkStart w:id="170" w:name="_Toc184312107"/>
      <w:bookmarkEnd w:id="170"/>
      <w:bookmarkStart w:id="171" w:name="_Toc184314449"/>
      <w:bookmarkEnd w:id="171"/>
      <w:bookmarkStart w:id="172" w:name="_Toc184312113"/>
      <w:bookmarkEnd w:id="172"/>
      <w:bookmarkStart w:id="173" w:name="_Toc184310283"/>
      <w:bookmarkEnd w:id="173"/>
      <w:bookmarkStart w:id="174" w:name="_Toc184314421"/>
      <w:bookmarkEnd w:id="174"/>
      <w:bookmarkStart w:id="175" w:name="_Toc184314413"/>
      <w:bookmarkEnd w:id="175"/>
      <w:bookmarkStart w:id="176" w:name="_Toc184310328"/>
      <w:bookmarkEnd w:id="176"/>
      <w:bookmarkStart w:id="177" w:name="_Toc184314465"/>
      <w:bookmarkEnd w:id="177"/>
      <w:bookmarkStart w:id="178" w:name="_Toc184312085"/>
      <w:bookmarkEnd w:id="178"/>
      <w:bookmarkStart w:id="179" w:name="_Toc184308056"/>
      <w:bookmarkEnd w:id="179"/>
      <w:bookmarkStart w:id="180" w:name="_Toc184310282"/>
      <w:bookmarkEnd w:id="180"/>
      <w:bookmarkStart w:id="181" w:name="_Toc184313276"/>
      <w:bookmarkEnd w:id="181"/>
      <w:bookmarkStart w:id="182" w:name="_Toc184314464"/>
      <w:bookmarkEnd w:id="182"/>
      <w:bookmarkStart w:id="183" w:name="_Toc184308071"/>
      <w:bookmarkEnd w:id="183"/>
      <w:bookmarkStart w:id="184" w:name="_Toc184313272"/>
      <w:bookmarkEnd w:id="184"/>
      <w:bookmarkStart w:id="185" w:name="_Toc184310342"/>
      <w:bookmarkEnd w:id="185"/>
      <w:bookmarkStart w:id="186" w:name="_Toc184310308"/>
      <w:bookmarkEnd w:id="186"/>
      <w:bookmarkStart w:id="187" w:name="_Toc184312134"/>
      <w:bookmarkEnd w:id="187"/>
      <w:bookmarkStart w:id="188" w:name="_Toc184314456"/>
      <w:bookmarkEnd w:id="188"/>
      <w:bookmarkStart w:id="189" w:name="_Toc184314475"/>
      <w:bookmarkEnd w:id="189"/>
      <w:bookmarkStart w:id="190" w:name="_Toc184312069"/>
      <w:bookmarkEnd w:id="190"/>
      <w:bookmarkStart w:id="191" w:name="_Toc184308041"/>
      <w:bookmarkEnd w:id="191"/>
      <w:bookmarkStart w:id="192" w:name="_Toc184308052"/>
      <w:bookmarkEnd w:id="192"/>
      <w:bookmarkStart w:id="193" w:name="_Toc184314430"/>
      <w:bookmarkEnd w:id="193"/>
      <w:bookmarkStart w:id="194" w:name="_Toc184312086"/>
      <w:bookmarkEnd w:id="194"/>
      <w:bookmarkStart w:id="195" w:name="_Toc184308094"/>
      <w:bookmarkEnd w:id="195"/>
      <w:bookmarkStart w:id="196" w:name="_Toc184312099"/>
      <w:bookmarkEnd w:id="196"/>
      <w:bookmarkStart w:id="197" w:name="_Toc184314472"/>
      <w:bookmarkEnd w:id="197"/>
      <w:bookmarkStart w:id="198" w:name="_Toc184314459"/>
      <w:bookmarkEnd w:id="198"/>
      <w:bookmarkStart w:id="199" w:name="_Toc184312087"/>
      <w:bookmarkEnd w:id="199"/>
      <w:bookmarkStart w:id="200" w:name="_Toc184313280"/>
      <w:bookmarkEnd w:id="200"/>
      <w:bookmarkStart w:id="201" w:name="_Toc184312092"/>
      <w:bookmarkEnd w:id="201"/>
      <w:bookmarkStart w:id="202" w:name="_Toc184313265"/>
      <w:bookmarkEnd w:id="202"/>
      <w:bookmarkStart w:id="203" w:name="_Toc184310314"/>
      <w:bookmarkEnd w:id="203"/>
      <w:bookmarkStart w:id="204" w:name="_Toc184310313"/>
      <w:bookmarkEnd w:id="204"/>
      <w:bookmarkStart w:id="205" w:name="_Toc184313307"/>
      <w:bookmarkEnd w:id="205"/>
      <w:bookmarkStart w:id="206" w:name="_Toc184313271"/>
      <w:bookmarkEnd w:id="206"/>
      <w:bookmarkStart w:id="207" w:name="_Toc184313309"/>
      <w:bookmarkEnd w:id="207"/>
      <w:bookmarkStart w:id="208" w:name="_Toc184310333"/>
      <w:bookmarkEnd w:id="208"/>
      <w:bookmarkStart w:id="209" w:name="_Toc184310324"/>
      <w:bookmarkEnd w:id="209"/>
      <w:bookmarkStart w:id="210" w:name="_Toc184310292"/>
      <w:bookmarkEnd w:id="210"/>
      <w:bookmarkStart w:id="211" w:name="_Toc184310280"/>
      <w:bookmarkEnd w:id="211"/>
      <w:bookmarkStart w:id="212" w:name="_Toc184308074"/>
      <w:bookmarkEnd w:id="212"/>
      <w:bookmarkStart w:id="213" w:name="_Toc184313283"/>
      <w:bookmarkEnd w:id="213"/>
      <w:bookmarkStart w:id="214" w:name="_Toc184314439"/>
      <w:bookmarkEnd w:id="214"/>
      <w:bookmarkStart w:id="215" w:name="_Toc184310295"/>
      <w:bookmarkEnd w:id="215"/>
      <w:bookmarkStart w:id="216" w:name="_Toc184308104"/>
      <w:bookmarkEnd w:id="216"/>
      <w:bookmarkStart w:id="217" w:name="_Toc184310303"/>
      <w:bookmarkEnd w:id="217"/>
      <w:bookmarkStart w:id="218" w:name="_Toc184312073"/>
      <w:bookmarkEnd w:id="218"/>
      <w:bookmarkStart w:id="219" w:name="_Toc184310330"/>
      <w:bookmarkEnd w:id="219"/>
      <w:bookmarkStart w:id="220" w:name="_Toc184314471"/>
      <w:bookmarkEnd w:id="220"/>
      <w:bookmarkStart w:id="221" w:name="_Toc184310275"/>
      <w:bookmarkEnd w:id="221"/>
      <w:bookmarkStart w:id="222" w:name="_Toc184310302"/>
      <w:bookmarkEnd w:id="222"/>
      <w:bookmarkStart w:id="223" w:name="_Toc184308089"/>
      <w:bookmarkEnd w:id="223"/>
      <w:bookmarkStart w:id="224" w:name="_Toc184310298"/>
      <w:bookmarkEnd w:id="224"/>
      <w:bookmarkStart w:id="225" w:name="_Toc184312116"/>
      <w:bookmarkEnd w:id="225"/>
      <w:bookmarkStart w:id="226" w:name="_Toc184314429"/>
      <w:bookmarkEnd w:id="226"/>
      <w:bookmarkStart w:id="227" w:name="_Toc184308079"/>
      <w:bookmarkEnd w:id="227"/>
      <w:bookmarkStart w:id="228" w:name="_Toc184308057"/>
      <w:bookmarkEnd w:id="228"/>
      <w:bookmarkStart w:id="229" w:name="_Toc184313248"/>
      <w:bookmarkEnd w:id="229"/>
      <w:bookmarkStart w:id="230" w:name="_Toc184310305"/>
      <w:bookmarkEnd w:id="230"/>
      <w:bookmarkStart w:id="231" w:name="_Toc184313238"/>
      <w:bookmarkEnd w:id="231"/>
      <w:bookmarkStart w:id="232" w:name="_Toc184312105"/>
      <w:bookmarkEnd w:id="232"/>
      <w:bookmarkStart w:id="233" w:name="_Toc184310293"/>
      <w:bookmarkEnd w:id="233"/>
      <w:bookmarkStart w:id="234" w:name="_Toc184314433"/>
      <w:bookmarkEnd w:id="234"/>
      <w:bookmarkStart w:id="235" w:name="_Toc184313266"/>
      <w:bookmarkEnd w:id="235"/>
      <w:bookmarkStart w:id="236" w:name="_Toc184312068"/>
      <w:bookmarkEnd w:id="236"/>
      <w:bookmarkStart w:id="237" w:name="_Toc184313246"/>
      <w:bookmarkEnd w:id="237"/>
      <w:bookmarkStart w:id="238" w:name="_Toc184313277"/>
      <w:bookmarkEnd w:id="238"/>
      <w:bookmarkStart w:id="239" w:name="_Toc184313253"/>
      <w:bookmarkEnd w:id="239"/>
      <w:bookmarkStart w:id="240" w:name="_Toc184312078"/>
      <w:bookmarkEnd w:id="240"/>
      <w:bookmarkStart w:id="241" w:name="_Toc184308087"/>
      <w:bookmarkEnd w:id="241"/>
      <w:bookmarkStart w:id="242" w:name="_Toc184312067"/>
      <w:bookmarkEnd w:id="242"/>
      <w:bookmarkStart w:id="243" w:name="_Toc184312071"/>
      <w:bookmarkEnd w:id="243"/>
      <w:bookmarkStart w:id="244" w:name="_Toc184313247"/>
      <w:bookmarkEnd w:id="244"/>
      <w:bookmarkStart w:id="245" w:name="_Toc184312072"/>
      <w:bookmarkEnd w:id="245"/>
      <w:bookmarkStart w:id="246" w:name="_Toc184313301"/>
      <w:bookmarkEnd w:id="246"/>
      <w:bookmarkStart w:id="247" w:name="_Toc184310338"/>
      <w:bookmarkEnd w:id="247"/>
      <w:bookmarkStart w:id="248" w:name="_Toc184308070"/>
      <w:bookmarkEnd w:id="248"/>
      <w:bookmarkStart w:id="249" w:name="_Toc184310337"/>
      <w:bookmarkEnd w:id="249"/>
      <w:bookmarkStart w:id="250" w:name="_Toc184313249"/>
      <w:bookmarkEnd w:id="250"/>
      <w:bookmarkStart w:id="251" w:name="_Toc184312121"/>
      <w:bookmarkEnd w:id="251"/>
      <w:bookmarkStart w:id="252" w:name="_Toc184313302"/>
      <w:bookmarkEnd w:id="252"/>
      <w:bookmarkStart w:id="253" w:name="_Toc184314482"/>
      <w:bookmarkEnd w:id="253"/>
      <w:bookmarkStart w:id="254" w:name="_Toc184314432"/>
      <w:bookmarkEnd w:id="254"/>
      <w:bookmarkStart w:id="255" w:name="_Toc184310285"/>
      <w:bookmarkEnd w:id="255"/>
      <w:bookmarkStart w:id="256" w:name="_Toc184314416"/>
      <w:bookmarkEnd w:id="256"/>
      <w:bookmarkStart w:id="257" w:name="_Toc184310289"/>
      <w:bookmarkEnd w:id="257"/>
      <w:bookmarkStart w:id="258" w:name="_Toc184314434"/>
      <w:bookmarkEnd w:id="258"/>
      <w:bookmarkStart w:id="259" w:name="_Toc184313241"/>
      <w:bookmarkEnd w:id="259"/>
      <w:bookmarkStart w:id="260" w:name="_Toc184308066"/>
      <w:bookmarkEnd w:id="260"/>
      <w:bookmarkStart w:id="261" w:name="_Toc184308097"/>
      <w:bookmarkEnd w:id="261"/>
      <w:bookmarkStart w:id="262" w:name="_Toc184308036"/>
      <w:bookmarkEnd w:id="262"/>
      <w:bookmarkStart w:id="263" w:name="_Toc184313287"/>
      <w:bookmarkEnd w:id="263"/>
      <w:bookmarkStart w:id="264" w:name="_Toc184314450"/>
      <w:bookmarkEnd w:id="264"/>
      <w:bookmarkStart w:id="265" w:name="_Toc184313285"/>
      <w:bookmarkEnd w:id="265"/>
      <w:bookmarkStart w:id="266" w:name="_Toc184312123"/>
      <w:bookmarkEnd w:id="266"/>
      <w:bookmarkStart w:id="267" w:name="_Toc184308047"/>
      <w:bookmarkEnd w:id="267"/>
      <w:bookmarkStart w:id="268" w:name="_Toc184314457"/>
      <w:bookmarkEnd w:id="268"/>
      <w:bookmarkStart w:id="269" w:name="_Toc184308075"/>
      <w:bookmarkEnd w:id="269"/>
      <w:bookmarkStart w:id="270" w:name="_Toc184314451"/>
      <w:bookmarkEnd w:id="270"/>
      <w:bookmarkStart w:id="271" w:name="_Toc184308083"/>
      <w:bookmarkEnd w:id="271"/>
      <w:bookmarkStart w:id="272" w:name="_Toc184308081"/>
      <w:bookmarkEnd w:id="272"/>
      <w:bookmarkStart w:id="273" w:name="_Toc184312076"/>
      <w:bookmarkEnd w:id="273"/>
      <w:bookmarkStart w:id="274" w:name="_Toc184313308"/>
      <w:bookmarkEnd w:id="274"/>
      <w:bookmarkStart w:id="275" w:name="_Toc184314474"/>
      <w:bookmarkEnd w:id="275"/>
      <w:bookmarkStart w:id="276" w:name="_Toc184314428"/>
      <w:bookmarkEnd w:id="276"/>
      <w:bookmarkStart w:id="277" w:name="_Toc184313289"/>
      <w:bookmarkEnd w:id="277"/>
      <w:bookmarkStart w:id="278" w:name="_Toc184308046"/>
      <w:bookmarkEnd w:id="278"/>
      <w:bookmarkStart w:id="279" w:name="_Toc184312079"/>
      <w:bookmarkEnd w:id="279"/>
      <w:bookmarkStart w:id="280" w:name="_Toc184310304"/>
      <w:bookmarkEnd w:id="280"/>
      <w:bookmarkStart w:id="281" w:name="_Toc184312139"/>
      <w:bookmarkEnd w:id="281"/>
      <w:bookmarkStart w:id="282" w:name="_Toc184312095"/>
      <w:bookmarkEnd w:id="282"/>
      <w:bookmarkStart w:id="283" w:name="_Toc184310332"/>
      <w:bookmarkEnd w:id="283"/>
      <w:bookmarkStart w:id="284" w:name="_Toc184310278"/>
      <w:bookmarkEnd w:id="284"/>
      <w:bookmarkStart w:id="285" w:name="_Toc184313251"/>
      <w:bookmarkEnd w:id="285"/>
      <w:bookmarkStart w:id="286" w:name="_Toc184312074"/>
      <w:bookmarkEnd w:id="286"/>
      <w:bookmarkStart w:id="287" w:name="_Toc184313295"/>
      <w:bookmarkEnd w:id="287"/>
      <w:bookmarkStart w:id="288" w:name="_Toc184310290"/>
      <w:bookmarkEnd w:id="288"/>
      <w:bookmarkStart w:id="289" w:name="_Toc184308092"/>
      <w:bookmarkEnd w:id="289"/>
      <w:bookmarkStart w:id="290" w:name="_Toc184314425"/>
      <w:bookmarkEnd w:id="290"/>
      <w:bookmarkStart w:id="291" w:name="_Toc184310311"/>
      <w:bookmarkEnd w:id="291"/>
      <w:bookmarkStart w:id="292" w:name="_Toc184314469"/>
      <w:bookmarkEnd w:id="292"/>
      <w:bookmarkStart w:id="293" w:name="_Toc184310317"/>
      <w:bookmarkEnd w:id="293"/>
      <w:bookmarkStart w:id="294" w:name="_Toc184314440"/>
      <w:bookmarkEnd w:id="294"/>
      <w:bookmarkStart w:id="295" w:name="_Toc184314466"/>
      <w:bookmarkEnd w:id="295"/>
      <w:bookmarkStart w:id="296" w:name="_Toc184313254"/>
      <w:bookmarkEnd w:id="296"/>
      <w:bookmarkStart w:id="297" w:name="_Toc184313262"/>
      <w:bookmarkEnd w:id="297"/>
      <w:bookmarkStart w:id="298" w:name="_Toc184313252"/>
      <w:bookmarkEnd w:id="298"/>
      <w:bookmarkStart w:id="299" w:name="_Toc184310335"/>
      <w:bookmarkEnd w:id="299"/>
      <w:bookmarkStart w:id="300" w:name="_Toc184308073"/>
      <w:bookmarkEnd w:id="300"/>
      <w:bookmarkStart w:id="301" w:name="_Toc184308053"/>
      <w:bookmarkEnd w:id="301"/>
      <w:bookmarkStart w:id="302" w:name="_Toc184314420"/>
      <w:bookmarkEnd w:id="302"/>
      <w:bookmarkStart w:id="303" w:name="_Toc184312130"/>
      <w:bookmarkEnd w:id="303"/>
      <w:bookmarkStart w:id="304" w:name="_Toc184310329"/>
      <w:bookmarkEnd w:id="304"/>
      <w:bookmarkStart w:id="305" w:name="_Toc184310307"/>
      <w:bookmarkEnd w:id="305"/>
      <w:bookmarkStart w:id="306" w:name="_Toc184312103"/>
      <w:bookmarkEnd w:id="306"/>
      <w:bookmarkStart w:id="307" w:name="_Toc184312137"/>
      <w:bookmarkEnd w:id="307"/>
      <w:bookmarkStart w:id="308" w:name="_Toc184312111"/>
      <w:bookmarkEnd w:id="308"/>
      <w:bookmarkStart w:id="309" w:name="_Toc184310299"/>
      <w:bookmarkEnd w:id="309"/>
      <w:bookmarkStart w:id="310" w:name="_Toc184314415"/>
      <w:bookmarkEnd w:id="310"/>
      <w:bookmarkStart w:id="311" w:name="_Toc184313255"/>
      <w:bookmarkEnd w:id="311"/>
      <w:bookmarkStart w:id="312" w:name="_Toc184312112"/>
      <w:bookmarkEnd w:id="312"/>
      <w:bookmarkStart w:id="313" w:name="_Toc184313279"/>
      <w:bookmarkEnd w:id="313"/>
      <w:bookmarkStart w:id="314" w:name="_Toc184314410"/>
      <w:bookmarkEnd w:id="314"/>
      <w:bookmarkStart w:id="315" w:name="_Toc184312082"/>
      <w:bookmarkEnd w:id="315"/>
      <w:bookmarkStart w:id="316" w:name="_Toc184313263"/>
      <w:bookmarkEnd w:id="316"/>
      <w:bookmarkStart w:id="317" w:name="_Toc184308103"/>
      <w:bookmarkEnd w:id="317"/>
      <w:bookmarkStart w:id="318" w:name="_Toc184312093"/>
      <w:bookmarkEnd w:id="318"/>
      <w:bookmarkStart w:id="319" w:name="_Toc184314478"/>
      <w:bookmarkEnd w:id="319"/>
      <w:bookmarkStart w:id="320" w:name="_Toc184314442"/>
      <w:bookmarkEnd w:id="320"/>
      <w:bookmarkStart w:id="321" w:name="_Toc184310343"/>
      <w:bookmarkEnd w:id="321"/>
      <w:bookmarkStart w:id="322" w:name="_Toc184312119"/>
      <w:bookmarkEnd w:id="322"/>
      <w:bookmarkStart w:id="323" w:name="_Toc184308086"/>
      <w:bookmarkEnd w:id="323"/>
      <w:bookmarkStart w:id="324" w:name="_Toc184308082"/>
      <w:bookmarkEnd w:id="324"/>
      <w:bookmarkStart w:id="325" w:name="_Toc184313298"/>
      <w:bookmarkEnd w:id="325"/>
      <w:bookmarkStart w:id="326" w:name="_Toc184312081"/>
      <w:bookmarkEnd w:id="326"/>
      <w:bookmarkStart w:id="327" w:name="_Toc184314445"/>
      <w:bookmarkEnd w:id="327"/>
      <w:bookmarkStart w:id="328" w:name="_Toc184314427"/>
      <w:bookmarkEnd w:id="328"/>
      <w:bookmarkStart w:id="329" w:name="_Toc184314446"/>
      <w:bookmarkEnd w:id="329"/>
      <w:bookmarkStart w:id="330" w:name="_Toc184313304"/>
      <w:bookmarkEnd w:id="330"/>
      <w:bookmarkStart w:id="331" w:name="_Toc184314426"/>
      <w:bookmarkEnd w:id="331"/>
      <w:bookmarkStart w:id="332" w:name="_Toc184313284"/>
      <w:bookmarkEnd w:id="332"/>
      <w:bookmarkStart w:id="333" w:name="_Toc184310287"/>
      <w:bookmarkEnd w:id="333"/>
      <w:bookmarkStart w:id="334" w:name="_Toc184310286"/>
      <w:bookmarkEnd w:id="334"/>
      <w:bookmarkStart w:id="335" w:name="_Toc184312114"/>
      <w:bookmarkEnd w:id="335"/>
      <w:bookmarkStart w:id="336" w:name="_Toc184313269"/>
      <w:bookmarkEnd w:id="336"/>
      <w:bookmarkStart w:id="337" w:name="_Toc184308099"/>
      <w:bookmarkEnd w:id="337"/>
      <w:bookmarkStart w:id="338" w:name="_Toc184312131"/>
      <w:bookmarkEnd w:id="338"/>
      <w:bookmarkStart w:id="339" w:name="_Toc184314462"/>
      <w:bookmarkEnd w:id="339"/>
      <w:bookmarkStart w:id="340" w:name="_Toc184313256"/>
      <w:bookmarkEnd w:id="340"/>
      <w:bookmarkStart w:id="341" w:name="_Toc184308044"/>
      <w:bookmarkEnd w:id="341"/>
      <w:bookmarkStart w:id="342" w:name="_Toc184314458"/>
      <w:bookmarkEnd w:id="342"/>
      <w:bookmarkStart w:id="343" w:name="_Toc184312088"/>
      <w:bookmarkEnd w:id="343"/>
      <w:bookmarkStart w:id="344" w:name="_Toc184308038"/>
      <w:bookmarkEnd w:id="344"/>
      <w:bookmarkStart w:id="345" w:name="_Toc184313294"/>
      <w:bookmarkEnd w:id="345"/>
      <w:bookmarkStart w:id="346" w:name="_Toc184310336"/>
      <w:bookmarkEnd w:id="346"/>
      <w:bookmarkStart w:id="347" w:name="_Toc184308107"/>
      <w:bookmarkEnd w:id="347"/>
      <w:bookmarkStart w:id="348" w:name="_Toc184308080"/>
      <w:bookmarkEnd w:id="348"/>
      <w:bookmarkStart w:id="349" w:name="_Toc184310341"/>
      <w:bookmarkEnd w:id="349"/>
      <w:bookmarkStart w:id="350" w:name="_Toc184314437"/>
      <w:bookmarkEnd w:id="350"/>
      <w:bookmarkStart w:id="351" w:name="_Toc184313245"/>
      <w:bookmarkEnd w:id="351"/>
      <w:bookmarkStart w:id="352" w:name="_Toc184313278"/>
      <w:bookmarkEnd w:id="352"/>
      <w:bookmarkStart w:id="353" w:name="_Toc184308042"/>
      <w:bookmarkEnd w:id="353"/>
      <w:bookmarkStart w:id="354" w:name="_Toc184314435"/>
      <w:bookmarkEnd w:id="354"/>
      <w:bookmarkStart w:id="355" w:name="_Toc184308060"/>
      <w:bookmarkEnd w:id="355"/>
      <w:bookmarkStart w:id="356" w:name="_Toc184314443"/>
      <w:bookmarkEnd w:id="356"/>
      <w:bookmarkStart w:id="357" w:name="_Toc184310327"/>
      <w:bookmarkEnd w:id="357"/>
      <w:bookmarkStart w:id="358" w:name="_Toc184308055"/>
      <w:bookmarkEnd w:id="358"/>
      <w:bookmarkStart w:id="359" w:name="_Toc184310321"/>
      <w:bookmarkEnd w:id="359"/>
      <w:bookmarkStart w:id="360" w:name="_Toc184314480"/>
      <w:bookmarkEnd w:id="360"/>
      <w:bookmarkStart w:id="361" w:name="_Toc184313261"/>
      <w:bookmarkEnd w:id="361"/>
      <w:bookmarkStart w:id="362" w:name="_Toc184313288"/>
      <w:bookmarkEnd w:id="362"/>
      <w:bookmarkStart w:id="363" w:name="_Toc184308063"/>
      <w:bookmarkEnd w:id="363"/>
      <w:bookmarkStart w:id="364" w:name="_Toc184312117"/>
      <w:bookmarkEnd w:id="364"/>
      <w:bookmarkStart w:id="365" w:name="_Toc184313275"/>
      <w:bookmarkEnd w:id="365"/>
      <w:bookmarkStart w:id="366" w:name="_Toc184310312"/>
      <w:bookmarkEnd w:id="366"/>
      <w:bookmarkStart w:id="367" w:name="_Toc184314419"/>
      <w:bookmarkEnd w:id="367"/>
      <w:bookmarkStart w:id="368" w:name="_Toc184313281"/>
      <w:bookmarkEnd w:id="368"/>
      <w:bookmarkStart w:id="369" w:name="_Toc184314441"/>
      <w:bookmarkEnd w:id="369"/>
      <w:bookmarkStart w:id="370" w:name="_Toc184313296"/>
      <w:bookmarkEnd w:id="370"/>
      <w:bookmarkStart w:id="371" w:name="_Toc184313242"/>
      <w:bookmarkEnd w:id="371"/>
      <w:bookmarkStart w:id="372" w:name="_Toc184312089"/>
      <w:bookmarkEnd w:id="372"/>
      <w:bookmarkStart w:id="373" w:name="_Toc184312138"/>
      <w:bookmarkEnd w:id="373"/>
      <w:bookmarkStart w:id="374" w:name="_Toc184310279"/>
      <w:bookmarkEnd w:id="374"/>
      <w:bookmarkStart w:id="375" w:name="_Toc184314436"/>
      <w:bookmarkEnd w:id="375"/>
      <w:bookmarkStart w:id="376" w:name="_Toc184313282"/>
      <w:bookmarkEnd w:id="376"/>
      <w:bookmarkStart w:id="377" w:name="_Toc184308105"/>
      <w:bookmarkEnd w:id="377"/>
      <w:bookmarkStart w:id="378" w:name="_Toc184313260"/>
      <w:bookmarkEnd w:id="378"/>
      <w:bookmarkStart w:id="379" w:name="_Toc184308088"/>
      <w:bookmarkEnd w:id="379"/>
      <w:bookmarkStart w:id="380" w:name="_Toc184308045"/>
      <w:bookmarkEnd w:id="380"/>
      <w:bookmarkStart w:id="381" w:name="_Toc184312090"/>
      <w:bookmarkEnd w:id="381"/>
      <w:bookmarkStart w:id="382" w:name="_Toc184313300"/>
      <w:bookmarkEnd w:id="382"/>
      <w:bookmarkStart w:id="383" w:name="_Toc184310326"/>
      <w:bookmarkEnd w:id="383"/>
      <w:bookmarkStart w:id="384" w:name="_Toc184314414"/>
      <w:bookmarkEnd w:id="384"/>
      <w:bookmarkStart w:id="385" w:name="_Toc184308048"/>
      <w:bookmarkEnd w:id="385"/>
      <w:bookmarkStart w:id="386" w:name="_Toc184310273"/>
      <w:bookmarkEnd w:id="386"/>
      <w:bookmarkStart w:id="387" w:name="_Toc184312129"/>
      <w:bookmarkEnd w:id="387"/>
      <w:bookmarkStart w:id="388" w:name="_Toc184308067"/>
      <w:bookmarkEnd w:id="388"/>
      <w:bookmarkStart w:id="389" w:name="_Toc184312108"/>
      <w:bookmarkEnd w:id="389"/>
      <w:bookmarkStart w:id="390" w:name="_Toc184308098"/>
      <w:bookmarkEnd w:id="390"/>
      <w:bookmarkStart w:id="391" w:name="_Toc184308051"/>
      <w:bookmarkEnd w:id="391"/>
      <w:bookmarkStart w:id="392" w:name="_Toc184314411"/>
      <w:bookmarkEnd w:id="392"/>
      <w:bookmarkStart w:id="393" w:name="_Toc184314418"/>
      <w:bookmarkEnd w:id="393"/>
      <w:bookmarkStart w:id="394" w:name="_Toc184308102"/>
      <w:bookmarkEnd w:id="394"/>
      <w:bookmarkStart w:id="395" w:name="_Toc184312135"/>
      <w:bookmarkEnd w:id="395"/>
      <w:bookmarkStart w:id="396" w:name="_Toc184312101"/>
      <w:bookmarkEnd w:id="396"/>
      <w:bookmarkStart w:id="397" w:name="_Toc184310316"/>
      <w:bookmarkEnd w:id="397"/>
      <w:bookmarkStart w:id="398" w:name="_Toc184312126"/>
      <w:bookmarkEnd w:id="398"/>
      <w:bookmarkStart w:id="399" w:name="_Toc184312125"/>
      <w:bookmarkEnd w:id="399"/>
      <w:bookmarkStart w:id="400" w:name="_Toc184313267"/>
      <w:bookmarkEnd w:id="400"/>
      <w:bookmarkStart w:id="401" w:name="_Toc184310340"/>
      <w:bookmarkEnd w:id="401"/>
      <w:bookmarkStart w:id="402" w:name="_Toc184312110"/>
      <w:bookmarkEnd w:id="402"/>
      <w:bookmarkStart w:id="403" w:name="_Toc184310291"/>
      <w:bookmarkEnd w:id="403"/>
      <w:bookmarkStart w:id="404" w:name="_Toc184308096"/>
      <w:bookmarkEnd w:id="404"/>
      <w:bookmarkStart w:id="405" w:name="_Toc184312083"/>
      <w:bookmarkEnd w:id="405"/>
      <w:bookmarkStart w:id="406" w:name="_Toc184310294"/>
      <w:bookmarkEnd w:id="406"/>
      <w:bookmarkStart w:id="407" w:name="_Toc184308101"/>
      <w:bookmarkEnd w:id="407"/>
      <w:bookmarkStart w:id="408" w:name="_Toc184310339"/>
      <w:bookmarkEnd w:id="408"/>
      <w:bookmarkStart w:id="409" w:name="_Toc184312077"/>
      <w:bookmarkEnd w:id="409"/>
      <w:bookmarkStart w:id="410" w:name="_Toc184314479"/>
      <w:bookmarkEnd w:id="410"/>
      <w:bookmarkStart w:id="411" w:name="_Toc184312096"/>
      <w:bookmarkEnd w:id="411"/>
      <w:bookmarkStart w:id="412" w:name="_Toc184314448"/>
      <w:bookmarkEnd w:id="412"/>
      <w:bookmarkStart w:id="413" w:name="_Toc184310276"/>
      <w:bookmarkEnd w:id="413"/>
      <w:bookmarkStart w:id="414" w:name="_Toc184312097"/>
      <w:bookmarkEnd w:id="414"/>
      <w:bookmarkStart w:id="415" w:name="_Toc184308084"/>
      <w:bookmarkEnd w:id="415"/>
      <w:bookmarkStart w:id="416" w:name="_Toc184308068"/>
      <w:bookmarkEnd w:id="416"/>
      <w:bookmarkStart w:id="417" w:name="_Toc184312127"/>
      <w:bookmarkEnd w:id="417"/>
      <w:bookmarkStart w:id="418" w:name="_Toc184312075"/>
      <w:bookmarkEnd w:id="418"/>
      <w:bookmarkStart w:id="419" w:name="_Toc184310301"/>
      <w:bookmarkEnd w:id="419"/>
      <w:bookmarkStart w:id="420" w:name="_Toc184308065"/>
      <w:bookmarkEnd w:id="420"/>
      <w:bookmarkStart w:id="421" w:name="_Toc184308058"/>
      <w:bookmarkEnd w:id="421"/>
      <w:bookmarkStart w:id="422" w:name="_Toc184310331"/>
      <w:bookmarkEnd w:id="422"/>
      <w:bookmarkStart w:id="423" w:name="_Toc184308064"/>
      <w:bookmarkEnd w:id="423"/>
      <w:bookmarkStart w:id="424" w:name="_Toc184312109"/>
      <w:bookmarkEnd w:id="424"/>
      <w:bookmarkStart w:id="425" w:name="_Toc184308049"/>
      <w:bookmarkEnd w:id="425"/>
      <w:bookmarkStart w:id="426" w:name="_Toc184310296"/>
      <w:bookmarkEnd w:id="426"/>
      <w:bookmarkStart w:id="427" w:name="第四部分"/>
      <w:r>
        <w:rPr>
          <w:rFonts w:hint="eastAsia" w:ascii="宋体" w:hAnsi="宋体" w:eastAsia="宋体" w:cs="宋体"/>
          <w:b/>
          <w:color w:val="auto"/>
          <w:sz w:val="36"/>
          <w:szCs w:val="36"/>
          <w:highlight w:val="none"/>
        </w:rPr>
        <w:t>评标办法及评分标准</w:t>
      </w:r>
      <w:bookmarkEnd w:id="60"/>
      <w:bookmarkEnd w:id="61"/>
    </w:p>
    <w:p>
      <w:pPr>
        <w:pStyle w:val="3"/>
        <w:numPr>
          <w:ilvl w:val="0"/>
          <w:numId w:val="0"/>
        </w:numPr>
        <w:spacing w:line="360" w:lineRule="auto"/>
        <w:ind w:leftChars="0"/>
        <w:jc w:val="center"/>
        <w:rPr>
          <w:rFonts w:hint="eastAsia" w:ascii="宋体" w:hAnsi="宋体" w:eastAsia="宋体" w:cs="宋体"/>
          <w:b/>
          <w:bCs/>
          <w:color w:val="auto"/>
          <w:highlight w:val="none"/>
        </w:rPr>
      </w:pPr>
      <w:bookmarkStart w:id="428" w:name="_Toc1764"/>
      <w:bookmarkStart w:id="429" w:name="_Toc24235"/>
      <w:r>
        <w:rPr>
          <w:rFonts w:hint="eastAsia" w:ascii="宋体" w:hAnsi="宋体" w:eastAsia="宋体" w:cs="宋体"/>
          <w:b/>
          <w:bCs/>
          <w:color w:val="auto"/>
          <w:highlight w:val="none"/>
        </w:rPr>
        <w:t>第一章　评标办法</w:t>
      </w:r>
      <w:bookmarkEnd w:id="428"/>
      <w:bookmarkEnd w:id="429"/>
    </w:p>
    <w:p>
      <w:pPr>
        <w:spacing w:line="360" w:lineRule="auto"/>
        <w:ind w:firstLine="482" w:firstLineChars="200"/>
        <w:rPr>
          <w:rFonts w:hint="eastAsia" w:ascii="宋体" w:hAnsi="宋体" w:eastAsia="宋体" w:cs="宋体"/>
          <w:b/>
          <w:bCs/>
          <w:color w:val="auto"/>
          <w:sz w:val="24"/>
          <w:szCs w:val="21"/>
          <w:highlight w:val="none"/>
        </w:rPr>
      </w:pPr>
      <w:r>
        <w:rPr>
          <w:rFonts w:hint="eastAsia" w:ascii="宋体" w:hAnsi="宋体" w:eastAsia="宋体" w:cs="宋体"/>
          <w:b/>
          <w:bCs/>
          <w:color w:val="auto"/>
          <w:sz w:val="24"/>
          <w:szCs w:val="21"/>
          <w:highlight w:val="none"/>
        </w:rPr>
        <w:t>一、本次招标将按下列评标办法进行评标：</w:t>
      </w:r>
    </w:p>
    <w:p>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lang w:val="en-US" w:eastAsia="zh-CN"/>
        </w:rPr>
        <w:t xml:space="preserve">  </w:t>
      </w:r>
      <w:r>
        <w:rPr>
          <w:rFonts w:hint="eastAsia" w:ascii="宋体" w:hAnsi="宋体" w:eastAsia="宋体" w:cs="宋体"/>
          <w:color w:val="auto"/>
          <w:sz w:val="24"/>
          <w:szCs w:val="21"/>
          <w:highlight w:val="none"/>
        </w:rPr>
        <w:t>综合评分法。即在最大限度地满足招标文件实质性要求的前提下，按照《评分标准》规定的评分因素对各投标人的投标文件进行综合评审，以技术分、资信分、商务分总得分最高的投标人作为中标候选人。如最高总得分相同的，以报价低者作为中标候选人。如最高总得分且报价相同的，以技术指标优者作为中标候选人；无法确定技术指标优劣的，则抽签确定中标候选人。</w:t>
      </w:r>
    </w:p>
    <w:p>
      <w:pPr>
        <w:spacing w:line="360" w:lineRule="auto"/>
        <w:ind w:firstLine="482" w:firstLineChars="200"/>
        <w:rPr>
          <w:rFonts w:hint="eastAsia" w:ascii="宋体" w:hAnsi="宋体" w:eastAsia="宋体" w:cs="宋体"/>
          <w:color w:val="auto"/>
          <w:sz w:val="24"/>
          <w:szCs w:val="21"/>
          <w:highlight w:val="none"/>
        </w:rPr>
      </w:pPr>
      <w:r>
        <w:rPr>
          <w:rFonts w:hint="eastAsia" w:ascii="宋体" w:hAnsi="宋体" w:eastAsia="宋体" w:cs="宋体"/>
          <w:b/>
          <w:bCs/>
          <w:color w:val="auto"/>
          <w:sz w:val="24"/>
          <w:szCs w:val="21"/>
          <w:highlight w:val="none"/>
        </w:rPr>
        <w:t>二、</w:t>
      </w:r>
      <w:r>
        <w:rPr>
          <w:rFonts w:hint="eastAsia" w:ascii="宋体" w:hAnsi="宋体" w:eastAsia="宋体" w:cs="宋体"/>
          <w:color w:val="auto"/>
          <w:sz w:val="24"/>
          <w:szCs w:val="21"/>
          <w:highlight w:val="none"/>
        </w:rPr>
        <w:t>本次评标采用百分制计分，计算时四舍五入保留到小数点后两位。</w:t>
      </w:r>
    </w:p>
    <w:p>
      <w:pPr>
        <w:spacing w:line="360" w:lineRule="auto"/>
        <w:ind w:firstLine="723" w:firstLineChars="300"/>
        <w:rPr>
          <w:rFonts w:hint="eastAsia" w:ascii="宋体" w:hAnsi="宋体" w:eastAsia="宋体" w:cs="宋体"/>
          <w:b/>
          <w:bCs/>
          <w:color w:val="auto"/>
          <w:sz w:val="24"/>
          <w:szCs w:val="21"/>
          <w:highlight w:val="none"/>
        </w:rPr>
      </w:pPr>
      <w:r>
        <w:rPr>
          <w:rFonts w:hint="eastAsia" w:ascii="宋体" w:hAnsi="宋体" w:eastAsia="宋体" w:cs="宋体"/>
          <w:b/>
          <w:bCs/>
          <w:color w:val="auto"/>
          <w:sz w:val="24"/>
          <w:szCs w:val="21"/>
          <w:highlight w:val="none"/>
        </w:rPr>
        <w:t>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pPr>
        <w:pStyle w:val="3"/>
        <w:numPr>
          <w:ilvl w:val="0"/>
          <w:numId w:val="0"/>
        </w:numPr>
        <w:spacing w:line="360" w:lineRule="auto"/>
        <w:ind w:leftChars="0"/>
        <w:jc w:val="center"/>
        <w:rPr>
          <w:rFonts w:hint="eastAsia" w:ascii="宋体" w:hAnsi="宋体" w:eastAsia="宋体" w:cs="宋体"/>
          <w:color w:val="auto"/>
          <w:highlight w:val="none"/>
        </w:rPr>
      </w:pPr>
      <w:bookmarkStart w:id="430" w:name="_Toc6506"/>
      <w:r>
        <w:rPr>
          <w:rFonts w:hint="eastAsia" w:ascii="宋体" w:hAnsi="宋体" w:eastAsia="宋体" w:cs="宋体"/>
          <w:color w:val="auto"/>
          <w:highlight w:val="none"/>
        </w:rPr>
        <w:t>第二章　评分标准</w:t>
      </w:r>
      <w:bookmarkEnd w:id="430"/>
    </w:p>
    <w:p>
      <w:pPr>
        <w:spacing w:line="360" w:lineRule="auto"/>
        <w:ind w:firstLine="482" w:firstLineChars="200"/>
        <w:outlineLvl w:val="2"/>
        <w:rPr>
          <w:rFonts w:hint="eastAsia" w:ascii="宋体" w:hAnsi="宋体" w:eastAsia="宋体" w:cs="宋体"/>
          <w:b/>
          <w:bCs/>
          <w:color w:val="auto"/>
          <w:sz w:val="24"/>
          <w:szCs w:val="21"/>
          <w:highlight w:val="none"/>
          <w:lang w:eastAsia="zh-CN"/>
        </w:rPr>
      </w:pPr>
      <w:r>
        <w:rPr>
          <w:rFonts w:hint="eastAsia" w:ascii="宋体" w:hAnsi="宋体" w:eastAsia="宋体" w:cs="宋体"/>
          <w:b/>
          <w:bCs/>
          <w:color w:val="auto"/>
          <w:sz w:val="24"/>
          <w:szCs w:val="21"/>
          <w:highlight w:val="none"/>
        </w:rPr>
        <w:t>一、报价文件评分标准</w:t>
      </w:r>
      <w:r>
        <w:rPr>
          <w:rFonts w:hint="eastAsia" w:ascii="宋体" w:hAnsi="宋体" w:eastAsia="宋体" w:cs="宋体"/>
          <w:b/>
          <w:bCs/>
          <w:color w:val="auto"/>
          <w:sz w:val="24"/>
          <w:szCs w:val="21"/>
          <w:highlight w:val="none"/>
          <w:lang w:eastAsia="zh-CN"/>
        </w:rPr>
        <w:t>（</w:t>
      </w:r>
      <w:r>
        <w:rPr>
          <w:rFonts w:hint="eastAsia" w:eastAsia="宋体" w:cs="宋体"/>
          <w:b/>
          <w:bCs/>
          <w:color w:val="auto"/>
          <w:sz w:val="24"/>
          <w:szCs w:val="21"/>
          <w:highlight w:val="none"/>
          <w:lang w:val="en-US" w:eastAsia="zh-CN"/>
        </w:rPr>
        <w:t>4</w:t>
      </w:r>
      <w:r>
        <w:rPr>
          <w:rFonts w:hint="eastAsia" w:ascii="宋体" w:hAnsi="宋体" w:eastAsia="宋体" w:cs="宋体"/>
          <w:b/>
          <w:bCs/>
          <w:color w:val="auto"/>
          <w:sz w:val="24"/>
          <w:szCs w:val="21"/>
          <w:highlight w:val="none"/>
          <w:lang w:val="en-US" w:eastAsia="zh-CN"/>
        </w:rPr>
        <w:t>0分</w:t>
      </w:r>
      <w:r>
        <w:rPr>
          <w:rFonts w:hint="eastAsia" w:ascii="宋体" w:hAnsi="宋体" w:eastAsia="宋体" w:cs="宋体"/>
          <w:b/>
          <w:bCs/>
          <w:color w:val="auto"/>
          <w:sz w:val="24"/>
          <w:szCs w:val="21"/>
          <w:highlight w:val="none"/>
          <w:lang w:eastAsia="zh-CN"/>
        </w:rPr>
        <w:t>）</w:t>
      </w:r>
    </w:p>
    <w:p>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报价文件主要是对投标人的有效报价进行评议，其评分标准及分值设置规则如下：</w:t>
      </w:r>
    </w:p>
    <w:p>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1、本次招标最高限价规定如下：</w:t>
      </w:r>
    </w:p>
    <w:p>
      <w:pPr>
        <w:spacing w:line="360" w:lineRule="auto"/>
        <w:ind w:firstLine="480" w:firstLineChars="200"/>
        <w:rPr>
          <w:rFonts w:hint="eastAsia" w:ascii="宋体" w:hAnsi="宋体" w:eastAsia="宋体" w:cs="宋体"/>
          <w:b/>
          <w:color w:val="auto"/>
          <w:sz w:val="24"/>
          <w:szCs w:val="21"/>
          <w:highlight w:val="none"/>
          <w:lang w:eastAsia="zh-CN"/>
        </w:rPr>
      </w:pPr>
      <w:r>
        <w:rPr>
          <w:rFonts w:hint="eastAsia" w:ascii="宋体" w:hAnsi="宋体" w:eastAsia="宋体" w:cs="宋体"/>
          <w:color w:val="auto"/>
          <w:sz w:val="24"/>
          <w:szCs w:val="21"/>
          <w:highlight w:val="none"/>
        </w:rPr>
        <w:t>本项目投标报价的最高限价</w:t>
      </w:r>
      <w:r>
        <w:rPr>
          <w:rFonts w:hint="eastAsia" w:ascii="宋体" w:hAnsi="宋体" w:eastAsia="宋体" w:cs="宋体"/>
          <w:b/>
          <w:color w:val="auto"/>
          <w:sz w:val="24"/>
          <w:szCs w:val="21"/>
          <w:highlight w:val="none"/>
        </w:rPr>
        <w:t>为人民币</w:t>
      </w:r>
      <w:r>
        <w:rPr>
          <w:rFonts w:hint="eastAsia" w:eastAsia="宋体" w:cs="宋体"/>
          <w:b/>
          <w:color w:val="auto"/>
          <w:sz w:val="24"/>
          <w:szCs w:val="21"/>
          <w:highlight w:val="none"/>
          <w:u w:val="single"/>
          <w:lang w:val="en-US" w:eastAsia="zh-CN"/>
        </w:rPr>
        <w:t xml:space="preserve"> </w:t>
      </w:r>
      <w:r>
        <w:rPr>
          <w:rFonts w:hint="eastAsia" w:cs="宋体"/>
          <w:b/>
          <w:color w:val="auto"/>
          <w:sz w:val="24"/>
          <w:szCs w:val="21"/>
          <w:highlight w:val="none"/>
          <w:u w:val="single"/>
          <w:lang w:val="en-US" w:eastAsia="zh-CN"/>
        </w:rPr>
        <w:t>柒佰捌拾叁万捌仟叁佰元整</w:t>
      </w:r>
      <w:r>
        <w:rPr>
          <w:rFonts w:hint="eastAsia" w:eastAsia="宋体" w:cs="宋体"/>
          <w:b/>
          <w:color w:val="auto"/>
          <w:sz w:val="24"/>
          <w:szCs w:val="21"/>
          <w:highlight w:val="none"/>
          <w:u w:val="single"/>
          <w:lang w:val="en-US" w:eastAsia="zh-CN"/>
        </w:rPr>
        <w:t xml:space="preserve"> 元</w:t>
      </w:r>
      <w:r>
        <w:rPr>
          <w:rFonts w:hint="eastAsia" w:ascii="宋体" w:hAnsi="宋体" w:eastAsia="宋体" w:cs="宋体"/>
          <w:b/>
          <w:color w:val="auto"/>
          <w:sz w:val="24"/>
          <w:szCs w:val="21"/>
          <w:highlight w:val="none"/>
        </w:rPr>
        <w:fldChar w:fldCharType="begin"/>
      </w:r>
      <w:r>
        <w:rPr>
          <w:rFonts w:hint="eastAsia" w:ascii="宋体" w:hAnsi="宋体" w:eastAsia="宋体" w:cs="宋体"/>
          <w:b/>
          <w:color w:val="auto"/>
          <w:sz w:val="24"/>
          <w:szCs w:val="21"/>
          <w:highlight w:val="none"/>
        </w:rPr>
        <w:instrText xml:space="preserve"> = 1750000 \* CHINESENUM4 \* MERGEFORMAT </w:instrText>
      </w:r>
      <w:r>
        <w:rPr>
          <w:rFonts w:hint="eastAsia" w:ascii="宋体" w:hAnsi="宋体" w:eastAsia="宋体" w:cs="宋体"/>
          <w:b/>
          <w:color w:val="auto"/>
          <w:sz w:val="24"/>
          <w:szCs w:val="21"/>
          <w:highlight w:val="none"/>
        </w:rPr>
        <w:fldChar w:fldCharType="separate"/>
      </w:r>
      <w:r>
        <w:rPr>
          <w:rFonts w:hint="eastAsia" w:ascii="宋体" w:hAnsi="宋体" w:eastAsia="宋体" w:cs="宋体"/>
          <w:b/>
          <w:color w:val="auto"/>
          <w:sz w:val="24"/>
          <w:szCs w:val="21"/>
          <w:highlight w:val="none"/>
        </w:rPr>
        <w:t>整</w:t>
      </w:r>
      <w:r>
        <w:rPr>
          <w:rFonts w:hint="eastAsia" w:ascii="宋体" w:hAnsi="宋体" w:eastAsia="宋体" w:cs="宋体"/>
          <w:b/>
          <w:color w:val="auto"/>
          <w:sz w:val="24"/>
          <w:szCs w:val="21"/>
          <w:highlight w:val="none"/>
        </w:rPr>
        <w:fldChar w:fldCharType="end"/>
      </w:r>
      <w:r>
        <w:rPr>
          <w:rFonts w:hint="eastAsia" w:ascii="宋体" w:hAnsi="宋体" w:eastAsia="宋体" w:cs="宋体"/>
          <w:b/>
          <w:color w:val="auto"/>
          <w:sz w:val="24"/>
          <w:szCs w:val="21"/>
          <w:highlight w:val="none"/>
        </w:rPr>
        <w:t>（小写</w:t>
      </w:r>
      <w:r>
        <w:rPr>
          <w:rFonts w:hint="eastAsia" w:eastAsia="宋体" w:cs="宋体"/>
          <w:b/>
          <w:color w:val="auto"/>
          <w:sz w:val="24"/>
          <w:szCs w:val="21"/>
          <w:highlight w:val="none"/>
          <w:u w:val="single"/>
          <w:lang w:val="en-US" w:eastAsia="zh-CN"/>
        </w:rPr>
        <w:t xml:space="preserve"> ¥78383</w:t>
      </w:r>
      <w:r>
        <w:rPr>
          <w:rFonts w:hint="eastAsia" w:cs="宋体"/>
          <w:b/>
          <w:color w:val="auto"/>
          <w:sz w:val="24"/>
          <w:szCs w:val="21"/>
          <w:highlight w:val="none"/>
          <w:u w:val="single"/>
          <w:lang w:val="en-US" w:eastAsia="zh-CN"/>
        </w:rPr>
        <w:t>00.00</w:t>
      </w:r>
      <w:r>
        <w:rPr>
          <w:rFonts w:hint="eastAsia" w:eastAsia="宋体" w:cs="宋体"/>
          <w:b/>
          <w:color w:val="auto"/>
          <w:sz w:val="24"/>
          <w:szCs w:val="21"/>
          <w:highlight w:val="none"/>
          <w:u w:val="single"/>
          <w:lang w:val="en-US" w:eastAsia="zh-CN"/>
        </w:rPr>
        <w:t xml:space="preserve"> </w:t>
      </w:r>
      <w:r>
        <w:rPr>
          <w:rFonts w:hint="eastAsia" w:ascii="宋体" w:hAnsi="宋体" w:eastAsia="宋体" w:cs="宋体"/>
          <w:b/>
          <w:color w:val="auto"/>
          <w:sz w:val="24"/>
          <w:szCs w:val="21"/>
          <w:highlight w:val="none"/>
        </w:rPr>
        <w:t>元）。最高限价由采购人根据图纸、技术规格书，对本项目拟采购设备进行市场询价，结合相关材料信息价，对比类似医用纯水系统项目已中标价格，依据国家、省市相关计价规范编制</w:t>
      </w:r>
      <w:r>
        <w:rPr>
          <w:rFonts w:hint="eastAsia" w:cs="宋体"/>
          <w:b/>
          <w:color w:val="auto"/>
          <w:sz w:val="24"/>
          <w:szCs w:val="21"/>
          <w:highlight w:val="none"/>
          <w:lang w:val="en-US" w:eastAsia="zh-CN"/>
        </w:rPr>
        <w:t>并</w:t>
      </w:r>
      <w:r>
        <w:rPr>
          <w:rFonts w:hint="eastAsia" w:ascii="宋体" w:hAnsi="宋体" w:eastAsia="宋体" w:cs="宋体"/>
          <w:b/>
          <w:color w:val="auto"/>
          <w:sz w:val="24"/>
          <w:szCs w:val="21"/>
          <w:highlight w:val="none"/>
        </w:rPr>
        <w:t>报绍兴市上虞区国建评审咨询有限公司审核后确定</w:t>
      </w:r>
      <w:r>
        <w:rPr>
          <w:rFonts w:hint="eastAsia" w:ascii="宋体" w:hAnsi="宋体" w:eastAsia="宋体" w:cs="宋体"/>
          <w:b/>
          <w:color w:val="auto"/>
          <w:sz w:val="24"/>
          <w:szCs w:val="21"/>
          <w:highlight w:val="none"/>
          <w:lang w:eastAsia="zh-CN"/>
        </w:rPr>
        <w:t>。</w:t>
      </w:r>
    </w:p>
    <w:p>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2、投标人的报价在最高限价内的，为有效报价。</w:t>
      </w:r>
    </w:p>
    <w:p>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3、本次评标设有最佳报价。最佳报价确定方式：根据所有入围投标人有效报价中的最低报价作为最佳报价。</w:t>
      </w:r>
    </w:p>
    <w:p>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4、最佳报价者的报价分为满分，其他投标人的有效报价与最佳报价相比，按下列方法计算其报价分：</w:t>
      </w:r>
    </w:p>
    <w:p>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投标价格分=(最佳报价/投标报价)*价格权值*100。</w:t>
      </w:r>
    </w:p>
    <w:p>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5、当投标（开标）一览表与投标报价明细表报价不一致时，以投标（开标）一览表为准，报价明细表报价予以修正并由授权代表签字确认，拒绝修正或确认的，则做无效标处理。</w:t>
      </w:r>
    </w:p>
    <w:p>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6、投标文件只允许有一个报价，投标报价应按招标文件中相关附表格式填报，该投标报价应与明细报价汇总相等，且不允许出现报价优惠、赠送等字样（明细出现“0”元，视同赠送）,如出现则做</w:t>
      </w:r>
      <w:r>
        <w:rPr>
          <w:rFonts w:hint="eastAsia" w:ascii="宋体" w:hAnsi="宋体" w:eastAsia="宋体" w:cs="宋体"/>
          <w:b/>
          <w:bCs/>
          <w:color w:val="auto"/>
          <w:sz w:val="24"/>
          <w:szCs w:val="21"/>
          <w:highlight w:val="none"/>
        </w:rPr>
        <w:t>无效投标</w:t>
      </w:r>
      <w:r>
        <w:rPr>
          <w:rFonts w:hint="eastAsia" w:ascii="宋体" w:hAnsi="宋体" w:eastAsia="宋体" w:cs="宋体"/>
          <w:color w:val="auto"/>
          <w:sz w:val="24"/>
          <w:szCs w:val="21"/>
          <w:highlight w:val="none"/>
        </w:rPr>
        <w:t>处理。</w:t>
      </w:r>
    </w:p>
    <w:p>
      <w:pPr>
        <w:autoSpaceDE w:val="0"/>
        <w:autoSpaceDN w:val="0"/>
        <w:spacing w:line="360" w:lineRule="auto"/>
        <w:ind w:firstLine="482"/>
        <w:rPr>
          <w:rFonts w:hint="eastAsia" w:ascii="宋体" w:hAnsi="宋体" w:eastAsia="宋体" w:cs="宋体"/>
          <w:color w:val="auto"/>
          <w:sz w:val="24"/>
          <w:highlight w:val="none"/>
        </w:rPr>
      </w:pPr>
      <w:r>
        <w:rPr>
          <w:rFonts w:hint="eastAsia" w:ascii="宋体" w:hAnsi="宋体" w:eastAsia="宋体" w:cs="宋体"/>
          <w:color w:val="auto"/>
          <w:sz w:val="24"/>
          <w:szCs w:val="21"/>
          <w:highlight w:val="none"/>
        </w:rPr>
        <w:t>7、</w:t>
      </w:r>
      <w:r>
        <w:rPr>
          <w:rFonts w:hint="eastAsia" w:ascii="宋体" w:hAnsi="宋体" w:eastAsia="宋体" w:cs="宋体"/>
          <w:b/>
          <w:color w:val="auto"/>
          <w:sz w:val="24"/>
          <w:highlight w:val="none"/>
        </w:rPr>
        <w:t>投标价格的合理性</w:t>
      </w:r>
      <w:r>
        <w:rPr>
          <w:rFonts w:hint="eastAsia" w:ascii="宋体" w:hAnsi="宋体" w:eastAsia="宋体" w:cs="宋体"/>
          <w:color w:val="auto"/>
          <w:sz w:val="24"/>
          <w:highlight w:val="none"/>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spacing w:line="360" w:lineRule="auto"/>
        <w:ind w:firstLine="482" w:firstLineChars="200"/>
        <w:outlineLvl w:val="2"/>
        <w:rPr>
          <w:rFonts w:hint="eastAsia" w:ascii="宋体" w:hAnsi="宋体" w:eastAsia="宋体" w:cs="宋体"/>
          <w:b/>
          <w:bCs/>
          <w:color w:val="auto"/>
          <w:sz w:val="24"/>
          <w:szCs w:val="21"/>
          <w:highlight w:val="none"/>
          <w:lang w:eastAsia="zh-CN"/>
        </w:rPr>
      </w:pPr>
      <w:r>
        <w:rPr>
          <w:rFonts w:hint="eastAsia" w:ascii="宋体" w:hAnsi="宋体" w:eastAsia="宋体" w:cs="宋体"/>
          <w:b/>
          <w:bCs/>
          <w:color w:val="auto"/>
          <w:sz w:val="24"/>
          <w:szCs w:val="21"/>
          <w:highlight w:val="none"/>
        </w:rPr>
        <w:t>二、商务技术文件评标内容及标准</w:t>
      </w:r>
      <w:r>
        <w:rPr>
          <w:rFonts w:hint="eastAsia" w:ascii="宋体" w:hAnsi="宋体" w:eastAsia="宋体" w:cs="宋体"/>
          <w:b/>
          <w:bCs/>
          <w:color w:val="auto"/>
          <w:sz w:val="24"/>
          <w:szCs w:val="21"/>
          <w:highlight w:val="none"/>
          <w:lang w:eastAsia="zh-CN"/>
        </w:rPr>
        <w:t>（</w:t>
      </w:r>
      <w:r>
        <w:rPr>
          <w:rFonts w:hint="eastAsia" w:eastAsia="宋体" w:cs="宋体"/>
          <w:b/>
          <w:bCs/>
          <w:color w:val="auto"/>
          <w:sz w:val="24"/>
          <w:szCs w:val="21"/>
          <w:highlight w:val="none"/>
          <w:lang w:val="en-US" w:eastAsia="zh-CN"/>
        </w:rPr>
        <w:t>6</w:t>
      </w:r>
      <w:r>
        <w:rPr>
          <w:rFonts w:hint="eastAsia" w:ascii="宋体" w:hAnsi="宋体" w:eastAsia="宋体" w:cs="宋体"/>
          <w:b/>
          <w:bCs/>
          <w:color w:val="auto"/>
          <w:sz w:val="24"/>
          <w:szCs w:val="21"/>
          <w:highlight w:val="none"/>
          <w:lang w:val="en-US" w:eastAsia="zh-CN"/>
        </w:rPr>
        <w:t>0分</w:t>
      </w:r>
      <w:r>
        <w:rPr>
          <w:rFonts w:hint="eastAsia" w:ascii="宋体" w:hAnsi="宋体" w:eastAsia="宋体" w:cs="宋体"/>
          <w:b/>
          <w:bCs/>
          <w:color w:val="auto"/>
          <w:sz w:val="24"/>
          <w:szCs w:val="21"/>
          <w:highlight w:val="none"/>
          <w:lang w:eastAsia="zh-CN"/>
        </w:rPr>
        <w:t>）</w:t>
      </w:r>
    </w:p>
    <w:p>
      <w:pPr>
        <w:tabs>
          <w:tab w:val="left" w:pos="6806"/>
        </w:tabs>
        <w:spacing w:line="360" w:lineRule="auto"/>
        <w:ind w:firstLine="482" w:firstLineChars="200"/>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1"/>
          <w:highlight w:val="none"/>
        </w:rPr>
        <w:t>1、</w:t>
      </w:r>
      <w:r>
        <w:rPr>
          <w:rFonts w:hint="eastAsia" w:ascii="宋体" w:hAnsi="宋体" w:eastAsia="宋体" w:cs="宋体"/>
          <w:b/>
          <w:bCs/>
          <w:color w:val="auto"/>
          <w:sz w:val="24"/>
          <w:szCs w:val="24"/>
          <w:highlight w:val="none"/>
          <w:lang w:eastAsia="zh-CN"/>
        </w:rPr>
        <w:t>评分细则</w:t>
      </w:r>
      <w:r>
        <w:rPr>
          <w:rFonts w:hint="eastAsia" w:cs="宋体"/>
          <w:b/>
          <w:bCs/>
          <w:color w:val="auto"/>
          <w:sz w:val="24"/>
          <w:szCs w:val="24"/>
          <w:highlight w:val="none"/>
          <w:lang w:eastAsia="zh-CN"/>
        </w:rPr>
        <w:tab/>
      </w:r>
    </w:p>
    <w:p>
      <w:pPr>
        <w:tabs>
          <w:tab w:val="left" w:pos="0"/>
        </w:tabs>
        <w:spacing w:line="360" w:lineRule="auto"/>
        <w:ind w:firstLine="542" w:firstLineChars="225"/>
        <w:rPr>
          <w:rFonts w:hint="eastAsia" w:ascii="宋体" w:hAnsi="宋体" w:eastAsia="宋体" w:cs="宋体"/>
          <w:b/>
          <w:color w:val="auto"/>
          <w:sz w:val="24"/>
          <w:szCs w:val="24"/>
          <w:highlight w:val="none"/>
          <w:lang w:eastAsia="zh-CN"/>
        </w:rPr>
      </w:pPr>
      <w:r>
        <w:rPr>
          <w:rFonts w:hint="eastAsia" w:ascii="宋体" w:hAnsi="宋体" w:eastAsia="宋体" w:cs="宋体"/>
          <w:b/>
          <w:color w:val="auto"/>
          <w:sz w:val="24"/>
          <w:szCs w:val="24"/>
          <w:highlight w:val="none"/>
          <w:lang w:val="en-US" w:eastAsia="zh-CN"/>
        </w:rPr>
        <w:t>A</w:t>
      </w:r>
      <w:r>
        <w:rPr>
          <w:rFonts w:hint="eastAsia" w:ascii="宋体" w:hAnsi="宋体" w:eastAsia="宋体" w:cs="宋体"/>
          <w:b/>
          <w:color w:val="auto"/>
          <w:sz w:val="24"/>
          <w:szCs w:val="24"/>
          <w:highlight w:val="none"/>
        </w:rPr>
        <w:t>、</w:t>
      </w:r>
      <w:r>
        <w:rPr>
          <w:rFonts w:hint="eastAsia" w:ascii="宋体" w:hAnsi="宋体" w:eastAsia="宋体" w:cs="宋体"/>
          <w:b/>
          <w:color w:val="auto"/>
          <w:sz w:val="24"/>
          <w:szCs w:val="24"/>
          <w:highlight w:val="none"/>
          <w:lang w:eastAsia="zh-CN"/>
        </w:rPr>
        <w:t>技术</w:t>
      </w:r>
      <w:r>
        <w:rPr>
          <w:rFonts w:hint="eastAsia" w:ascii="宋体" w:hAnsi="宋体" w:eastAsia="宋体" w:cs="宋体"/>
          <w:b/>
          <w:color w:val="auto"/>
          <w:sz w:val="24"/>
          <w:szCs w:val="24"/>
          <w:highlight w:val="none"/>
        </w:rPr>
        <w:t>部分</w:t>
      </w:r>
      <w:r>
        <w:rPr>
          <w:rFonts w:hint="eastAsia" w:ascii="宋体" w:hAnsi="宋体" w:eastAsia="宋体" w:cs="宋体"/>
          <w:b/>
          <w:color w:val="auto"/>
          <w:sz w:val="24"/>
          <w:szCs w:val="24"/>
          <w:highlight w:val="none"/>
          <w:lang w:eastAsia="zh-CN"/>
        </w:rPr>
        <w:t>（</w:t>
      </w:r>
      <w:r>
        <w:rPr>
          <w:rFonts w:hint="eastAsia" w:eastAsia="宋体" w:cs="宋体"/>
          <w:b/>
          <w:color w:val="auto"/>
          <w:sz w:val="24"/>
          <w:szCs w:val="24"/>
          <w:highlight w:val="none"/>
          <w:lang w:val="en-US" w:eastAsia="zh-CN"/>
        </w:rPr>
        <w:t>5</w:t>
      </w:r>
      <w:r>
        <w:rPr>
          <w:rFonts w:hint="eastAsia" w:cs="宋体"/>
          <w:b/>
          <w:color w:val="auto"/>
          <w:sz w:val="24"/>
          <w:szCs w:val="24"/>
          <w:highlight w:val="none"/>
          <w:lang w:val="en-US" w:eastAsia="zh-CN"/>
        </w:rPr>
        <w:t>2</w:t>
      </w:r>
      <w:r>
        <w:rPr>
          <w:rFonts w:hint="eastAsia" w:ascii="宋体" w:hAnsi="宋体" w:eastAsia="宋体" w:cs="宋体"/>
          <w:b/>
          <w:color w:val="auto"/>
          <w:sz w:val="24"/>
          <w:szCs w:val="24"/>
          <w:highlight w:val="none"/>
        </w:rPr>
        <w:t>分</w:t>
      </w:r>
      <w:r>
        <w:rPr>
          <w:rFonts w:hint="eastAsia" w:ascii="宋体" w:hAnsi="宋体" w:eastAsia="宋体" w:cs="宋体"/>
          <w:b/>
          <w:color w:val="auto"/>
          <w:sz w:val="24"/>
          <w:szCs w:val="24"/>
          <w:highlight w:val="none"/>
          <w:lang w:eastAsia="zh-CN"/>
        </w:rPr>
        <w:t>）</w:t>
      </w:r>
    </w:p>
    <w:p>
      <w:pPr>
        <w:autoSpaceDE w:val="0"/>
        <w:autoSpaceDN w:val="0"/>
        <w:spacing w:line="360" w:lineRule="auto"/>
        <w:ind w:firstLine="482"/>
        <w:rPr>
          <w:rFonts w:hint="eastAsia"/>
          <w:highlight w:val="none"/>
          <w:lang w:val="en-US" w:eastAsia="zh-CN"/>
        </w:rPr>
      </w:pPr>
      <w:r>
        <w:rPr>
          <w:rFonts w:hint="eastAsia" w:ascii="宋体" w:hAnsi="宋体" w:eastAsia="宋体" w:cs="宋体"/>
          <w:color w:val="auto"/>
          <w:sz w:val="24"/>
          <w:highlight w:val="none"/>
          <w:lang w:val="en-US" w:eastAsia="zh-CN"/>
        </w:rPr>
        <w:t>评标委员会按照评分细则，以投标人的投标文件为评审依据，对投标人的技术响应情况进行独立评审并打分。</w:t>
      </w:r>
    </w:p>
    <w:tbl>
      <w:tblPr>
        <w:tblStyle w:val="32"/>
        <w:tblW w:w="5175"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8"/>
        <w:gridCol w:w="1660"/>
        <w:gridCol w:w="6633"/>
        <w:gridCol w:w="8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428" w:type="pct"/>
            <w:tcBorders>
              <w:top w:val="single" w:color="auto" w:sz="4" w:space="0"/>
              <w:left w:val="single" w:color="auto" w:sz="4" w:space="0"/>
              <w:bottom w:val="single" w:color="auto" w:sz="4" w:space="0"/>
              <w:right w:val="single" w:color="auto" w:sz="4" w:space="0"/>
            </w:tcBorders>
            <w:shd w:val="clear" w:color="auto" w:fill="D7D7D7"/>
            <w:noWrap w:val="0"/>
            <w:vAlign w:val="center"/>
          </w:tcPr>
          <w:p>
            <w:pPr>
              <w:keepNext w:val="0"/>
              <w:keepLines w:val="0"/>
              <w:pageBreakBefore w:val="0"/>
              <w:widowControl w:val="0"/>
              <w:kinsoku/>
              <w:wordWrap w:val="0"/>
              <w:overflowPunct/>
              <w:topLinePunct w:val="0"/>
              <w:autoSpaceDE/>
              <w:autoSpaceDN/>
              <w:bidi w:val="0"/>
              <w:adjustRightInd w:val="0"/>
              <w:snapToGrid w:val="0"/>
              <w:spacing w:line="44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序号</w:t>
            </w:r>
          </w:p>
        </w:tc>
        <w:tc>
          <w:tcPr>
            <w:tcW w:w="828" w:type="pct"/>
            <w:tcBorders>
              <w:top w:val="single" w:color="auto" w:sz="4" w:space="0"/>
              <w:left w:val="single" w:color="auto" w:sz="4" w:space="0"/>
              <w:bottom w:val="single" w:color="auto" w:sz="4" w:space="0"/>
              <w:right w:val="single" w:color="auto" w:sz="4" w:space="0"/>
            </w:tcBorders>
            <w:shd w:val="clear" w:color="auto" w:fill="D7D7D7"/>
            <w:noWrap w:val="0"/>
            <w:vAlign w:val="center"/>
          </w:tcPr>
          <w:p>
            <w:pPr>
              <w:keepNext w:val="0"/>
              <w:keepLines w:val="0"/>
              <w:pageBreakBefore w:val="0"/>
              <w:widowControl w:val="0"/>
              <w:kinsoku/>
              <w:wordWrap w:val="0"/>
              <w:overflowPunct/>
              <w:topLinePunct w:val="0"/>
              <w:autoSpaceDE/>
              <w:autoSpaceDN/>
              <w:bidi w:val="0"/>
              <w:adjustRightInd w:val="0"/>
              <w:snapToGrid w:val="0"/>
              <w:spacing w:line="44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评审</w:t>
            </w:r>
            <w:r>
              <w:rPr>
                <w:rFonts w:hint="eastAsia" w:ascii="宋体" w:hAnsi="宋体" w:eastAsia="宋体" w:cs="宋体"/>
                <w:color w:val="auto"/>
                <w:sz w:val="24"/>
                <w:szCs w:val="24"/>
                <w:highlight w:val="none"/>
                <w:lang w:eastAsia="zh-CN"/>
              </w:rPr>
              <w:t>项目</w:t>
            </w:r>
          </w:p>
        </w:tc>
        <w:tc>
          <w:tcPr>
            <w:tcW w:w="3307" w:type="pct"/>
            <w:tcBorders>
              <w:top w:val="single" w:color="auto" w:sz="4" w:space="0"/>
              <w:left w:val="single" w:color="auto" w:sz="4" w:space="0"/>
              <w:bottom w:val="single" w:color="auto" w:sz="4" w:space="0"/>
              <w:right w:val="single" w:color="auto" w:sz="4" w:space="0"/>
            </w:tcBorders>
            <w:shd w:val="clear" w:color="auto" w:fill="D7D7D7"/>
            <w:noWrap w:val="0"/>
            <w:vAlign w:val="center"/>
          </w:tcPr>
          <w:p>
            <w:pPr>
              <w:keepNext w:val="0"/>
              <w:keepLines w:val="0"/>
              <w:pageBreakBefore w:val="0"/>
              <w:widowControl w:val="0"/>
              <w:kinsoku/>
              <w:wordWrap w:val="0"/>
              <w:overflowPunct/>
              <w:topLinePunct w:val="0"/>
              <w:autoSpaceDE/>
              <w:autoSpaceDN/>
              <w:bidi w:val="0"/>
              <w:adjustRightInd w:val="0"/>
              <w:snapToGrid w:val="0"/>
              <w:spacing w:line="44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评审规则</w:t>
            </w:r>
          </w:p>
        </w:tc>
        <w:tc>
          <w:tcPr>
            <w:tcW w:w="435" w:type="pct"/>
            <w:tcBorders>
              <w:top w:val="single" w:color="auto" w:sz="4" w:space="0"/>
              <w:left w:val="single" w:color="auto" w:sz="4" w:space="0"/>
              <w:bottom w:val="single" w:color="auto" w:sz="4" w:space="0"/>
              <w:right w:val="single" w:color="auto" w:sz="4" w:space="0"/>
            </w:tcBorders>
            <w:shd w:val="clear" w:color="auto" w:fill="D7D7D7"/>
            <w:noWrap w:val="0"/>
            <w:vAlign w:val="center"/>
          </w:tcPr>
          <w:p>
            <w:pPr>
              <w:keepNext w:val="0"/>
              <w:keepLines w:val="0"/>
              <w:pageBreakBefore w:val="0"/>
              <w:widowControl w:val="0"/>
              <w:kinsoku/>
              <w:wordWrap w:val="0"/>
              <w:overflowPunct/>
              <w:topLinePunct w:val="0"/>
              <w:autoSpaceDE/>
              <w:autoSpaceDN/>
              <w:bidi w:val="0"/>
              <w:adjustRightInd w:val="0"/>
              <w:snapToGrid w:val="0"/>
              <w:spacing w:line="44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42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val="0"/>
              <w:overflowPunct/>
              <w:topLinePunct w:val="0"/>
              <w:autoSpaceDE/>
              <w:autoSpaceDN/>
              <w:bidi w:val="0"/>
              <w:adjustRightInd w:val="0"/>
              <w:snapToGrid w:val="0"/>
              <w:spacing w:line="440" w:lineRule="exact"/>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p>
        </w:tc>
        <w:tc>
          <w:tcPr>
            <w:tcW w:w="82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val="0"/>
              <w:overflowPunct/>
              <w:topLinePunct w:val="0"/>
              <w:autoSpaceDE/>
              <w:autoSpaceDN/>
              <w:bidi w:val="0"/>
              <w:adjustRightInd w:val="0"/>
              <w:snapToGrid w:val="0"/>
              <w:spacing w:line="44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投标产品的性能指标及技术参数符合性</w:t>
            </w:r>
          </w:p>
        </w:tc>
        <w:tc>
          <w:tcPr>
            <w:tcW w:w="3307" w:type="pct"/>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kinsoku/>
              <w:wordWrap w:val="0"/>
              <w:overflowPunct/>
              <w:topLinePunct w:val="0"/>
              <w:autoSpaceDE/>
              <w:autoSpaceDN/>
              <w:bidi w:val="0"/>
              <w:adjustRightInd w:val="0"/>
              <w:snapToGrid w:val="0"/>
              <w:spacing w:line="440" w:lineRule="exact"/>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投标产品完全满足招标文件要求的，得36分。</w:t>
            </w:r>
          </w:p>
          <w:p>
            <w:pPr>
              <w:keepNext w:val="0"/>
              <w:keepLines w:val="0"/>
              <w:pageBreakBefore w:val="0"/>
              <w:kinsoku/>
              <w:wordWrap w:val="0"/>
              <w:overflowPunct/>
              <w:topLinePunct w:val="0"/>
              <w:autoSpaceDE/>
              <w:autoSpaceDN/>
              <w:bidi w:val="0"/>
              <w:adjustRightInd w:val="0"/>
              <w:snapToGrid w:val="0"/>
              <w:spacing w:line="440" w:lineRule="exact"/>
              <w:ind w:firstLine="480" w:firstLineChars="200"/>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本项目的技术参数中，标记“★”的为实质性</w:t>
            </w:r>
            <w:r>
              <w:rPr>
                <w:rFonts w:hint="eastAsia" w:eastAsia="宋体" w:cs="宋体"/>
                <w:color w:val="auto"/>
                <w:sz w:val="24"/>
                <w:szCs w:val="24"/>
                <w:highlight w:val="none"/>
                <w:lang w:eastAsia="zh-CN"/>
              </w:rPr>
              <w:t>响应技术</w:t>
            </w:r>
            <w:r>
              <w:rPr>
                <w:rFonts w:hint="eastAsia" w:ascii="宋体" w:hAnsi="宋体" w:eastAsia="宋体" w:cs="宋体"/>
                <w:color w:val="auto"/>
                <w:sz w:val="24"/>
                <w:szCs w:val="24"/>
                <w:highlight w:val="none"/>
                <w:lang w:eastAsia="zh-CN"/>
              </w:rPr>
              <w:t>指标，应当完全满足并提交相应有效证明文件，否则作无效投标处理；</w:t>
            </w:r>
          </w:p>
          <w:p>
            <w:pPr>
              <w:keepNext w:val="0"/>
              <w:keepLines w:val="0"/>
              <w:pageBreakBefore w:val="0"/>
              <w:kinsoku/>
              <w:wordWrap w:val="0"/>
              <w:overflowPunct/>
              <w:topLinePunct w:val="0"/>
              <w:autoSpaceDE/>
              <w:autoSpaceDN/>
              <w:bidi w:val="0"/>
              <w:adjustRightInd w:val="0"/>
              <w:snapToGrid w:val="0"/>
              <w:spacing w:line="440" w:lineRule="exact"/>
              <w:ind w:firstLine="480" w:firstLineChars="200"/>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标记“▲”的为重要技术指标，应当完全满足并提交相应有效证明文件，否则每有一项指标不满足扣2分；</w:t>
            </w:r>
          </w:p>
          <w:p>
            <w:pPr>
              <w:keepNext w:val="0"/>
              <w:keepLines w:val="0"/>
              <w:pageBreakBefore w:val="0"/>
              <w:kinsoku/>
              <w:wordWrap w:val="0"/>
              <w:overflowPunct/>
              <w:topLinePunct w:val="0"/>
              <w:autoSpaceDE/>
              <w:autoSpaceDN/>
              <w:bidi w:val="0"/>
              <w:adjustRightInd w:val="0"/>
              <w:snapToGrid w:val="0"/>
              <w:spacing w:line="440" w:lineRule="exact"/>
              <w:ind w:firstLine="480" w:firstLineChars="200"/>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其他未作标记的为一般指标，一般指标不强制要求提交相应有效证明文件，每有一项不满足扣1分。</w:t>
            </w:r>
          </w:p>
          <w:p>
            <w:pPr>
              <w:keepNext w:val="0"/>
              <w:keepLines w:val="0"/>
              <w:pageBreakBefore w:val="0"/>
              <w:kinsoku/>
              <w:wordWrap w:val="0"/>
              <w:overflowPunct/>
              <w:topLinePunct w:val="0"/>
              <w:autoSpaceDE/>
              <w:autoSpaceDN/>
              <w:bidi w:val="0"/>
              <w:adjustRightInd w:val="0"/>
              <w:snapToGrid w:val="0"/>
              <w:spacing w:line="440" w:lineRule="exact"/>
              <w:ind w:firstLine="480" w:firstLineChars="200"/>
              <w:jc w:val="both"/>
              <w:textAlignment w:val="auto"/>
              <w:rPr>
                <w:rFonts w:hint="eastAsia" w:ascii="宋体" w:hAnsi="宋体" w:eastAsia="宋体" w:cs="宋体"/>
                <w:color w:val="auto"/>
                <w:sz w:val="24"/>
                <w:szCs w:val="24"/>
                <w:highlight w:val="none"/>
                <w:lang w:eastAsia="zh-CN"/>
              </w:rPr>
            </w:pPr>
            <w:r>
              <w:rPr>
                <w:rFonts w:hint="eastAsia" w:cs="宋体"/>
                <w:color w:val="auto"/>
                <w:sz w:val="24"/>
                <w:szCs w:val="24"/>
                <w:highlight w:val="none"/>
                <w:lang w:val="en-US" w:eastAsia="zh-CN"/>
              </w:rPr>
              <w:t>上述所有</w:t>
            </w:r>
            <w:r>
              <w:rPr>
                <w:rFonts w:hint="eastAsia" w:ascii="宋体" w:hAnsi="宋体" w:eastAsia="宋体" w:cs="宋体"/>
                <w:color w:val="auto"/>
                <w:sz w:val="24"/>
                <w:szCs w:val="24"/>
                <w:highlight w:val="none"/>
                <w:lang w:eastAsia="zh-CN"/>
              </w:rPr>
              <w:t>扣分扣至18分为限，本项得分区间为18-36分，</w:t>
            </w:r>
            <w:r>
              <w:rPr>
                <w:rFonts w:hint="eastAsia" w:ascii="宋体" w:hAnsi="宋体" w:eastAsia="宋体" w:cs="宋体"/>
                <w:b/>
                <w:bCs/>
                <w:color w:val="auto"/>
                <w:sz w:val="24"/>
                <w:szCs w:val="24"/>
                <w:highlight w:val="none"/>
                <w:lang w:eastAsia="zh-CN"/>
              </w:rPr>
              <w:t>证明文件</w:t>
            </w:r>
            <w:r>
              <w:rPr>
                <w:rFonts w:hint="eastAsia" w:ascii="宋体" w:hAnsi="宋体" w:eastAsia="宋体" w:cs="宋体"/>
                <w:b/>
                <w:bCs/>
                <w:color w:val="auto"/>
                <w:sz w:val="24"/>
                <w:szCs w:val="24"/>
                <w:highlight w:val="none"/>
                <w:lang w:val="en-US" w:eastAsia="zh-CN"/>
              </w:rPr>
              <w:t>详见“</w:t>
            </w:r>
            <w:r>
              <w:rPr>
                <w:rFonts w:hint="eastAsia" w:eastAsia="宋体" w:cs="宋体"/>
                <w:b/>
                <w:color w:val="auto"/>
                <w:sz w:val="24"/>
                <w:szCs w:val="24"/>
                <w:highlight w:val="none"/>
                <w:lang w:eastAsia="zh-CN"/>
              </w:rPr>
              <w:t>实质性响应技术指标和重要技术指标汇总表</w:t>
            </w:r>
            <w:r>
              <w:rPr>
                <w:rFonts w:hint="eastAsia" w:cs="宋体"/>
                <w:color w:val="auto"/>
                <w:sz w:val="24"/>
                <w:szCs w:val="24"/>
                <w:highlight w:val="none"/>
                <w:lang w:val="en-US" w:eastAsia="zh-CN"/>
              </w:rPr>
              <w:t>”</w:t>
            </w:r>
            <w:r>
              <w:rPr>
                <w:rFonts w:hint="eastAsia" w:eastAsia="宋体" w:cs="宋体"/>
                <w:b/>
                <w:bCs/>
                <w:color w:val="auto"/>
                <w:sz w:val="24"/>
                <w:szCs w:val="24"/>
                <w:highlight w:val="none"/>
                <w:lang w:val="en-US" w:eastAsia="zh-CN"/>
              </w:rPr>
              <w:t>,提供</w:t>
            </w:r>
            <w:r>
              <w:rPr>
                <w:rFonts w:hint="eastAsia" w:cs="宋体"/>
                <w:b/>
                <w:bCs/>
                <w:color w:val="auto"/>
                <w:sz w:val="24"/>
                <w:szCs w:val="24"/>
                <w:highlight w:val="none"/>
                <w:lang w:val="en-US" w:eastAsia="zh-CN"/>
              </w:rPr>
              <w:t>的资料须为</w:t>
            </w:r>
            <w:r>
              <w:rPr>
                <w:rFonts w:hint="eastAsia" w:eastAsia="宋体" w:cs="宋体"/>
                <w:b/>
                <w:bCs/>
                <w:color w:val="auto"/>
                <w:sz w:val="24"/>
                <w:szCs w:val="24"/>
                <w:highlight w:val="none"/>
                <w:lang w:val="en-US" w:eastAsia="zh-CN"/>
              </w:rPr>
              <w:t>扫描件加盖投标人公章</w:t>
            </w:r>
            <w:r>
              <w:rPr>
                <w:rFonts w:hint="eastAsia" w:ascii="宋体" w:hAnsi="宋体" w:eastAsia="宋体" w:cs="宋体"/>
                <w:b/>
                <w:bCs/>
                <w:color w:val="auto"/>
                <w:sz w:val="24"/>
                <w:szCs w:val="24"/>
                <w:highlight w:val="none"/>
                <w:lang w:eastAsia="zh-CN"/>
              </w:rPr>
              <w:t>。</w:t>
            </w:r>
          </w:p>
        </w:tc>
        <w:tc>
          <w:tcPr>
            <w:tcW w:w="435"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val="0"/>
              <w:overflowPunct/>
              <w:topLinePunct w:val="0"/>
              <w:autoSpaceDE/>
              <w:autoSpaceDN/>
              <w:bidi w:val="0"/>
              <w:adjustRightInd w:val="0"/>
              <w:snapToGrid w:val="0"/>
              <w:spacing w:line="440" w:lineRule="exact"/>
              <w:jc w:val="center"/>
              <w:textAlignment w:val="auto"/>
              <w:rPr>
                <w:rFonts w:hint="default" w:eastAsia="宋体" w:cs="宋体"/>
                <w:color w:val="auto"/>
                <w:sz w:val="24"/>
                <w:szCs w:val="24"/>
                <w:highlight w:val="none"/>
                <w:lang w:val="en-US" w:eastAsia="zh-CN"/>
              </w:rPr>
            </w:pPr>
            <w:r>
              <w:rPr>
                <w:rFonts w:hint="eastAsia" w:eastAsia="宋体" w:cs="宋体"/>
                <w:color w:val="auto"/>
                <w:sz w:val="24"/>
                <w:szCs w:val="24"/>
                <w:highlight w:val="none"/>
                <w:lang w:val="en-US" w:eastAsia="zh-CN"/>
              </w:rPr>
              <w:t>36分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42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val="0"/>
              <w:overflowPunct/>
              <w:topLinePunct w:val="0"/>
              <w:autoSpaceDE/>
              <w:autoSpaceDN/>
              <w:bidi w:val="0"/>
              <w:adjustRightInd w:val="0"/>
              <w:snapToGrid w:val="0"/>
              <w:spacing w:line="440" w:lineRule="exact"/>
              <w:jc w:val="center"/>
              <w:textAlignment w:val="auto"/>
              <w:rPr>
                <w:rFonts w:hint="default" w:eastAsia="宋体" w:cs="宋体"/>
                <w:color w:val="auto"/>
                <w:sz w:val="24"/>
                <w:szCs w:val="24"/>
                <w:highlight w:val="none"/>
                <w:lang w:val="en-US" w:eastAsia="zh-CN"/>
              </w:rPr>
            </w:pPr>
            <w:r>
              <w:rPr>
                <w:rFonts w:hint="eastAsia" w:eastAsia="宋体" w:cs="宋体"/>
                <w:color w:val="auto"/>
                <w:sz w:val="24"/>
                <w:szCs w:val="24"/>
                <w:highlight w:val="none"/>
                <w:lang w:val="en-US" w:eastAsia="zh-CN"/>
              </w:rPr>
              <w:t>2</w:t>
            </w:r>
          </w:p>
        </w:tc>
        <w:tc>
          <w:tcPr>
            <w:tcW w:w="82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val="0"/>
              <w:overflowPunct/>
              <w:topLinePunct w:val="0"/>
              <w:autoSpaceDE/>
              <w:autoSpaceDN/>
              <w:bidi w:val="0"/>
              <w:adjustRightInd w:val="0"/>
              <w:snapToGrid w:val="0"/>
              <w:spacing w:line="44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设备选型</w:t>
            </w:r>
          </w:p>
        </w:tc>
        <w:tc>
          <w:tcPr>
            <w:tcW w:w="3307" w:type="pct"/>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kinsoku/>
              <w:wordWrap w:val="0"/>
              <w:overflowPunct/>
              <w:topLinePunct w:val="0"/>
              <w:autoSpaceDE/>
              <w:autoSpaceDN/>
              <w:bidi w:val="0"/>
              <w:adjustRightInd w:val="0"/>
              <w:snapToGrid w:val="0"/>
              <w:spacing w:line="440" w:lineRule="exact"/>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评委对投标人拟投设备核心部件（水泵、膜、控制系统、管材、阀门等）选型的技术先进性、可靠性、适用性、稳定性等情况进行综合评审，好的得2-3（含）分，一般的得1-2（含）分，差的得0-1分（含）。</w:t>
            </w:r>
          </w:p>
        </w:tc>
        <w:tc>
          <w:tcPr>
            <w:tcW w:w="435"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val="0"/>
              <w:overflowPunct/>
              <w:topLinePunct w:val="0"/>
              <w:autoSpaceDE/>
              <w:autoSpaceDN/>
              <w:bidi w:val="0"/>
              <w:adjustRightInd w:val="0"/>
              <w:snapToGrid w:val="0"/>
              <w:spacing w:line="440" w:lineRule="exact"/>
              <w:jc w:val="center"/>
              <w:textAlignment w:val="auto"/>
              <w:rPr>
                <w:rFonts w:hint="default" w:eastAsia="宋体" w:cs="宋体"/>
                <w:color w:val="auto"/>
                <w:sz w:val="24"/>
                <w:szCs w:val="24"/>
                <w:highlight w:val="none"/>
                <w:lang w:val="en-US" w:eastAsia="zh-CN"/>
              </w:rPr>
            </w:pPr>
            <w:r>
              <w:rPr>
                <w:rFonts w:hint="eastAsia" w:eastAsia="宋体" w:cs="宋体"/>
                <w:color w:val="auto"/>
                <w:sz w:val="24"/>
                <w:szCs w:val="24"/>
                <w:highlight w:val="none"/>
                <w:lang w:val="en-US" w:eastAsia="zh-CN"/>
              </w:rPr>
              <w:t>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42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val="0"/>
              <w:overflowPunct/>
              <w:topLinePunct w:val="0"/>
              <w:autoSpaceDE/>
              <w:autoSpaceDN/>
              <w:bidi w:val="0"/>
              <w:adjustRightInd w:val="0"/>
              <w:snapToGrid w:val="0"/>
              <w:spacing w:line="440" w:lineRule="exact"/>
              <w:jc w:val="center"/>
              <w:textAlignment w:val="auto"/>
              <w:rPr>
                <w:rFonts w:hint="default" w:eastAsia="宋体" w:cs="宋体"/>
                <w:color w:val="auto"/>
                <w:sz w:val="24"/>
                <w:szCs w:val="24"/>
                <w:highlight w:val="none"/>
                <w:lang w:val="en-US" w:eastAsia="zh-CN"/>
              </w:rPr>
            </w:pPr>
            <w:r>
              <w:rPr>
                <w:rFonts w:hint="eastAsia" w:eastAsia="宋体" w:cs="宋体"/>
                <w:color w:val="auto"/>
                <w:sz w:val="24"/>
                <w:szCs w:val="24"/>
                <w:highlight w:val="none"/>
                <w:lang w:val="en-US" w:eastAsia="zh-CN"/>
              </w:rPr>
              <w:t>3</w:t>
            </w:r>
          </w:p>
        </w:tc>
        <w:tc>
          <w:tcPr>
            <w:tcW w:w="82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val="0"/>
              <w:overflowPunct/>
              <w:topLinePunct w:val="0"/>
              <w:autoSpaceDE/>
              <w:autoSpaceDN/>
              <w:bidi w:val="0"/>
              <w:adjustRightInd w:val="0"/>
              <w:snapToGrid w:val="0"/>
              <w:spacing w:line="440" w:lineRule="exact"/>
              <w:jc w:val="center"/>
              <w:textAlignment w:val="auto"/>
              <w:rPr>
                <w:rFonts w:hint="eastAsia" w:ascii="宋体" w:hAnsi="宋体" w:eastAsia="宋体" w:cs="宋体"/>
                <w:color w:val="auto"/>
                <w:sz w:val="24"/>
                <w:szCs w:val="24"/>
                <w:highlight w:val="none"/>
              </w:rPr>
            </w:pPr>
            <w:r>
              <w:rPr>
                <w:rFonts w:hint="eastAsia" w:cs="宋体"/>
                <w:color w:val="auto"/>
                <w:sz w:val="24"/>
                <w:szCs w:val="24"/>
                <w:highlight w:val="none"/>
                <w:lang w:val="en-US" w:eastAsia="zh-CN"/>
              </w:rPr>
              <w:t>安装</w:t>
            </w:r>
            <w:r>
              <w:rPr>
                <w:rFonts w:hint="eastAsia" w:ascii="宋体" w:hAnsi="宋体" w:eastAsia="宋体" w:cs="宋体"/>
                <w:color w:val="auto"/>
                <w:sz w:val="24"/>
                <w:szCs w:val="24"/>
                <w:highlight w:val="none"/>
              </w:rPr>
              <w:t>施工组织设计及进度计划</w:t>
            </w:r>
          </w:p>
        </w:tc>
        <w:tc>
          <w:tcPr>
            <w:tcW w:w="330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val="0"/>
              <w:overflowPunct/>
              <w:topLinePunct w:val="0"/>
              <w:autoSpaceDE/>
              <w:autoSpaceDN/>
              <w:bidi w:val="0"/>
              <w:adjustRightInd w:val="0"/>
              <w:snapToGrid w:val="0"/>
              <w:spacing w:line="440" w:lineRule="exact"/>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（1）评委根据投标人提供的</w:t>
            </w:r>
            <w:r>
              <w:rPr>
                <w:rFonts w:hint="eastAsia" w:cs="宋体"/>
                <w:color w:val="auto"/>
                <w:sz w:val="24"/>
                <w:szCs w:val="24"/>
                <w:highlight w:val="none"/>
                <w:lang w:val="en-US" w:eastAsia="zh-CN"/>
              </w:rPr>
              <w:t>安装</w:t>
            </w:r>
            <w:r>
              <w:rPr>
                <w:rFonts w:hint="eastAsia" w:ascii="宋体" w:hAnsi="宋体" w:eastAsia="宋体" w:cs="宋体"/>
                <w:color w:val="auto"/>
                <w:sz w:val="24"/>
                <w:szCs w:val="24"/>
                <w:highlight w:val="none"/>
                <w:lang w:eastAsia="zh-CN"/>
              </w:rPr>
              <w:t>总体进度安排的合理性，与项目要求的匹配性进行综合评审，得0-1（含）分。</w:t>
            </w:r>
          </w:p>
          <w:p>
            <w:pPr>
              <w:keepNext w:val="0"/>
              <w:keepLines w:val="0"/>
              <w:pageBreakBefore w:val="0"/>
              <w:kinsoku/>
              <w:wordWrap w:val="0"/>
              <w:overflowPunct/>
              <w:topLinePunct w:val="0"/>
              <w:autoSpaceDE/>
              <w:autoSpaceDN/>
              <w:bidi w:val="0"/>
              <w:adjustRightInd w:val="0"/>
              <w:snapToGrid w:val="0"/>
              <w:spacing w:line="440" w:lineRule="exact"/>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设备的进场能够根据项目场地的要求及土建工程的完成情况有计划地进行，现场协调及验收工作安排科学合理，能够保障项目按进度进行。评委根据投标人提供的安装施工实施方案进行综合评审，得0-1（含）分。</w:t>
            </w:r>
          </w:p>
          <w:p>
            <w:pPr>
              <w:keepNext w:val="0"/>
              <w:keepLines w:val="0"/>
              <w:pageBreakBefore w:val="0"/>
              <w:kinsoku/>
              <w:wordWrap w:val="0"/>
              <w:overflowPunct/>
              <w:topLinePunct w:val="0"/>
              <w:autoSpaceDE/>
              <w:autoSpaceDN/>
              <w:bidi w:val="0"/>
              <w:adjustRightInd w:val="0"/>
              <w:snapToGrid w:val="0"/>
              <w:spacing w:line="440" w:lineRule="exact"/>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（3）评委对投标人提供的投标项目整体施工实施方案的技术先进性、严密性、科学性、经济合理性、设备布局合理性等进行综合评审，得0-1（含）分。</w:t>
            </w:r>
          </w:p>
          <w:p>
            <w:pPr>
              <w:keepNext w:val="0"/>
              <w:keepLines w:val="0"/>
              <w:pageBreakBefore w:val="0"/>
              <w:kinsoku/>
              <w:wordWrap w:val="0"/>
              <w:overflowPunct/>
              <w:topLinePunct w:val="0"/>
              <w:autoSpaceDE/>
              <w:autoSpaceDN/>
              <w:bidi w:val="0"/>
              <w:adjustRightInd w:val="0"/>
              <w:snapToGrid w:val="0"/>
              <w:spacing w:line="440" w:lineRule="exact"/>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（4）评委对投标人提供的投标项目整体施工实施方案拟投入的施工设备的完整性和全面性进行综合评审，得0-1（含）分。</w:t>
            </w:r>
          </w:p>
        </w:tc>
        <w:tc>
          <w:tcPr>
            <w:tcW w:w="435"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val="0"/>
              <w:overflowPunct/>
              <w:topLinePunct w:val="0"/>
              <w:autoSpaceDE/>
              <w:autoSpaceDN/>
              <w:bidi w:val="0"/>
              <w:adjustRightInd w:val="0"/>
              <w:snapToGrid w:val="0"/>
              <w:spacing w:line="440" w:lineRule="exact"/>
              <w:jc w:val="center"/>
              <w:textAlignment w:val="auto"/>
              <w:rPr>
                <w:rFonts w:hint="eastAsia" w:eastAsia="宋体" w:cs="宋体"/>
                <w:color w:val="auto"/>
                <w:sz w:val="24"/>
                <w:szCs w:val="24"/>
                <w:highlight w:val="none"/>
                <w:lang w:val="en-US" w:eastAsia="zh-CN"/>
              </w:rPr>
            </w:pPr>
            <w:r>
              <w:rPr>
                <w:rFonts w:hint="eastAsia"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42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val="0"/>
              <w:overflowPunct/>
              <w:topLinePunct w:val="0"/>
              <w:autoSpaceDE/>
              <w:autoSpaceDN/>
              <w:bidi w:val="0"/>
              <w:adjustRightInd w:val="0"/>
              <w:snapToGrid w:val="0"/>
              <w:spacing w:line="440" w:lineRule="exact"/>
              <w:jc w:val="center"/>
              <w:textAlignment w:val="auto"/>
              <w:rPr>
                <w:rFonts w:hint="default" w:eastAsia="宋体" w:cs="宋体"/>
                <w:color w:val="auto"/>
                <w:sz w:val="24"/>
                <w:szCs w:val="24"/>
                <w:highlight w:val="none"/>
                <w:lang w:val="en-US" w:eastAsia="zh-CN"/>
              </w:rPr>
            </w:pPr>
            <w:r>
              <w:rPr>
                <w:rFonts w:hint="eastAsia" w:eastAsia="宋体" w:cs="宋体"/>
                <w:color w:val="auto"/>
                <w:sz w:val="24"/>
                <w:szCs w:val="24"/>
                <w:highlight w:val="none"/>
                <w:lang w:val="en-US" w:eastAsia="zh-CN"/>
              </w:rPr>
              <w:t>4</w:t>
            </w:r>
          </w:p>
        </w:tc>
        <w:tc>
          <w:tcPr>
            <w:tcW w:w="82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val="0"/>
              <w:overflowPunct/>
              <w:topLinePunct w:val="0"/>
              <w:autoSpaceDE/>
              <w:autoSpaceDN/>
              <w:bidi w:val="0"/>
              <w:adjustRightInd w:val="0"/>
              <w:snapToGrid w:val="0"/>
              <w:spacing w:line="44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调试、试运行、验收、维护服务方案</w:t>
            </w:r>
          </w:p>
        </w:tc>
        <w:tc>
          <w:tcPr>
            <w:tcW w:w="330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val="0"/>
              <w:overflowPunct/>
              <w:topLinePunct w:val="0"/>
              <w:autoSpaceDE/>
              <w:autoSpaceDN/>
              <w:bidi w:val="0"/>
              <w:adjustRightInd w:val="0"/>
              <w:snapToGrid w:val="0"/>
              <w:spacing w:line="440" w:lineRule="exact"/>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根据投标人对本医用纯水</w:t>
            </w:r>
            <w:r>
              <w:rPr>
                <w:rFonts w:hint="eastAsia" w:cs="宋体"/>
                <w:color w:val="auto"/>
                <w:sz w:val="24"/>
                <w:szCs w:val="24"/>
                <w:highlight w:val="none"/>
                <w:lang w:val="en-US" w:eastAsia="zh-CN"/>
              </w:rPr>
              <w:t>系统</w:t>
            </w:r>
            <w:r>
              <w:rPr>
                <w:rFonts w:hint="eastAsia" w:ascii="宋体" w:hAnsi="宋体" w:eastAsia="宋体" w:cs="宋体"/>
                <w:color w:val="auto"/>
                <w:sz w:val="24"/>
                <w:szCs w:val="24"/>
                <w:highlight w:val="none"/>
                <w:lang w:eastAsia="zh-CN"/>
              </w:rPr>
              <w:t>的调试、试运行、验收方案等描述的全面性及合理性，调试维护负责人工作经验等进行评审。好的得2-3（含）分，一般的得1-2（含）分，差的得0-1分（含）。</w:t>
            </w:r>
          </w:p>
        </w:tc>
        <w:tc>
          <w:tcPr>
            <w:tcW w:w="435"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val="0"/>
              <w:overflowPunct/>
              <w:topLinePunct w:val="0"/>
              <w:autoSpaceDE/>
              <w:autoSpaceDN/>
              <w:bidi w:val="0"/>
              <w:adjustRightInd w:val="0"/>
              <w:snapToGrid w:val="0"/>
              <w:spacing w:line="440" w:lineRule="exact"/>
              <w:jc w:val="center"/>
              <w:textAlignment w:val="auto"/>
              <w:rPr>
                <w:rFonts w:hint="default" w:eastAsia="宋体" w:cs="宋体"/>
                <w:color w:val="auto"/>
                <w:sz w:val="24"/>
                <w:szCs w:val="24"/>
                <w:highlight w:val="none"/>
                <w:lang w:val="en-US" w:eastAsia="zh-CN"/>
              </w:rPr>
            </w:pPr>
            <w:r>
              <w:rPr>
                <w:rFonts w:hint="eastAsia" w:eastAsia="宋体" w:cs="宋体"/>
                <w:color w:val="auto"/>
                <w:sz w:val="24"/>
                <w:szCs w:val="24"/>
                <w:highlight w:val="none"/>
                <w:lang w:val="en-US" w:eastAsia="zh-CN"/>
              </w:rPr>
              <w:t>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42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val="0"/>
              <w:overflowPunct/>
              <w:topLinePunct w:val="0"/>
              <w:autoSpaceDE/>
              <w:autoSpaceDN/>
              <w:bidi w:val="0"/>
              <w:adjustRightInd w:val="0"/>
              <w:snapToGrid w:val="0"/>
              <w:spacing w:line="440" w:lineRule="exact"/>
              <w:jc w:val="center"/>
              <w:textAlignment w:val="auto"/>
              <w:rPr>
                <w:rFonts w:hint="default" w:eastAsia="宋体" w:cs="宋体"/>
                <w:color w:val="auto"/>
                <w:sz w:val="24"/>
                <w:szCs w:val="24"/>
                <w:highlight w:val="none"/>
                <w:lang w:val="en-US" w:eastAsia="zh-CN"/>
              </w:rPr>
            </w:pPr>
            <w:r>
              <w:rPr>
                <w:rFonts w:hint="eastAsia" w:eastAsia="宋体" w:cs="宋体"/>
                <w:color w:val="auto"/>
                <w:sz w:val="24"/>
                <w:szCs w:val="24"/>
                <w:highlight w:val="none"/>
                <w:lang w:val="en-US" w:eastAsia="zh-CN"/>
              </w:rPr>
              <w:t>5</w:t>
            </w:r>
          </w:p>
        </w:tc>
        <w:tc>
          <w:tcPr>
            <w:tcW w:w="82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val="0"/>
              <w:overflowPunct/>
              <w:topLinePunct w:val="0"/>
              <w:autoSpaceDE/>
              <w:autoSpaceDN/>
              <w:bidi w:val="0"/>
              <w:adjustRightInd w:val="0"/>
              <w:snapToGrid w:val="0"/>
              <w:spacing w:line="44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培训方案</w:t>
            </w:r>
          </w:p>
        </w:tc>
        <w:tc>
          <w:tcPr>
            <w:tcW w:w="330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val="0"/>
              <w:overflowPunct/>
              <w:topLinePunct w:val="0"/>
              <w:autoSpaceDE/>
              <w:autoSpaceDN/>
              <w:bidi w:val="0"/>
              <w:adjustRightInd w:val="0"/>
              <w:snapToGrid w:val="0"/>
              <w:spacing w:line="440" w:lineRule="exact"/>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根据投标人对本医用纯水</w:t>
            </w:r>
            <w:r>
              <w:rPr>
                <w:rFonts w:hint="eastAsia" w:cs="宋体"/>
                <w:color w:val="auto"/>
                <w:sz w:val="24"/>
                <w:szCs w:val="24"/>
                <w:highlight w:val="none"/>
                <w:lang w:val="en-US" w:eastAsia="zh-CN"/>
              </w:rPr>
              <w:t>项目</w:t>
            </w:r>
            <w:r>
              <w:rPr>
                <w:rFonts w:hint="eastAsia" w:ascii="宋体" w:hAnsi="宋体" w:eastAsia="宋体" w:cs="宋体"/>
                <w:color w:val="auto"/>
                <w:sz w:val="24"/>
                <w:szCs w:val="24"/>
                <w:highlight w:val="none"/>
                <w:lang w:eastAsia="zh-CN"/>
              </w:rPr>
              <w:t>编制的培训方案的全面性、专业性和合理性，培训科目的安排情况和培训负责人工作经验等进行综合评审。好的得1.5-2（含）分，一般的得0.5-1.5（含）分，差的得0-0.5分（含）。</w:t>
            </w:r>
          </w:p>
        </w:tc>
        <w:tc>
          <w:tcPr>
            <w:tcW w:w="435"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val="0"/>
              <w:overflowPunct/>
              <w:topLinePunct w:val="0"/>
              <w:autoSpaceDE/>
              <w:autoSpaceDN/>
              <w:bidi w:val="0"/>
              <w:adjustRightInd w:val="0"/>
              <w:snapToGrid w:val="0"/>
              <w:spacing w:line="440" w:lineRule="exact"/>
              <w:jc w:val="center"/>
              <w:textAlignment w:val="auto"/>
              <w:rPr>
                <w:rFonts w:hint="default" w:eastAsia="宋体" w:cs="宋体"/>
                <w:color w:val="auto"/>
                <w:sz w:val="24"/>
                <w:szCs w:val="24"/>
                <w:highlight w:val="none"/>
                <w:lang w:val="en-US" w:eastAsia="zh-CN"/>
              </w:rPr>
            </w:pPr>
            <w:r>
              <w:rPr>
                <w:rFonts w:hint="eastAsia" w:eastAsia="宋体" w:cs="宋体"/>
                <w:color w:val="auto"/>
                <w:sz w:val="24"/>
                <w:szCs w:val="24"/>
                <w:highlight w:val="none"/>
                <w:lang w:val="en-US" w:eastAsia="zh-CN"/>
              </w:rPr>
              <w:t>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42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val="0"/>
              <w:overflowPunct/>
              <w:topLinePunct w:val="0"/>
              <w:autoSpaceDE/>
              <w:autoSpaceDN/>
              <w:bidi w:val="0"/>
              <w:adjustRightInd w:val="0"/>
              <w:snapToGrid w:val="0"/>
              <w:spacing w:line="440" w:lineRule="exact"/>
              <w:jc w:val="center"/>
              <w:textAlignment w:val="auto"/>
              <w:rPr>
                <w:rFonts w:hint="default" w:eastAsia="宋体" w:cs="宋体"/>
                <w:color w:val="auto"/>
                <w:sz w:val="24"/>
                <w:szCs w:val="24"/>
                <w:highlight w:val="none"/>
                <w:lang w:val="en-US" w:eastAsia="zh-CN"/>
              </w:rPr>
            </w:pPr>
            <w:r>
              <w:rPr>
                <w:rFonts w:hint="eastAsia" w:eastAsia="宋体" w:cs="宋体"/>
                <w:color w:val="auto"/>
                <w:sz w:val="24"/>
                <w:szCs w:val="24"/>
                <w:highlight w:val="none"/>
                <w:lang w:val="en-US" w:eastAsia="zh-CN"/>
              </w:rPr>
              <w:t>6</w:t>
            </w:r>
          </w:p>
        </w:tc>
        <w:tc>
          <w:tcPr>
            <w:tcW w:w="82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val="0"/>
              <w:overflowPunct/>
              <w:topLinePunct w:val="0"/>
              <w:autoSpaceDE/>
              <w:autoSpaceDN/>
              <w:bidi w:val="0"/>
              <w:adjustRightInd w:val="0"/>
              <w:snapToGrid w:val="0"/>
              <w:spacing w:line="44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售后服务</w:t>
            </w:r>
            <w:r>
              <w:rPr>
                <w:rFonts w:hint="eastAsia" w:ascii="宋体" w:hAnsi="宋体" w:eastAsia="宋体" w:cs="宋体"/>
                <w:color w:val="auto"/>
                <w:sz w:val="24"/>
                <w:szCs w:val="24"/>
                <w:highlight w:val="none"/>
                <w:lang w:eastAsia="zh-CN"/>
              </w:rPr>
              <w:t>方案</w:t>
            </w:r>
          </w:p>
        </w:tc>
        <w:tc>
          <w:tcPr>
            <w:tcW w:w="3307" w:type="pct"/>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kinsoku/>
              <w:wordWrap w:val="0"/>
              <w:overflowPunct/>
              <w:topLinePunct w:val="0"/>
              <w:autoSpaceDE/>
              <w:autoSpaceDN/>
              <w:bidi w:val="0"/>
              <w:adjustRightInd w:val="0"/>
              <w:snapToGrid w:val="0"/>
              <w:spacing w:line="440" w:lineRule="exact"/>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由评委专家根据投标人编制的售后服务方案是否完善、服务标准规范化程度、备件是否齐全、保修措施是否完善、备品备件质保期后优惠率的程度等进行综合评审。好的得1.5-2（含）分，一般的得0.5-1.5（含）分，差的得0-0.5分（含）。</w:t>
            </w:r>
          </w:p>
        </w:tc>
        <w:tc>
          <w:tcPr>
            <w:tcW w:w="435"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val="0"/>
              <w:overflowPunct/>
              <w:topLinePunct w:val="0"/>
              <w:autoSpaceDE/>
              <w:autoSpaceDN/>
              <w:bidi w:val="0"/>
              <w:adjustRightInd w:val="0"/>
              <w:snapToGrid w:val="0"/>
              <w:spacing w:line="440" w:lineRule="exact"/>
              <w:jc w:val="center"/>
              <w:textAlignment w:val="auto"/>
              <w:rPr>
                <w:rFonts w:hint="default" w:eastAsia="宋体" w:cs="宋体"/>
                <w:color w:val="auto"/>
                <w:sz w:val="24"/>
                <w:szCs w:val="24"/>
                <w:highlight w:val="none"/>
                <w:lang w:val="en-US" w:eastAsia="zh-CN"/>
              </w:rPr>
            </w:pPr>
            <w:r>
              <w:rPr>
                <w:rFonts w:hint="eastAsia" w:eastAsia="宋体" w:cs="宋体"/>
                <w:color w:val="auto"/>
                <w:sz w:val="24"/>
                <w:szCs w:val="24"/>
                <w:highlight w:val="none"/>
                <w:lang w:val="en-US" w:eastAsia="zh-CN"/>
              </w:rPr>
              <w:t>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428" w:type="pct"/>
            <w:tcBorders>
              <w:top w:val="single" w:color="auto" w:sz="4" w:space="0"/>
              <w:left w:val="single" w:color="auto" w:sz="4" w:space="0"/>
              <w:bottom w:val="single" w:color="auto" w:sz="4" w:space="0"/>
              <w:right w:val="single" w:color="auto" w:sz="4" w:space="0"/>
            </w:tcBorders>
            <w:noWrap w:val="0"/>
            <w:vAlign w:val="center"/>
          </w:tcPr>
          <w:p>
            <w:pPr>
              <w:widowControl/>
              <w:spacing w:line="240" w:lineRule="auto"/>
              <w:jc w:val="center"/>
              <w:rPr>
                <w:rFonts w:hint="eastAsia" w:eastAsia="宋体" w:cs="宋体"/>
                <w:color w:val="auto"/>
                <w:sz w:val="24"/>
                <w:szCs w:val="24"/>
                <w:highlight w:val="none"/>
                <w:lang w:val="en-US" w:eastAsia="zh-CN"/>
              </w:rPr>
            </w:pPr>
            <w:r>
              <w:rPr>
                <w:rFonts w:hint="eastAsia" w:cs="宋体"/>
                <w:color w:val="auto"/>
                <w:sz w:val="24"/>
                <w:szCs w:val="24"/>
                <w:highlight w:val="none"/>
                <w:lang w:val="en-US" w:eastAsia="zh-CN"/>
              </w:rPr>
              <w:t>7</w:t>
            </w:r>
          </w:p>
        </w:tc>
        <w:tc>
          <w:tcPr>
            <w:tcW w:w="82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val="0"/>
              <w:overflowPunct/>
              <w:topLinePunct w:val="0"/>
              <w:autoSpaceDE/>
              <w:autoSpaceDN/>
              <w:bidi w:val="0"/>
              <w:adjustRightInd w:val="0"/>
              <w:snapToGrid w:val="0"/>
              <w:spacing w:line="36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质保期承诺</w:t>
            </w:r>
          </w:p>
        </w:tc>
        <w:tc>
          <w:tcPr>
            <w:tcW w:w="330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val="0"/>
              <w:overflowPunct/>
              <w:topLinePunct w:val="0"/>
              <w:autoSpaceDE/>
              <w:autoSpaceDN/>
              <w:bidi w:val="0"/>
              <w:adjustRightInd w:val="0"/>
              <w:snapToGrid w:val="0"/>
              <w:spacing w:line="360" w:lineRule="auto"/>
              <w:ind w:firstLine="480" w:firstLineChars="200"/>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质保期期限仅满足招标文件规定的质保期要求的，得0分；超过招标文件规定的质保期每12个月的，得1分，最高得2分。提供质保期承诺函，承诺函格式自拟。（不足12个月的不计分）</w:t>
            </w:r>
          </w:p>
        </w:tc>
        <w:tc>
          <w:tcPr>
            <w:tcW w:w="435" w:type="pct"/>
            <w:tcBorders>
              <w:top w:val="single" w:color="auto" w:sz="4" w:space="0"/>
              <w:left w:val="single" w:color="auto" w:sz="4" w:space="0"/>
              <w:bottom w:val="single" w:color="auto" w:sz="4" w:space="0"/>
              <w:right w:val="single" w:color="auto" w:sz="4" w:space="0"/>
            </w:tcBorders>
            <w:noWrap w:val="0"/>
            <w:vAlign w:val="center"/>
          </w:tcPr>
          <w:p>
            <w:pPr>
              <w:wordWrap w:val="0"/>
              <w:adjustRightInd w:val="0"/>
              <w:snapToGrid w:val="0"/>
              <w:spacing w:line="400" w:lineRule="exact"/>
              <w:jc w:val="center"/>
              <w:rPr>
                <w:rFonts w:hint="eastAsia" w:eastAsia="宋体" w:cs="宋体"/>
                <w:color w:val="auto"/>
                <w:sz w:val="24"/>
                <w:szCs w:val="24"/>
                <w:highlight w:val="none"/>
                <w:lang w:val="en-US" w:eastAsia="zh-CN"/>
              </w:rPr>
            </w:pPr>
            <w:r>
              <w:rPr>
                <w:rFonts w:hint="eastAsia"/>
                <w:sz w:val="24"/>
                <w:szCs w:val="24"/>
              </w:rPr>
              <w:t>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4564" w:type="pct"/>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val="0"/>
              <w:overflowPunct/>
              <w:topLinePunct w:val="0"/>
              <w:autoSpaceDE/>
              <w:autoSpaceDN/>
              <w:bidi w:val="0"/>
              <w:adjustRightInd w:val="0"/>
              <w:snapToGrid w:val="0"/>
              <w:spacing w:line="44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合计</w:t>
            </w:r>
          </w:p>
        </w:tc>
        <w:tc>
          <w:tcPr>
            <w:tcW w:w="435"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val="0"/>
              <w:overflowPunct/>
              <w:topLinePunct w:val="0"/>
              <w:autoSpaceDE/>
              <w:autoSpaceDN/>
              <w:bidi w:val="0"/>
              <w:adjustRightInd w:val="0"/>
              <w:snapToGrid w:val="0"/>
              <w:spacing w:line="44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w:t>
            </w:r>
            <w:r>
              <w:rPr>
                <w:rFonts w:hint="eastAsia"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分</w:t>
            </w:r>
          </w:p>
        </w:tc>
      </w:tr>
    </w:tbl>
    <w:p>
      <w:pPr>
        <w:tabs>
          <w:tab w:val="left" w:pos="0"/>
        </w:tabs>
        <w:spacing w:line="360" w:lineRule="auto"/>
        <w:ind w:left="0" w:leftChars="0" w:firstLine="0" w:firstLineChars="0"/>
        <w:jc w:val="left"/>
        <w:rPr>
          <w:rFonts w:hint="eastAsia" w:ascii="宋体" w:hAnsi="宋体" w:eastAsia="宋体" w:cs="宋体"/>
          <w:b/>
          <w:color w:val="auto"/>
          <w:sz w:val="24"/>
          <w:szCs w:val="24"/>
          <w:highlight w:val="none"/>
        </w:rPr>
        <w:sectPr>
          <w:pgSz w:w="11906" w:h="16838"/>
          <w:pgMar w:top="1440" w:right="1077" w:bottom="1440" w:left="1077" w:header="851" w:footer="992" w:gutter="284"/>
          <w:cols w:space="720" w:num="1"/>
          <w:docGrid w:type="lines" w:linePitch="312" w:charSpace="0"/>
        </w:sectPr>
      </w:pPr>
    </w:p>
    <w:p>
      <w:pPr>
        <w:tabs>
          <w:tab w:val="left" w:pos="0"/>
        </w:tabs>
        <w:spacing w:line="360" w:lineRule="auto"/>
        <w:ind w:left="0" w:leftChars="0" w:firstLine="0" w:firstLineChars="0"/>
        <w:jc w:val="center"/>
        <w:rPr>
          <w:rFonts w:hint="eastAsia" w:eastAsia="宋体" w:cs="宋体"/>
          <w:b/>
          <w:color w:val="auto"/>
          <w:sz w:val="24"/>
          <w:szCs w:val="24"/>
          <w:highlight w:val="none"/>
          <w:lang w:eastAsia="zh-CN"/>
        </w:rPr>
      </w:pPr>
      <w:r>
        <w:rPr>
          <w:rFonts w:hint="eastAsia" w:eastAsia="宋体" w:cs="宋体"/>
          <w:b/>
          <w:color w:val="auto"/>
          <w:sz w:val="24"/>
          <w:szCs w:val="24"/>
          <w:highlight w:val="none"/>
          <w:lang w:eastAsia="zh-CN"/>
        </w:rPr>
        <w:t>实质性响应技术指标和重要技术指标汇总表</w:t>
      </w:r>
    </w:p>
    <w:tbl>
      <w:tblPr>
        <w:tblStyle w:val="32"/>
        <w:tblW w:w="14419" w:type="dxa"/>
        <w:jc w:val="center"/>
        <w:tblLayout w:type="autofit"/>
        <w:tblCellMar>
          <w:top w:w="0" w:type="dxa"/>
          <w:left w:w="108" w:type="dxa"/>
          <w:bottom w:w="0" w:type="dxa"/>
          <w:right w:w="108" w:type="dxa"/>
        </w:tblCellMar>
      </w:tblPr>
      <w:tblGrid>
        <w:gridCol w:w="750"/>
        <w:gridCol w:w="8702"/>
        <w:gridCol w:w="4967"/>
      </w:tblGrid>
      <w:tr>
        <w:tblPrEx>
          <w:tblCellMar>
            <w:top w:w="0" w:type="dxa"/>
            <w:left w:w="108" w:type="dxa"/>
            <w:bottom w:w="0" w:type="dxa"/>
            <w:right w:w="108" w:type="dxa"/>
          </w:tblCellMar>
        </w:tblPrEx>
        <w:trPr>
          <w:trHeight w:val="620"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b/>
                <w:bCs/>
                <w:color w:val="000000"/>
                <w:sz w:val="24"/>
                <w:szCs w:val="24"/>
                <w:highlight w:val="none"/>
              </w:rPr>
            </w:pPr>
            <w:r>
              <w:rPr>
                <w:rFonts w:hint="eastAsia"/>
                <w:b/>
                <w:bCs/>
                <w:color w:val="000000"/>
                <w:sz w:val="24"/>
                <w:szCs w:val="24"/>
                <w:highlight w:val="none"/>
                <w:lang w:bidi="ar"/>
              </w:rPr>
              <w:t>序号</w:t>
            </w:r>
          </w:p>
        </w:tc>
        <w:tc>
          <w:tcPr>
            <w:tcW w:w="870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b/>
                <w:bCs/>
                <w:color w:val="000000"/>
                <w:sz w:val="24"/>
                <w:szCs w:val="24"/>
                <w:highlight w:val="none"/>
              </w:rPr>
            </w:pPr>
            <w:r>
              <w:rPr>
                <w:rFonts w:hint="eastAsia"/>
                <w:b/>
                <w:bCs/>
                <w:color w:val="000000"/>
                <w:sz w:val="24"/>
                <w:szCs w:val="24"/>
                <w:highlight w:val="none"/>
                <w:lang w:bidi="ar"/>
              </w:rPr>
              <w:t>技术指标具体内容</w:t>
            </w:r>
          </w:p>
        </w:tc>
        <w:tc>
          <w:tcPr>
            <w:tcW w:w="49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eastAsia="宋体"/>
                <w:b/>
                <w:bCs/>
                <w:color w:val="000000"/>
                <w:sz w:val="24"/>
                <w:szCs w:val="24"/>
                <w:highlight w:val="none"/>
                <w:lang w:val="en-US" w:eastAsia="zh-CN"/>
              </w:rPr>
            </w:pPr>
            <w:r>
              <w:rPr>
                <w:rFonts w:hint="eastAsia"/>
                <w:b/>
                <w:bCs/>
                <w:color w:val="000000"/>
                <w:sz w:val="24"/>
                <w:szCs w:val="24"/>
                <w:highlight w:val="none"/>
                <w:lang w:val="en-US" w:eastAsia="zh-CN" w:bidi="ar"/>
              </w:rPr>
              <w:t>提供的证明资料</w:t>
            </w:r>
          </w:p>
        </w:tc>
      </w:tr>
      <w:tr>
        <w:tblPrEx>
          <w:tblCellMar>
            <w:top w:w="0" w:type="dxa"/>
            <w:left w:w="108" w:type="dxa"/>
            <w:bottom w:w="0" w:type="dxa"/>
            <w:right w:w="108" w:type="dxa"/>
          </w:tblCellMar>
        </w:tblPrEx>
        <w:trPr>
          <w:trHeight w:val="620"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color w:val="000000"/>
                <w:sz w:val="24"/>
                <w:szCs w:val="24"/>
                <w:highlight w:val="none"/>
                <w:lang w:bidi="ar"/>
              </w:rPr>
            </w:pPr>
            <w:r>
              <w:rPr>
                <w:rFonts w:hint="eastAsia"/>
                <w:color w:val="000000"/>
                <w:sz w:val="24"/>
                <w:szCs w:val="24"/>
                <w:highlight w:val="none"/>
                <w:lang w:bidi="ar"/>
              </w:rPr>
              <w:t>1</w:t>
            </w:r>
          </w:p>
        </w:tc>
        <w:tc>
          <w:tcPr>
            <w:tcW w:w="136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color w:val="000000"/>
                <w:sz w:val="24"/>
                <w:szCs w:val="24"/>
                <w:highlight w:val="none"/>
                <w:lang w:bidi="ar"/>
              </w:rPr>
            </w:pPr>
            <w:r>
              <w:rPr>
                <w:rFonts w:hint="eastAsia"/>
                <w:b/>
                <w:bCs/>
                <w:color w:val="000000"/>
                <w:sz w:val="24"/>
                <w:szCs w:val="24"/>
                <w:highlight w:val="none"/>
                <w:lang w:bidi="ar"/>
              </w:rPr>
              <w:t>★实质性技术要求指标</w:t>
            </w:r>
          </w:p>
        </w:tc>
      </w:tr>
      <w:tr>
        <w:tblPrEx>
          <w:tblCellMar>
            <w:top w:w="0" w:type="dxa"/>
            <w:left w:w="108" w:type="dxa"/>
            <w:bottom w:w="0" w:type="dxa"/>
            <w:right w:w="108" w:type="dxa"/>
          </w:tblCellMar>
        </w:tblPrEx>
        <w:trPr>
          <w:trHeight w:val="620"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color w:val="000000"/>
                <w:sz w:val="24"/>
                <w:szCs w:val="24"/>
                <w:highlight w:val="none"/>
                <w:lang w:bidi="ar"/>
              </w:rPr>
            </w:pPr>
            <w:r>
              <w:rPr>
                <w:rFonts w:hint="eastAsia"/>
                <w:color w:val="000000"/>
                <w:sz w:val="24"/>
                <w:szCs w:val="24"/>
                <w:highlight w:val="none"/>
                <w:lang w:bidi="ar"/>
              </w:rPr>
              <w:t>1.1</w:t>
            </w:r>
          </w:p>
        </w:tc>
        <w:tc>
          <w:tcPr>
            <w:tcW w:w="870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color w:val="000000"/>
                <w:sz w:val="24"/>
                <w:szCs w:val="24"/>
                <w:highlight w:val="none"/>
                <w:lang w:bidi="ar"/>
              </w:rPr>
            </w:pPr>
            <w:r>
              <w:rPr>
                <w:rFonts w:hint="eastAsia"/>
                <w:b/>
                <w:bCs/>
                <w:color w:val="000000"/>
                <w:sz w:val="24"/>
                <w:szCs w:val="24"/>
                <w:highlight w:val="none"/>
                <w:lang w:bidi="ar"/>
              </w:rPr>
              <w:t>水质参考标准：详见招标文件P</w:t>
            </w:r>
            <w:r>
              <w:rPr>
                <w:rFonts w:hint="eastAsia"/>
                <w:b/>
                <w:bCs/>
                <w:color w:val="000000"/>
                <w:sz w:val="24"/>
                <w:szCs w:val="24"/>
                <w:highlight w:val="none"/>
                <w:lang w:val="en-US" w:eastAsia="zh-CN" w:bidi="ar"/>
              </w:rPr>
              <w:t>.44</w:t>
            </w:r>
            <w:r>
              <w:rPr>
                <w:rFonts w:hint="eastAsia"/>
                <w:b/>
                <w:bCs/>
                <w:color w:val="000000"/>
                <w:sz w:val="24"/>
                <w:szCs w:val="24"/>
                <w:highlight w:val="none"/>
                <w:lang w:bidi="ar"/>
              </w:rPr>
              <w:t>-P</w:t>
            </w:r>
            <w:r>
              <w:rPr>
                <w:rFonts w:hint="eastAsia"/>
                <w:b/>
                <w:bCs/>
                <w:color w:val="000000"/>
                <w:sz w:val="24"/>
                <w:szCs w:val="24"/>
                <w:highlight w:val="none"/>
                <w:lang w:val="en-US" w:eastAsia="zh-CN" w:bidi="ar"/>
              </w:rPr>
              <w:t>.48</w:t>
            </w:r>
            <w:r>
              <w:rPr>
                <w:rFonts w:hint="eastAsia"/>
                <w:b/>
                <w:bCs/>
                <w:color w:val="000000"/>
                <w:sz w:val="24"/>
                <w:szCs w:val="24"/>
                <w:highlight w:val="none"/>
                <w:lang w:bidi="ar"/>
              </w:rPr>
              <w:t>附表一至附表七。</w:t>
            </w:r>
          </w:p>
        </w:tc>
        <w:tc>
          <w:tcPr>
            <w:tcW w:w="49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color w:val="000000"/>
                <w:sz w:val="24"/>
                <w:szCs w:val="24"/>
                <w:highlight w:val="none"/>
                <w:lang w:bidi="ar"/>
              </w:rPr>
            </w:pPr>
            <w:r>
              <w:rPr>
                <w:rFonts w:hint="eastAsia"/>
                <w:color w:val="000000"/>
                <w:sz w:val="24"/>
                <w:szCs w:val="24"/>
                <w:highlight w:val="none"/>
                <w:lang w:bidi="ar"/>
              </w:rPr>
              <w:t>各附表所列水质指标为最基本的引导性要求，投标人投标时可采用</w:t>
            </w:r>
            <w:r>
              <w:rPr>
                <w:rFonts w:hint="eastAsia"/>
                <w:color w:val="000000"/>
                <w:sz w:val="24"/>
                <w:szCs w:val="24"/>
                <w:highlight w:val="none"/>
                <w:lang w:val="en-US" w:eastAsia="zh-CN" w:bidi="ar"/>
              </w:rPr>
              <w:t>优于</w:t>
            </w:r>
            <w:r>
              <w:rPr>
                <w:rFonts w:hint="eastAsia"/>
                <w:color w:val="000000"/>
                <w:sz w:val="24"/>
                <w:szCs w:val="24"/>
                <w:highlight w:val="none"/>
                <w:lang w:bidi="ar"/>
              </w:rPr>
              <w:t>以上用水指标的标准，低于最基本的引导性要求的则为未实质性响应招标要求。投标时由投标人在“技术响应及建议表”中自行逐条响应</w:t>
            </w:r>
            <w:r>
              <w:rPr>
                <w:rFonts w:hint="eastAsia"/>
                <w:color w:val="000000"/>
                <w:sz w:val="24"/>
                <w:szCs w:val="24"/>
                <w:highlight w:val="none"/>
                <w:lang w:eastAsia="zh-CN" w:bidi="ar"/>
              </w:rPr>
              <w:t>，</w:t>
            </w:r>
            <w:r>
              <w:rPr>
                <w:rFonts w:hint="eastAsia"/>
                <w:b/>
                <w:bCs/>
                <w:color w:val="000000"/>
                <w:sz w:val="24"/>
                <w:szCs w:val="24"/>
                <w:highlight w:val="none"/>
                <w:lang w:val="en-US" w:eastAsia="zh-CN" w:bidi="ar"/>
              </w:rPr>
              <w:t>并提供第三方检测机构出具的以往同类项目检测报告作为证明文件</w:t>
            </w:r>
            <w:r>
              <w:rPr>
                <w:rFonts w:hint="eastAsia"/>
                <w:color w:val="000000"/>
                <w:sz w:val="24"/>
                <w:szCs w:val="24"/>
                <w:highlight w:val="none"/>
                <w:lang w:bidi="ar"/>
              </w:rPr>
              <w:t>。</w:t>
            </w:r>
          </w:p>
        </w:tc>
      </w:tr>
      <w:tr>
        <w:tblPrEx>
          <w:tblCellMar>
            <w:top w:w="0" w:type="dxa"/>
            <w:left w:w="108" w:type="dxa"/>
            <w:bottom w:w="0" w:type="dxa"/>
            <w:right w:w="108" w:type="dxa"/>
          </w:tblCellMar>
        </w:tblPrEx>
        <w:trPr>
          <w:trHeight w:val="620"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color w:val="000000"/>
                <w:sz w:val="24"/>
                <w:szCs w:val="24"/>
                <w:highlight w:val="none"/>
                <w:lang w:bidi="ar"/>
              </w:rPr>
            </w:pPr>
            <w:r>
              <w:rPr>
                <w:rFonts w:hint="eastAsia"/>
                <w:color w:val="000000"/>
                <w:sz w:val="24"/>
                <w:szCs w:val="24"/>
                <w:highlight w:val="none"/>
                <w:lang w:bidi="ar"/>
              </w:rPr>
              <w:t>2</w:t>
            </w:r>
          </w:p>
        </w:tc>
        <w:tc>
          <w:tcPr>
            <w:tcW w:w="136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color w:val="000000"/>
                <w:sz w:val="24"/>
                <w:szCs w:val="24"/>
                <w:highlight w:val="none"/>
                <w:lang w:bidi="ar"/>
              </w:rPr>
            </w:pPr>
            <w:r>
              <w:rPr>
                <w:rFonts w:hint="eastAsia"/>
                <w:sz w:val="24"/>
                <w:szCs w:val="24"/>
                <w:highlight w:val="none"/>
              </w:rPr>
              <w:t>▲</w:t>
            </w:r>
            <w:r>
              <w:rPr>
                <w:rFonts w:hint="eastAsia"/>
                <w:b/>
                <w:sz w:val="24"/>
                <w:szCs w:val="24"/>
                <w:highlight w:val="none"/>
              </w:rPr>
              <w:t>重要技术指标</w:t>
            </w:r>
          </w:p>
        </w:tc>
      </w:tr>
      <w:tr>
        <w:tblPrEx>
          <w:tblCellMar>
            <w:top w:w="0" w:type="dxa"/>
            <w:left w:w="108" w:type="dxa"/>
            <w:bottom w:w="0" w:type="dxa"/>
            <w:right w:w="108" w:type="dxa"/>
          </w:tblCellMar>
        </w:tblPrEx>
        <w:trPr>
          <w:trHeight w:val="620"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color w:val="000000"/>
                <w:sz w:val="24"/>
                <w:szCs w:val="24"/>
                <w:highlight w:val="none"/>
              </w:rPr>
            </w:pPr>
            <w:r>
              <w:rPr>
                <w:rFonts w:hint="eastAsia"/>
                <w:color w:val="000000"/>
                <w:sz w:val="24"/>
                <w:szCs w:val="24"/>
                <w:highlight w:val="none"/>
                <w:lang w:bidi="ar"/>
              </w:rPr>
              <w:t>2.1</w:t>
            </w:r>
          </w:p>
        </w:tc>
        <w:tc>
          <w:tcPr>
            <w:tcW w:w="870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b/>
                <w:bCs/>
                <w:color w:val="000000"/>
                <w:sz w:val="24"/>
                <w:szCs w:val="24"/>
                <w:highlight w:val="none"/>
                <w:lang w:bidi="ar"/>
              </w:rPr>
            </w:pPr>
            <w:r>
              <w:rPr>
                <w:rFonts w:hint="eastAsia"/>
                <w:b/>
                <w:bCs/>
                <w:color w:val="000000"/>
                <w:sz w:val="24"/>
                <w:szCs w:val="24"/>
                <w:highlight w:val="none"/>
                <w:lang w:bidi="ar"/>
              </w:rPr>
              <w:t>反渗透装置：</w:t>
            </w:r>
          </w:p>
          <w:p>
            <w:pPr>
              <w:widowControl/>
              <w:ind w:firstLine="480" w:firstLineChars="200"/>
              <w:jc w:val="left"/>
              <w:textAlignment w:val="center"/>
              <w:rPr>
                <w:color w:val="000000"/>
                <w:sz w:val="24"/>
                <w:szCs w:val="24"/>
                <w:highlight w:val="none"/>
              </w:rPr>
            </w:pPr>
            <w:r>
              <w:rPr>
                <w:rFonts w:hint="eastAsia"/>
                <w:color w:val="000000"/>
                <w:sz w:val="24"/>
                <w:szCs w:val="24"/>
                <w:highlight w:val="none"/>
                <w:lang w:bidi="ar"/>
              </w:rPr>
              <w:t>采用两套并联运行，单套运行纯水产水量为20m3 /h,成熟的双路制水工艺，确保系统无单点故障。</w:t>
            </w:r>
          </w:p>
        </w:tc>
        <w:tc>
          <w:tcPr>
            <w:tcW w:w="49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eastAsia="宋体"/>
                <w:color w:val="000000"/>
                <w:sz w:val="24"/>
                <w:szCs w:val="24"/>
                <w:highlight w:val="none"/>
                <w:lang w:eastAsia="zh-CN"/>
              </w:rPr>
            </w:pPr>
            <w:r>
              <w:rPr>
                <w:rFonts w:hint="eastAsia"/>
                <w:color w:val="000000"/>
                <w:sz w:val="24"/>
                <w:szCs w:val="24"/>
                <w:highlight w:val="none"/>
                <w:lang w:val="en-US" w:eastAsia="zh-CN"/>
              </w:rPr>
              <w:t>提供以往同类</w:t>
            </w:r>
            <w:r>
              <w:rPr>
                <w:rFonts w:hint="eastAsia"/>
                <w:color w:val="000000"/>
                <w:sz w:val="24"/>
                <w:szCs w:val="24"/>
                <w:highlight w:val="none"/>
              </w:rPr>
              <w:t>项目的使用报告及厂家中央纯水系统使用说明书、操作手册等</w:t>
            </w:r>
            <w:r>
              <w:rPr>
                <w:rFonts w:hint="eastAsia"/>
                <w:color w:val="000000"/>
                <w:sz w:val="24"/>
                <w:szCs w:val="24"/>
                <w:highlight w:val="none"/>
                <w:lang w:eastAsia="zh-CN"/>
              </w:rPr>
              <w:t>。</w:t>
            </w:r>
          </w:p>
        </w:tc>
      </w:tr>
      <w:tr>
        <w:tblPrEx>
          <w:tblCellMar>
            <w:top w:w="0" w:type="dxa"/>
            <w:left w:w="108" w:type="dxa"/>
            <w:bottom w:w="0" w:type="dxa"/>
            <w:right w:w="108" w:type="dxa"/>
          </w:tblCellMar>
        </w:tblPrEx>
        <w:trPr>
          <w:trHeight w:val="620"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color w:val="000000"/>
                <w:sz w:val="24"/>
                <w:szCs w:val="24"/>
                <w:highlight w:val="none"/>
              </w:rPr>
            </w:pPr>
            <w:r>
              <w:rPr>
                <w:rFonts w:hint="eastAsia"/>
                <w:color w:val="000000"/>
                <w:sz w:val="24"/>
                <w:szCs w:val="24"/>
                <w:highlight w:val="none"/>
                <w:lang w:bidi="ar"/>
              </w:rPr>
              <w:t>2.2</w:t>
            </w:r>
          </w:p>
        </w:tc>
        <w:tc>
          <w:tcPr>
            <w:tcW w:w="870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80" w:firstLineChars="200"/>
              <w:jc w:val="left"/>
              <w:textAlignment w:val="center"/>
              <w:rPr>
                <w:color w:val="000000"/>
                <w:sz w:val="24"/>
                <w:szCs w:val="24"/>
                <w:highlight w:val="none"/>
              </w:rPr>
            </w:pPr>
            <w:r>
              <w:rPr>
                <w:rFonts w:hint="eastAsia"/>
                <w:color w:val="000000"/>
                <w:sz w:val="24"/>
                <w:szCs w:val="24"/>
                <w:highlight w:val="none"/>
                <w:lang w:bidi="ar"/>
              </w:rPr>
              <w:t>浓水利用装置：为提高水资源的利用率本系统设置了浓水利用装置，以达到废水利用的目的，最大程度的降低医院投运后的运行成本。</w:t>
            </w:r>
          </w:p>
        </w:tc>
        <w:tc>
          <w:tcPr>
            <w:tcW w:w="49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eastAsia="宋体"/>
                <w:color w:val="000000"/>
                <w:sz w:val="24"/>
                <w:szCs w:val="24"/>
                <w:highlight w:val="none"/>
                <w:lang w:eastAsia="zh-CN"/>
              </w:rPr>
            </w:pPr>
            <w:r>
              <w:rPr>
                <w:rFonts w:hint="eastAsia"/>
                <w:color w:val="000000"/>
                <w:sz w:val="24"/>
                <w:szCs w:val="24"/>
                <w:highlight w:val="none"/>
                <w:lang w:val="en-US" w:eastAsia="zh-CN"/>
              </w:rPr>
              <w:t>提供</w:t>
            </w:r>
            <w:r>
              <w:rPr>
                <w:rFonts w:hint="eastAsia"/>
                <w:color w:val="000000"/>
                <w:sz w:val="24"/>
                <w:szCs w:val="24"/>
                <w:highlight w:val="none"/>
              </w:rPr>
              <w:t>产品技术文件或者厂家中央纯水系统使用说明书、操作手册、专利等</w:t>
            </w:r>
            <w:r>
              <w:rPr>
                <w:rFonts w:hint="eastAsia"/>
                <w:color w:val="000000"/>
                <w:sz w:val="24"/>
                <w:szCs w:val="24"/>
                <w:highlight w:val="none"/>
                <w:lang w:eastAsia="zh-CN"/>
              </w:rPr>
              <w:t>。</w:t>
            </w:r>
          </w:p>
        </w:tc>
      </w:tr>
      <w:tr>
        <w:tblPrEx>
          <w:tblCellMar>
            <w:top w:w="0" w:type="dxa"/>
            <w:left w:w="108" w:type="dxa"/>
            <w:bottom w:w="0" w:type="dxa"/>
            <w:right w:w="108" w:type="dxa"/>
          </w:tblCellMar>
        </w:tblPrEx>
        <w:trPr>
          <w:trHeight w:val="1440"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color w:val="000000"/>
                <w:sz w:val="24"/>
                <w:szCs w:val="24"/>
                <w:highlight w:val="none"/>
              </w:rPr>
            </w:pPr>
            <w:r>
              <w:rPr>
                <w:rFonts w:hint="eastAsia"/>
                <w:color w:val="000000"/>
                <w:sz w:val="24"/>
                <w:szCs w:val="24"/>
                <w:highlight w:val="none"/>
                <w:lang w:bidi="ar"/>
              </w:rPr>
              <w:t>2.3</w:t>
            </w:r>
          </w:p>
        </w:tc>
        <w:tc>
          <w:tcPr>
            <w:tcW w:w="870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b/>
                <w:bCs/>
                <w:color w:val="000000"/>
                <w:sz w:val="24"/>
                <w:szCs w:val="24"/>
                <w:highlight w:val="none"/>
                <w:lang w:bidi="ar"/>
              </w:rPr>
            </w:pPr>
            <w:r>
              <w:rPr>
                <w:rFonts w:hint="eastAsia"/>
                <w:b/>
                <w:bCs/>
                <w:color w:val="000000"/>
                <w:sz w:val="24"/>
                <w:szCs w:val="24"/>
                <w:highlight w:val="none"/>
                <w:lang w:bidi="ar"/>
              </w:rPr>
              <w:t>纯水箱：</w:t>
            </w:r>
          </w:p>
          <w:p>
            <w:pPr>
              <w:widowControl/>
              <w:ind w:firstLine="480" w:firstLineChars="200"/>
              <w:jc w:val="left"/>
              <w:textAlignment w:val="center"/>
              <w:rPr>
                <w:color w:val="000000"/>
                <w:sz w:val="24"/>
                <w:szCs w:val="24"/>
                <w:highlight w:val="none"/>
              </w:rPr>
            </w:pPr>
            <w:r>
              <w:rPr>
                <w:rFonts w:hint="eastAsia"/>
                <w:color w:val="000000"/>
                <w:sz w:val="24"/>
                <w:szCs w:val="24"/>
                <w:highlight w:val="none"/>
                <w:lang w:bidi="ar"/>
              </w:rPr>
              <w:t>容积2.0M³，4台；容积2.5M³，5台。材质304不锈钢，内外双抛光级；要求顶部装空气过滤器，滤膜精度0.22μm，内部回水口装万向喷淋洗球，内部进水口装水流转向导管，外装液位可视器；桶体上顶、下底采用锅型冲压成型封头，不得采用板材加工焊接成型封头；每套纯水箱须有Ф400或以上的清洗人孔，端盖采用耳环式快速密封联接。</w:t>
            </w:r>
          </w:p>
        </w:tc>
        <w:tc>
          <w:tcPr>
            <w:tcW w:w="49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eastAsia="宋体"/>
                <w:color w:val="000000"/>
                <w:sz w:val="24"/>
                <w:szCs w:val="24"/>
                <w:highlight w:val="none"/>
                <w:lang w:eastAsia="zh-CN"/>
              </w:rPr>
            </w:pPr>
            <w:r>
              <w:rPr>
                <w:rFonts w:hint="eastAsia"/>
                <w:color w:val="000000"/>
                <w:sz w:val="24"/>
                <w:szCs w:val="24"/>
                <w:highlight w:val="none"/>
                <w:lang w:val="en-US" w:eastAsia="zh-CN"/>
              </w:rPr>
              <w:t>提供以往同类项目</w:t>
            </w:r>
            <w:r>
              <w:rPr>
                <w:rFonts w:hint="eastAsia"/>
                <w:color w:val="000000"/>
                <w:sz w:val="24"/>
                <w:szCs w:val="24"/>
                <w:highlight w:val="none"/>
              </w:rPr>
              <w:t>的使用报告</w:t>
            </w:r>
            <w:r>
              <w:rPr>
                <w:rFonts w:hint="eastAsia"/>
                <w:color w:val="000000"/>
                <w:sz w:val="24"/>
                <w:szCs w:val="24"/>
                <w:highlight w:val="none"/>
                <w:lang w:eastAsia="zh-CN"/>
              </w:rPr>
              <w:t>。</w:t>
            </w:r>
          </w:p>
        </w:tc>
      </w:tr>
      <w:tr>
        <w:tblPrEx>
          <w:tblCellMar>
            <w:top w:w="0" w:type="dxa"/>
            <w:left w:w="108" w:type="dxa"/>
            <w:bottom w:w="0" w:type="dxa"/>
            <w:right w:w="108" w:type="dxa"/>
          </w:tblCellMar>
        </w:tblPrEx>
        <w:trPr>
          <w:trHeight w:val="620"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color w:val="000000"/>
                <w:sz w:val="24"/>
                <w:szCs w:val="24"/>
                <w:highlight w:val="none"/>
              </w:rPr>
            </w:pPr>
            <w:r>
              <w:rPr>
                <w:rFonts w:hint="eastAsia"/>
                <w:color w:val="000000"/>
                <w:sz w:val="24"/>
                <w:szCs w:val="24"/>
                <w:highlight w:val="none"/>
                <w:lang w:bidi="ar"/>
              </w:rPr>
              <w:t>2.4</w:t>
            </w:r>
          </w:p>
        </w:tc>
        <w:tc>
          <w:tcPr>
            <w:tcW w:w="870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b/>
                <w:bCs/>
                <w:color w:val="000000"/>
                <w:sz w:val="24"/>
                <w:szCs w:val="24"/>
                <w:highlight w:val="none"/>
                <w:lang w:bidi="ar"/>
              </w:rPr>
            </w:pPr>
            <w:r>
              <w:rPr>
                <w:rFonts w:hint="eastAsia"/>
                <w:b/>
                <w:bCs/>
                <w:color w:val="000000"/>
                <w:sz w:val="24"/>
                <w:szCs w:val="24"/>
                <w:highlight w:val="none"/>
                <w:lang w:bidi="ar"/>
              </w:rPr>
              <w:t>紫外杀菌器：</w:t>
            </w:r>
          </w:p>
          <w:p>
            <w:pPr>
              <w:widowControl/>
              <w:ind w:firstLine="480" w:firstLineChars="200"/>
              <w:jc w:val="left"/>
              <w:textAlignment w:val="center"/>
              <w:rPr>
                <w:color w:val="000000"/>
                <w:sz w:val="24"/>
                <w:szCs w:val="24"/>
                <w:highlight w:val="none"/>
              </w:rPr>
            </w:pPr>
            <w:r>
              <w:rPr>
                <w:rFonts w:hint="eastAsia"/>
                <w:color w:val="000000"/>
                <w:sz w:val="24"/>
                <w:szCs w:val="24"/>
                <w:highlight w:val="none"/>
                <w:lang w:bidi="ar"/>
              </w:rPr>
              <w:t>数量根据回路数量配备，波长稳定在254nm，灯管放射剂量达30mj/cm2,材质不低于304SS。</w:t>
            </w:r>
          </w:p>
        </w:tc>
        <w:tc>
          <w:tcPr>
            <w:tcW w:w="49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color w:val="000000"/>
                <w:sz w:val="24"/>
                <w:szCs w:val="24"/>
                <w:highlight w:val="none"/>
              </w:rPr>
            </w:pPr>
            <w:r>
              <w:rPr>
                <w:rFonts w:hint="eastAsia"/>
                <w:color w:val="000000"/>
                <w:sz w:val="24"/>
                <w:szCs w:val="24"/>
                <w:highlight w:val="none"/>
                <w:lang w:val="en-US" w:eastAsia="zh-CN"/>
              </w:rPr>
              <w:t>提供</w:t>
            </w:r>
            <w:r>
              <w:rPr>
                <w:rFonts w:hint="eastAsia"/>
                <w:color w:val="000000"/>
                <w:sz w:val="24"/>
                <w:szCs w:val="24"/>
                <w:highlight w:val="none"/>
              </w:rPr>
              <w:t>产品技术文件或者厂家中央纯水系统使用说明书、操作手册、专利等</w:t>
            </w:r>
          </w:p>
        </w:tc>
      </w:tr>
      <w:tr>
        <w:tblPrEx>
          <w:tblCellMar>
            <w:top w:w="0" w:type="dxa"/>
            <w:left w:w="108" w:type="dxa"/>
            <w:bottom w:w="0" w:type="dxa"/>
            <w:right w:w="108" w:type="dxa"/>
          </w:tblCellMar>
        </w:tblPrEx>
        <w:trPr>
          <w:trHeight w:val="620"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color w:val="000000"/>
                <w:sz w:val="24"/>
                <w:szCs w:val="24"/>
                <w:highlight w:val="none"/>
              </w:rPr>
            </w:pPr>
            <w:r>
              <w:rPr>
                <w:rFonts w:hint="eastAsia"/>
                <w:color w:val="000000"/>
                <w:sz w:val="24"/>
                <w:szCs w:val="24"/>
                <w:highlight w:val="none"/>
                <w:lang w:bidi="ar"/>
              </w:rPr>
              <w:t>2.5</w:t>
            </w:r>
          </w:p>
        </w:tc>
        <w:tc>
          <w:tcPr>
            <w:tcW w:w="870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b/>
                <w:bCs/>
                <w:color w:val="000000"/>
                <w:sz w:val="24"/>
                <w:szCs w:val="24"/>
                <w:highlight w:val="none"/>
                <w:lang w:bidi="ar"/>
              </w:rPr>
            </w:pPr>
            <w:r>
              <w:rPr>
                <w:rFonts w:hint="eastAsia"/>
                <w:b/>
                <w:bCs/>
                <w:color w:val="000000"/>
                <w:sz w:val="24"/>
                <w:szCs w:val="24"/>
                <w:highlight w:val="none"/>
                <w:lang w:bidi="ar"/>
              </w:rPr>
              <w:t>生化用水EDI装置：</w:t>
            </w:r>
          </w:p>
          <w:p>
            <w:pPr>
              <w:widowControl/>
              <w:ind w:firstLine="480" w:firstLineChars="200"/>
              <w:jc w:val="left"/>
              <w:textAlignment w:val="center"/>
              <w:rPr>
                <w:color w:val="000000"/>
                <w:sz w:val="24"/>
                <w:szCs w:val="24"/>
                <w:highlight w:val="none"/>
              </w:rPr>
            </w:pPr>
            <w:r>
              <w:rPr>
                <w:rFonts w:hint="eastAsia"/>
                <w:color w:val="000000"/>
                <w:sz w:val="24"/>
                <w:szCs w:val="24"/>
                <w:highlight w:val="none"/>
                <w:lang w:bidi="ar"/>
              </w:rPr>
              <w:t>组合件，1套，用于检验用水后处理系统，联合使用RO+EDI ，最大化地保证系统的连续运行并达到降低耗材使用成本的要求。</w:t>
            </w:r>
          </w:p>
        </w:tc>
        <w:tc>
          <w:tcPr>
            <w:tcW w:w="49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color w:val="000000"/>
                <w:sz w:val="24"/>
                <w:szCs w:val="24"/>
                <w:highlight w:val="none"/>
              </w:rPr>
            </w:pPr>
            <w:r>
              <w:rPr>
                <w:rFonts w:hint="eastAsia"/>
                <w:color w:val="000000"/>
                <w:sz w:val="24"/>
                <w:szCs w:val="24"/>
                <w:highlight w:val="none"/>
                <w:lang w:val="en-US" w:eastAsia="zh-CN"/>
              </w:rPr>
              <w:t>提供</w:t>
            </w:r>
            <w:r>
              <w:rPr>
                <w:rFonts w:hint="eastAsia"/>
                <w:color w:val="000000"/>
                <w:sz w:val="24"/>
                <w:szCs w:val="24"/>
                <w:highlight w:val="none"/>
              </w:rPr>
              <w:t>产品技术文件或者厂家中央纯水系统使用说明书、操作手册、专利等</w:t>
            </w:r>
          </w:p>
        </w:tc>
      </w:tr>
      <w:tr>
        <w:tblPrEx>
          <w:tblCellMar>
            <w:top w:w="0" w:type="dxa"/>
            <w:left w:w="108" w:type="dxa"/>
            <w:bottom w:w="0" w:type="dxa"/>
            <w:right w:w="108" w:type="dxa"/>
          </w:tblCellMar>
        </w:tblPrEx>
        <w:trPr>
          <w:trHeight w:val="620"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color w:val="000000"/>
                <w:sz w:val="24"/>
                <w:szCs w:val="24"/>
                <w:highlight w:val="none"/>
              </w:rPr>
            </w:pPr>
            <w:r>
              <w:rPr>
                <w:rFonts w:hint="eastAsia"/>
                <w:color w:val="000000"/>
                <w:sz w:val="24"/>
                <w:szCs w:val="24"/>
                <w:highlight w:val="none"/>
                <w:lang w:bidi="ar"/>
              </w:rPr>
              <w:t>2.6</w:t>
            </w:r>
          </w:p>
        </w:tc>
        <w:tc>
          <w:tcPr>
            <w:tcW w:w="870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b/>
                <w:bCs/>
                <w:color w:val="000000"/>
                <w:sz w:val="24"/>
                <w:szCs w:val="24"/>
                <w:highlight w:val="none"/>
                <w:lang w:bidi="ar"/>
              </w:rPr>
            </w:pPr>
            <w:r>
              <w:rPr>
                <w:rFonts w:hint="eastAsia"/>
                <w:b/>
                <w:bCs/>
                <w:color w:val="000000"/>
                <w:sz w:val="24"/>
                <w:szCs w:val="24"/>
                <w:highlight w:val="none"/>
                <w:lang w:bidi="ar"/>
              </w:rPr>
              <w:t>血液透析用制水设备:</w:t>
            </w:r>
          </w:p>
          <w:p>
            <w:pPr>
              <w:widowControl/>
              <w:ind w:firstLine="480" w:firstLineChars="200"/>
              <w:jc w:val="left"/>
              <w:textAlignment w:val="center"/>
              <w:rPr>
                <w:color w:val="000000"/>
                <w:sz w:val="24"/>
                <w:szCs w:val="24"/>
                <w:highlight w:val="none"/>
              </w:rPr>
            </w:pPr>
            <w:r>
              <w:rPr>
                <w:rFonts w:hint="eastAsia"/>
                <w:color w:val="000000"/>
                <w:sz w:val="24"/>
                <w:szCs w:val="24"/>
                <w:highlight w:val="none"/>
                <w:lang w:bidi="ar"/>
              </w:rPr>
              <w:t>具有单独的反渗水处理产品注册证</w:t>
            </w:r>
          </w:p>
        </w:tc>
        <w:tc>
          <w:tcPr>
            <w:tcW w:w="49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color w:val="000000"/>
                <w:sz w:val="24"/>
                <w:szCs w:val="24"/>
                <w:highlight w:val="none"/>
              </w:rPr>
            </w:pPr>
            <w:r>
              <w:rPr>
                <w:rFonts w:hint="eastAsia"/>
                <w:color w:val="000000"/>
                <w:sz w:val="24"/>
                <w:szCs w:val="24"/>
                <w:highlight w:val="none"/>
                <w:lang w:val="en-US" w:eastAsia="zh-CN"/>
              </w:rPr>
              <w:t>提供</w:t>
            </w:r>
            <w:r>
              <w:rPr>
                <w:rFonts w:hint="eastAsia"/>
                <w:color w:val="000000"/>
                <w:sz w:val="24"/>
                <w:szCs w:val="24"/>
                <w:highlight w:val="none"/>
              </w:rPr>
              <w:t>产品的反渗水处理产品注册证</w:t>
            </w:r>
          </w:p>
        </w:tc>
      </w:tr>
      <w:tr>
        <w:tblPrEx>
          <w:tblCellMar>
            <w:top w:w="0" w:type="dxa"/>
            <w:left w:w="108" w:type="dxa"/>
            <w:bottom w:w="0" w:type="dxa"/>
            <w:right w:w="108" w:type="dxa"/>
          </w:tblCellMar>
        </w:tblPrEx>
        <w:trPr>
          <w:trHeight w:val="620"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color w:val="000000"/>
                <w:sz w:val="24"/>
                <w:szCs w:val="24"/>
                <w:highlight w:val="none"/>
              </w:rPr>
            </w:pPr>
            <w:r>
              <w:rPr>
                <w:rFonts w:hint="eastAsia"/>
                <w:color w:val="000000"/>
                <w:sz w:val="24"/>
                <w:szCs w:val="24"/>
                <w:highlight w:val="none"/>
                <w:lang w:bidi="ar"/>
              </w:rPr>
              <w:t>2.7</w:t>
            </w:r>
          </w:p>
        </w:tc>
        <w:tc>
          <w:tcPr>
            <w:tcW w:w="870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b/>
                <w:bCs/>
                <w:color w:val="000000"/>
                <w:sz w:val="24"/>
                <w:szCs w:val="24"/>
                <w:highlight w:val="none"/>
                <w:lang w:bidi="ar"/>
              </w:rPr>
            </w:pPr>
            <w:r>
              <w:rPr>
                <w:rFonts w:hint="eastAsia"/>
                <w:b/>
                <w:bCs/>
                <w:color w:val="000000"/>
                <w:sz w:val="24"/>
                <w:szCs w:val="24"/>
                <w:highlight w:val="none"/>
                <w:lang w:bidi="ar"/>
              </w:rPr>
              <w:t>血液透析用制水设备:</w:t>
            </w:r>
          </w:p>
          <w:p>
            <w:pPr>
              <w:widowControl/>
              <w:ind w:firstLine="480" w:firstLineChars="200"/>
              <w:jc w:val="left"/>
              <w:textAlignment w:val="center"/>
              <w:rPr>
                <w:color w:val="000000"/>
                <w:sz w:val="24"/>
                <w:szCs w:val="24"/>
                <w:highlight w:val="none"/>
              </w:rPr>
            </w:pPr>
            <w:r>
              <w:rPr>
                <w:rFonts w:hint="eastAsia"/>
                <w:color w:val="000000"/>
                <w:sz w:val="24"/>
                <w:szCs w:val="24"/>
                <w:highlight w:val="none"/>
                <w:lang w:bidi="ar"/>
              </w:rPr>
              <w:t>预处理泵前配有原水可冲洗滤器用于保护预处理泵</w:t>
            </w:r>
          </w:p>
        </w:tc>
        <w:tc>
          <w:tcPr>
            <w:tcW w:w="49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color w:val="000000"/>
                <w:sz w:val="24"/>
                <w:szCs w:val="24"/>
                <w:highlight w:val="none"/>
              </w:rPr>
            </w:pPr>
            <w:r>
              <w:rPr>
                <w:rFonts w:hint="eastAsia"/>
                <w:color w:val="000000"/>
                <w:sz w:val="24"/>
                <w:szCs w:val="24"/>
                <w:highlight w:val="none"/>
                <w:lang w:val="en-US" w:eastAsia="zh-CN"/>
              </w:rPr>
              <w:t>提供</w:t>
            </w:r>
            <w:r>
              <w:rPr>
                <w:rFonts w:hint="eastAsia"/>
                <w:color w:val="000000"/>
                <w:sz w:val="24"/>
                <w:szCs w:val="24"/>
                <w:highlight w:val="none"/>
              </w:rPr>
              <w:t>血透制水设备配置清单</w:t>
            </w:r>
          </w:p>
        </w:tc>
      </w:tr>
      <w:tr>
        <w:tblPrEx>
          <w:tblCellMar>
            <w:top w:w="0" w:type="dxa"/>
            <w:left w:w="108" w:type="dxa"/>
            <w:bottom w:w="0" w:type="dxa"/>
            <w:right w:w="108" w:type="dxa"/>
          </w:tblCellMar>
        </w:tblPrEx>
        <w:trPr>
          <w:trHeight w:val="620"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color w:val="000000"/>
                <w:sz w:val="24"/>
                <w:szCs w:val="24"/>
                <w:highlight w:val="none"/>
              </w:rPr>
            </w:pPr>
            <w:r>
              <w:rPr>
                <w:rFonts w:hint="eastAsia"/>
                <w:color w:val="000000"/>
                <w:sz w:val="24"/>
                <w:szCs w:val="24"/>
                <w:highlight w:val="none"/>
                <w:lang w:bidi="ar"/>
              </w:rPr>
              <w:t>2.8</w:t>
            </w:r>
          </w:p>
        </w:tc>
        <w:tc>
          <w:tcPr>
            <w:tcW w:w="870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b/>
                <w:bCs/>
                <w:color w:val="000000"/>
                <w:sz w:val="24"/>
                <w:szCs w:val="24"/>
                <w:highlight w:val="none"/>
                <w:lang w:bidi="ar"/>
              </w:rPr>
            </w:pPr>
            <w:r>
              <w:rPr>
                <w:rFonts w:hint="eastAsia"/>
                <w:b/>
                <w:bCs/>
                <w:color w:val="000000"/>
                <w:sz w:val="24"/>
                <w:szCs w:val="24"/>
                <w:highlight w:val="none"/>
                <w:lang w:bidi="ar"/>
              </w:rPr>
              <w:t>血液透析用制水设备:</w:t>
            </w:r>
          </w:p>
          <w:p>
            <w:pPr>
              <w:widowControl/>
              <w:ind w:firstLine="480" w:firstLineChars="200"/>
              <w:jc w:val="left"/>
              <w:textAlignment w:val="center"/>
              <w:rPr>
                <w:color w:val="000000"/>
                <w:sz w:val="24"/>
                <w:szCs w:val="24"/>
                <w:highlight w:val="none"/>
              </w:rPr>
            </w:pPr>
            <w:r>
              <w:rPr>
                <w:rFonts w:hint="eastAsia"/>
                <w:color w:val="000000"/>
                <w:sz w:val="24"/>
                <w:szCs w:val="24"/>
                <w:highlight w:val="none"/>
                <w:lang w:bidi="ar"/>
              </w:rPr>
              <w:t>树脂罐，三罐并联一备两用，配有全自动流量控制数字型控制头，可根据本地自来水硬度自动计算原水处理量。</w:t>
            </w:r>
          </w:p>
        </w:tc>
        <w:tc>
          <w:tcPr>
            <w:tcW w:w="49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color w:val="000000"/>
                <w:sz w:val="24"/>
                <w:szCs w:val="24"/>
                <w:highlight w:val="none"/>
              </w:rPr>
            </w:pPr>
            <w:r>
              <w:rPr>
                <w:rFonts w:hint="eastAsia"/>
                <w:color w:val="000000"/>
                <w:sz w:val="24"/>
                <w:szCs w:val="24"/>
                <w:highlight w:val="none"/>
                <w:lang w:val="en-US" w:eastAsia="zh-CN"/>
              </w:rPr>
              <w:t>提供</w:t>
            </w:r>
            <w:r>
              <w:rPr>
                <w:rFonts w:hint="eastAsia"/>
                <w:color w:val="000000"/>
                <w:sz w:val="24"/>
                <w:szCs w:val="24"/>
                <w:highlight w:val="none"/>
              </w:rPr>
              <w:t>血透制水设备配置清单</w:t>
            </w:r>
          </w:p>
        </w:tc>
      </w:tr>
      <w:tr>
        <w:tblPrEx>
          <w:tblCellMar>
            <w:top w:w="0" w:type="dxa"/>
            <w:left w:w="108" w:type="dxa"/>
            <w:bottom w:w="0" w:type="dxa"/>
            <w:right w:w="108" w:type="dxa"/>
          </w:tblCellMar>
        </w:tblPrEx>
        <w:trPr>
          <w:trHeight w:val="620"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color w:val="000000"/>
                <w:sz w:val="24"/>
                <w:szCs w:val="24"/>
                <w:highlight w:val="none"/>
              </w:rPr>
            </w:pPr>
            <w:r>
              <w:rPr>
                <w:rFonts w:hint="eastAsia"/>
                <w:color w:val="000000"/>
                <w:sz w:val="24"/>
                <w:szCs w:val="24"/>
                <w:highlight w:val="none"/>
                <w:lang w:bidi="ar"/>
              </w:rPr>
              <w:t>2.9</w:t>
            </w:r>
          </w:p>
        </w:tc>
        <w:tc>
          <w:tcPr>
            <w:tcW w:w="870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b/>
                <w:bCs/>
                <w:color w:val="000000"/>
                <w:sz w:val="24"/>
                <w:szCs w:val="24"/>
                <w:highlight w:val="none"/>
                <w:lang w:bidi="ar"/>
              </w:rPr>
            </w:pPr>
            <w:r>
              <w:rPr>
                <w:rFonts w:hint="eastAsia"/>
                <w:b/>
                <w:bCs/>
                <w:color w:val="000000"/>
                <w:sz w:val="24"/>
                <w:szCs w:val="24"/>
                <w:highlight w:val="none"/>
                <w:lang w:bidi="ar"/>
              </w:rPr>
              <w:t>血液透析用制水设备:</w:t>
            </w:r>
          </w:p>
          <w:p>
            <w:pPr>
              <w:widowControl/>
              <w:ind w:firstLine="480" w:firstLineChars="200"/>
              <w:jc w:val="left"/>
              <w:textAlignment w:val="center"/>
              <w:rPr>
                <w:color w:val="000000"/>
                <w:sz w:val="24"/>
                <w:szCs w:val="24"/>
                <w:highlight w:val="none"/>
              </w:rPr>
            </w:pPr>
            <w:r>
              <w:rPr>
                <w:rFonts w:hint="eastAsia"/>
                <w:color w:val="000000"/>
                <w:sz w:val="24"/>
                <w:szCs w:val="24"/>
                <w:highlight w:val="none"/>
                <w:lang w:bidi="ar"/>
              </w:rPr>
              <w:t>预处理部分配有排水漏斗，防止建筑物排水系统微生物反向污染预处理。</w:t>
            </w:r>
          </w:p>
        </w:tc>
        <w:tc>
          <w:tcPr>
            <w:tcW w:w="49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color w:val="000000"/>
                <w:sz w:val="24"/>
                <w:szCs w:val="24"/>
                <w:highlight w:val="none"/>
              </w:rPr>
            </w:pPr>
            <w:r>
              <w:rPr>
                <w:rFonts w:hint="eastAsia"/>
                <w:color w:val="000000"/>
                <w:sz w:val="24"/>
                <w:szCs w:val="24"/>
                <w:highlight w:val="none"/>
                <w:lang w:val="en-US" w:eastAsia="zh-CN"/>
              </w:rPr>
              <w:t>提供</w:t>
            </w:r>
            <w:r>
              <w:rPr>
                <w:rFonts w:hint="eastAsia"/>
                <w:color w:val="000000"/>
                <w:sz w:val="24"/>
                <w:szCs w:val="24"/>
                <w:highlight w:val="none"/>
              </w:rPr>
              <w:t>配置清单及操作手册或使用说明书</w:t>
            </w:r>
          </w:p>
        </w:tc>
      </w:tr>
      <w:tr>
        <w:tblPrEx>
          <w:tblCellMar>
            <w:top w:w="0" w:type="dxa"/>
            <w:left w:w="108" w:type="dxa"/>
            <w:bottom w:w="0" w:type="dxa"/>
            <w:right w:w="108" w:type="dxa"/>
          </w:tblCellMar>
        </w:tblPrEx>
        <w:trPr>
          <w:trHeight w:val="620"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color w:val="000000"/>
                <w:sz w:val="24"/>
                <w:szCs w:val="24"/>
                <w:highlight w:val="none"/>
              </w:rPr>
            </w:pPr>
            <w:r>
              <w:rPr>
                <w:rFonts w:hint="eastAsia"/>
                <w:color w:val="000000"/>
                <w:sz w:val="24"/>
                <w:szCs w:val="24"/>
                <w:highlight w:val="none"/>
                <w:lang w:bidi="ar"/>
              </w:rPr>
              <w:t>2.10</w:t>
            </w:r>
          </w:p>
        </w:tc>
        <w:tc>
          <w:tcPr>
            <w:tcW w:w="870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b/>
                <w:bCs/>
                <w:color w:val="000000"/>
                <w:sz w:val="24"/>
                <w:szCs w:val="24"/>
                <w:highlight w:val="none"/>
                <w:lang w:bidi="ar"/>
              </w:rPr>
            </w:pPr>
            <w:r>
              <w:rPr>
                <w:rFonts w:hint="eastAsia"/>
                <w:b/>
                <w:bCs/>
                <w:color w:val="000000"/>
                <w:sz w:val="24"/>
                <w:szCs w:val="24"/>
                <w:highlight w:val="none"/>
                <w:lang w:bidi="ar"/>
              </w:rPr>
              <w:t>血液透析用制水设备:</w:t>
            </w:r>
          </w:p>
          <w:p>
            <w:pPr>
              <w:widowControl/>
              <w:ind w:firstLine="480" w:firstLineChars="200"/>
              <w:jc w:val="left"/>
              <w:textAlignment w:val="center"/>
              <w:rPr>
                <w:color w:val="000000"/>
                <w:sz w:val="24"/>
                <w:szCs w:val="24"/>
                <w:highlight w:val="none"/>
              </w:rPr>
            </w:pPr>
            <w:r>
              <w:rPr>
                <w:rFonts w:hint="eastAsia"/>
                <w:color w:val="000000"/>
                <w:sz w:val="24"/>
                <w:szCs w:val="24"/>
                <w:highlight w:val="none"/>
                <w:lang w:bidi="ar"/>
              </w:rPr>
              <w:t>双级反渗透系统，水温15℃，回水压力2Bar时，产水量不小于3000L/H。</w:t>
            </w:r>
          </w:p>
        </w:tc>
        <w:tc>
          <w:tcPr>
            <w:tcW w:w="49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color w:val="000000"/>
                <w:sz w:val="24"/>
                <w:szCs w:val="24"/>
                <w:highlight w:val="none"/>
              </w:rPr>
            </w:pPr>
            <w:r>
              <w:rPr>
                <w:rFonts w:hint="eastAsia"/>
                <w:color w:val="000000"/>
                <w:sz w:val="24"/>
                <w:szCs w:val="24"/>
                <w:highlight w:val="none"/>
                <w:lang w:val="en-US" w:eastAsia="zh-CN"/>
              </w:rPr>
              <w:t>提供</w:t>
            </w:r>
            <w:r>
              <w:rPr>
                <w:rFonts w:hint="eastAsia"/>
                <w:color w:val="000000"/>
                <w:sz w:val="24"/>
                <w:szCs w:val="24"/>
                <w:highlight w:val="none"/>
              </w:rPr>
              <w:t>产品彩页或产品技术文件</w:t>
            </w:r>
          </w:p>
        </w:tc>
      </w:tr>
      <w:tr>
        <w:tblPrEx>
          <w:tblCellMar>
            <w:top w:w="0" w:type="dxa"/>
            <w:left w:w="108" w:type="dxa"/>
            <w:bottom w:w="0" w:type="dxa"/>
            <w:right w:w="108" w:type="dxa"/>
          </w:tblCellMar>
        </w:tblPrEx>
        <w:trPr>
          <w:trHeight w:val="620"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color w:val="000000"/>
                <w:sz w:val="24"/>
                <w:szCs w:val="24"/>
                <w:highlight w:val="none"/>
              </w:rPr>
            </w:pPr>
            <w:r>
              <w:rPr>
                <w:rFonts w:hint="eastAsia"/>
                <w:color w:val="000000"/>
                <w:sz w:val="24"/>
                <w:szCs w:val="24"/>
                <w:highlight w:val="none"/>
                <w:lang w:bidi="ar"/>
              </w:rPr>
              <w:t>2.11</w:t>
            </w:r>
          </w:p>
        </w:tc>
        <w:tc>
          <w:tcPr>
            <w:tcW w:w="870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b/>
                <w:bCs/>
                <w:color w:val="000000"/>
                <w:sz w:val="24"/>
                <w:szCs w:val="24"/>
                <w:highlight w:val="none"/>
                <w:lang w:bidi="ar"/>
              </w:rPr>
            </w:pPr>
            <w:r>
              <w:rPr>
                <w:rFonts w:hint="eastAsia"/>
                <w:b/>
                <w:bCs/>
                <w:color w:val="000000"/>
                <w:sz w:val="24"/>
                <w:szCs w:val="24"/>
                <w:highlight w:val="none"/>
                <w:lang w:bidi="ar"/>
              </w:rPr>
              <w:t>血液透析用制水设备:</w:t>
            </w:r>
          </w:p>
          <w:p>
            <w:pPr>
              <w:widowControl/>
              <w:ind w:firstLine="480" w:firstLineChars="200"/>
              <w:jc w:val="left"/>
              <w:textAlignment w:val="center"/>
              <w:rPr>
                <w:color w:val="000000"/>
                <w:sz w:val="24"/>
                <w:szCs w:val="24"/>
                <w:highlight w:val="none"/>
              </w:rPr>
            </w:pPr>
            <w:r>
              <w:rPr>
                <w:rFonts w:hint="eastAsia"/>
                <w:color w:val="000000"/>
                <w:sz w:val="24"/>
                <w:szCs w:val="24"/>
                <w:highlight w:val="none"/>
                <w:lang w:bidi="ar"/>
              </w:rPr>
              <w:t>操作面板采用高品质触摸屏，图示化流程及操作便于设备管理。</w:t>
            </w:r>
          </w:p>
        </w:tc>
        <w:tc>
          <w:tcPr>
            <w:tcW w:w="49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color w:val="000000"/>
                <w:sz w:val="24"/>
                <w:szCs w:val="24"/>
                <w:highlight w:val="none"/>
              </w:rPr>
            </w:pPr>
            <w:r>
              <w:rPr>
                <w:rFonts w:hint="eastAsia"/>
                <w:color w:val="000000"/>
                <w:sz w:val="24"/>
                <w:szCs w:val="24"/>
                <w:highlight w:val="none"/>
                <w:lang w:val="en-US" w:eastAsia="zh-CN"/>
              </w:rPr>
              <w:t>提供</w:t>
            </w:r>
            <w:r>
              <w:rPr>
                <w:rFonts w:hint="eastAsia"/>
                <w:color w:val="000000"/>
                <w:sz w:val="24"/>
                <w:szCs w:val="24"/>
                <w:highlight w:val="none"/>
              </w:rPr>
              <w:t>操作手册或者使用说明书</w:t>
            </w:r>
          </w:p>
        </w:tc>
      </w:tr>
      <w:tr>
        <w:tblPrEx>
          <w:tblCellMar>
            <w:top w:w="0" w:type="dxa"/>
            <w:left w:w="108" w:type="dxa"/>
            <w:bottom w:w="0" w:type="dxa"/>
            <w:right w:w="108" w:type="dxa"/>
          </w:tblCellMar>
        </w:tblPrEx>
        <w:trPr>
          <w:trHeight w:val="620"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color w:val="000000"/>
                <w:sz w:val="24"/>
                <w:szCs w:val="24"/>
                <w:highlight w:val="none"/>
              </w:rPr>
            </w:pPr>
            <w:r>
              <w:rPr>
                <w:rFonts w:hint="eastAsia"/>
                <w:color w:val="000000"/>
                <w:sz w:val="24"/>
                <w:szCs w:val="24"/>
                <w:highlight w:val="none"/>
                <w:lang w:bidi="ar"/>
              </w:rPr>
              <w:t>2.12</w:t>
            </w:r>
          </w:p>
        </w:tc>
        <w:tc>
          <w:tcPr>
            <w:tcW w:w="870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b/>
                <w:bCs/>
                <w:color w:val="000000"/>
                <w:sz w:val="24"/>
                <w:szCs w:val="24"/>
                <w:highlight w:val="none"/>
                <w:lang w:bidi="ar"/>
              </w:rPr>
            </w:pPr>
            <w:r>
              <w:rPr>
                <w:rFonts w:hint="eastAsia"/>
                <w:b/>
                <w:bCs/>
                <w:color w:val="000000"/>
                <w:sz w:val="24"/>
                <w:szCs w:val="24"/>
                <w:highlight w:val="none"/>
                <w:lang w:bidi="ar"/>
              </w:rPr>
              <w:t>血液透析用制水设备:</w:t>
            </w:r>
          </w:p>
          <w:p>
            <w:pPr>
              <w:widowControl/>
              <w:ind w:firstLine="480" w:firstLineChars="200"/>
              <w:jc w:val="left"/>
              <w:textAlignment w:val="center"/>
              <w:rPr>
                <w:color w:val="000000"/>
                <w:sz w:val="24"/>
                <w:szCs w:val="24"/>
                <w:highlight w:val="none"/>
              </w:rPr>
            </w:pPr>
            <w:r>
              <w:rPr>
                <w:rFonts w:hint="eastAsia"/>
                <w:color w:val="000000"/>
                <w:sz w:val="24"/>
                <w:szCs w:val="24"/>
                <w:highlight w:val="none"/>
                <w:lang w:bidi="ar"/>
              </w:rPr>
              <w:t>采用风冷式多级立式离心泵，避免水冷泵对进水加温造成的夏季高温运行时的不稳定，每一级加压泵双泵，双泵一备一用，提供安全备份。</w:t>
            </w:r>
          </w:p>
        </w:tc>
        <w:tc>
          <w:tcPr>
            <w:tcW w:w="49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color w:val="000000"/>
                <w:sz w:val="24"/>
                <w:szCs w:val="24"/>
                <w:highlight w:val="none"/>
              </w:rPr>
            </w:pPr>
            <w:r>
              <w:rPr>
                <w:rFonts w:hint="eastAsia"/>
                <w:color w:val="000000"/>
                <w:sz w:val="24"/>
                <w:szCs w:val="24"/>
                <w:highlight w:val="none"/>
                <w:lang w:val="en-US" w:eastAsia="zh-CN"/>
              </w:rPr>
              <w:t>提供</w:t>
            </w:r>
            <w:r>
              <w:rPr>
                <w:rFonts w:hint="eastAsia"/>
                <w:color w:val="000000"/>
                <w:sz w:val="24"/>
                <w:szCs w:val="24"/>
                <w:highlight w:val="none"/>
              </w:rPr>
              <w:t>操作手册或者使用说明书</w:t>
            </w:r>
          </w:p>
        </w:tc>
      </w:tr>
      <w:tr>
        <w:tblPrEx>
          <w:tblCellMar>
            <w:top w:w="0" w:type="dxa"/>
            <w:left w:w="108" w:type="dxa"/>
            <w:bottom w:w="0" w:type="dxa"/>
            <w:right w:w="108" w:type="dxa"/>
          </w:tblCellMar>
        </w:tblPrEx>
        <w:trPr>
          <w:trHeight w:val="620"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color w:val="000000"/>
                <w:sz w:val="24"/>
                <w:szCs w:val="24"/>
                <w:highlight w:val="none"/>
              </w:rPr>
            </w:pPr>
            <w:r>
              <w:rPr>
                <w:rFonts w:hint="eastAsia"/>
                <w:color w:val="000000"/>
                <w:sz w:val="24"/>
                <w:szCs w:val="24"/>
                <w:highlight w:val="none"/>
                <w:lang w:bidi="ar"/>
              </w:rPr>
              <w:t>2.13</w:t>
            </w:r>
          </w:p>
        </w:tc>
        <w:tc>
          <w:tcPr>
            <w:tcW w:w="870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color w:val="000000"/>
                <w:sz w:val="24"/>
                <w:szCs w:val="24"/>
                <w:highlight w:val="none"/>
                <w:lang w:bidi="ar"/>
              </w:rPr>
            </w:pPr>
            <w:r>
              <w:rPr>
                <w:rFonts w:hint="eastAsia"/>
                <w:color w:val="000000"/>
                <w:sz w:val="24"/>
                <w:szCs w:val="24"/>
                <w:highlight w:val="none"/>
                <w:lang w:bidi="ar"/>
              </w:rPr>
              <w:t>血液透析用制水设备:</w:t>
            </w:r>
          </w:p>
          <w:p>
            <w:pPr>
              <w:widowControl/>
              <w:ind w:firstLine="480" w:firstLineChars="200"/>
              <w:jc w:val="left"/>
              <w:textAlignment w:val="center"/>
              <w:rPr>
                <w:color w:val="000000"/>
                <w:sz w:val="24"/>
                <w:szCs w:val="24"/>
                <w:highlight w:val="none"/>
              </w:rPr>
            </w:pPr>
            <w:r>
              <w:rPr>
                <w:rFonts w:hint="eastAsia"/>
                <w:color w:val="000000"/>
                <w:sz w:val="24"/>
                <w:szCs w:val="24"/>
                <w:highlight w:val="none"/>
                <w:lang w:bidi="ar"/>
              </w:rPr>
              <w:t>具备水处理间的漏水检测功能,确保用水安全。</w:t>
            </w:r>
          </w:p>
        </w:tc>
        <w:tc>
          <w:tcPr>
            <w:tcW w:w="49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color w:val="000000"/>
                <w:sz w:val="24"/>
                <w:szCs w:val="24"/>
                <w:highlight w:val="none"/>
              </w:rPr>
            </w:pPr>
            <w:r>
              <w:rPr>
                <w:rFonts w:hint="eastAsia"/>
                <w:color w:val="000000"/>
                <w:sz w:val="24"/>
                <w:szCs w:val="24"/>
                <w:highlight w:val="none"/>
                <w:lang w:val="en-US" w:eastAsia="zh-CN"/>
              </w:rPr>
              <w:t>提供</w:t>
            </w:r>
            <w:r>
              <w:rPr>
                <w:rFonts w:hint="eastAsia"/>
                <w:color w:val="000000"/>
                <w:sz w:val="24"/>
                <w:szCs w:val="24"/>
                <w:highlight w:val="none"/>
              </w:rPr>
              <w:t>操作手册或者使用说明书</w:t>
            </w:r>
          </w:p>
        </w:tc>
      </w:tr>
      <w:tr>
        <w:tblPrEx>
          <w:tblCellMar>
            <w:top w:w="0" w:type="dxa"/>
            <w:left w:w="108" w:type="dxa"/>
            <w:bottom w:w="0" w:type="dxa"/>
            <w:right w:w="108" w:type="dxa"/>
          </w:tblCellMar>
        </w:tblPrEx>
        <w:trPr>
          <w:trHeight w:val="620"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color w:val="000000"/>
                <w:sz w:val="24"/>
                <w:szCs w:val="24"/>
                <w:highlight w:val="none"/>
              </w:rPr>
            </w:pPr>
            <w:r>
              <w:rPr>
                <w:rFonts w:hint="eastAsia"/>
                <w:color w:val="000000"/>
                <w:sz w:val="24"/>
                <w:szCs w:val="24"/>
                <w:highlight w:val="none"/>
                <w:lang w:bidi="ar"/>
              </w:rPr>
              <w:t>2.14</w:t>
            </w:r>
          </w:p>
        </w:tc>
        <w:tc>
          <w:tcPr>
            <w:tcW w:w="870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b/>
                <w:bCs/>
                <w:color w:val="000000"/>
                <w:sz w:val="24"/>
                <w:szCs w:val="24"/>
                <w:highlight w:val="none"/>
                <w:lang w:bidi="ar"/>
              </w:rPr>
            </w:pPr>
            <w:r>
              <w:rPr>
                <w:rFonts w:hint="eastAsia"/>
                <w:b/>
                <w:bCs/>
                <w:color w:val="000000"/>
                <w:sz w:val="24"/>
                <w:szCs w:val="24"/>
                <w:highlight w:val="none"/>
                <w:lang w:bidi="ar"/>
              </w:rPr>
              <w:t>血液透析用制水设备:</w:t>
            </w:r>
          </w:p>
          <w:p>
            <w:pPr>
              <w:widowControl/>
              <w:ind w:firstLine="480" w:firstLineChars="200"/>
              <w:jc w:val="left"/>
              <w:textAlignment w:val="center"/>
              <w:rPr>
                <w:color w:val="000000"/>
                <w:sz w:val="24"/>
                <w:szCs w:val="24"/>
                <w:highlight w:val="none"/>
              </w:rPr>
            </w:pPr>
            <w:r>
              <w:rPr>
                <w:rFonts w:hint="eastAsia"/>
                <w:color w:val="000000"/>
                <w:sz w:val="24"/>
                <w:szCs w:val="24"/>
                <w:highlight w:val="none"/>
                <w:lang w:bidi="ar"/>
              </w:rPr>
              <w:t>具备整合热消毒的功能,至少可以同时与35床透析机进行同步消毒。</w:t>
            </w:r>
          </w:p>
        </w:tc>
        <w:tc>
          <w:tcPr>
            <w:tcW w:w="49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color w:val="000000"/>
                <w:sz w:val="24"/>
                <w:szCs w:val="24"/>
                <w:highlight w:val="none"/>
              </w:rPr>
            </w:pPr>
            <w:r>
              <w:rPr>
                <w:rFonts w:hint="eastAsia"/>
                <w:color w:val="000000"/>
                <w:sz w:val="24"/>
                <w:szCs w:val="24"/>
                <w:highlight w:val="none"/>
                <w:lang w:val="en-US" w:eastAsia="zh-CN"/>
              </w:rPr>
              <w:t>提供</w:t>
            </w:r>
            <w:r>
              <w:rPr>
                <w:rFonts w:hint="eastAsia"/>
                <w:color w:val="000000"/>
                <w:sz w:val="24"/>
                <w:szCs w:val="24"/>
                <w:highlight w:val="none"/>
              </w:rPr>
              <w:t>产品彩页及操作手册或使用说明书</w:t>
            </w:r>
          </w:p>
        </w:tc>
      </w:tr>
      <w:tr>
        <w:tblPrEx>
          <w:tblCellMar>
            <w:top w:w="0" w:type="dxa"/>
            <w:left w:w="108" w:type="dxa"/>
            <w:bottom w:w="0" w:type="dxa"/>
            <w:right w:w="108" w:type="dxa"/>
          </w:tblCellMar>
        </w:tblPrEx>
        <w:trPr>
          <w:trHeight w:val="620"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color w:val="000000"/>
                <w:sz w:val="24"/>
                <w:szCs w:val="24"/>
                <w:highlight w:val="none"/>
              </w:rPr>
            </w:pPr>
            <w:r>
              <w:rPr>
                <w:rFonts w:hint="eastAsia"/>
                <w:color w:val="000000"/>
                <w:sz w:val="24"/>
                <w:szCs w:val="24"/>
                <w:highlight w:val="none"/>
                <w:lang w:bidi="ar"/>
              </w:rPr>
              <w:t>2.15</w:t>
            </w:r>
          </w:p>
        </w:tc>
        <w:tc>
          <w:tcPr>
            <w:tcW w:w="870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b/>
                <w:bCs/>
                <w:color w:val="000000"/>
                <w:sz w:val="24"/>
                <w:szCs w:val="24"/>
                <w:highlight w:val="none"/>
                <w:lang w:bidi="ar"/>
              </w:rPr>
            </w:pPr>
            <w:r>
              <w:rPr>
                <w:rFonts w:hint="eastAsia"/>
                <w:b/>
                <w:bCs/>
                <w:color w:val="000000"/>
                <w:sz w:val="24"/>
                <w:szCs w:val="24"/>
                <w:highlight w:val="none"/>
                <w:lang w:bidi="ar"/>
              </w:rPr>
              <w:t>血液透析用制水设备:</w:t>
            </w:r>
          </w:p>
          <w:p>
            <w:pPr>
              <w:widowControl/>
              <w:ind w:firstLine="480" w:firstLineChars="200"/>
              <w:jc w:val="left"/>
              <w:textAlignment w:val="center"/>
              <w:rPr>
                <w:color w:val="000000"/>
                <w:sz w:val="24"/>
                <w:szCs w:val="24"/>
                <w:highlight w:val="none"/>
              </w:rPr>
            </w:pPr>
            <w:r>
              <w:rPr>
                <w:rFonts w:hint="eastAsia"/>
                <w:color w:val="000000"/>
                <w:sz w:val="24"/>
                <w:szCs w:val="24"/>
                <w:highlight w:val="none"/>
                <w:lang w:bidi="ar"/>
              </w:rPr>
              <w:t>双级反渗每一级具备反渗膜冲洗技术，有独立的冲洗泵可增强抗污染的能力。</w:t>
            </w:r>
          </w:p>
        </w:tc>
        <w:tc>
          <w:tcPr>
            <w:tcW w:w="49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color w:val="000000"/>
                <w:sz w:val="24"/>
                <w:szCs w:val="24"/>
                <w:highlight w:val="none"/>
              </w:rPr>
            </w:pPr>
            <w:r>
              <w:rPr>
                <w:rFonts w:hint="eastAsia"/>
                <w:color w:val="000000"/>
                <w:sz w:val="24"/>
                <w:szCs w:val="24"/>
                <w:highlight w:val="none"/>
                <w:lang w:val="en-US" w:eastAsia="zh-CN"/>
              </w:rPr>
              <w:t>提供</w:t>
            </w:r>
            <w:r>
              <w:rPr>
                <w:rFonts w:hint="eastAsia"/>
                <w:color w:val="000000"/>
                <w:sz w:val="24"/>
                <w:szCs w:val="24"/>
                <w:highlight w:val="none"/>
              </w:rPr>
              <w:t>操作手册或使用说明书</w:t>
            </w:r>
          </w:p>
        </w:tc>
      </w:tr>
      <w:tr>
        <w:tblPrEx>
          <w:tblCellMar>
            <w:top w:w="0" w:type="dxa"/>
            <w:left w:w="108" w:type="dxa"/>
            <w:bottom w:w="0" w:type="dxa"/>
            <w:right w:w="108" w:type="dxa"/>
          </w:tblCellMar>
        </w:tblPrEx>
        <w:trPr>
          <w:trHeight w:val="560"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color w:val="000000"/>
                <w:sz w:val="24"/>
                <w:szCs w:val="24"/>
                <w:highlight w:val="none"/>
              </w:rPr>
            </w:pPr>
            <w:r>
              <w:rPr>
                <w:rFonts w:hint="eastAsia"/>
                <w:color w:val="000000"/>
                <w:sz w:val="24"/>
                <w:szCs w:val="24"/>
                <w:highlight w:val="none"/>
                <w:lang w:bidi="ar"/>
              </w:rPr>
              <w:t>2.16</w:t>
            </w:r>
          </w:p>
        </w:tc>
        <w:tc>
          <w:tcPr>
            <w:tcW w:w="870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b/>
                <w:bCs/>
                <w:color w:val="000000"/>
                <w:sz w:val="24"/>
                <w:szCs w:val="24"/>
                <w:highlight w:val="none"/>
                <w:lang w:bidi="ar"/>
              </w:rPr>
            </w:pPr>
            <w:r>
              <w:rPr>
                <w:rFonts w:hint="eastAsia"/>
                <w:b/>
                <w:bCs/>
                <w:color w:val="000000"/>
                <w:sz w:val="24"/>
                <w:szCs w:val="24"/>
                <w:highlight w:val="none"/>
                <w:lang w:bidi="ar"/>
              </w:rPr>
              <w:t>血液透析用制水设备:</w:t>
            </w:r>
          </w:p>
          <w:p>
            <w:pPr>
              <w:widowControl/>
              <w:ind w:firstLine="480" w:firstLineChars="200"/>
              <w:jc w:val="left"/>
              <w:textAlignment w:val="center"/>
              <w:rPr>
                <w:color w:val="000000"/>
                <w:sz w:val="24"/>
                <w:szCs w:val="24"/>
                <w:highlight w:val="none"/>
              </w:rPr>
            </w:pPr>
            <w:r>
              <w:rPr>
                <w:rFonts w:hint="eastAsia"/>
                <w:color w:val="000000"/>
                <w:sz w:val="24"/>
                <w:szCs w:val="24"/>
                <w:highlight w:val="none"/>
                <w:lang w:bidi="ar"/>
              </w:rPr>
              <w:t>内置标准网络接口，可实现远程控制，控制界面与主机一致。</w:t>
            </w:r>
          </w:p>
        </w:tc>
        <w:tc>
          <w:tcPr>
            <w:tcW w:w="49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color w:val="000000"/>
                <w:sz w:val="24"/>
                <w:szCs w:val="24"/>
                <w:highlight w:val="none"/>
              </w:rPr>
            </w:pPr>
            <w:r>
              <w:rPr>
                <w:rFonts w:hint="eastAsia"/>
                <w:color w:val="000000"/>
                <w:sz w:val="24"/>
                <w:szCs w:val="24"/>
                <w:highlight w:val="none"/>
                <w:lang w:val="en-US" w:eastAsia="zh-CN"/>
              </w:rPr>
              <w:t>提供</w:t>
            </w:r>
            <w:r>
              <w:rPr>
                <w:rFonts w:hint="eastAsia"/>
                <w:color w:val="000000"/>
                <w:sz w:val="24"/>
                <w:szCs w:val="24"/>
                <w:highlight w:val="none"/>
              </w:rPr>
              <w:t>操作手册或使用说明书</w:t>
            </w:r>
          </w:p>
        </w:tc>
      </w:tr>
      <w:tr>
        <w:tblPrEx>
          <w:tblCellMar>
            <w:top w:w="0" w:type="dxa"/>
            <w:left w:w="108" w:type="dxa"/>
            <w:bottom w:w="0" w:type="dxa"/>
            <w:right w:w="108" w:type="dxa"/>
          </w:tblCellMar>
        </w:tblPrEx>
        <w:trPr>
          <w:trHeight w:val="560"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color w:val="000000"/>
                <w:sz w:val="24"/>
                <w:szCs w:val="24"/>
                <w:highlight w:val="none"/>
              </w:rPr>
            </w:pPr>
            <w:r>
              <w:rPr>
                <w:rFonts w:hint="eastAsia"/>
                <w:color w:val="000000"/>
                <w:sz w:val="24"/>
                <w:szCs w:val="24"/>
                <w:highlight w:val="none"/>
                <w:lang w:bidi="ar"/>
              </w:rPr>
              <w:t>2.17</w:t>
            </w:r>
          </w:p>
        </w:tc>
        <w:tc>
          <w:tcPr>
            <w:tcW w:w="870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color w:val="000000"/>
                <w:sz w:val="24"/>
                <w:szCs w:val="24"/>
                <w:highlight w:val="none"/>
                <w:lang w:bidi="ar"/>
              </w:rPr>
            </w:pPr>
            <w:r>
              <w:rPr>
                <w:rFonts w:hint="eastAsia"/>
                <w:color w:val="000000"/>
                <w:sz w:val="24"/>
                <w:szCs w:val="24"/>
                <w:highlight w:val="none"/>
                <w:lang w:bidi="ar"/>
              </w:rPr>
              <w:t>血液透析用制水设备:</w:t>
            </w:r>
          </w:p>
          <w:p>
            <w:pPr>
              <w:widowControl/>
              <w:ind w:firstLine="480" w:firstLineChars="200"/>
              <w:jc w:val="left"/>
              <w:textAlignment w:val="center"/>
              <w:rPr>
                <w:color w:val="000000"/>
                <w:sz w:val="24"/>
                <w:szCs w:val="24"/>
                <w:highlight w:val="none"/>
              </w:rPr>
            </w:pPr>
            <w:r>
              <w:rPr>
                <w:rFonts w:hint="eastAsia"/>
                <w:color w:val="000000"/>
                <w:sz w:val="24"/>
                <w:szCs w:val="24"/>
                <w:highlight w:val="none"/>
                <w:lang w:bidi="ar"/>
              </w:rPr>
              <w:t>可实现多套循环管路进行分区供水。</w:t>
            </w:r>
          </w:p>
        </w:tc>
        <w:tc>
          <w:tcPr>
            <w:tcW w:w="49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color w:val="000000"/>
                <w:sz w:val="24"/>
                <w:szCs w:val="24"/>
                <w:highlight w:val="none"/>
              </w:rPr>
            </w:pPr>
            <w:r>
              <w:rPr>
                <w:rFonts w:hint="eastAsia"/>
                <w:color w:val="000000"/>
                <w:sz w:val="24"/>
                <w:szCs w:val="24"/>
                <w:highlight w:val="none"/>
                <w:lang w:val="en-US" w:eastAsia="zh-CN"/>
              </w:rPr>
              <w:t>提供</w:t>
            </w:r>
            <w:r>
              <w:rPr>
                <w:rFonts w:hint="eastAsia"/>
                <w:color w:val="000000"/>
                <w:sz w:val="24"/>
                <w:szCs w:val="24"/>
                <w:highlight w:val="none"/>
              </w:rPr>
              <w:t>操作手册或使用说明书</w:t>
            </w:r>
          </w:p>
        </w:tc>
      </w:tr>
      <w:tr>
        <w:tblPrEx>
          <w:tblCellMar>
            <w:top w:w="0" w:type="dxa"/>
            <w:left w:w="108" w:type="dxa"/>
            <w:bottom w:w="0" w:type="dxa"/>
            <w:right w:w="108" w:type="dxa"/>
          </w:tblCellMar>
        </w:tblPrEx>
        <w:trPr>
          <w:trHeight w:val="2040"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color w:val="000000"/>
                <w:sz w:val="24"/>
                <w:szCs w:val="24"/>
                <w:highlight w:val="none"/>
              </w:rPr>
            </w:pPr>
            <w:r>
              <w:rPr>
                <w:rFonts w:hint="eastAsia"/>
                <w:color w:val="000000"/>
                <w:sz w:val="24"/>
                <w:szCs w:val="24"/>
                <w:highlight w:val="none"/>
                <w:lang w:bidi="ar"/>
              </w:rPr>
              <w:t>2.18</w:t>
            </w:r>
          </w:p>
        </w:tc>
        <w:tc>
          <w:tcPr>
            <w:tcW w:w="870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b/>
                <w:bCs/>
                <w:color w:val="000000"/>
                <w:sz w:val="24"/>
                <w:szCs w:val="24"/>
                <w:highlight w:val="none"/>
                <w:lang w:bidi="ar"/>
              </w:rPr>
            </w:pPr>
            <w:r>
              <w:rPr>
                <w:rFonts w:hint="eastAsia"/>
                <w:b/>
                <w:bCs/>
                <w:color w:val="000000"/>
                <w:sz w:val="24"/>
                <w:szCs w:val="24"/>
                <w:highlight w:val="none"/>
                <w:lang w:bidi="ar"/>
              </w:rPr>
              <w:t>热消毒装置：</w:t>
            </w:r>
          </w:p>
          <w:p>
            <w:pPr>
              <w:widowControl/>
              <w:ind w:firstLine="480" w:firstLineChars="200"/>
              <w:textAlignment w:val="center"/>
              <w:rPr>
                <w:color w:val="000000"/>
                <w:sz w:val="24"/>
                <w:szCs w:val="24"/>
                <w:highlight w:val="none"/>
              </w:rPr>
            </w:pPr>
            <w:r>
              <w:rPr>
                <w:rFonts w:hint="eastAsia"/>
                <w:color w:val="000000"/>
                <w:sz w:val="24"/>
                <w:szCs w:val="24"/>
                <w:highlight w:val="none"/>
                <w:lang w:bidi="ar"/>
              </w:rPr>
              <w:t>数量1套；在标准大气压状态下，加热器应能提供被消毒区域内水温高于85℃并维持20 min以上所需的热量，满足现有血透床位输送管路总容量的1.5倍循环用水量；消毒时应触发声光警示程序，自动消毒时需经确认才能中途解除消毒程序；循环输送泵应具备24小时连续输送高温水不渗漏的能力；热绝缘伴随整个全闭路循环热消毒系统；能够监控温度，压力等重要参数，并在主机PLC控制中显示和储存；数据储存要求2年以上，期间被储存的数据随时可以调阅和打印。</w:t>
            </w:r>
          </w:p>
        </w:tc>
        <w:tc>
          <w:tcPr>
            <w:tcW w:w="49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color w:val="000000"/>
                <w:sz w:val="24"/>
                <w:szCs w:val="24"/>
                <w:highlight w:val="none"/>
              </w:rPr>
            </w:pPr>
            <w:r>
              <w:rPr>
                <w:rFonts w:hint="eastAsia"/>
                <w:color w:val="000000"/>
                <w:sz w:val="24"/>
                <w:szCs w:val="24"/>
                <w:highlight w:val="none"/>
                <w:lang w:val="en-US" w:eastAsia="zh-CN"/>
              </w:rPr>
              <w:t>提供</w:t>
            </w:r>
            <w:r>
              <w:rPr>
                <w:rFonts w:hint="eastAsia"/>
                <w:color w:val="000000"/>
                <w:sz w:val="24"/>
                <w:szCs w:val="24"/>
                <w:highlight w:val="none"/>
              </w:rPr>
              <w:t>操作手册或使用说明书及专利</w:t>
            </w:r>
          </w:p>
        </w:tc>
      </w:tr>
      <w:tr>
        <w:tblPrEx>
          <w:tblCellMar>
            <w:top w:w="0" w:type="dxa"/>
            <w:left w:w="108" w:type="dxa"/>
            <w:bottom w:w="0" w:type="dxa"/>
            <w:right w:w="108" w:type="dxa"/>
          </w:tblCellMar>
        </w:tblPrEx>
        <w:trPr>
          <w:trHeight w:val="620"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color w:val="000000"/>
                <w:sz w:val="24"/>
                <w:szCs w:val="24"/>
                <w:highlight w:val="none"/>
              </w:rPr>
            </w:pPr>
            <w:r>
              <w:rPr>
                <w:rFonts w:hint="eastAsia"/>
                <w:color w:val="000000"/>
                <w:sz w:val="24"/>
                <w:szCs w:val="24"/>
                <w:highlight w:val="none"/>
                <w:lang w:bidi="ar"/>
              </w:rPr>
              <w:t>2.19</w:t>
            </w:r>
          </w:p>
        </w:tc>
        <w:tc>
          <w:tcPr>
            <w:tcW w:w="870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b/>
                <w:bCs/>
                <w:color w:val="000000"/>
                <w:sz w:val="24"/>
                <w:szCs w:val="24"/>
                <w:highlight w:val="none"/>
                <w:lang w:bidi="ar"/>
              </w:rPr>
            </w:pPr>
            <w:r>
              <w:rPr>
                <w:rFonts w:hint="eastAsia"/>
                <w:b/>
                <w:bCs/>
                <w:color w:val="000000"/>
                <w:sz w:val="24"/>
                <w:szCs w:val="24"/>
                <w:highlight w:val="none"/>
                <w:lang w:bidi="ar"/>
              </w:rPr>
              <w:t>管件：</w:t>
            </w:r>
          </w:p>
          <w:p>
            <w:pPr>
              <w:widowControl/>
              <w:ind w:firstLine="480" w:firstLineChars="200"/>
              <w:jc w:val="left"/>
              <w:textAlignment w:val="center"/>
              <w:rPr>
                <w:color w:val="000000"/>
                <w:sz w:val="24"/>
                <w:szCs w:val="24"/>
                <w:highlight w:val="none"/>
              </w:rPr>
            </w:pPr>
            <w:r>
              <w:rPr>
                <w:rFonts w:hint="eastAsia"/>
                <w:color w:val="000000"/>
                <w:sz w:val="24"/>
                <w:szCs w:val="24"/>
                <w:highlight w:val="none"/>
                <w:lang w:bidi="ar"/>
              </w:rPr>
              <w:t>要求各用水子系统均采用返回至机房水处理装置的循环管路。机房原水至反渗透产水前要求使用SS304材质不锈钢管，自动氩弧焊接。</w:t>
            </w:r>
          </w:p>
        </w:tc>
        <w:tc>
          <w:tcPr>
            <w:tcW w:w="49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color w:val="000000"/>
                <w:sz w:val="24"/>
                <w:szCs w:val="24"/>
                <w:highlight w:val="none"/>
              </w:rPr>
            </w:pPr>
            <w:r>
              <w:rPr>
                <w:rFonts w:hint="eastAsia"/>
                <w:color w:val="000000"/>
                <w:sz w:val="24"/>
                <w:szCs w:val="24"/>
                <w:highlight w:val="none"/>
                <w:lang w:val="en-US" w:eastAsia="zh-CN"/>
              </w:rPr>
              <w:t>提供</w:t>
            </w:r>
            <w:r>
              <w:rPr>
                <w:rFonts w:hint="eastAsia"/>
                <w:color w:val="000000"/>
                <w:sz w:val="24"/>
                <w:szCs w:val="24"/>
                <w:highlight w:val="none"/>
                <w:lang w:eastAsia="zh-CN"/>
              </w:rPr>
              <w:t>以往同类项目</w:t>
            </w:r>
            <w:r>
              <w:rPr>
                <w:rFonts w:hint="eastAsia"/>
                <w:color w:val="000000"/>
                <w:sz w:val="24"/>
                <w:szCs w:val="24"/>
                <w:highlight w:val="none"/>
              </w:rPr>
              <w:t>使用报告及循环管路系统专利</w:t>
            </w:r>
          </w:p>
        </w:tc>
      </w:tr>
      <w:tr>
        <w:tblPrEx>
          <w:tblCellMar>
            <w:top w:w="0" w:type="dxa"/>
            <w:left w:w="108" w:type="dxa"/>
            <w:bottom w:w="0" w:type="dxa"/>
            <w:right w:w="108" w:type="dxa"/>
          </w:tblCellMar>
        </w:tblPrEx>
        <w:trPr>
          <w:trHeight w:val="1376" w:hRule="atLeast"/>
          <w:jc w:val="center"/>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color w:val="000000"/>
                <w:sz w:val="24"/>
                <w:szCs w:val="24"/>
                <w:highlight w:val="none"/>
              </w:rPr>
            </w:pPr>
            <w:r>
              <w:rPr>
                <w:rFonts w:hint="eastAsia"/>
                <w:color w:val="000000"/>
                <w:sz w:val="24"/>
                <w:szCs w:val="24"/>
                <w:highlight w:val="none"/>
                <w:lang w:bidi="ar"/>
              </w:rPr>
              <w:t>2.20</w:t>
            </w:r>
          </w:p>
        </w:tc>
        <w:tc>
          <w:tcPr>
            <w:tcW w:w="870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Times New Roman" w:hAnsi="Times New Roman" w:cs="Times New Roman"/>
                <w:b/>
                <w:bCs/>
                <w:kern w:val="2"/>
                <w:sz w:val="21"/>
                <w:szCs w:val="32"/>
                <w:highlight w:val="none"/>
              </w:rPr>
            </w:pPr>
            <w:r>
              <w:rPr>
                <w:rFonts w:hint="eastAsia" w:ascii="Times New Roman" w:hAnsi="Times New Roman" w:cs="Times New Roman"/>
                <w:b/>
                <w:bCs/>
                <w:kern w:val="2"/>
                <w:sz w:val="21"/>
                <w:szCs w:val="32"/>
                <w:highlight w:val="none"/>
              </w:rPr>
              <w:t>系统控制要求：</w:t>
            </w:r>
          </w:p>
          <w:p>
            <w:pPr>
              <w:widowControl/>
              <w:ind w:firstLine="480" w:firstLineChars="200"/>
              <w:jc w:val="left"/>
              <w:textAlignment w:val="center"/>
              <w:rPr>
                <w:color w:val="000000"/>
                <w:sz w:val="24"/>
                <w:szCs w:val="24"/>
                <w:highlight w:val="none"/>
                <w:lang w:bidi="ar"/>
              </w:rPr>
            </w:pPr>
            <w:r>
              <w:rPr>
                <w:rFonts w:hint="eastAsia"/>
                <w:color w:val="000000"/>
                <w:sz w:val="24"/>
                <w:szCs w:val="24"/>
                <w:highlight w:val="none"/>
                <w:lang w:bidi="ar"/>
              </w:rPr>
              <w:t>本系统全自动运行，系统自动控制分本地设备控制和集中运行控制，本地控制至少提供中央运行机组和血透水机的独立控制，集中运行控制采用服务器或高性能工控机运行平台，通过网络通讯进行无缝连接，在脱离集中控制时本地控制能独立操作不影响正常使用并能提供不少于48小时运行记录。提供网络远程监控功能，支持实时故障报警与自动故障隔离并提供历史数据存档，为医院建筑智能化系统留有集成接口以便集中管理（只监不控），提供分级（不少于5级）的用户权限管理，确保系统安全。</w:t>
            </w:r>
          </w:p>
          <w:p>
            <w:pPr>
              <w:widowControl/>
              <w:ind w:firstLine="480" w:firstLineChars="200"/>
              <w:jc w:val="left"/>
              <w:textAlignment w:val="center"/>
              <w:rPr>
                <w:color w:val="000000"/>
                <w:sz w:val="24"/>
                <w:szCs w:val="24"/>
                <w:highlight w:val="none"/>
                <w:lang w:bidi="ar"/>
              </w:rPr>
            </w:pPr>
            <w:r>
              <w:rPr>
                <w:rFonts w:hint="eastAsia"/>
                <w:color w:val="000000"/>
                <w:sz w:val="24"/>
                <w:szCs w:val="24"/>
                <w:highlight w:val="none"/>
                <w:lang w:bidi="ar"/>
              </w:rPr>
              <w:t>本地全中文智能控制系统在线监测设备运行状态，人机界面操作，多种工作界面供用户选择，系统运行信息记录功能便于设备运行状况的检查。智能安全密码操作进入统提高设备运行的安全性。</w:t>
            </w:r>
          </w:p>
          <w:p>
            <w:pPr>
              <w:widowControl/>
              <w:ind w:firstLine="480" w:firstLineChars="200"/>
              <w:jc w:val="left"/>
              <w:textAlignment w:val="center"/>
              <w:rPr>
                <w:color w:val="000000"/>
                <w:sz w:val="24"/>
                <w:szCs w:val="24"/>
                <w:highlight w:val="none"/>
                <w:lang w:bidi="ar"/>
              </w:rPr>
            </w:pPr>
            <w:r>
              <w:rPr>
                <w:rFonts w:hint="eastAsia"/>
                <w:color w:val="000000"/>
                <w:sz w:val="24"/>
                <w:szCs w:val="24"/>
                <w:highlight w:val="none"/>
                <w:lang w:bidi="ar"/>
              </w:rPr>
              <w:t>全自动控制的基本要求：</w:t>
            </w:r>
          </w:p>
          <w:p>
            <w:pPr>
              <w:widowControl/>
              <w:numPr>
                <w:ilvl w:val="0"/>
                <w:numId w:val="37"/>
              </w:numPr>
              <w:jc w:val="left"/>
              <w:textAlignment w:val="center"/>
              <w:rPr>
                <w:color w:val="000000"/>
                <w:sz w:val="24"/>
                <w:szCs w:val="24"/>
                <w:highlight w:val="none"/>
                <w:lang w:bidi="ar"/>
              </w:rPr>
            </w:pPr>
            <w:r>
              <w:rPr>
                <w:rFonts w:hint="eastAsia"/>
                <w:color w:val="000000"/>
                <w:sz w:val="24"/>
                <w:szCs w:val="24"/>
                <w:highlight w:val="none"/>
                <w:lang w:bidi="ar"/>
              </w:rPr>
              <w:t>统计并计量各水质用水量，提供详实的任意时段的数据统计报表；</w:t>
            </w:r>
          </w:p>
          <w:p>
            <w:pPr>
              <w:widowControl/>
              <w:numPr>
                <w:ilvl w:val="0"/>
                <w:numId w:val="37"/>
              </w:numPr>
              <w:jc w:val="left"/>
              <w:textAlignment w:val="center"/>
              <w:rPr>
                <w:color w:val="000000"/>
                <w:sz w:val="24"/>
                <w:szCs w:val="24"/>
                <w:highlight w:val="none"/>
                <w:lang w:bidi="ar"/>
              </w:rPr>
            </w:pPr>
            <w:r>
              <w:rPr>
                <w:rFonts w:hint="eastAsia"/>
                <w:color w:val="000000"/>
                <w:sz w:val="24"/>
                <w:szCs w:val="24"/>
                <w:highlight w:val="none"/>
                <w:lang w:bidi="ar"/>
              </w:rPr>
              <w:t>系统运行参数、运行状况、水质监测、压力、流量及各水箱液位参数均能够在线显示并记录；</w:t>
            </w:r>
          </w:p>
          <w:p>
            <w:pPr>
              <w:widowControl/>
              <w:numPr>
                <w:ilvl w:val="0"/>
                <w:numId w:val="37"/>
              </w:numPr>
              <w:jc w:val="left"/>
              <w:textAlignment w:val="center"/>
              <w:rPr>
                <w:color w:val="000000"/>
                <w:sz w:val="24"/>
                <w:szCs w:val="24"/>
                <w:highlight w:val="none"/>
                <w:lang w:bidi="ar"/>
              </w:rPr>
            </w:pPr>
            <w:r>
              <w:rPr>
                <w:rFonts w:hint="eastAsia"/>
                <w:color w:val="000000"/>
                <w:sz w:val="24"/>
                <w:szCs w:val="24"/>
                <w:highlight w:val="none"/>
                <w:lang w:bidi="ar"/>
              </w:rPr>
              <w:t>原水箱低液位自动报警功能；</w:t>
            </w:r>
          </w:p>
          <w:p>
            <w:pPr>
              <w:widowControl/>
              <w:numPr>
                <w:ilvl w:val="0"/>
                <w:numId w:val="37"/>
              </w:numPr>
              <w:jc w:val="left"/>
              <w:textAlignment w:val="center"/>
              <w:rPr>
                <w:color w:val="000000"/>
                <w:sz w:val="24"/>
                <w:szCs w:val="24"/>
                <w:highlight w:val="none"/>
                <w:lang w:bidi="ar"/>
              </w:rPr>
            </w:pPr>
            <w:r>
              <w:rPr>
                <w:rFonts w:hint="eastAsia"/>
                <w:color w:val="000000"/>
                <w:sz w:val="24"/>
                <w:szCs w:val="24"/>
                <w:highlight w:val="none"/>
                <w:lang w:bidi="ar"/>
              </w:rPr>
              <w:t>原水泵遇故障报警并自动开启备用泵功能；</w:t>
            </w:r>
          </w:p>
          <w:p>
            <w:pPr>
              <w:widowControl/>
              <w:numPr>
                <w:ilvl w:val="0"/>
                <w:numId w:val="37"/>
              </w:numPr>
              <w:jc w:val="left"/>
              <w:textAlignment w:val="center"/>
              <w:rPr>
                <w:color w:val="000000"/>
                <w:sz w:val="24"/>
                <w:szCs w:val="24"/>
                <w:highlight w:val="none"/>
                <w:lang w:bidi="ar"/>
              </w:rPr>
            </w:pPr>
            <w:r>
              <w:rPr>
                <w:rFonts w:hint="eastAsia"/>
                <w:color w:val="000000"/>
                <w:sz w:val="24"/>
                <w:szCs w:val="24"/>
                <w:highlight w:val="none"/>
                <w:lang w:bidi="ar"/>
              </w:rPr>
              <w:t>纯水水质电导、电阻超标自动报警并延时停机功能；</w:t>
            </w:r>
          </w:p>
          <w:p>
            <w:pPr>
              <w:widowControl/>
              <w:numPr>
                <w:ilvl w:val="0"/>
                <w:numId w:val="37"/>
              </w:numPr>
              <w:jc w:val="left"/>
              <w:textAlignment w:val="center"/>
              <w:rPr>
                <w:color w:val="000000"/>
                <w:sz w:val="24"/>
                <w:szCs w:val="24"/>
                <w:highlight w:val="none"/>
                <w:lang w:bidi="ar"/>
              </w:rPr>
            </w:pPr>
            <w:r>
              <w:rPr>
                <w:rFonts w:hint="eastAsia"/>
                <w:color w:val="000000"/>
                <w:sz w:val="24"/>
                <w:szCs w:val="24"/>
                <w:highlight w:val="none"/>
                <w:lang w:bidi="ar"/>
              </w:rPr>
              <w:t>制水运行中任一时段水质数据的自动检索功能；</w:t>
            </w:r>
          </w:p>
          <w:p>
            <w:pPr>
              <w:widowControl/>
              <w:numPr>
                <w:ilvl w:val="0"/>
                <w:numId w:val="37"/>
              </w:numPr>
              <w:jc w:val="left"/>
              <w:textAlignment w:val="center"/>
              <w:rPr>
                <w:color w:val="000000"/>
                <w:sz w:val="24"/>
                <w:szCs w:val="24"/>
                <w:highlight w:val="none"/>
                <w:lang w:bidi="ar"/>
              </w:rPr>
            </w:pPr>
            <w:r>
              <w:rPr>
                <w:rFonts w:hint="eastAsia"/>
                <w:color w:val="000000"/>
                <w:sz w:val="24"/>
                <w:szCs w:val="24"/>
                <w:highlight w:val="none"/>
                <w:lang w:bidi="ar"/>
              </w:rPr>
              <w:t>遇原水箱低液位情况或原水压力过低RO泵自动保护功能；</w:t>
            </w:r>
          </w:p>
          <w:p>
            <w:pPr>
              <w:widowControl/>
              <w:numPr>
                <w:ilvl w:val="0"/>
                <w:numId w:val="37"/>
              </w:numPr>
              <w:jc w:val="left"/>
              <w:textAlignment w:val="center"/>
              <w:rPr>
                <w:color w:val="000000"/>
                <w:sz w:val="24"/>
                <w:szCs w:val="24"/>
                <w:highlight w:val="none"/>
                <w:lang w:bidi="ar"/>
              </w:rPr>
            </w:pPr>
            <w:r>
              <w:rPr>
                <w:rFonts w:hint="eastAsia"/>
                <w:color w:val="000000"/>
                <w:sz w:val="24"/>
                <w:szCs w:val="24"/>
                <w:highlight w:val="none"/>
                <w:lang w:bidi="ar"/>
              </w:rPr>
              <w:t>纯水箱高液位自动停止制水；</w:t>
            </w:r>
          </w:p>
          <w:p>
            <w:pPr>
              <w:widowControl/>
              <w:numPr>
                <w:ilvl w:val="0"/>
                <w:numId w:val="37"/>
              </w:numPr>
              <w:jc w:val="left"/>
              <w:textAlignment w:val="center"/>
              <w:rPr>
                <w:color w:val="000000"/>
                <w:sz w:val="24"/>
                <w:szCs w:val="24"/>
                <w:highlight w:val="none"/>
                <w:lang w:bidi="ar"/>
              </w:rPr>
            </w:pPr>
            <w:r>
              <w:rPr>
                <w:rFonts w:hint="eastAsia"/>
                <w:color w:val="000000"/>
                <w:sz w:val="24"/>
                <w:szCs w:val="24"/>
                <w:highlight w:val="none"/>
                <w:lang w:bidi="ar"/>
              </w:rPr>
              <w:t>纯水输送泵遇故障报警并自动开启备用泵功能；</w:t>
            </w:r>
          </w:p>
          <w:p>
            <w:pPr>
              <w:widowControl/>
              <w:numPr>
                <w:ilvl w:val="0"/>
                <w:numId w:val="37"/>
              </w:numPr>
              <w:jc w:val="left"/>
              <w:textAlignment w:val="center"/>
              <w:rPr>
                <w:color w:val="000000"/>
                <w:sz w:val="24"/>
                <w:szCs w:val="24"/>
                <w:highlight w:val="none"/>
                <w:lang w:bidi="ar"/>
              </w:rPr>
            </w:pPr>
            <w:r>
              <w:rPr>
                <w:rFonts w:hint="eastAsia"/>
                <w:color w:val="000000"/>
                <w:sz w:val="24"/>
                <w:szCs w:val="24"/>
                <w:highlight w:val="none"/>
                <w:lang w:bidi="ar"/>
              </w:rPr>
              <w:t>对停水、停电、过载、管道漏水等非正常状态具有自动检测、保护、报警及处理功能；</w:t>
            </w:r>
          </w:p>
          <w:p>
            <w:pPr>
              <w:widowControl/>
              <w:numPr>
                <w:ilvl w:val="0"/>
                <w:numId w:val="37"/>
              </w:numPr>
              <w:jc w:val="left"/>
              <w:textAlignment w:val="center"/>
              <w:rPr>
                <w:color w:val="000000"/>
                <w:sz w:val="24"/>
                <w:szCs w:val="24"/>
                <w:highlight w:val="none"/>
                <w:lang w:bidi="ar"/>
              </w:rPr>
            </w:pPr>
            <w:r>
              <w:rPr>
                <w:rFonts w:hint="eastAsia"/>
                <w:color w:val="000000"/>
                <w:sz w:val="24"/>
                <w:szCs w:val="24"/>
                <w:highlight w:val="none"/>
                <w:lang w:bidi="ar"/>
              </w:rPr>
              <w:t>各部分水质、水量、工作水压力在线自动检测功能；</w:t>
            </w:r>
          </w:p>
          <w:p>
            <w:pPr>
              <w:widowControl/>
              <w:numPr>
                <w:ilvl w:val="0"/>
                <w:numId w:val="37"/>
              </w:numPr>
              <w:jc w:val="left"/>
              <w:textAlignment w:val="center"/>
              <w:rPr>
                <w:color w:val="000000"/>
                <w:sz w:val="24"/>
                <w:szCs w:val="24"/>
                <w:highlight w:val="none"/>
                <w:lang w:bidi="ar"/>
              </w:rPr>
            </w:pPr>
            <w:r>
              <w:rPr>
                <w:rFonts w:hint="eastAsia"/>
                <w:color w:val="000000"/>
                <w:sz w:val="24"/>
                <w:szCs w:val="24"/>
                <w:highlight w:val="none"/>
                <w:lang w:bidi="ar"/>
              </w:rPr>
              <w:t>提供远程管理与监控：智能控制系统在线监测设备运行状态，人机界面操作，多种工作界面供用户选择，系统运行信息记录功能便于设备运行状况的检查。智能安全密码操作进入系统，提高设备运行的安全性。支持实时故障报警与自动故障隔离并提供历史数据存档，控制系统安装在BA控制中心，投标人提供工控机、小型监视器及配套软硬件，提供分级的用户权限管理，确保系统安全。</w:t>
            </w:r>
          </w:p>
          <w:p>
            <w:pPr>
              <w:widowControl/>
              <w:numPr>
                <w:ilvl w:val="0"/>
                <w:numId w:val="37"/>
              </w:numPr>
              <w:jc w:val="left"/>
              <w:textAlignment w:val="center"/>
              <w:rPr>
                <w:color w:val="000000"/>
                <w:sz w:val="24"/>
                <w:szCs w:val="24"/>
                <w:highlight w:val="none"/>
                <w:lang w:bidi="ar"/>
              </w:rPr>
            </w:pPr>
            <w:r>
              <w:rPr>
                <w:rFonts w:hint="eastAsia"/>
                <w:color w:val="000000"/>
                <w:sz w:val="24"/>
                <w:szCs w:val="24"/>
                <w:highlight w:val="none"/>
                <w:lang w:bidi="ar"/>
              </w:rPr>
              <w:t>控制系统实现整套水处理系统的自动控制，同时保留手动功能以备应急之需；</w:t>
            </w:r>
          </w:p>
          <w:p>
            <w:pPr>
              <w:widowControl/>
              <w:numPr>
                <w:ilvl w:val="0"/>
                <w:numId w:val="37"/>
              </w:numPr>
              <w:jc w:val="left"/>
              <w:textAlignment w:val="center"/>
              <w:rPr>
                <w:color w:val="000000"/>
                <w:sz w:val="24"/>
                <w:szCs w:val="24"/>
                <w:highlight w:val="none"/>
                <w:lang w:bidi="ar"/>
              </w:rPr>
            </w:pPr>
            <w:r>
              <w:rPr>
                <w:rFonts w:hint="eastAsia"/>
                <w:color w:val="000000"/>
                <w:sz w:val="24"/>
                <w:szCs w:val="24"/>
                <w:highlight w:val="none"/>
                <w:lang w:bidi="ar"/>
              </w:rPr>
              <w:t>制水机组长期运行安静平稳。</w:t>
            </w:r>
          </w:p>
          <w:p>
            <w:pPr>
              <w:widowControl/>
              <w:numPr>
                <w:ilvl w:val="0"/>
                <w:numId w:val="37"/>
              </w:numPr>
              <w:jc w:val="left"/>
              <w:textAlignment w:val="center"/>
              <w:rPr>
                <w:color w:val="000000"/>
                <w:sz w:val="24"/>
                <w:szCs w:val="24"/>
                <w:highlight w:val="none"/>
                <w:lang w:bidi="ar"/>
              </w:rPr>
            </w:pPr>
            <w:r>
              <w:rPr>
                <w:rFonts w:hint="eastAsia"/>
                <w:color w:val="000000"/>
                <w:sz w:val="24"/>
                <w:szCs w:val="24"/>
                <w:highlight w:val="none"/>
                <w:lang w:bidi="ar"/>
              </w:rPr>
              <w:t>控制方式采用进口PLC+触摸屏全自动控制方式，实时在线监测和记录各参数，实时显示设备各部件的工作状态，能分别设定周一至周日每天的开关机时间和定时冲洗时间，具有自我诊断控制、文字及指示灯提示和实时报警功能，夜间工作可根据实际情况进行分段设定，具备手动和自动两种工作模式可供选择，可扩展至远程监控功能。</w:t>
            </w:r>
          </w:p>
          <w:p>
            <w:pPr>
              <w:widowControl/>
              <w:numPr>
                <w:ilvl w:val="0"/>
                <w:numId w:val="37"/>
              </w:numPr>
              <w:jc w:val="left"/>
              <w:textAlignment w:val="center"/>
              <w:rPr>
                <w:color w:val="000000"/>
                <w:sz w:val="24"/>
                <w:szCs w:val="24"/>
                <w:highlight w:val="none"/>
              </w:rPr>
            </w:pPr>
            <w:r>
              <w:rPr>
                <w:rFonts w:hint="eastAsia"/>
                <w:color w:val="000000"/>
                <w:sz w:val="24"/>
                <w:szCs w:val="24"/>
                <w:highlight w:val="none"/>
                <w:lang w:bidi="ar"/>
              </w:rPr>
              <w:t>自控系统是整套设备的控制中心，该系统设计时必须保证7*24H的可靠性，同时提供本地分控及远程监控的能力。</w:t>
            </w:r>
          </w:p>
        </w:tc>
        <w:tc>
          <w:tcPr>
            <w:tcW w:w="49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color w:val="000000"/>
                <w:sz w:val="24"/>
                <w:szCs w:val="24"/>
                <w:highlight w:val="none"/>
              </w:rPr>
            </w:pPr>
            <w:r>
              <w:rPr>
                <w:rFonts w:hint="eastAsia"/>
                <w:color w:val="000000"/>
                <w:sz w:val="24"/>
                <w:szCs w:val="24"/>
                <w:highlight w:val="none"/>
                <w:lang w:val="en-US" w:eastAsia="zh-CN"/>
              </w:rPr>
              <w:t>提供</w:t>
            </w:r>
            <w:r>
              <w:rPr>
                <w:rFonts w:hint="eastAsia"/>
                <w:color w:val="000000"/>
                <w:sz w:val="24"/>
                <w:szCs w:val="24"/>
                <w:highlight w:val="none"/>
                <w:lang w:eastAsia="zh-CN"/>
              </w:rPr>
              <w:t>以往同类项目</w:t>
            </w:r>
            <w:r>
              <w:rPr>
                <w:rFonts w:hint="eastAsia"/>
                <w:color w:val="000000"/>
                <w:sz w:val="24"/>
                <w:szCs w:val="24"/>
                <w:highlight w:val="none"/>
              </w:rPr>
              <w:t>使用报告或</w:t>
            </w:r>
            <w:r>
              <w:rPr>
                <w:rFonts w:hint="eastAsia"/>
                <w:color w:val="000000"/>
                <w:sz w:val="24"/>
                <w:szCs w:val="24"/>
                <w:highlight w:val="none"/>
                <w:lang w:eastAsia="zh-CN"/>
              </w:rPr>
              <w:t>以往同类项目</w:t>
            </w:r>
            <w:r>
              <w:rPr>
                <w:rFonts w:hint="eastAsia"/>
                <w:color w:val="000000"/>
                <w:sz w:val="24"/>
                <w:szCs w:val="24"/>
                <w:highlight w:val="none"/>
              </w:rPr>
              <w:t>上控制系统截屏及软件著作权证书</w:t>
            </w:r>
          </w:p>
        </w:tc>
      </w:tr>
      <w:tr>
        <w:tblPrEx>
          <w:tblCellMar>
            <w:top w:w="0" w:type="dxa"/>
            <w:left w:w="108" w:type="dxa"/>
            <w:bottom w:w="0" w:type="dxa"/>
            <w:right w:w="108" w:type="dxa"/>
          </w:tblCellMar>
        </w:tblPrEx>
        <w:trPr>
          <w:trHeight w:val="1376" w:hRule="atLeast"/>
          <w:jc w:val="center"/>
        </w:trPr>
        <w:tc>
          <w:tcPr>
            <w:tcW w:w="1441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b/>
                <w:bCs/>
                <w:color w:val="000000"/>
                <w:sz w:val="24"/>
                <w:szCs w:val="24"/>
                <w:highlight w:val="none"/>
                <w:lang w:val="en-US" w:eastAsia="zh-CN"/>
              </w:rPr>
            </w:pPr>
            <w:r>
              <w:rPr>
                <w:rFonts w:hint="eastAsia"/>
                <w:b/>
                <w:bCs/>
                <w:color w:val="000000"/>
                <w:sz w:val="24"/>
                <w:szCs w:val="24"/>
                <w:highlight w:val="none"/>
                <w:lang w:val="en-US" w:eastAsia="zh-CN"/>
              </w:rPr>
              <w:t>注：1.上述要求提供的书面证明资料，均须在投标文件中提供原件的扫描件，并加盖投标人电子印章；</w:t>
            </w:r>
          </w:p>
          <w:p>
            <w:pPr>
              <w:widowControl/>
              <w:ind w:firstLine="482" w:firstLineChars="200"/>
              <w:jc w:val="left"/>
              <w:textAlignment w:val="center"/>
              <w:rPr>
                <w:rFonts w:hint="eastAsia"/>
                <w:b/>
                <w:bCs/>
                <w:color w:val="000000"/>
                <w:sz w:val="24"/>
                <w:szCs w:val="24"/>
                <w:highlight w:val="none"/>
                <w:lang w:val="en-US" w:eastAsia="zh-CN"/>
              </w:rPr>
            </w:pPr>
            <w:r>
              <w:rPr>
                <w:rFonts w:hint="eastAsia"/>
                <w:b/>
                <w:bCs/>
                <w:color w:val="000000"/>
                <w:sz w:val="24"/>
                <w:szCs w:val="24"/>
                <w:highlight w:val="none"/>
                <w:lang w:val="en-US" w:eastAsia="zh-CN"/>
              </w:rPr>
              <w:t>2.投标人的产品技术要求应当采用表中所列标准，投标人的产品技术要求采用的标准非表中所列标准的，应当提供与表中所列标准同等的其他权威标准，并应当提供能证明其产品采用的标准与表中所列标准具备同等权威性的证明资料（如标准互认协议、标准互认办法或其产品采用的标准管理机构出具的与表中所列标准具备同等效力的书面证明文件等），否则不予认可；</w:t>
            </w:r>
          </w:p>
          <w:p>
            <w:pPr>
              <w:widowControl/>
              <w:ind w:firstLine="482" w:firstLineChars="200"/>
              <w:jc w:val="left"/>
              <w:textAlignment w:val="center"/>
              <w:rPr>
                <w:rFonts w:hint="eastAsia"/>
                <w:color w:val="000000"/>
                <w:sz w:val="24"/>
                <w:szCs w:val="24"/>
                <w:highlight w:val="none"/>
                <w:lang w:val="en-US" w:eastAsia="zh-CN"/>
              </w:rPr>
            </w:pPr>
            <w:r>
              <w:rPr>
                <w:rFonts w:hint="eastAsia"/>
                <w:b/>
                <w:bCs/>
                <w:color w:val="000000"/>
                <w:sz w:val="24"/>
                <w:szCs w:val="24"/>
                <w:highlight w:val="none"/>
                <w:lang w:val="en-US" w:eastAsia="zh-CN"/>
              </w:rPr>
              <w:t>3.评标委员会评标时需同时参考文件中提供的推荐品牌（详见《设备材料清单》P.49）进行评审，投标人的投标产品应当采用推荐品牌或相当于推荐品牌的同档次品牌。无论是否采用推荐品牌，其产品技术参数均应当满足招标文件要求。采用非推荐品牌的，投标人应当能自证其品牌与推荐品牌同档次，并由评标委员会统一认定其品牌与推荐品牌的档次符合性，否则，对应的标记“▲”的重要参数评分不予记分。</w:t>
            </w:r>
          </w:p>
        </w:tc>
      </w:tr>
    </w:tbl>
    <w:p>
      <w:pPr>
        <w:tabs>
          <w:tab w:val="left" w:pos="0"/>
        </w:tabs>
        <w:spacing w:line="360" w:lineRule="auto"/>
        <w:ind w:left="0" w:leftChars="0" w:firstLine="0" w:firstLineChars="0"/>
        <w:jc w:val="left"/>
        <w:rPr>
          <w:rFonts w:hint="eastAsia" w:ascii="宋体" w:hAnsi="宋体" w:eastAsia="宋体" w:cs="宋体"/>
          <w:b/>
          <w:color w:val="auto"/>
          <w:sz w:val="24"/>
          <w:szCs w:val="24"/>
          <w:highlight w:val="none"/>
          <w:lang w:eastAsia="zh-CN"/>
        </w:rPr>
        <w:sectPr>
          <w:pgSz w:w="16838" w:h="11906" w:orient="landscape"/>
          <w:pgMar w:top="1077" w:right="1440" w:bottom="1077" w:left="1440" w:header="851" w:footer="992" w:gutter="284"/>
          <w:cols w:space="720" w:num="1"/>
          <w:docGrid w:type="lines" w:linePitch="312" w:charSpace="0"/>
        </w:sectPr>
      </w:pPr>
    </w:p>
    <w:p>
      <w:pPr>
        <w:tabs>
          <w:tab w:val="left" w:pos="0"/>
        </w:tabs>
        <w:spacing w:line="360" w:lineRule="auto"/>
        <w:ind w:left="0" w:leftChars="0" w:firstLine="0" w:firstLineChars="0"/>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B、资信部分</w:t>
      </w:r>
      <w:r>
        <w:rPr>
          <w:rFonts w:hint="eastAsia" w:ascii="宋体" w:hAnsi="宋体" w:eastAsia="宋体" w:cs="宋体"/>
          <w:b/>
          <w:color w:val="auto"/>
          <w:sz w:val="24"/>
          <w:szCs w:val="24"/>
          <w:highlight w:val="none"/>
          <w:lang w:eastAsia="zh-CN"/>
        </w:rPr>
        <w:t>（</w:t>
      </w:r>
      <w:r>
        <w:rPr>
          <w:rFonts w:hint="eastAsia" w:cs="宋体"/>
          <w:b/>
          <w:color w:val="auto"/>
          <w:sz w:val="24"/>
          <w:szCs w:val="24"/>
          <w:highlight w:val="none"/>
          <w:lang w:val="en-US" w:eastAsia="zh-CN"/>
        </w:rPr>
        <w:t>8</w:t>
      </w:r>
      <w:r>
        <w:rPr>
          <w:rFonts w:hint="eastAsia" w:ascii="宋体" w:hAnsi="宋体" w:eastAsia="宋体" w:cs="宋体"/>
          <w:b/>
          <w:color w:val="auto"/>
          <w:sz w:val="24"/>
          <w:szCs w:val="24"/>
          <w:highlight w:val="none"/>
        </w:rPr>
        <w:t>分</w:t>
      </w:r>
      <w:r>
        <w:rPr>
          <w:rFonts w:hint="eastAsia" w:ascii="宋体" w:hAnsi="宋体" w:eastAsia="宋体" w:cs="宋体"/>
          <w:b/>
          <w:color w:val="auto"/>
          <w:sz w:val="24"/>
          <w:szCs w:val="24"/>
          <w:highlight w:val="none"/>
          <w:lang w:eastAsia="zh-CN"/>
        </w:rPr>
        <w:t>）</w:t>
      </w:r>
    </w:p>
    <w:p>
      <w:pPr>
        <w:tabs>
          <w:tab w:val="left" w:pos="0"/>
        </w:tabs>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评标委员会对照评分细则和投标书充分讨论后，按照少数服从多数的原则，集体统一评分。</w:t>
      </w:r>
      <w:r>
        <w:rPr>
          <w:rFonts w:hint="eastAsia" w:ascii="宋体" w:hAnsi="宋体" w:eastAsia="宋体" w:cs="宋体"/>
          <w:color w:val="auto"/>
          <w:sz w:val="24"/>
          <w:szCs w:val="24"/>
          <w:highlight w:val="none"/>
          <w:lang w:val="en-US" w:eastAsia="zh-CN"/>
        </w:rPr>
        <w:t xml:space="preserve"> </w:t>
      </w:r>
    </w:p>
    <w:tbl>
      <w:tblPr>
        <w:tblStyle w:val="32"/>
        <w:tblW w:w="4994" w:type="pct"/>
        <w:tblInd w:w="0" w:type="dxa"/>
        <w:tblLayout w:type="autofit"/>
        <w:tblCellMar>
          <w:top w:w="0" w:type="dxa"/>
          <w:left w:w="108" w:type="dxa"/>
          <w:bottom w:w="0" w:type="dxa"/>
          <w:right w:w="108" w:type="dxa"/>
        </w:tblCellMar>
      </w:tblPr>
      <w:tblGrid>
        <w:gridCol w:w="857"/>
        <w:gridCol w:w="1658"/>
        <w:gridCol w:w="6300"/>
        <w:gridCol w:w="857"/>
      </w:tblGrid>
      <w:tr>
        <w:tblPrEx>
          <w:tblCellMar>
            <w:top w:w="0" w:type="dxa"/>
            <w:left w:w="108" w:type="dxa"/>
            <w:bottom w:w="0" w:type="dxa"/>
            <w:right w:w="108" w:type="dxa"/>
          </w:tblCellMar>
        </w:tblPrEx>
        <w:trPr>
          <w:trHeight w:val="784" w:hRule="atLeast"/>
        </w:trPr>
        <w:tc>
          <w:tcPr>
            <w:tcW w:w="443" w:type="pct"/>
            <w:tcBorders>
              <w:top w:val="single" w:color="auto" w:sz="4" w:space="0"/>
              <w:left w:val="single" w:color="auto" w:sz="4" w:space="0"/>
              <w:bottom w:val="single" w:color="auto" w:sz="4" w:space="0"/>
              <w:right w:val="single" w:color="auto" w:sz="4" w:space="0"/>
            </w:tcBorders>
            <w:shd w:val="clear" w:color="auto" w:fill="D7D7D7"/>
            <w:noWrap w:val="0"/>
            <w:vAlign w:val="center"/>
          </w:tcPr>
          <w:p>
            <w:pPr>
              <w:widowControl/>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857" w:type="pct"/>
            <w:tcBorders>
              <w:top w:val="single" w:color="auto" w:sz="4" w:space="0"/>
              <w:left w:val="nil"/>
              <w:bottom w:val="single" w:color="auto" w:sz="4" w:space="0"/>
              <w:right w:val="single" w:color="auto" w:sz="4" w:space="0"/>
            </w:tcBorders>
            <w:shd w:val="clear" w:color="auto" w:fill="D7D7D7"/>
            <w:noWrap w:val="0"/>
            <w:vAlign w:val="center"/>
          </w:tcPr>
          <w:p>
            <w:pPr>
              <w:widowControl/>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评标项目</w:t>
            </w:r>
          </w:p>
        </w:tc>
        <w:tc>
          <w:tcPr>
            <w:tcW w:w="3254" w:type="pct"/>
            <w:tcBorders>
              <w:top w:val="single" w:color="auto" w:sz="4" w:space="0"/>
              <w:left w:val="nil"/>
              <w:bottom w:val="single" w:color="auto" w:sz="4" w:space="0"/>
              <w:right w:val="single" w:color="auto" w:sz="4" w:space="0"/>
            </w:tcBorders>
            <w:shd w:val="clear" w:color="auto" w:fill="D7D7D7"/>
            <w:noWrap w:val="0"/>
            <w:vAlign w:val="center"/>
          </w:tcPr>
          <w:p>
            <w:pPr>
              <w:widowControl/>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评分细则</w:t>
            </w:r>
          </w:p>
        </w:tc>
        <w:tc>
          <w:tcPr>
            <w:tcW w:w="443" w:type="pct"/>
            <w:tcBorders>
              <w:top w:val="single" w:color="auto" w:sz="4" w:space="0"/>
              <w:left w:val="nil"/>
              <w:bottom w:val="single" w:color="auto" w:sz="4" w:space="0"/>
              <w:right w:val="single" w:color="auto" w:sz="4" w:space="0"/>
            </w:tcBorders>
            <w:shd w:val="clear" w:color="auto" w:fill="D7D7D7"/>
            <w:noWrap w:val="0"/>
            <w:vAlign w:val="center"/>
          </w:tcPr>
          <w:p>
            <w:pPr>
              <w:widowControl/>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分值</w:t>
            </w:r>
          </w:p>
        </w:tc>
      </w:tr>
      <w:tr>
        <w:tblPrEx>
          <w:tblCellMar>
            <w:top w:w="0" w:type="dxa"/>
            <w:left w:w="108" w:type="dxa"/>
            <w:bottom w:w="0" w:type="dxa"/>
            <w:right w:w="108" w:type="dxa"/>
          </w:tblCellMar>
        </w:tblPrEx>
        <w:trPr>
          <w:trHeight w:val="557" w:hRule="atLeast"/>
        </w:trPr>
        <w:tc>
          <w:tcPr>
            <w:tcW w:w="443" w:type="pc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1</w:t>
            </w:r>
          </w:p>
        </w:tc>
        <w:tc>
          <w:tcPr>
            <w:tcW w:w="857" w:type="pct"/>
            <w:tcBorders>
              <w:top w:val="single" w:color="auto" w:sz="4" w:space="0"/>
              <w:left w:val="single" w:color="auto" w:sz="4" w:space="0"/>
              <w:bottom w:val="single" w:color="auto" w:sz="4" w:space="0"/>
              <w:right w:val="single" w:color="auto" w:sz="4" w:space="0"/>
            </w:tcBorders>
            <w:shd w:val="clear" w:color="auto" w:fill="auto"/>
            <w:noWrap w:val="0"/>
            <w:vAlign w:val="center"/>
          </w:tcPr>
          <w:p>
            <w:pPr>
              <w:keepNext w:val="0"/>
              <w:keepLines w:val="0"/>
              <w:pageBreakBefore w:val="0"/>
              <w:kinsoku/>
              <w:wordWrap w:val="0"/>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类似业绩</w:t>
            </w:r>
          </w:p>
        </w:tc>
        <w:tc>
          <w:tcPr>
            <w:tcW w:w="3254" w:type="pct"/>
            <w:tcBorders>
              <w:top w:val="single" w:color="auto" w:sz="4" w:space="0"/>
              <w:left w:val="single" w:color="auto" w:sz="4" w:space="0"/>
              <w:bottom w:val="single" w:color="auto" w:sz="4" w:space="0"/>
              <w:right w:val="single" w:color="auto" w:sz="4" w:space="0"/>
            </w:tcBorders>
            <w:shd w:val="clear" w:color="auto" w:fill="FFFFFF"/>
            <w:noWrap w:val="0"/>
            <w:vAlign w:val="center"/>
          </w:tcPr>
          <w:p>
            <w:pPr>
              <w:keepNext w:val="0"/>
              <w:keepLines w:val="0"/>
              <w:pageBreakBefore w:val="0"/>
              <w:kinsoku/>
              <w:wordWrap w:val="0"/>
              <w:overflowPunct/>
              <w:topLinePunct w:val="0"/>
              <w:autoSpaceDE/>
              <w:autoSpaceDN/>
              <w:bidi w:val="0"/>
              <w:adjustRightInd w:val="0"/>
              <w:snapToGrid w:val="0"/>
              <w:spacing w:line="360" w:lineRule="auto"/>
              <w:ind w:firstLine="480" w:firstLineChars="200"/>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投标人自20</w:t>
            </w:r>
            <w:r>
              <w:rPr>
                <w:rFonts w:hint="eastAsia" w:ascii="宋体" w:hAnsi="宋体" w:eastAsia="宋体" w:cs="宋体"/>
                <w:color w:val="auto"/>
                <w:sz w:val="24"/>
                <w:szCs w:val="24"/>
                <w:highlight w:val="none"/>
                <w:lang w:val="en-US" w:eastAsia="zh-CN"/>
              </w:rPr>
              <w:t>1</w:t>
            </w:r>
            <w:r>
              <w:rPr>
                <w:rFonts w:hint="eastAsia" w:eastAsia="宋体" w:cs="宋体"/>
                <w:color w:val="auto"/>
                <w:sz w:val="24"/>
                <w:szCs w:val="24"/>
                <w:highlight w:val="none"/>
                <w:lang w:val="en-US" w:eastAsia="zh-CN"/>
              </w:rPr>
              <w:t>8</w:t>
            </w:r>
            <w:r>
              <w:rPr>
                <w:rFonts w:hint="eastAsia" w:ascii="宋体" w:hAnsi="宋体" w:eastAsia="宋体" w:cs="宋体"/>
                <w:color w:val="auto"/>
                <w:sz w:val="24"/>
                <w:szCs w:val="24"/>
                <w:highlight w:val="none"/>
                <w:lang w:eastAsia="zh-CN"/>
              </w:rPr>
              <w:t>年1月1日至投标截止日止（以合同签订时间为准），完成过单项金额300万元及以上的类似医院纯水系统施工业绩。每项业绩得1分，最高得</w:t>
            </w:r>
            <w:r>
              <w:rPr>
                <w:rFonts w:hint="eastAsia" w:cs="宋体"/>
                <w:color w:val="auto"/>
                <w:sz w:val="24"/>
                <w:szCs w:val="24"/>
                <w:highlight w:val="none"/>
                <w:lang w:val="en-US" w:eastAsia="zh-CN"/>
              </w:rPr>
              <w:t>4</w:t>
            </w:r>
            <w:r>
              <w:rPr>
                <w:rFonts w:hint="eastAsia" w:ascii="宋体" w:hAnsi="宋体" w:eastAsia="宋体" w:cs="宋体"/>
                <w:color w:val="auto"/>
                <w:sz w:val="24"/>
                <w:szCs w:val="24"/>
                <w:highlight w:val="none"/>
                <w:lang w:eastAsia="zh-CN"/>
              </w:rPr>
              <w:t>分。</w:t>
            </w:r>
          </w:p>
          <w:p>
            <w:pPr>
              <w:keepNext w:val="0"/>
              <w:keepLines w:val="0"/>
              <w:pageBreakBefore w:val="0"/>
              <w:kinsoku/>
              <w:wordWrap w:val="0"/>
              <w:overflowPunct/>
              <w:topLinePunct w:val="0"/>
              <w:autoSpaceDE/>
              <w:autoSpaceDN/>
              <w:bidi w:val="0"/>
              <w:adjustRightInd w:val="0"/>
              <w:snapToGrid w:val="0"/>
              <w:spacing w:line="360" w:lineRule="auto"/>
              <w:ind w:firstLine="480" w:firstLineChars="200"/>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注：业绩证明材料为中标通知书、合同的原件扫描件（加盖投标单位电子公章），否则不得分。</w:t>
            </w:r>
          </w:p>
        </w:tc>
        <w:tc>
          <w:tcPr>
            <w:tcW w:w="443" w:type="pct"/>
            <w:tcBorders>
              <w:top w:val="single" w:color="auto" w:sz="4" w:space="0"/>
              <w:left w:val="single" w:color="auto" w:sz="4" w:space="0"/>
              <w:bottom w:val="single" w:color="auto" w:sz="4" w:space="0"/>
              <w:right w:val="single" w:color="auto" w:sz="4" w:space="0"/>
            </w:tcBorders>
            <w:shd w:val="clear" w:color="auto" w:fill="FFFFFF"/>
            <w:noWrap w:val="0"/>
            <w:vAlign w:val="center"/>
          </w:tcPr>
          <w:p>
            <w:pPr>
              <w:adjustRightInd w:val="0"/>
              <w:snapToGrid w:val="0"/>
              <w:spacing w:line="240" w:lineRule="auto"/>
              <w:jc w:val="center"/>
              <w:rPr>
                <w:rFonts w:hint="eastAsia" w:ascii="宋体" w:hAnsi="宋体" w:eastAsia="宋体" w:cs="宋体"/>
                <w:color w:val="auto"/>
                <w:sz w:val="24"/>
                <w:szCs w:val="24"/>
                <w:highlight w:val="none"/>
              </w:rPr>
            </w:pPr>
            <w:r>
              <w:rPr>
                <w:rFonts w:hint="eastAsia" w:cs="宋体"/>
                <w:color w:val="auto"/>
                <w:sz w:val="24"/>
                <w:szCs w:val="24"/>
                <w:highlight w:val="none"/>
                <w:lang w:val="en-US" w:eastAsia="zh-CN"/>
              </w:rPr>
              <w:t>4</w:t>
            </w:r>
            <w:r>
              <w:rPr>
                <w:rFonts w:hint="eastAsia" w:ascii="宋体" w:hAnsi="宋体" w:eastAsia="宋体" w:cs="宋体"/>
                <w:color w:val="auto"/>
                <w:sz w:val="24"/>
                <w:szCs w:val="24"/>
                <w:highlight w:val="none"/>
              </w:rPr>
              <w:t>分</w:t>
            </w:r>
          </w:p>
        </w:tc>
      </w:tr>
      <w:tr>
        <w:tblPrEx>
          <w:tblCellMar>
            <w:top w:w="0" w:type="dxa"/>
            <w:left w:w="108" w:type="dxa"/>
            <w:bottom w:w="0" w:type="dxa"/>
            <w:right w:w="108" w:type="dxa"/>
          </w:tblCellMar>
        </w:tblPrEx>
        <w:trPr>
          <w:trHeight w:val="1190" w:hRule="atLeast"/>
        </w:trPr>
        <w:tc>
          <w:tcPr>
            <w:tcW w:w="443" w:type="pc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p>
        </w:tc>
        <w:tc>
          <w:tcPr>
            <w:tcW w:w="857" w:type="pct"/>
            <w:tcBorders>
              <w:top w:val="single" w:color="auto" w:sz="4" w:space="0"/>
              <w:left w:val="single" w:color="auto" w:sz="4" w:space="0"/>
              <w:bottom w:val="single" w:color="auto" w:sz="4" w:space="0"/>
              <w:right w:val="single" w:color="auto" w:sz="4" w:space="0"/>
            </w:tcBorders>
            <w:shd w:val="clear" w:color="auto" w:fill="auto"/>
            <w:noWrap w:val="0"/>
            <w:vAlign w:val="center"/>
          </w:tcPr>
          <w:p>
            <w:pPr>
              <w:keepNext w:val="0"/>
              <w:keepLines w:val="0"/>
              <w:pageBreakBefore w:val="0"/>
              <w:kinsoku/>
              <w:wordWrap w:val="0"/>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制造商认证情况</w:t>
            </w:r>
          </w:p>
        </w:tc>
        <w:tc>
          <w:tcPr>
            <w:tcW w:w="3254" w:type="pct"/>
            <w:tcBorders>
              <w:top w:val="single" w:color="auto" w:sz="4" w:space="0"/>
              <w:left w:val="single" w:color="auto" w:sz="4" w:space="0"/>
              <w:bottom w:val="single" w:color="auto" w:sz="4" w:space="0"/>
              <w:right w:val="single" w:color="auto" w:sz="4" w:space="0"/>
            </w:tcBorders>
            <w:shd w:val="clear" w:color="auto" w:fill="FFFFFF"/>
            <w:noWrap w:val="0"/>
            <w:vAlign w:val="center"/>
          </w:tcPr>
          <w:p>
            <w:pPr>
              <w:keepNext w:val="0"/>
              <w:keepLines w:val="0"/>
              <w:pageBreakBefore w:val="0"/>
              <w:kinsoku/>
              <w:wordWrap w:val="0"/>
              <w:overflowPunct/>
              <w:topLinePunct w:val="0"/>
              <w:autoSpaceDE/>
              <w:autoSpaceDN/>
              <w:bidi w:val="0"/>
              <w:adjustRightInd w:val="0"/>
              <w:snapToGrid w:val="0"/>
              <w:spacing w:line="360" w:lineRule="auto"/>
              <w:ind w:firstLine="480" w:firstLineChars="200"/>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制造商具有有效期内的ISO9001质量管理体系认证、ISO14001环境管理体系认证、ISO45001职业健康安全管理体系认证、IS013485医疗器械质量管理体系认证证书，每个得1分；</w:t>
            </w:r>
          </w:p>
          <w:p>
            <w:pPr>
              <w:keepNext w:val="0"/>
              <w:keepLines w:val="0"/>
              <w:pageBreakBefore w:val="0"/>
              <w:kinsoku/>
              <w:wordWrap w:val="0"/>
              <w:overflowPunct/>
              <w:topLinePunct w:val="0"/>
              <w:autoSpaceDE/>
              <w:autoSpaceDN/>
              <w:bidi w:val="0"/>
              <w:adjustRightInd w:val="0"/>
              <w:snapToGrid w:val="0"/>
              <w:spacing w:line="360" w:lineRule="auto"/>
              <w:ind w:firstLine="480" w:firstLineChars="200"/>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注：提供原件扫描件（加盖投标单位电子公章），否则不得分。</w:t>
            </w:r>
          </w:p>
        </w:tc>
        <w:tc>
          <w:tcPr>
            <w:tcW w:w="443" w:type="pct"/>
            <w:tcBorders>
              <w:top w:val="single" w:color="auto" w:sz="4" w:space="0"/>
              <w:left w:val="single" w:color="auto" w:sz="4" w:space="0"/>
              <w:bottom w:val="single" w:color="auto" w:sz="4" w:space="0"/>
              <w:right w:val="single" w:color="auto" w:sz="4" w:space="0"/>
            </w:tcBorders>
            <w:shd w:val="clear" w:color="auto" w:fill="FFFFFF"/>
            <w:noWrap w:val="0"/>
            <w:vAlign w:val="center"/>
          </w:tcPr>
          <w:p>
            <w:pPr>
              <w:adjustRightInd w:val="0"/>
              <w:snapToGrid w:val="0"/>
              <w:spacing w:line="240" w:lineRule="auto"/>
              <w:jc w:val="center"/>
              <w:rPr>
                <w:rFonts w:hint="eastAsia" w:ascii="宋体" w:hAnsi="宋体" w:eastAsia="宋体" w:cs="宋体"/>
                <w:color w:val="auto"/>
                <w:sz w:val="24"/>
                <w:szCs w:val="24"/>
                <w:highlight w:val="none"/>
              </w:rPr>
            </w:pPr>
            <w:r>
              <w:rPr>
                <w:rFonts w:hint="eastAsia"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分</w:t>
            </w:r>
          </w:p>
        </w:tc>
      </w:tr>
      <w:tr>
        <w:tblPrEx>
          <w:tblCellMar>
            <w:top w:w="0" w:type="dxa"/>
            <w:left w:w="108" w:type="dxa"/>
            <w:bottom w:w="0" w:type="dxa"/>
            <w:right w:w="108" w:type="dxa"/>
          </w:tblCellMar>
        </w:tblPrEx>
        <w:trPr>
          <w:trHeight w:val="556" w:hRule="atLeast"/>
        </w:trPr>
        <w:tc>
          <w:tcPr>
            <w:tcW w:w="4556" w:type="pct"/>
            <w:gridSpan w:val="3"/>
            <w:tcBorders>
              <w:top w:val="single" w:color="auto" w:sz="4" w:space="0"/>
              <w:left w:val="single" w:color="auto" w:sz="4" w:space="0"/>
              <w:bottom w:val="single" w:color="auto" w:sz="4" w:space="0"/>
              <w:right w:val="single" w:color="auto" w:sz="4" w:space="0"/>
            </w:tcBorders>
            <w:noWrap w:val="0"/>
            <w:vAlign w:val="center"/>
          </w:tcPr>
          <w:p>
            <w:pPr>
              <w:widowControl/>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  计</w:t>
            </w:r>
          </w:p>
        </w:tc>
        <w:tc>
          <w:tcPr>
            <w:tcW w:w="443" w:type="pct"/>
            <w:tcBorders>
              <w:top w:val="single" w:color="auto" w:sz="4" w:space="0"/>
              <w:left w:val="single" w:color="auto" w:sz="4" w:space="0"/>
              <w:bottom w:val="single" w:color="auto" w:sz="4" w:space="0"/>
              <w:right w:val="single" w:color="auto" w:sz="4" w:space="0"/>
            </w:tcBorders>
            <w:noWrap w:val="0"/>
            <w:vAlign w:val="center"/>
          </w:tcPr>
          <w:p>
            <w:pPr>
              <w:widowControl/>
              <w:spacing w:line="240" w:lineRule="auto"/>
              <w:jc w:val="center"/>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8</w:t>
            </w:r>
            <w:r>
              <w:rPr>
                <w:rFonts w:hint="eastAsia" w:ascii="宋体" w:hAnsi="宋体" w:eastAsia="宋体" w:cs="宋体"/>
                <w:color w:val="auto"/>
                <w:sz w:val="24"/>
                <w:szCs w:val="24"/>
                <w:highlight w:val="none"/>
                <w:lang w:val="en-US" w:eastAsia="zh-CN"/>
              </w:rPr>
              <w:t>分</w:t>
            </w:r>
          </w:p>
        </w:tc>
      </w:tr>
    </w:tbl>
    <w:p>
      <w:pPr>
        <w:tabs>
          <w:tab w:val="left" w:pos="840"/>
        </w:tabs>
        <w:spacing w:line="360" w:lineRule="auto"/>
        <w:rPr>
          <w:rFonts w:hint="eastAsia" w:ascii="宋体" w:hAnsi="宋体" w:eastAsia="宋体" w:cs="宋体"/>
          <w:b/>
          <w:color w:val="auto"/>
          <w:sz w:val="24"/>
          <w:szCs w:val="24"/>
          <w:highlight w:val="none"/>
        </w:rPr>
      </w:pP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注：1、评标委员会各成员应当独立对每个投标人的投标文件进行评价，并汇总每个投标人的得分。资信分为客观分，也需独立进行评价并核对分值，最终分值需一致。</w:t>
      </w:r>
    </w:p>
    <w:p>
      <w:pPr>
        <w:numPr>
          <w:ilvl w:val="0"/>
          <w:numId w:val="38"/>
        </w:num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所有文件、合同、证书、资质等需要真实有效。中标人在中标后签订合同时需提供以上证明文件原件，若发现资料作假的取消中标资格。</w:t>
      </w:r>
    </w:p>
    <w:p>
      <w:pPr>
        <w:pStyle w:val="9"/>
        <w:rPr>
          <w:rFonts w:hint="eastAsia" w:ascii="宋体" w:hAnsi="宋体" w:eastAsia="宋体" w:cs="宋体"/>
          <w:color w:val="auto"/>
          <w:highlight w:val="none"/>
        </w:rPr>
      </w:pPr>
      <w:bookmarkStart w:id="431" w:name="_Toc2947"/>
      <w:bookmarkStart w:id="432" w:name="_Toc506107086"/>
    </w:p>
    <w:p>
      <w:pPr>
        <w:pStyle w:val="9"/>
        <w:rPr>
          <w:rFonts w:hint="eastAsia" w:ascii="宋体" w:hAnsi="宋体" w:eastAsia="宋体" w:cs="宋体"/>
          <w:color w:val="auto"/>
          <w:highlight w:val="none"/>
        </w:rPr>
      </w:pPr>
    </w:p>
    <w:p>
      <w:pPr>
        <w:adjustRightInd/>
        <w:spacing w:after="167" w:afterLines="50" w:line="360" w:lineRule="auto"/>
        <w:jc w:val="center"/>
        <w:outlineLvl w:val="0"/>
        <w:rPr>
          <w:rFonts w:hint="eastAsia" w:ascii="宋体" w:hAnsi="宋体" w:eastAsia="宋体" w:cs="宋体"/>
          <w:b/>
          <w:color w:val="auto"/>
          <w:sz w:val="36"/>
          <w:szCs w:val="36"/>
          <w:highlight w:val="none"/>
          <w:lang w:val="en-US" w:eastAsia="zh-CN"/>
        </w:rPr>
      </w:pPr>
      <w:r>
        <w:rPr>
          <w:rFonts w:hint="eastAsia" w:ascii="宋体" w:hAnsi="宋体" w:eastAsia="宋体" w:cs="宋体"/>
          <w:b/>
          <w:color w:val="auto"/>
          <w:sz w:val="36"/>
          <w:szCs w:val="36"/>
          <w:highlight w:val="none"/>
        </w:rPr>
        <w:br w:type="page"/>
      </w:r>
      <w:bookmarkStart w:id="433" w:name="_Toc6390"/>
      <w:bookmarkStart w:id="434" w:name="_Toc22025"/>
      <w:r>
        <w:rPr>
          <w:rFonts w:hint="eastAsia" w:ascii="宋体" w:hAnsi="宋体" w:eastAsia="宋体" w:cs="宋体"/>
          <w:b/>
          <w:color w:val="auto"/>
          <w:sz w:val="36"/>
          <w:szCs w:val="36"/>
          <w:highlight w:val="none"/>
        </w:rPr>
        <w:t>第</w:t>
      </w:r>
      <w:r>
        <w:rPr>
          <w:rFonts w:hint="eastAsia" w:ascii="宋体" w:hAnsi="宋体" w:eastAsia="宋体" w:cs="宋体"/>
          <w:b/>
          <w:color w:val="auto"/>
          <w:sz w:val="36"/>
          <w:szCs w:val="36"/>
          <w:highlight w:val="none"/>
          <w:lang w:val="en-US" w:eastAsia="zh-CN"/>
        </w:rPr>
        <w:t>四</w:t>
      </w:r>
      <w:r>
        <w:rPr>
          <w:rFonts w:hint="eastAsia" w:ascii="宋体" w:hAnsi="宋体" w:eastAsia="宋体" w:cs="宋体"/>
          <w:b/>
          <w:color w:val="auto"/>
          <w:sz w:val="36"/>
          <w:szCs w:val="36"/>
          <w:highlight w:val="none"/>
        </w:rPr>
        <w:t xml:space="preserve">部分  </w:t>
      </w:r>
      <w:r>
        <w:rPr>
          <w:rFonts w:hint="eastAsia" w:eastAsia="宋体" w:cs="宋体"/>
          <w:b/>
          <w:color w:val="auto"/>
          <w:sz w:val="36"/>
          <w:szCs w:val="36"/>
          <w:highlight w:val="none"/>
          <w:lang w:eastAsia="zh-CN"/>
        </w:rPr>
        <w:t>采购需求</w:t>
      </w:r>
      <w:bookmarkEnd w:id="433"/>
      <w:bookmarkEnd w:id="434"/>
    </w:p>
    <w:p>
      <w:pPr>
        <w:pStyle w:val="3"/>
        <w:spacing w:line="360" w:lineRule="auto"/>
        <w:jc w:val="center"/>
        <w:rPr>
          <w:rFonts w:hint="eastAsia" w:ascii="宋体" w:hAnsi="宋体" w:eastAsia="宋体" w:cs="宋体"/>
          <w:b w:val="0"/>
          <w:bCs w:val="0"/>
          <w:color w:val="auto"/>
          <w:sz w:val="24"/>
          <w:szCs w:val="24"/>
          <w:highlight w:val="none"/>
        </w:rPr>
      </w:pPr>
      <w:bookmarkStart w:id="435" w:name="_Toc7015"/>
      <w:r>
        <w:rPr>
          <w:rFonts w:hint="eastAsia" w:ascii="宋体" w:hAnsi="宋体" w:eastAsia="宋体" w:cs="宋体"/>
          <w:color w:val="auto"/>
          <w:highlight w:val="none"/>
        </w:rPr>
        <w:t>第一章　</w:t>
      </w:r>
      <w:bookmarkEnd w:id="431"/>
      <w:bookmarkEnd w:id="432"/>
      <w:r>
        <w:rPr>
          <w:rFonts w:hint="eastAsia" w:eastAsia="宋体" w:cs="宋体"/>
          <w:color w:val="auto"/>
          <w:highlight w:val="none"/>
          <w:lang w:eastAsia="zh-CN"/>
        </w:rPr>
        <w:t>前言</w:t>
      </w:r>
      <w:bookmarkEnd w:id="435"/>
    </w:p>
    <w:p>
      <w:pPr>
        <w:keepNext w:val="0"/>
        <w:keepLines w:val="0"/>
        <w:pageBreakBefore w:val="0"/>
        <w:widowControl w:val="0"/>
        <w:kinsoku/>
        <w:wordWrap/>
        <w:overflowPunct/>
        <w:topLinePunct w:val="0"/>
        <w:autoSpaceDE w:val="0"/>
        <w:autoSpaceDN w:val="0"/>
        <w:bidi w:val="0"/>
        <w:adjustRightInd/>
        <w:snapToGrid/>
        <w:spacing w:line="400" w:lineRule="exact"/>
        <w:ind w:right="0" w:rightChars="0" w:firstLine="480" w:firstLineChars="200"/>
        <w:jc w:val="both"/>
        <w:textAlignment w:val="auto"/>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rPr>
        <w:t>1、此</w:t>
      </w:r>
      <w:r>
        <w:rPr>
          <w:rFonts w:hint="eastAsia" w:cs="宋体"/>
          <w:b w:val="0"/>
          <w:bCs w:val="0"/>
          <w:color w:val="auto"/>
          <w:sz w:val="24"/>
          <w:szCs w:val="24"/>
          <w:highlight w:val="none"/>
          <w:lang w:val="en-US" w:eastAsia="zh-CN"/>
        </w:rPr>
        <w:t>采购需求（含技术规格书、图纸及工程量清单等）</w:t>
      </w:r>
      <w:r>
        <w:rPr>
          <w:rFonts w:hint="eastAsia" w:ascii="宋体" w:hAnsi="宋体" w:eastAsia="宋体" w:cs="宋体"/>
          <w:b w:val="0"/>
          <w:bCs w:val="0"/>
          <w:color w:val="auto"/>
          <w:sz w:val="24"/>
          <w:szCs w:val="24"/>
          <w:highlight w:val="none"/>
        </w:rPr>
        <w:t>只是采购内容的一些原则性规定，并不是完整的详尽的要求。投标供应商可以根据实际情况</w:t>
      </w:r>
      <w:r>
        <w:rPr>
          <w:rFonts w:hint="eastAsia" w:eastAsia="宋体" w:cs="宋体"/>
          <w:b/>
          <w:bCs/>
          <w:color w:val="auto"/>
          <w:sz w:val="24"/>
          <w:szCs w:val="24"/>
          <w:highlight w:val="none"/>
          <w:lang w:eastAsia="zh-CN"/>
        </w:rPr>
        <w:t>在投标时</w:t>
      </w:r>
      <w:r>
        <w:rPr>
          <w:rFonts w:hint="eastAsia" w:ascii="宋体" w:hAnsi="宋体" w:eastAsia="宋体" w:cs="宋体"/>
          <w:b w:val="0"/>
          <w:bCs w:val="0"/>
          <w:color w:val="auto"/>
          <w:sz w:val="24"/>
          <w:szCs w:val="24"/>
          <w:highlight w:val="none"/>
        </w:rPr>
        <w:t>提供更符合</w:t>
      </w:r>
      <w:r>
        <w:rPr>
          <w:rFonts w:hint="eastAsia" w:eastAsia="宋体" w:cs="宋体"/>
          <w:b w:val="0"/>
          <w:bCs w:val="0"/>
          <w:color w:val="auto"/>
          <w:sz w:val="24"/>
          <w:szCs w:val="24"/>
          <w:highlight w:val="none"/>
          <w:lang w:eastAsia="zh-CN"/>
        </w:rPr>
        <w:t>、更优于</w:t>
      </w:r>
      <w:r>
        <w:rPr>
          <w:rFonts w:hint="eastAsia" w:ascii="宋体" w:hAnsi="宋体" w:eastAsia="宋体" w:cs="宋体"/>
          <w:b w:val="0"/>
          <w:bCs w:val="0"/>
          <w:color w:val="auto"/>
          <w:sz w:val="24"/>
          <w:szCs w:val="24"/>
          <w:highlight w:val="none"/>
        </w:rPr>
        <w:t>项目需要的产品</w:t>
      </w:r>
      <w:r>
        <w:rPr>
          <w:rFonts w:hint="eastAsia" w:eastAsia="宋体" w:cs="宋体"/>
          <w:b w:val="0"/>
          <w:bCs w:val="0"/>
          <w:color w:val="auto"/>
          <w:sz w:val="24"/>
          <w:szCs w:val="24"/>
          <w:highlight w:val="none"/>
          <w:lang w:eastAsia="zh-CN"/>
        </w:rPr>
        <w:t>及技术方案</w:t>
      </w:r>
      <w:r>
        <w:rPr>
          <w:rFonts w:hint="eastAsia" w:ascii="宋体" w:hAnsi="宋体" w:eastAsia="宋体" w:cs="宋体"/>
          <w:b w:val="0"/>
          <w:bCs w:val="0"/>
          <w:color w:val="auto"/>
          <w:sz w:val="24"/>
          <w:szCs w:val="24"/>
          <w:highlight w:val="none"/>
        </w:rPr>
        <w:t>，并对所提供产品的功能</w:t>
      </w:r>
      <w:r>
        <w:rPr>
          <w:rFonts w:hint="eastAsia" w:eastAsia="宋体" w:cs="宋体"/>
          <w:b w:val="0"/>
          <w:bCs w:val="0"/>
          <w:color w:val="auto"/>
          <w:sz w:val="24"/>
          <w:szCs w:val="24"/>
          <w:highlight w:val="none"/>
          <w:lang w:eastAsia="zh-CN"/>
        </w:rPr>
        <w:t>性</w:t>
      </w:r>
      <w:r>
        <w:rPr>
          <w:rFonts w:hint="eastAsia" w:ascii="宋体" w:hAnsi="宋体" w:eastAsia="宋体" w:cs="宋体"/>
          <w:b w:val="0"/>
          <w:bCs w:val="0"/>
          <w:color w:val="auto"/>
          <w:sz w:val="24"/>
          <w:szCs w:val="24"/>
          <w:highlight w:val="none"/>
        </w:rPr>
        <w:t>、安全性、先进性负责，符合</w:t>
      </w:r>
      <w:r>
        <w:rPr>
          <w:rFonts w:hint="eastAsia" w:eastAsia="宋体" w:cs="宋体"/>
          <w:b w:val="0"/>
          <w:bCs w:val="0"/>
          <w:color w:val="auto"/>
          <w:sz w:val="24"/>
          <w:szCs w:val="24"/>
          <w:highlight w:val="none"/>
          <w:lang w:eastAsia="zh-CN"/>
        </w:rPr>
        <w:t>或优于此</w:t>
      </w:r>
      <w:r>
        <w:rPr>
          <w:rFonts w:hint="eastAsia" w:ascii="宋体" w:hAnsi="宋体" w:eastAsia="宋体" w:cs="宋体"/>
          <w:b w:val="0"/>
          <w:bCs w:val="0"/>
          <w:color w:val="auto"/>
          <w:sz w:val="24"/>
          <w:szCs w:val="24"/>
          <w:highlight w:val="none"/>
        </w:rPr>
        <w:t>技术规格书的要求。</w:t>
      </w:r>
      <w:r>
        <w:rPr>
          <w:rFonts w:hint="eastAsia" w:eastAsia="宋体" w:cs="宋体"/>
          <w:b w:val="0"/>
          <w:bCs w:val="0"/>
          <w:color w:val="auto"/>
          <w:sz w:val="24"/>
          <w:szCs w:val="24"/>
          <w:highlight w:val="none"/>
          <w:lang w:eastAsia="zh-CN"/>
        </w:rPr>
        <w:t>中标后原则上不再对供应商的产品清单及技术方案进行调整，项目实施过程中根据项目建设情况确需作出调整，否则不能满足实际需要的，采购人有权根据项目建设的实际情况和需要，以及中标供应商供应服务情况等，调整供货的范围和数量。同时，本采购项目采购合同采用固定总价合同形式，供应商在投标报价时，应充分考虑固定总价合同形式下的一切风险。</w:t>
      </w:r>
    </w:p>
    <w:p>
      <w:pPr>
        <w:keepNext w:val="0"/>
        <w:keepLines w:val="0"/>
        <w:pageBreakBefore w:val="0"/>
        <w:widowControl w:val="0"/>
        <w:kinsoku/>
        <w:wordWrap/>
        <w:overflowPunct/>
        <w:topLinePunct w:val="0"/>
        <w:autoSpaceDE w:val="0"/>
        <w:autoSpaceDN w:val="0"/>
        <w:bidi w:val="0"/>
        <w:adjustRightInd/>
        <w:snapToGrid/>
        <w:spacing w:line="400" w:lineRule="exact"/>
        <w:ind w:right="0" w:rightChars="0" w:firstLine="480" w:firstLineChars="200"/>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2、</w:t>
      </w:r>
      <w:r>
        <w:rPr>
          <w:rFonts w:hint="eastAsia" w:ascii="宋体" w:hAnsi="宋体" w:eastAsia="宋体" w:cs="宋体"/>
          <w:b w:val="0"/>
          <w:bCs w:val="0"/>
          <w:color w:val="auto"/>
          <w:kern w:val="2"/>
          <w:sz w:val="24"/>
          <w:szCs w:val="24"/>
          <w:highlight w:val="none"/>
          <w:lang w:val="en-US" w:eastAsia="zh-CN" w:bidi="ar-SA"/>
        </w:rPr>
        <w:t>本项目总承包服务管理费已包含在总承包合同中，并纳入总承包管理范围，总承包服务管理费由甲方进行支付，不另行计取其他费用，总承包服务管理费约定详见</w:t>
      </w:r>
      <w:r>
        <w:rPr>
          <w:rFonts w:hint="eastAsia" w:cs="宋体"/>
          <w:b w:val="0"/>
          <w:bCs w:val="0"/>
          <w:color w:val="auto"/>
          <w:kern w:val="2"/>
          <w:sz w:val="24"/>
          <w:szCs w:val="24"/>
          <w:highlight w:val="none"/>
          <w:lang w:val="en-US" w:eastAsia="zh-CN" w:bidi="ar-SA"/>
        </w:rPr>
        <w:t>合同</w:t>
      </w:r>
      <w:r>
        <w:rPr>
          <w:rFonts w:hint="eastAsia" w:ascii="宋体" w:hAnsi="宋体" w:eastAsia="宋体" w:cs="宋体"/>
          <w:b w:val="0"/>
          <w:bCs w:val="0"/>
          <w:color w:val="auto"/>
          <w:kern w:val="2"/>
          <w:sz w:val="24"/>
          <w:szCs w:val="24"/>
          <w:highlight w:val="none"/>
          <w:lang w:val="en-US" w:eastAsia="zh-CN" w:bidi="ar-SA"/>
        </w:rPr>
        <w:t>附件八，总承包服务管理费以外的其他管理配合服务费由投标人自行考虑计入报价。中标单位需要总包单位提供的配合、设施或服务内容，由中标单位与总包单位</w:t>
      </w:r>
      <w:r>
        <w:rPr>
          <w:rFonts w:hint="eastAsia" w:cs="宋体"/>
          <w:b w:val="0"/>
          <w:bCs w:val="0"/>
          <w:color w:val="auto"/>
          <w:kern w:val="2"/>
          <w:sz w:val="24"/>
          <w:szCs w:val="24"/>
          <w:highlight w:val="none"/>
          <w:lang w:val="en-US" w:eastAsia="zh-CN" w:bidi="ar-SA"/>
        </w:rPr>
        <w:t>据实</w:t>
      </w:r>
      <w:r>
        <w:rPr>
          <w:rFonts w:hint="eastAsia" w:ascii="宋体" w:hAnsi="宋体" w:eastAsia="宋体" w:cs="宋体"/>
          <w:b w:val="0"/>
          <w:bCs w:val="0"/>
          <w:color w:val="auto"/>
          <w:kern w:val="2"/>
          <w:sz w:val="24"/>
          <w:szCs w:val="24"/>
          <w:highlight w:val="none"/>
          <w:lang w:val="en-US" w:eastAsia="zh-CN" w:bidi="ar-SA"/>
        </w:rPr>
        <w:t>自行协商</w:t>
      </w:r>
      <w:r>
        <w:rPr>
          <w:rFonts w:hint="eastAsia" w:cs="宋体"/>
          <w:b w:val="0"/>
          <w:bCs w:val="0"/>
          <w:color w:val="auto"/>
          <w:kern w:val="2"/>
          <w:sz w:val="24"/>
          <w:szCs w:val="24"/>
          <w:highlight w:val="none"/>
          <w:lang w:val="en-US" w:eastAsia="zh-CN" w:bidi="ar-SA"/>
        </w:rPr>
        <w:t>。</w:t>
      </w:r>
    </w:p>
    <w:p>
      <w:pPr>
        <w:keepNext w:val="0"/>
        <w:keepLines w:val="0"/>
        <w:pageBreakBefore w:val="0"/>
        <w:widowControl w:val="0"/>
        <w:kinsoku/>
        <w:wordWrap/>
        <w:overflowPunct/>
        <w:topLinePunct w:val="0"/>
        <w:autoSpaceDE w:val="0"/>
        <w:autoSpaceDN w:val="0"/>
        <w:bidi w:val="0"/>
        <w:adjustRightInd/>
        <w:snapToGrid/>
        <w:spacing w:line="400" w:lineRule="exact"/>
        <w:ind w:right="0" w:rightChars="0" w:firstLine="480" w:firstLineChars="200"/>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rPr>
        <w:t>投标供应商必须对全部招标内容进行投标，并在</w:t>
      </w:r>
      <w:r>
        <w:rPr>
          <w:rFonts w:hint="eastAsia" w:ascii="宋体" w:hAnsi="宋体" w:eastAsia="宋体" w:cs="宋体"/>
          <w:b w:val="0"/>
          <w:bCs w:val="0"/>
          <w:color w:val="auto"/>
          <w:sz w:val="24"/>
          <w:szCs w:val="24"/>
          <w:highlight w:val="none"/>
          <w:lang w:val="zh-TW" w:eastAsia="zh-TW"/>
        </w:rPr>
        <w:t>《</w:t>
      </w:r>
      <w:r>
        <w:rPr>
          <w:rFonts w:hint="eastAsia" w:eastAsia="宋体" w:cs="宋体"/>
          <w:b w:val="0"/>
          <w:bCs w:val="0"/>
          <w:color w:val="auto"/>
          <w:sz w:val="24"/>
          <w:szCs w:val="24"/>
          <w:highlight w:val="none"/>
          <w:lang w:val="zh-TW" w:eastAsia="zh-CN"/>
        </w:rPr>
        <w:t>技术响应</w:t>
      </w:r>
      <w:r>
        <w:rPr>
          <w:rFonts w:hint="eastAsia" w:ascii="宋体" w:hAnsi="宋体" w:eastAsia="宋体" w:cs="宋体"/>
          <w:b w:val="0"/>
          <w:bCs w:val="0"/>
          <w:color w:val="auto"/>
          <w:sz w:val="24"/>
          <w:szCs w:val="24"/>
          <w:highlight w:val="none"/>
          <w:lang w:val="zh-TW" w:eastAsia="zh-TW"/>
        </w:rPr>
        <w:t>及建议表》</w:t>
      </w:r>
      <w:r>
        <w:rPr>
          <w:rFonts w:hint="eastAsia" w:ascii="宋体" w:hAnsi="宋体" w:eastAsia="宋体" w:cs="宋体"/>
          <w:b w:val="0"/>
          <w:bCs w:val="0"/>
          <w:color w:val="auto"/>
          <w:sz w:val="24"/>
          <w:szCs w:val="24"/>
          <w:highlight w:val="none"/>
        </w:rPr>
        <w:t>内给予实质性响应，不能仅复制粘贴本采购内容。</w:t>
      </w:r>
    </w:p>
    <w:p>
      <w:pPr>
        <w:keepNext w:val="0"/>
        <w:keepLines w:val="0"/>
        <w:pageBreakBefore w:val="0"/>
        <w:widowControl w:val="0"/>
        <w:kinsoku/>
        <w:wordWrap/>
        <w:overflowPunct/>
        <w:topLinePunct w:val="0"/>
        <w:autoSpaceDE w:val="0"/>
        <w:autoSpaceDN w:val="0"/>
        <w:bidi w:val="0"/>
        <w:adjustRightInd/>
        <w:snapToGrid/>
        <w:spacing w:line="400" w:lineRule="exact"/>
        <w:ind w:right="0" w:rightChars="0" w:firstLine="480" w:firstLineChars="200"/>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4</w:t>
      </w:r>
      <w:r>
        <w:rPr>
          <w:rFonts w:hint="eastAsia" w:ascii="宋体" w:hAnsi="宋体" w:eastAsia="宋体" w:cs="宋体"/>
          <w:b w:val="0"/>
          <w:bCs w:val="0"/>
          <w:color w:val="auto"/>
          <w:sz w:val="24"/>
          <w:szCs w:val="24"/>
          <w:highlight w:val="none"/>
        </w:rPr>
        <w:t>、投标产品如与采购要求有细微偏差，</w:t>
      </w:r>
      <w:r>
        <w:rPr>
          <w:rFonts w:hint="eastAsia" w:eastAsia="宋体" w:cs="宋体"/>
          <w:b w:val="0"/>
          <w:bCs w:val="0"/>
          <w:color w:val="auto"/>
          <w:sz w:val="24"/>
          <w:szCs w:val="24"/>
          <w:highlight w:val="none"/>
          <w:lang w:eastAsia="zh-CN"/>
        </w:rPr>
        <w:t>采购人</w:t>
      </w:r>
      <w:r>
        <w:rPr>
          <w:rFonts w:hint="eastAsia" w:ascii="宋体" w:hAnsi="宋体" w:eastAsia="宋体" w:cs="宋体"/>
          <w:b w:val="0"/>
          <w:bCs w:val="0"/>
          <w:color w:val="auto"/>
          <w:sz w:val="24"/>
          <w:szCs w:val="24"/>
          <w:highlight w:val="none"/>
        </w:rPr>
        <w:t>有权要求投标供应商调整偏差，并不改变投标价格。</w:t>
      </w:r>
    </w:p>
    <w:p>
      <w:pPr>
        <w:keepNext w:val="0"/>
        <w:keepLines w:val="0"/>
        <w:pageBreakBefore w:val="0"/>
        <w:widowControl w:val="0"/>
        <w:kinsoku/>
        <w:wordWrap/>
        <w:overflowPunct/>
        <w:topLinePunct w:val="0"/>
        <w:autoSpaceDE w:val="0"/>
        <w:autoSpaceDN w:val="0"/>
        <w:bidi w:val="0"/>
        <w:adjustRightInd/>
        <w:snapToGrid/>
        <w:spacing w:line="400" w:lineRule="exact"/>
        <w:ind w:right="0" w:rightChars="0" w:firstLine="480" w:firstLineChars="200"/>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5</w:t>
      </w:r>
      <w:r>
        <w:rPr>
          <w:rFonts w:hint="eastAsia" w:ascii="宋体" w:hAnsi="宋体" w:eastAsia="宋体" w:cs="宋体"/>
          <w:b w:val="0"/>
          <w:bCs w:val="0"/>
          <w:color w:val="auto"/>
          <w:sz w:val="24"/>
          <w:szCs w:val="24"/>
          <w:highlight w:val="none"/>
        </w:rPr>
        <w:t>、供应商须对招标文件中涉及到的专利负责，并保证不伤害采购人的利益。在法律范围内，所有文字、商标和技术侵权造成的相关费用，采购人概不负责。</w:t>
      </w:r>
    </w:p>
    <w:p>
      <w:pPr>
        <w:keepNext w:val="0"/>
        <w:keepLines w:val="0"/>
        <w:pageBreakBefore w:val="0"/>
        <w:widowControl w:val="0"/>
        <w:kinsoku/>
        <w:wordWrap/>
        <w:overflowPunct/>
        <w:topLinePunct w:val="0"/>
        <w:autoSpaceDE w:val="0"/>
        <w:autoSpaceDN w:val="0"/>
        <w:bidi w:val="0"/>
        <w:adjustRightInd/>
        <w:snapToGrid/>
        <w:spacing w:line="400" w:lineRule="exact"/>
        <w:ind w:right="0" w:rightChars="0" w:firstLine="480" w:firstLineChars="200"/>
        <w:jc w:val="both"/>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6、除清单中已列内容外，其他系统设备必要组成部分和为完成系统设备组装就位直至使用的所有配件、附件等均应包含在报价中；设备组装就位时所需的拆除复位、开孔、开槽、封堵、拆除或砌筑、修补等均有投标人负责实施，费用包含在总价中。</w:t>
      </w:r>
    </w:p>
    <w:p>
      <w:pPr>
        <w:keepNext w:val="0"/>
        <w:keepLines w:val="0"/>
        <w:pageBreakBefore w:val="0"/>
        <w:widowControl w:val="0"/>
        <w:kinsoku/>
        <w:wordWrap/>
        <w:overflowPunct/>
        <w:topLinePunct w:val="0"/>
        <w:autoSpaceDE w:val="0"/>
        <w:autoSpaceDN w:val="0"/>
        <w:bidi w:val="0"/>
        <w:adjustRightInd/>
        <w:snapToGrid/>
        <w:spacing w:line="400" w:lineRule="exact"/>
        <w:ind w:right="0" w:rightChars="0" w:firstLine="480" w:firstLineChars="200"/>
        <w:jc w:val="both"/>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7、投标报价已包括但不限于主材费、包装费、运输费、运输损耗、装卸费、安装费、安装所用水电费、辅料、配件、工具、设计费、保管费、单机调试及联动调试费、第三方检验费、保修费、管理费、相关配合费、现场可能发生的二次搬运费、临时设施费、检验试验费、成品保护费、利润、保险、税金、其他不可预见费等为完成本合同项下所有工作直至竣工验收合格后交付采购人使用所产生的一切费用以及售后服务费用等，且该价格不因设备市场价格、政策调整、不可抗力（含疫情）等因素而调整。投标人应充分考虑投标报价下的一切风险，依据招标文件的规定及本建设项目的实际情况和要求，结合相关市场行情及投标人自身管理水平和抗风险能力等综合考虑投标报价。</w:t>
      </w:r>
    </w:p>
    <w:p>
      <w:pP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br w:type="page"/>
      </w:r>
    </w:p>
    <w:p>
      <w:pPr>
        <w:pStyle w:val="3"/>
        <w:spacing w:line="360" w:lineRule="auto"/>
        <w:jc w:val="center"/>
        <w:rPr>
          <w:rFonts w:ascii="Times New Roman" w:hAnsi="Times New Roman" w:eastAsia="宋体" w:cs="Times New Roman"/>
          <w:kern w:val="2"/>
          <w:sz w:val="21"/>
          <w:szCs w:val="22"/>
          <w:highlight w:val="none"/>
          <w:lang w:val="en-US" w:eastAsia="zh-CN" w:bidi="ar-SA"/>
        </w:rPr>
      </w:pPr>
      <w:bookmarkStart w:id="436" w:name="_Toc393871828"/>
      <w:bookmarkStart w:id="437" w:name="_Toc8071"/>
      <w:r>
        <w:rPr>
          <w:rFonts w:hint="eastAsia" w:ascii="宋体" w:hAnsi="宋体" w:eastAsia="宋体" w:cs="宋体"/>
          <w:b/>
          <w:color w:val="auto"/>
          <w:highlight w:val="none"/>
          <w:lang w:eastAsia="zh-CN"/>
        </w:rPr>
        <w:t>第二章</w:t>
      </w:r>
      <w:r>
        <w:rPr>
          <w:rFonts w:hint="eastAsia" w:ascii="宋体" w:hAnsi="宋体" w:eastAsia="宋体" w:cs="宋体"/>
          <w:color w:val="auto"/>
          <w:highlight w:val="none"/>
        </w:rPr>
        <w:t>　</w:t>
      </w:r>
      <w:r>
        <w:rPr>
          <w:rFonts w:hint="eastAsia" w:ascii="宋体" w:hAnsi="宋体" w:eastAsia="宋体" w:cs="宋体"/>
          <w:b/>
          <w:color w:val="auto"/>
          <w:highlight w:val="none"/>
          <w:lang w:eastAsia="zh-CN"/>
        </w:rPr>
        <w:t>技术</w:t>
      </w:r>
      <w:bookmarkEnd w:id="436"/>
      <w:r>
        <w:rPr>
          <w:rFonts w:hint="eastAsia" w:ascii="宋体" w:hAnsi="宋体" w:eastAsia="宋体" w:cs="宋体"/>
          <w:b/>
          <w:color w:val="auto"/>
          <w:highlight w:val="none"/>
          <w:lang w:eastAsia="zh-CN"/>
        </w:rPr>
        <w:t>要求</w:t>
      </w:r>
      <w:bookmarkEnd w:id="437"/>
      <w:bookmarkStart w:id="438" w:name="_Toc4542"/>
    </w:p>
    <w:p>
      <w:pPr>
        <w:widowControl/>
        <w:numPr>
          <w:ilvl w:val="0"/>
          <w:numId w:val="39"/>
        </w:numPr>
        <w:spacing w:line="480" w:lineRule="auto"/>
        <w:jc w:val="both"/>
        <w:outlineLvl w:val="1"/>
        <w:rPr>
          <w:rFonts w:ascii="Times New Roman" w:hAnsi="Times New Roman" w:eastAsia="宋体" w:cs="Times New Roman"/>
          <w:b/>
          <w:kern w:val="0"/>
          <w:sz w:val="24"/>
          <w:szCs w:val="21"/>
          <w:highlight w:val="none"/>
          <w:lang w:val="en-US" w:eastAsia="zh-CN" w:bidi="ar-SA"/>
        </w:rPr>
      </w:pPr>
      <w:bookmarkStart w:id="439" w:name="_Toc1211"/>
      <w:r>
        <w:rPr>
          <w:rFonts w:hint="eastAsia" w:ascii="Times New Roman" w:hAnsi="宋体" w:eastAsia="宋体" w:cs="Times New Roman"/>
          <w:b/>
          <w:kern w:val="0"/>
          <w:sz w:val="24"/>
          <w:szCs w:val="21"/>
          <w:highlight w:val="none"/>
          <w:lang w:val="en-US" w:eastAsia="zh-CN" w:bidi="ar-SA"/>
        </w:rPr>
        <w:t>项目技术规格表</w:t>
      </w:r>
      <w:bookmarkEnd w:id="439"/>
    </w:p>
    <w:tbl>
      <w:tblPr>
        <w:tblStyle w:val="3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9"/>
        <w:gridCol w:w="1701"/>
        <w:gridCol w:w="66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39" w:type="dxa"/>
            <w:shd w:val="clear" w:color="auto" w:fill="92D050"/>
            <w:noWrap w:val="0"/>
            <w:vAlign w:val="center"/>
          </w:tcPr>
          <w:p>
            <w:pPr>
              <w:spacing w:line="360" w:lineRule="exact"/>
              <w:jc w:val="center"/>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序号</w:t>
            </w:r>
          </w:p>
        </w:tc>
        <w:tc>
          <w:tcPr>
            <w:tcW w:w="1701" w:type="dxa"/>
            <w:shd w:val="clear" w:color="auto" w:fill="92D050"/>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项目</w:t>
            </w:r>
          </w:p>
        </w:tc>
        <w:tc>
          <w:tcPr>
            <w:tcW w:w="6606" w:type="dxa"/>
            <w:shd w:val="clear" w:color="auto" w:fill="92D050"/>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招标要求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39"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1</w:t>
            </w:r>
          </w:p>
        </w:tc>
        <w:tc>
          <w:tcPr>
            <w:tcW w:w="1701" w:type="dxa"/>
            <w:noWrap w:val="0"/>
            <w:vAlign w:val="center"/>
          </w:tcPr>
          <w:p>
            <w:pPr>
              <w:spacing w:line="360" w:lineRule="exact"/>
              <w:jc w:val="center"/>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项目用途</w:t>
            </w:r>
          </w:p>
        </w:tc>
        <w:tc>
          <w:tcPr>
            <w:tcW w:w="6606"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以邵逸夫医院绍兴院区新院工地自来水为原水（水质以提取医院工地水样做检测，指标符合国家生活饮用水卫生标准为准），由位于地下层的中心纯水机房经适当的水处理工艺流程处理后，向各用水科室或部门提供满足各自用水要求的医用纯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39"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2</w:t>
            </w:r>
          </w:p>
        </w:tc>
        <w:tc>
          <w:tcPr>
            <w:tcW w:w="1701" w:type="dxa"/>
            <w:noWrap w:val="0"/>
            <w:vAlign w:val="center"/>
          </w:tcPr>
          <w:p>
            <w:pPr>
              <w:spacing w:line="360" w:lineRule="exact"/>
              <w:jc w:val="center"/>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用水种类和部门</w:t>
            </w:r>
          </w:p>
        </w:tc>
        <w:tc>
          <w:tcPr>
            <w:tcW w:w="6606"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供给以去除离子为主要求的科室用水的有血透中心、检验科、病理科、输血科、生物实验室、急诊急救、中心供应、手术中心、内镜中心、EICU、口腔科、饮用纯净水等；以去除有机物和微生物为主要求的科室用水有手术中心、产房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39"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3</w:t>
            </w:r>
          </w:p>
        </w:tc>
        <w:tc>
          <w:tcPr>
            <w:tcW w:w="1701" w:type="dxa"/>
            <w:noWrap w:val="0"/>
            <w:vAlign w:val="center"/>
          </w:tcPr>
          <w:p>
            <w:pPr>
              <w:spacing w:line="360" w:lineRule="exact"/>
              <w:jc w:val="center"/>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数量</w:t>
            </w:r>
          </w:p>
        </w:tc>
        <w:tc>
          <w:tcPr>
            <w:tcW w:w="6606"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39"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4</w:t>
            </w:r>
          </w:p>
        </w:tc>
        <w:tc>
          <w:tcPr>
            <w:tcW w:w="1701" w:type="dxa"/>
            <w:noWrap w:val="0"/>
            <w:vAlign w:val="center"/>
          </w:tcPr>
          <w:p>
            <w:pPr>
              <w:spacing w:line="360" w:lineRule="exact"/>
              <w:jc w:val="center"/>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项目</w:t>
            </w:r>
          </w:p>
          <w:p>
            <w:pPr>
              <w:spacing w:line="360" w:lineRule="exact"/>
              <w:jc w:val="center"/>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总产水量</w:t>
            </w:r>
          </w:p>
        </w:tc>
        <w:tc>
          <w:tcPr>
            <w:tcW w:w="6606"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40T/H（水温25℃）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39"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5</w:t>
            </w:r>
          </w:p>
        </w:tc>
        <w:tc>
          <w:tcPr>
            <w:tcW w:w="1701" w:type="dxa"/>
            <w:noWrap w:val="0"/>
            <w:vAlign w:val="center"/>
          </w:tcPr>
          <w:p>
            <w:pPr>
              <w:spacing w:line="360" w:lineRule="exact"/>
              <w:jc w:val="center"/>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水机房面积</w:t>
            </w:r>
          </w:p>
        </w:tc>
        <w:tc>
          <w:tcPr>
            <w:tcW w:w="6606"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现场确定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39"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6</w:t>
            </w:r>
          </w:p>
        </w:tc>
        <w:tc>
          <w:tcPr>
            <w:tcW w:w="1701" w:type="dxa"/>
            <w:noWrap w:val="0"/>
            <w:vAlign w:val="center"/>
          </w:tcPr>
          <w:p>
            <w:pPr>
              <w:spacing w:line="360" w:lineRule="exact"/>
              <w:jc w:val="center"/>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水机房位置</w:t>
            </w:r>
          </w:p>
        </w:tc>
        <w:tc>
          <w:tcPr>
            <w:tcW w:w="6606"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暂定位于地下层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39"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7</w:t>
            </w:r>
          </w:p>
        </w:tc>
        <w:tc>
          <w:tcPr>
            <w:tcW w:w="1701" w:type="dxa"/>
            <w:noWrap w:val="0"/>
            <w:vAlign w:val="center"/>
          </w:tcPr>
          <w:p>
            <w:pPr>
              <w:spacing w:line="360" w:lineRule="exact"/>
              <w:jc w:val="center"/>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送水最大扬程</w:t>
            </w:r>
          </w:p>
        </w:tc>
        <w:tc>
          <w:tcPr>
            <w:tcW w:w="6606"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满足医院施工设计图要求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39" w:type="dxa"/>
            <w:vMerge w:val="restart"/>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8</w:t>
            </w:r>
          </w:p>
        </w:tc>
        <w:tc>
          <w:tcPr>
            <w:tcW w:w="1701" w:type="dxa"/>
            <w:vMerge w:val="restart"/>
            <w:noWrap w:val="0"/>
            <w:vAlign w:val="center"/>
          </w:tcPr>
          <w:p>
            <w:pPr>
              <w:spacing w:line="360" w:lineRule="exact"/>
              <w:jc w:val="center"/>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环境</w:t>
            </w:r>
          </w:p>
          <w:p>
            <w:pPr>
              <w:spacing w:line="360" w:lineRule="exact"/>
              <w:jc w:val="center"/>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适应性要求</w:t>
            </w:r>
          </w:p>
        </w:tc>
        <w:tc>
          <w:tcPr>
            <w:tcW w:w="6606"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中央主机房内环境温度：5℃∽40℃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39" w:type="dxa"/>
            <w:vMerge w:val="continue"/>
            <w:noWrap w:val="0"/>
            <w:vAlign w:val="center"/>
          </w:tcPr>
          <w:p>
            <w:pPr>
              <w:spacing w:line="360" w:lineRule="exact"/>
              <w:jc w:val="center"/>
              <w:rPr>
                <w:rFonts w:ascii="Times New Roman" w:hAnsi="Times New Roman" w:eastAsia="宋体" w:cs="Times New Roman"/>
                <w:kern w:val="0"/>
                <w:sz w:val="21"/>
                <w:szCs w:val="21"/>
                <w:highlight w:val="none"/>
                <w:lang w:val="en-US" w:eastAsia="zh-CN" w:bidi="ar-SA"/>
              </w:rPr>
            </w:pPr>
          </w:p>
        </w:tc>
        <w:tc>
          <w:tcPr>
            <w:tcW w:w="1701" w:type="dxa"/>
            <w:vMerge w:val="continue"/>
            <w:noWrap w:val="0"/>
            <w:vAlign w:val="center"/>
          </w:tcPr>
          <w:p>
            <w:pPr>
              <w:spacing w:line="360" w:lineRule="exact"/>
              <w:jc w:val="center"/>
              <w:rPr>
                <w:rFonts w:ascii="Times New Roman" w:hAnsi="Times New Roman" w:eastAsia="宋体" w:cs="Times New Roman"/>
                <w:kern w:val="0"/>
                <w:sz w:val="21"/>
                <w:szCs w:val="21"/>
                <w:highlight w:val="none"/>
                <w:lang w:val="en-US" w:eastAsia="zh-CN" w:bidi="ar-SA"/>
              </w:rPr>
            </w:pPr>
          </w:p>
        </w:tc>
        <w:tc>
          <w:tcPr>
            <w:tcW w:w="6606"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大气压力：夏季100.55 KPa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39" w:type="dxa"/>
            <w:vMerge w:val="restart"/>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9</w:t>
            </w:r>
          </w:p>
        </w:tc>
        <w:tc>
          <w:tcPr>
            <w:tcW w:w="1701" w:type="dxa"/>
            <w:vMerge w:val="restart"/>
            <w:noWrap w:val="0"/>
            <w:vAlign w:val="center"/>
          </w:tcPr>
          <w:p>
            <w:pPr>
              <w:spacing w:line="360" w:lineRule="exact"/>
              <w:jc w:val="center"/>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电源条件</w:t>
            </w:r>
          </w:p>
        </w:tc>
        <w:tc>
          <w:tcPr>
            <w:tcW w:w="6606"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电压：∽380V，3相，5线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39" w:type="dxa"/>
            <w:vMerge w:val="continue"/>
            <w:noWrap w:val="0"/>
            <w:vAlign w:val="center"/>
          </w:tcPr>
          <w:p>
            <w:pPr>
              <w:spacing w:line="360" w:lineRule="exact"/>
              <w:jc w:val="center"/>
              <w:rPr>
                <w:rFonts w:ascii="Times New Roman" w:hAnsi="Times New Roman" w:eastAsia="宋体" w:cs="Times New Roman"/>
                <w:kern w:val="0"/>
                <w:sz w:val="21"/>
                <w:szCs w:val="21"/>
                <w:highlight w:val="none"/>
                <w:lang w:val="en-US" w:eastAsia="zh-CN" w:bidi="ar-SA"/>
              </w:rPr>
            </w:pPr>
          </w:p>
        </w:tc>
        <w:tc>
          <w:tcPr>
            <w:tcW w:w="1701" w:type="dxa"/>
            <w:vMerge w:val="continue"/>
            <w:noWrap w:val="0"/>
            <w:vAlign w:val="center"/>
          </w:tcPr>
          <w:p>
            <w:pPr>
              <w:spacing w:line="360" w:lineRule="exact"/>
              <w:jc w:val="center"/>
              <w:rPr>
                <w:rFonts w:ascii="Times New Roman" w:hAnsi="Times New Roman" w:eastAsia="宋体" w:cs="Times New Roman"/>
                <w:kern w:val="0"/>
                <w:sz w:val="21"/>
                <w:szCs w:val="21"/>
                <w:highlight w:val="none"/>
                <w:lang w:val="en-US" w:eastAsia="zh-CN" w:bidi="ar-SA"/>
              </w:rPr>
            </w:pPr>
          </w:p>
        </w:tc>
        <w:tc>
          <w:tcPr>
            <w:tcW w:w="6606"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∽220V，单相，3线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39" w:type="dxa"/>
            <w:vMerge w:val="continue"/>
            <w:noWrap w:val="0"/>
            <w:vAlign w:val="center"/>
          </w:tcPr>
          <w:p>
            <w:pPr>
              <w:spacing w:line="360" w:lineRule="exact"/>
              <w:jc w:val="center"/>
              <w:rPr>
                <w:rFonts w:ascii="Times New Roman" w:hAnsi="Times New Roman" w:eastAsia="宋体" w:cs="Times New Roman"/>
                <w:kern w:val="0"/>
                <w:sz w:val="21"/>
                <w:szCs w:val="21"/>
                <w:highlight w:val="none"/>
                <w:lang w:val="en-US" w:eastAsia="zh-CN" w:bidi="ar-SA"/>
              </w:rPr>
            </w:pPr>
          </w:p>
        </w:tc>
        <w:tc>
          <w:tcPr>
            <w:tcW w:w="1701" w:type="dxa"/>
            <w:vMerge w:val="continue"/>
            <w:noWrap w:val="0"/>
            <w:vAlign w:val="center"/>
          </w:tcPr>
          <w:p>
            <w:pPr>
              <w:spacing w:line="360" w:lineRule="exact"/>
              <w:jc w:val="center"/>
              <w:rPr>
                <w:rFonts w:ascii="Times New Roman" w:hAnsi="Times New Roman" w:eastAsia="宋体" w:cs="Times New Roman"/>
                <w:kern w:val="0"/>
                <w:sz w:val="21"/>
                <w:szCs w:val="21"/>
                <w:highlight w:val="none"/>
                <w:lang w:val="en-US" w:eastAsia="zh-CN" w:bidi="ar-SA"/>
              </w:rPr>
            </w:pPr>
          </w:p>
        </w:tc>
        <w:tc>
          <w:tcPr>
            <w:tcW w:w="6606"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频率：50HZ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39" w:type="dxa"/>
            <w:vMerge w:val="continue"/>
            <w:noWrap w:val="0"/>
            <w:vAlign w:val="center"/>
          </w:tcPr>
          <w:p>
            <w:pPr>
              <w:spacing w:line="360" w:lineRule="exact"/>
              <w:jc w:val="center"/>
              <w:rPr>
                <w:rFonts w:ascii="Times New Roman" w:hAnsi="Times New Roman" w:eastAsia="宋体" w:cs="Times New Roman"/>
                <w:kern w:val="0"/>
                <w:sz w:val="21"/>
                <w:szCs w:val="21"/>
                <w:highlight w:val="none"/>
                <w:lang w:val="en-US" w:eastAsia="zh-CN" w:bidi="ar-SA"/>
              </w:rPr>
            </w:pPr>
          </w:p>
        </w:tc>
        <w:tc>
          <w:tcPr>
            <w:tcW w:w="1701" w:type="dxa"/>
            <w:vMerge w:val="continue"/>
            <w:noWrap w:val="0"/>
            <w:vAlign w:val="center"/>
          </w:tcPr>
          <w:p>
            <w:pPr>
              <w:spacing w:line="360" w:lineRule="exact"/>
              <w:jc w:val="center"/>
              <w:rPr>
                <w:rFonts w:ascii="Times New Roman" w:hAnsi="Times New Roman" w:eastAsia="宋体" w:cs="Times New Roman"/>
                <w:kern w:val="0"/>
                <w:sz w:val="21"/>
                <w:szCs w:val="21"/>
                <w:highlight w:val="none"/>
                <w:lang w:val="en-US" w:eastAsia="zh-CN" w:bidi="ar-SA"/>
              </w:rPr>
            </w:pPr>
          </w:p>
        </w:tc>
        <w:tc>
          <w:tcPr>
            <w:tcW w:w="6606"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电压波动：±5%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39" w:type="dxa"/>
            <w:vMerge w:val="continue"/>
            <w:noWrap w:val="0"/>
            <w:vAlign w:val="center"/>
          </w:tcPr>
          <w:p>
            <w:pPr>
              <w:spacing w:line="360" w:lineRule="exact"/>
              <w:jc w:val="center"/>
              <w:rPr>
                <w:rFonts w:ascii="Times New Roman" w:hAnsi="Times New Roman" w:eastAsia="宋体" w:cs="Times New Roman"/>
                <w:kern w:val="0"/>
                <w:sz w:val="21"/>
                <w:szCs w:val="21"/>
                <w:highlight w:val="none"/>
                <w:lang w:val="en-US" w:eastAsia="zh-CN" w:bidi="ar-SA"/>
              </w:rPr>
            </w:pPr>
          </w:p>
        </w:tc>
        <w:tc>
          <w:tcPr>
            <w:tcW w:w="1701" w:type="dxa"/>
            <w:vMerge w:val="continue"/>
            <w:noWrap w:val="0"/>
            <w:vAlign w:val="center"/>
          </w:tcPr>
          <w:p>
            <w:pPr>
              <w:spacing w:line="360" w:lineRule="exact"/>
              <w:jc w:val="center"/>
              <w:rPr>
                <w:rFonts w:ascii="Times New Roman" w:hAnsi="Times New Roman" w:eastAsia="宋体" w:cs="Times New Roman"/>
                <w:kern w:val="0"/>
                <w:sz w:val="21"/>
                <w:szCs w:val="21"/>
                <w:highlight w:val="none"/>
                <w:lang w:val="en-US" w:eastAsia="zh-CN" w:bidi="ar-SA"/>
              </w:rPr>
            </w:pPr>
          </w:p>
        </w:tc>
        <w:tc>
          <w:tcPr>
            <w:tcW w:w="6606"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接地电阻要求：≤4欧姆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39"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10</w:t>
            </w:r>
          </w:p>
        </w:tc>
        <w:tc>
          <w:tcPr>
            <w:tcW w:w="1701" w:type="dxa"/>
            <w:noWrap w:val="0"/>
            <w:vAlign w:val="center"/>
          </w:tcPr>
          <w:p>
            <w:pPr>
              <w:spacing w:line="360" w:lineRule="exact"/>
              <w:jc w:val="center"/>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抗地震要求</w:t>
            </w:r>
          </w:p>
        </w:tc>
        <w:tc>
          <w:tcPr>
            <w:tcW w:w="6606"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项目须适应6度地震烈度，建筑结构未受偏差影响的前提下，能正常运行。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39" w:type="dxa"/>
            <w:vMerge w:val="restart"/>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11</w:t>
            </w:r>
          </w:p>
        </w:tc>
        <w:tc>
          <w:tcPr>
            <w:tcW w:w="1701" w:type="dxa"/>
            <w:vMerge w:val="restart"/>
            <w:noWrap w:val="0"/>
            <w:vAlign w:val="center"/>
          </w:tcPr>
          <w:p>
            <w:pPr>
              <w:spacing w:line="360" w:lineRule="exact"/>
              <w:jc w:val="center"/>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采用标准和规范</w:t>
            </w:r>
          </w:p>
        </w:tc>
        <w:tc>
          <w:tcPr>
            <w:tcW w:w="6606"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（1）国家相关标准和规范。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39" w:type="dxa"/>
            <w:vMerge w:val="continue"/>
            <w:noWrap w:val="0"/>
            <w:vAlign w:val="center"/>
          </w:tcPr>
          <w:p>
            <w:pPr>
              <w:spacing w:line="360" w:lineRule="exact"/>
              <w:jc w:val="center"/>
              <w:rPr>
                <w:rFonts w:ascii="Times New Roman" w:hAnsi="Times New Roman" w:eastAsia="宋体" w:cs="Times New Roman"/>
                <w:kern w:val="0"/>
                <w:sz w:val="21"/>
                <w:szCs w:val="21"/>
                <w:highlight w:val="none"/>
                <w:lang w:val="en-US" w:eastAsia="zh-CN" w:bidi="ar-SA"/>
              </w:rPr>
            </w:pPr>
          </w:p>
        </w:tc>
        <w:tc>
          <w:tcPr>
            <w:tcW w:w="1701" w:type="dxa"/>
            <w:vMerge w:val="continue"/>
            <w:noWrap w:val="0"/>
            <w:vAlign w:val="center"/>
          </w:tcPr>
          <w:p>
            <w:pPr>
              <w:spacing w:line="360" w:lineRule="exact"/>
              <w:jc w:val="center"/>
              <w:rPr>
                <w:rFonts w:ascii="Times New Roman" w:hAnsi="Times New Roman" w:eastAsia="宋体" w:cs="Times New Roman"/>
                <w:kern w:val="0"/>
                <w:sz w:val="21"/>
                <w:szCs w:val="21"/>
                <w:highlight w:val="none"/>
                <w:lang w:val="en-US" w:eastAsia="zh-CN" w:bidi="ar-SA"/>
              </w:rPr>
            </w:pPr>
          </w:p>
        </w:tc>
        <w:tc>
          <w:tcPr>
            <w:tcW w:w="6606"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（2）由采购方认可的其它国家的权威标准。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39" w:type="dxa"/>
            <w:vMerge w:val="continue"/>
            <w:noWrap w:val="0"/>
            <w:vAlign w:val="center"/>
          </w:tcPr>
          <w:p>
            <w:pPr>
              <w:spacing w:line="360" w:lineRule="exact"/>
              <w:jc w:val="center"/>
              <w:rPr>
                <w:rFonts w:ascii="Times New Roman" w:hAnsi="Times New Roman" w:eastAsia="宋体" w:cs="Times New Roman"/>
                <w:kern w:val="0"/>
                <w:sz w:val="21"/>
                <w:szCs w:val="21"/>
                <w:highlight w:val="none"/>
                <w:lang w:val="en-US" w:eastAsia="zh-CN" w:bidi="ar-SA"/>
              </w:rPr>
            </w:pPr>
          </w:p>
        </w:tc>
        <w:tc>
          <w:tcPr>
            <w:tcW w:w="1701" w:type="dxa"/>
            <w:vMerge w:val="continue"/>
            <w:noWrap w:val="0"/>
            <w:vAlign w:val="center"/>
          </w:tcPr>
          <w:p>
            <w:pPr>
              <w:spacing w:line="360" w:lineRule="exact"/>
              <w:jc w:val="center"/>
              <w:rPr>
                <w:rFonts w:ascii="Times New Roman" w:hAnsi="Times New Roman" w:eastAsia="宋体" w:cs="Times New Roman"/>
                <w:kern w:val="0"/>
                <w:sz w:val="21"/>
                <w:szCs w:val="21"/>
                <w:highlight w:val="none"/>
                <w:lang w:val="en-US" w:eastAsia="zh-CN" w:bidi="ar-SA"/>
              </w:rPr>
            </w:pPr>
          </w:p>
        </w:tc>
        <w:tc>
          <w:tcPr>
            <w:tcW w:w="6606"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（3）经法定单位备案登记的投标产品执行标准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39"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12</w:t>
            </w:r>
          </w:p>
        </w:tc>
        <w:tc>
          <w:tcPr>
            <w:tcW w:w="1701" w:type="dxa"/>
            <w:noWrap w:val="0"/>
            <w:vAlign w:val="center"/>
          </w:tcPr>
          <w:p>
            <w:pPr>
              <w:spacing w:line="360" w:lineRule="exact"/>
              <w:jc w:val="center"/>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项目运行要求</w:t>
            </w:r>
          </w:p>
        </w:tc>
        <w:tc>
          <w:tcPr>
            <w:tcW w:w="6606"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保持日常运行的安全、可靠和不停机维护。全天24小时连续工作制，年365天。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39"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13</w:t>
            </w:r>
          </w:p>
        </w:tc>
        <w:tc>
          <w:tcPr>
            <w:tcW w:w="1701" w:type="dxa"/>
            <w:noWrap w:val="0"/>
            <w:vAlign w:val="center"/>
          </w:tcPr>
          <w:p>
            <w:pPr>
              <w:spacing w:line="360" w:lineRule="exact"/>
              <w:jc w:val="center"/>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项目安装要求</w:t>
            </w:r>
          </w:p>
        </w:tc>
        <w:tc>
          <w:tcPr>
            <w:tcW w:w="6606"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包括机房外管路的安装工作，医用纯水中心机房内相应的预处理、后处理项目，管道材料、电气控制等的供货，安装，项目调试、负责通过相关验收和售后服务。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39"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14</w:t>
            </w:r>
          </w:p>
        </w:tc>
        <w:tc>
          <w:tcPr>
            <w:tcW w:w="1701" w:type="dxa"/>
            <w:noWrap w:val="0"/>
            <w:vAlign w:val="center"/>
          </w:tcPr>
          <w:p>
            <w:pPr>
              <w:spacing w:line="360" w:lineRule="exact"/>
              <w:jc w:val="center"/>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项目工艺要求</w:t>
            </w:r>
          </w:p>
        </w:tc>
        <w:tc>
          <w:tcPr>
            <w:tcW w:w="6606"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项目应双套设计，日常运行中既可双套同时制水，又可单套制水；每单套项目生产产品水的能力不小于20M³/H（水温25℃）。各路动力泵采用一开一备设计，运行中的泵遇故障时，备用泵能自动切换运行。各路纯水均要求循环回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39"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15</w:t>
            </w:r>
          </w:p>
        </w:tc>
        <w:tc>
          <w:tcPr>
            <w:tcW w:w="1701"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设计使用寿命</w:t>
            </w:r>
          </w:p>
        </w:tc>
        <w:tc>
          <w:tcPr>
            <w:tcW w:w="6606"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除密封件、易耗件等一类消耗品外，所有部件都应具有连续正常使用超过3年的寿命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39"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16</w:t>
            </w:r>
          </w:p>
        </w:tc>
        <w:tc>
          <w:tcPr>
            <w:tcW w:w="1701"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核心部件要求</w:t>
            </w:r>
          </w:p>
        </w:tc>
        <w:tc>
          <w:tcPr>
            <w:tcW w:w="6606"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反渗透膜组件、水泵、主要电器组件等核心部件要求参照或相当于国际知名品牌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39"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17</w:t>
            </w:r>
          </w:p>
        </w:tc>
        <w:tc>
          <w:tcPr>
            <w:tcW w:w="1701"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过流材质</w:t>
            </w:r>
          </w:p>
        </w:tc>
        <w:tc>
          <w:tcPr>
            <w:tcW w:w="6606"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预处理部分、后处理部分卫生级304不锈钢或以上材质氩弧焊连接，确保供水管内壁表面光滑无死腔。机房外管路部分采用304不锈钢或以上材质和卡压方式连接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39"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18</w:t>
            </w:r>
          </w:p>
        </w:tc>
        <w:tc>
          <w:tcPr>
            <w:tcW w:w="1701"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控制方式</w:t>
            </w:r>
          </w:p>
        </w:tc>
        <w:tc>
          <w:tcPr>
            <w:tcW w:w="6606"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PLC全自动控制/手动控制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39" w:type="dxa"/>
            <w:vMerge w:val="restart"/>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19</w:t>
            </w:r>
          </w:p>
        </w:tc>
        <w:tc>
          <w:tcPr>
            <w:tcW w:w="1701" w:type="dxa"/>
            <w:vMerge w:val="restart"/>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PLC全自动控制的基本要求</w:t>
            </w:r>
          </w:p>
        </w:tc>
        <w:tc>
          <w:tcPr>
            <w:tcW w:w="6606"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项目PLC全自动控制至少应具备下列功能：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39" w:type="dxa"/>
            <w:vMerge w:val="continue"/>
            <w:noWrap w:val="0"/>
            <w:vAlign w:val="center"/>
          </w:tcPr>
          <w:p>
            <w:pPr>
              <w:spacing w:line="360" w:lineRule="exact"/>
              <w:jc w:val="center"/>
              <w:rPr>
                <w:rFonts w:ascii="Times New Roman" w:hAnsi="Times New Roman" w:eastAsia="宋体" w:cs="Times New Roman"/>
                <w:kern w:val="0"/>
                <w:sz w:val="21"/>
                <w:szCs w:val="21"/>
                <w:highlight w:val="none"/>
                <w:lang w:val="en-US" w:eastAsia="zh-CN" w:bidi="ar-SA"/>
              </w:rPr>
            </w:pPr>
          </w:p>
        </w:tc>
        <w:tc>
          <w:tcPr>
            <w:tcW w:w="1701" w:type="dxa"/>
            <w:vMerge w:val="continue"/>
            <w:noWrap w:val="0"/>
            <w:vAlign w:val="center"/>
          </w:tcPr>
          <w:p>
            <w:pPr>
              <w:spacing w:line="360" w:lineRule="exact"/>
              <w:rPr>
                <w:rFonts w:ascii="Times New Roman" w:hAnsi="Times New Roman" w:eastAsia="宋体" w:cs="Times New Roman"/>
                <w:kern w:val="0"/>
                <w:sz w:val="21"/>
                <w:szCs w:val="21"/>
                <w:highlight w:val="none"/>
                <w:lang w:val="en-US" w:eastAsia="zh-CN" w:bidi="ar-SA"/>
              </w:rPr>
            </w:pPr>
          </w:p>
        </w:tc>
        <w:tc>
          <w:tcPr>
            <w:tcW w:w="6606"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1、原水箱低液位自动报警功能；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39" w:type="dxa"/>
            <w:vMerge w:val="continue"/>
            <w:noWrap w:val="0"/>
            <w:vAlign w:val="center"/>
          </w:tcPr>
          <w:p>
            <w:pPr>
              <w:spacing w:line="360" w:lineRule="exact"/>
              <w:jc w:val="center"/>
              <w:rPr>
                <w:rFonts w:ascii="Times New Roman" w:hAnsi="Times New Roman" w:eastAsia="宋体" w:cs="Times New Roman"/>
                <w:kern w:val="0"/>
                <w:sz w:val="21"/>
                <w:szCs w:val="21"/>
                <w:highlight w:val="none"/>
                <w:lang w:val="en-US" w:eastAsia="zh-CN" w:bidi="ar-SA"/>
              </w:rPr>
            </w:pPr>
          </w:p>
        </w:tc>
        <w:tc>
          <w:tcPr>
            <w:tcW w:w="1701" w:type="dxa"/>
            <w:vMerge w:val="continue"/>
            <w:noWrap w:val="0"/>
            <w:vAlign w:val="center"/>
          </w:tcPr>
          <w:p>
            <w:pPr>
              <w:spacing w:line="360" w:lineRule="exact"/>
              <w:rPr>
                <w:rFonts w:ascii="Times New Roman" w:hAnsi="Times New Roman" w:eastAsia="宋体" w:cs="Times New Roman"/>
                <w:kern w:val="0"/>
                <w:sz w:val="21"/>
                <w:szCs w:val="21"/>
                <w:highlight w:val="none"/>
                <w:lang w:val="en-US" w:eastAsia="zh-CN" w:bidi="ar-SA"/>
              </w:rPr>
            </w:pPr>
          </w:p>
        </w:tc>
        <w:tc>
          <w:tcPr>
            <w:tcW w:w="6606"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2、原水泵遇故障报警并自动开启备用泵功能；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39" w:type="dxa"/>
            <w:vMerge w:val="continue"/>
            <w:noWrap w:val="0"/>
            <w:vAlign w:val="center"/>
          </w:tcPr>
          <w:p>
            <w:pPr>
              <w:spacing w:line="360" w:lineRule="exact"/>
              <w:jc w:val="center"/>
              <w:rPr>
                <w:rFonts w:ascii="Times New Roman" w:hAnsi="Times New Roman" w:eastAsia="宋体" w:cs="Times New Roman"/>
                <w:kern w:val="0"/>
                <w:sz w:val="21"/>
                <w:szCs w:val="21"/>
                <w:highlight w:val="none"/>
                <w:lang w:val="en-US" w:eastAsia="zh-CN" w:bidi="ar-SA"/>
              </w:rPr>
            </w:pPr>
          </w:p>
        </w:tc>
        <w:tc>
          <w:tcPr>
            <w:tcW w:w="1701" w:type="dxa"/>
            <w:vMerge w:val="continue"/>
            <w:noWrap w:val="0"/>
            <w:vAlign w:val="center"/>
          </w:tcPr>
          <w:p>
            <w:pPr>
              <w:spacing w:line="360" w:lineRule="exact"/>
              <w:rPr>
                <w:rFonts w:ascii="Times New Roman" w:hAnsi="Times New Roman" w:eastAsia="宋体" w:cs="Times New Roman"/>
                <w:kern w:val="0"/>
                <w:sz w:val="21"/>
                <w:szCs w:val="21"/>
                <w:highlight w:val="none"/>
                <w:lang w:val="en-US" w:eastAsia="zh-CN" w:bidi="ar-SA"/>
              </w:rPr>
            </w:pPr>
          </w:p>
        </w:tc>
        <w:tc>
          <w:tcPr>
            <w:tcW w:w="6606"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3、纯水水质电导、电阻超标自动报警并延时停机功能；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39" w:type="dxa"/>
            <w:vMerge w:val="continue"/>
            <w:noWrap w:val="0"/>
            <w:vAlign w:val="center"/>
          </w:tcPr>
          <w:p>
            <w:pPr>
              <w:spacing w:line="360" w:lineRule="exact"/>
              <w:jc w:val="center"/>
              <w:rPr>
                <w:rFonts w:ascii="Times New Roman" w:hAnsi="Times New Roman" w:eastAsia="宋体" w:cs="Times New Roman"/>
                <w:kern w:val="0"/>
                <w:sz w:val="21"/>
                <w:szCs w:val="21"/>
                <w:highlight w:val="none"/>
                <w:lang w:val="en-US" w:eastAsia="zh-CN" w:bidi="ar-SA"/>
              </w:rPr>
            </w:pPr>
          </w:p>
        </w:tc>
        <w:tc>
          <w:tcPr>
            <w:tcW w:w="1701" w:type="dxa"/>
            <w:vMerge w:val="continue"/>
            <w:noWrap w:val="0"/>
            <w:vAlign w:val="center"/>
          </w:tcPr>
          <w:p>
            <w:pPr>
              <w:spacing w:line="360" w:lineRule="exact"/>
              <w:rPr>
                <w:rFonts w:ascii="Times New Roman" w:hAnsi="Times New Roman" w:eastAsia="宋体" w:cs="Times New Roman"/>
                <w:kern w:val="0"/>
                <w:sz w:val="21"/>
                <w:szCs w:val="21"/>
                <w:highlight w:val="none"/>
                <w:lang w:val="en-US" w:eastAsia="zh-CN" w:bidi="ar-SA"/>
              </w:rPr>
            </w:pPr>
          </w:p>
        </w:tc>
        <w:tc>
          <w:tcPr>
            <w:tcW w:w="6606"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4 、遇1情况或原水压力过低RO泵自动保护功能；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39" w:type="dxa"/>
            <w:vMerge w:val="continue"/>
            <w:noWrap w:val="0"/>
            <w:vAlign w:val="center"/>
          </w:tcPr>
          <w:p>
            <w:pPr>
              <w:spacing w:line="360" w:lineRule="exact"/>
              <w:jc w:val="center"/>
              <w:rPr>
                <w:rFonts w:ascii="Times New Roman" w:hAnsi="Times New Roman" w:eastAsia="宋体" w:cs="Times New Roman"/>
                <w:kern w:val="0"/>
                <w:sz w:val="21"/>
                <w:szCs w:val="21"/>
                <w:highlight w:val="none"/>
                <w:lang w:val="en-US" w:eastAsia="zh-CN" w:bidi="ar-SA"/>
              </w:rPr>
            </w:pPr>
          </w:p>
        </w:tc>
        <w:tc>
          <w:tcPr>
            <w:tcW w:w="1701" w:type="dxa"/>
            <w:vMerge w:val="continue"/>
            <w:noWrap w:val="0"/>
            <w:vAlign w:val="center"/>
          </w:tcPr>
          <w:p>
            <w:pPr>
              <w:spacing w:line="360" w:lineRule="exact"/>
              <w:rPr>
                <w:rFonts w:ascii="Times New Roman" w:hAnsi="Times New Roman" w:eastAsia="宋体" w:cs="Times New Roman"/>
                <w:kern w:val="0"/>
                <w:sz w:val="21"/>
                <w:szCs w:val="21"/>
                <w:highlight w:val="none"/>
                <w:lang w:val="en-US" w:eastAsia="zh-CN" w:bidi="ar-SA"/>
              </w:rPr>
            </w:pPr>
          </w:p>
        </w:tc>
        <w:tc>
          <w:tcPr>
            <w:tcW w:w="6606"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5 、纯水箱高液位自动停止制水，有多个纯水箱时任一纯水箱至中液位自动制水、超低液位自动报警并延时停止纯水输送功能；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39" w:type="dxa"/>
            <w:vMerge w:val="continue"/>
            <w:noWrap w:val="0"/>
            <w:vAlign w:val="center"/>
          </w:tcPr>
          <w:p>
            <w:pPr>
              <w:spacing w:line="360" w:lineRule="exact"/>
              <w:jc w:val="center"/>
              <w:rPr>
                <w:rFonts w:ascii="Times New Roman" w:hAnsi="Times New Roman" w:eastAsia="宋体" w:cs="Times New Roman"/>
                <w:kern w:val="0"/>
                <w:sz w:val="21"/>
                <w:szCs w:val="21"/>
                <w:highlight w:val="none"/>
                <w:lang w:val="en-US" w:eastAsia="zh-CN" w:bidi="ar-SA"/>
              </w:rPr>
            </w:pPr>
          </w:p>
        </w:tc>
        <w:tc>
          <w:tcPr>
            <w:tcW w:w="1701" w:type="dxa"/>
            <w:vMerge w:val="continue"/>
            <w:noWrap w:val="0"/>
            <w:vAlign w:val="center"/>
          </w:tcPr>
          <w:p>
            <w:pPr>
              <w:spacing w:line="360" w:lineRule="exact"/>
              <w:rPr>
                <w:rFonts w:ascii="Times New Roman" w:hAnsi="Times New Roman" w:eastAsia="宋体" w:cs="Times New Roman"/>
                <w:kern w:val="0"/>
                <w:sz w:val="21"/>
                <w:szCs w:val="21"/>
                <w:highlight w:val="none"/>
                <w:lang w:val="en-US" w:eastAsia="zh-CN" w:bidi="ar-SA"/>
              </w:rPr>
            </w:pPr>
          </w:p>
        </w:tc>
        <w:tc>
          <w:tcPr>
            <w:tcW w:w="6606"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6 、纯水输送泵遇故障报警并自动开启备用泵功能；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39" w:type="dxa"/>
            <w:vMerge w:val="continue"/>
            <w:noWrap w:val="0"/>
            <w:vAlign w:val="center"/>
          </w:tcPr>
          <w:p>
            <w:pPr>
              <w:spacing w:line="360" w:lineRule="exact"/>
              <w:jc w:val="center"/>
              <w:rPr>
                <w:rFonts w:ascii="Times New Roman" w:hAnsi="Times New Roman" w:eastAsia="宋体" w:cs="Times New Roman"/>
                <w:kern w:val="0"/>
                <w:sz w:val="21"/>
                <w:szCs w:val="21"/>
                <w:highlight w:val="none"/>
                <w:lang w:val="en-US" w:eastAsia="zh-CN" w:bidi="ar-SA"/>
              </w:rPr>
            </w:pPr>
          </w:p>
        </w:tc>
        <w:tc>
          <w:tcPr>
            <w:tcW w:w="1701" w:type="dxa"/>
            <w:vMerge w:val="continue"/>
            <w:noWrap w:val="0"/>
            <w:vAlign w:val="center"/>
          </w:tcPr>
          <w:p>
            <w:pPr>
              <w:spacing w:line="360" w:lineRule="exact"/>
              <w:rPr>
                <w:rFonts w:ascii="Times New Roman" w:hAnsi="Times New Roman" w:eastAsia="宋体" w:cs="Times New Roman"/>
                <w:kern w:val="0"/>
                <w:sz w:val="21"/>
                <w:szCs w:val="21"/>
                <w:highlight w:val="none"/>
                <w:lang w:val="en-US" w:eastAsia="zh-CN" w:bidi="ar-SA"/>
              </w:rPr>
            </w:pPr>
          </w:p>
        </w:tc>
        <w:tc>
          <w:tcPr>
            <w:tcW w:w="6606"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7 、水质、水量、工作水压力在线自动检测功能；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39" w:type="dxa"/>
            <w:vMerge w:val="continue"/>
            <w:noWrap w:val="0"/>
            <w:vAlign w:val="center"/>
          </w:tcPr>
          <w:p>
            <w:pPr>
              <w:spacing w:line="360" w:lineRule="exact"/>
              <w:jc w:val="center"/>
              <w:rPr>
                <w:rFonts w:ascii="Times New Roman" w:hAnsi="Times New Roman" w:eastAsia="宋体" w:cs="Times New Roman"/>
                <w:kern w:val="0"/>
                <w:sz w:val="21"/>
                <w:szCs w:val="21"/>
                <w:highlight w:val="none"/>
                <w:lang w:val="en-US" w:eastAsia="zh-CN" w:bidi="ar-SA"/>
              </w:rPr>
            </w:pPr>
          </w:p>
        </w:tc>
        <w:tc>
          <w:tcPr>
            <w:tcW w:w="1701" w:type="dxa"/>
            <w:vMerge w:val="continue"/>
            <w:noWrap w:val="0"/>
            <w:vAlign w:val="center"/>
          </w:tcPr>
          <w:p>
            <w:pPr>
              <w:spacing w:line="360" w:lineRule="exact"/>
              <w:rPr>
                <w:rFonts w:ascii="Times New Roman" w:hAnsi="Times New Roman" w:eastAsia="宋体" w:cs="Times New Roman"/>
                <w:kern w:val="0"/>
                <w:sz w:val="21"/>
                <w:szCs w:val="21"/>
                <w:highlight w:val="none"/>
                <w:lang w:val="en-US" w:eastAsia="zh-CN" w:bidi="ar-SA"/>
              </w:rPr>
            </w:pPr>
          </w:p>
        </w:tc>
        <w:tc>
          <w:tcPr>
            <w:tcW w:w="6606"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8 、具有PLC自动、手动控制和触点开关手动控制三选择功能；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39" w:type="dxa"/>
            <w:vMerge w:val="continue"/>
            <w:noWrap w:val="0"/>
            <w:vAlign w:val="center"/>
          </w:tcPr>
          <w:p>
            <w:pPr>
              <w:spacing w:line="360" w:lineRule="exact"/>
              <w:jc w:val="center"/>
              <w:rPr>
                <w:rFonts w:ascii="Times New Roman" w:hAnsi="Times New Roman" w:eastAsia="宋体" w:cs="Times New Roman"/>
                <w:kern w:val="0"/>
                <w:sz w:val="21"/>
                <w:szCs w:val="21"/>
                <w:highlight w:val="none"/>
                <w:lang w:val="en-US" w:eastAsia="zh-CN" w:bidi="ar-SA"/>
              </w:rPr>
            </w:pPr>
          </w:p>
        </w:tc>
        <w:tc>
          <w:tcPr>
            <w:tcW w:w="1701" w:type="dxa"/>
            <w:vMerge w:val="continue"/>
            <w:noWrap w:val="0"/>
            <w:vAlign w:val="center"/>
          </w:tcPr>
          <w:p>
            <w:pPr>
              <w:spacing w:line="360" w:lineRule="exact"/>
              <w:rPr>
                <w:rFonts w:ascii="Times New Roman" w:hAnsi="Times New Roman" w:eastAsia="宋体" w:cs="Times New Roman"/>
                <w:kern w:val="0"/>
                <w:sz w:val="21"/>
                <w:szCs w:val="21"/>
                <w:highlight w:val="none"/>
                <w:lang w:val="en-US" w:eastAsia="zh-CN" w:bidi="ar-SA"/>
              </w:rPr>
            </w:pPr>
          </w:p>
        </w:tc>
        <w:tc>
          <w:tcPr>
            <w:tcW w:w="6606"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9、提供远程管理与监控的协议通讯接口：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39" w:type="dxa"/>
            <w:vMerge w:val="continue"/>
            <w:noWrap w:val="0"/>
            <w:vAlign w:val="center"/>
          </w:tcPr>
          <w:p>
            <w:pPr>
              <w:spacing w:line="360" w:lineRule="exact"/>
              <w:jc w:val="center"/>
              <w:rPr>
                <w:rFonts w:ascii="Times New Roman" w:hAnsi="Times New Roman" w:eastAsia="宋体" w:cs="Times New Roman"/>
                <w:kern w:val="0"/>
                <w:sz w:val="21"/>
                <w:szCs w:val="21"/>
                <w:highlight w:val="none"/>
                <w:lang w:val="en-US" w:eastAsia="zh-CN" w:bidi="ar-SA"/>
              </w:rPr>
            </w:pPr>
          </w:p>
        </w:tc>
        <w:tc>
          <w:tcPr>
            <w:tcW w:w="1701" w:type="dxa"/>
            <w:vMerge w:val="continue"/>
            <w:noWrap w:val="0"/>
            <w:vAlign w:val="center"/>
          </w:tcPr>
          <w:p>
            <w:pPr>
              <w:spacing w:line="360" w:lineRule="exact"/>
              <w:rPr>
                <w:rFonts w:ascii="Times New Roman" w:hAnsi="Times New Roman" w:eastAsia="宋体" w:cs="Times New Roman"/>
                <w:kern w:val="0"/>
                <w:sz w:val="21"/>
                <w:szCs w:val="21"/>
                <w:highlight w:val="none"/>
                <w:lang w:val="en-US" w:eastAsia="zh-CN" w:bidi="ar-SA"/>
              </w:rPr>
            </w:pPr>
          </w:p>
        </w:tc>
        <w:tc>
          <w:tcPr>
            <w:tcW w:w="6606"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10、项目运行参数、水质监测、压力、流量及各水箱液位参数均能够在线显示。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39" w:type="dxa"/>
            <w:vMerge w:val="restart"/>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ascii="Times New Roman" w:hAnsi="Times New Roman" w:eastAsia="宋体" w:cs="Times New Roman"/>
                <w:kern w:val="0"/>
                <w:sz w:val="21"/>
                <w:szCs w:val="21"/>
                <w:highlight w:val="none"/>
                <w:lang w:val="en-US" w:eastAsia="zh-CN" w:bidi="ar-SA"/>
              </w:rPr>
              <w:t>20</w:t>
            </w:r>
          </w:p>
        </w:tc>
        <w:tc>
          <w:tcPr>
            <w:tcW w:w="1701" w:type="dxa"/>
            <w:vMerge w:val="restart"/>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运行监控平台</w:t>
            </w:r>
          </w:p>
        </w:tc>
        <w:tc>
          <w:tcPr>
            <w:tcW w:w="6606"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纯水制备间配置全套的集中运行监控平台，提供故障报警，运行数据及状态的查询功能，屏蔽控制功能。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39" w:type="dxa"/>
            <w:vMerge w:val="continue"/>
            <w:noWrap w:val="0"/>
            <w:vAlign w:val="center"/>
          </w:tcPr>
          <w:p>
            <w:pPr>
              <w:spacing w:line="360" w:lineRule="exact"/>
              <w:rPr>
                <w:rFonts w:ascii="Times New Roman" w:hAnsi="Times New Roman" w:eastAsia="宋体" w:cs="Times New Roman"/>
                <w:kern w:val="0"/>
                <w:sz w:val="21"/>
                <w:szCs w:val="21"/>
                <w:highlight w:val="none"/>
                <w:lang w:val="en-US" w:eastAsia="zh-CN" w:bidi="ar-SA"/>
              </w:rPr>
            </w:pPr>
          </w:p>
        </w:tc>
        <w:tc>
          <w:tcPr>
            <w:tcW w:w="1701" w:type="dxa"/>
            <w:vMerge w:val="continue"/>
            <w:noWrap w:val="0"/>
            <w:vAlign w:val="center"/>
          </w:tcPr>
          <w:p>
            <w:pPr>
              <w:spacing w:line="360" w:lineRule="exact"/>
              <w:rPr>
                <w:rFonts w:ascii="Times New Roman" w:hAnsi="Times New Roman" w:eastAsia="宋体" w:cs="Times New Roman"/>
                <w:kern w:val="0"/>
                <w:sz w:val="21"/>
                <w:szCs w:val="21"/>
                <w:highlight w:val="none"/>
                <w:lang w:val="en-US" w:eastAsia="zh-CN" w:bidi="ar-SA"/>
              </w:rPr>
            </w:pPr>
          </w:p>
        </w:tc>
        <w:tc>
          <w:tcPr>
            <w:tcW w:w="6606" w:type="dxa"/>
            <w:noWrap w:val="0"/>
            <w:vAlign w:val="center"/>
          </w:tcPr>
          <w:p>
            <w:pPr>
              <w:spacing w:line="360" w:lineRule="exact"/>
              <w:rPr>
                <w:rFonts w:ascii="Times New Roman" w:hAnsi="Times New Roman" w:eastAsia="宋体" w:cs="Times New Roman"/>
                <w:kern w:val="0"/>
                <w:sz w:val="21"/>
                <w:szCs w:val="21"/>
                <w:highlight w:val="none"/>
                <w:lang w:val="en-US" w:eastAsia="zh-CN" w:bidi="ar-SA"/>
              </w:rPr>
            </w:pPr>
            <w:r>
              <w:rPr>
                <w:rFonts w:hint="eastAsia" w:ascii="Times New Roman" w:hAnsi="Times New Roman" w:eastAsia="宋体" w:cs="Times New Roman"/>
                <w:kern w:val="0"/>
                <w:sz w:val="21"/>
                <w:szCs w:val="21"/>
                <w:highlight w:val="none"/>
                <w:lang w:val="en-US" w:eastAsia="zh-CN" w:bidi="ar-SA"/>
              </w:rPr>
              <w:t>设备制造商需向招标人提供无线远程管理服务，设备的运行数据和报警信息可以不受地域限制实时发送到设备制造商的服务平台，提供预防式的售后服务。</w:t>
            </w:r>
          </w:p>
        </w:tc>
      </w:tr>
    </w:tbl>
    <w:p>
      <w:pPr>
        <w:rPr>
          <w:rFonts w:ascii="Times New Roman" w:hAnsi="Times New Roman" w:eastAsia="宋体" w:cs="Times New Roman"/>
          <w:kern w:val="2"/>
          <w:sz w:val="21"/>
          <w:szCs w:val="22"/>
          <w:highlight w:val="none"/>
          <w:lang w:val="en-US" w:eastAsia="zh-CN" w:bidi="ar-SA"/>
        </w:rPr>
      </w:pPr>
      <w:r>
        <w:rPr>
          <w:rFonts w:ascii="Times New Roman" w:hAnsi="Times New Roman" w:eastAsia="宋体" w:cs="Times New Roman"/>
          <w:kern w:val="2"/>
          <w:sz w:val="21"/>
          <w:szCs w:val="22"/>
          <w:highlight w:val="none"/>
          <w:lang w:val="en-US" w:eastAsia="zh-CN" w:bidi="ar-SA"/>
        </w:rPr>
        <w:br w:type="page"/>
      </w:r>
    </w:p>
    <w:p>
      <w:pPr>
        <w:widowControl/>
        <w:numPr>
          <w:ilvl w:val="0"/>
          <w:numId w:val="39"/>
        </w:numPr>
        <w:spacing w:line="480" w:lineRule="auto"/>
        <w:jc w:val="both"/>
        <w:outlineLvl w:val="1"/>
        <w:rPr>
          <w:rFonts w:ascii="Times New Roman" w:hAnsi="Times New Roman" w:eastAsia="宋体" w:cs="Times New Roman"/>
          <w:b/>
          <w:kern w:val="0"/>
          <w:sz w:val="24"/>
          <w:szCs w:val="21"/>
          <w:highlight w:val="none"/>
          <w:lang w:val="en-US" w:eastAsia="zh-CN" w:bidi="ar-SA"/>
        </w:rPr>
      </w:pPr>
      <w:bookmarkStart w:id="440" w:name="_Toc1174"/>
      <w:r>
        <w:rPr>
          <w:rFonts w:hint="eastAsia" w:ascii="Times New Roman" w:hAnsi="宋体" w:eastAsia="宋体" w:cs="Times New Roman"/>
          <w:b/>
          <w:kern w:val="0"/>
          <w:sz w:val="24"/>
          <w:szCs w:val="21"/>
          <w:highlight w:val="none"/>
          <w:lang w:val="en-US" w:eastAsia="zh-CN" w:bidi="ar-SA"/>
        </w:rPr>
        <w:t>设计、制造规范</w:t>
      </w:r>
      <w:bookmarkEnd w:id="440"/>
    </w:p>
    <w:p>
      <w:pPr>
        <w:spacing w:line="360" w:lineRule="auto"/>
        <w:ind w:firstLine="420" w:firstLineChars="200"/>
        <w:rPr>
          <w:rFonts w:ascii="Times New Roman" w:hAnsi="Times New Roman" w:eastAsia="宋体" w:cs="Times New Roman"/>
          <w:color w:val="000000"/>
          <w:kern w:val="2"/>
          <w:sz w:val="21"/>
          <w:szCs w:val="21"/>
          <w:highlight w:val="none"/>
          <w:lang w:val="en-US" w:eastAsia="zh-CN" w:bidi="ar-SA"/>
        </w:rPr>
      </w:pPr>
      <w:r>
        <w:rPr>
          <w:rFonts w:hint="eastAsia" w:ascii="Times New Roman" w:hAnsi="宋体" w:eastAsia="宋体" w:cs="Times New Roman"/>
          <w:color w:val="000000"/>
          <w:kern w:val="2"/>
          <w:sz w:val="21"/>
          <w:szCs w:val="21"/>
          <w:highlight w:val="none"/>
          <w:lang w:val="en-US" w:eastAsia="zh-CN" w:bidi="ar-SA"/>
        </w:rPr>
        <w:t>本</w:t>
      </w:r>
      <w:r>
        <w:rPr>
          <w:rFonts w:hint="eastAsia" w:ascii="Times New Roman" w:cs="Times New Roman"/>
          <w:color w:val="000000"/>
          <w:kern w:val="2"/>
          <w:sz w:val="21"/>
          <w:szCs w:val="21"/>
          <w:highlight w:val="none"/>
          <w:lang w:val="en-US" w:eastAsia="zh-CN" w:bidi="ar-SA"/>
        </w:rPr>
        <w:t>项目</w:t>
      </w:r>
      <w:r>
        <w:rPr>
          <w:rFonts w:hint="eastAsia" w:ascii="Times New Roman" w:hAnsi="宋体" w:eastAsia="宋体" w:cs="Times New Roman"/>
          <w:color w:val="000000"/>
          <w:kern w:val="2"/>
          <w:sz w:val="21"/>
          <w:szCs w:val="21"/>
          <w:highlight w:val="none"/>
          <w:lang w:val="en-US" w:eastAsia="zh-CN" w:bidi="ar-SA"/>
        </w:rPr>
        <w:t>所涉及到的设计、加工制造、材料、探伤、电气装置、检验、试验及施工安装等均应参照适合于该项目的相关标准、试验规范，以及技术规格书规定的有关要求。投标人所提供的项目应按法定备案的企标组织生产是基本要求。达到中华人民共和国和项目出产国有关项目及项目的设计、制造、安装、试验、验收和安全等方面的标准和规范是有标准可依产品的综合要求。所有计量仪器必须符合国家标准。这些标准应包括中国国家标准及其它被普遍认可的中国标准（应包括但不仅限于以下）：</w:t>
      </w:r>
    </w:p>
    <w:p>
      <w:pPr>
        <w:spacing w:line="360" w:lineRule="auto"/>
        <w:rPr>
          <w:rFonts w:ascii="Times New Roman" w:hAnsi="Times New Roman" w:eastAsia="宋体" w:cs="Times New Roman"/>
          <w:color w:val="000000"/>
          <w:kern w:val="2"/>
          <w:sz w:val="21"/>
          <w:szCs w:val="21"/>
          <w:highlight w:val="none"/>
          <w:lang w:val="en-US" w:eastAsia="zh-CN" w:bidi="ar-SA"/>
        </w:rPr>
      </w:pPr>
      <w:r>
        <w:rPr>
          <w:rFonts w:hint="eastAsia" w:ascii="Times New Roman" w:hAnsi="宋体" w:eastAsia="宋体" w:cs="Times New Roman"/>
          <w:color w:val="000000"/>
          <w:kern w:val="2"/>
          <w:sz w:val="21"/>
          <w:szCs w:val="21"/>
          <w:highlight w:val="none"/>
          <w:lang w:val="en-US" w:eastAsia="zh-CN" w:bidi="ar-SA"/>
        </w:rPr>
        <w:t>《中华人民共和国生活饮用水卫生标准》</w:t>
      </w:r>
      <w:r>
        <w:rPr>
          <w:rFonts w:hint="eastAsia" w:ascii="Times New Roman" w:hAnsi="Times New Roman" w:eastAsia="宋体" w:cs="Times New Roman"/>
          <w:color w:val="000000"/>
          <w:kern w:val="2"/>
          <w:sz w:val="21"/>
          <w:szCs w:val="21"/>
          <w:highlight w:val="none"/>
          <w:lang w:val="en-US" w:eastAsia="zh-CN" w:bidi="ar-SA"/>
        </w:rPr>
        <w:tab/>
      </w:r>
      <w:r>
        <w:rPr>
          <w:rFonts w:hint="eastAsia" w:ascii="Times New Roman" w:hAnsi="Times New Roman" w:eastAsia="宋体" w:cs="Times New Roman"/>
          <w:color w:val="000000"/>
          <w:kern w:val="2"/>
          <w:sz w:val="21"/>
          <w:szCs w:val="21"/>
          <w:highlight w:val="none"/>
          <w:lang w:val="en-US" w:eastAsia="zh-CN" w:bidi="ar-SA"/>
        </w:rPr>
        <w:t>GB5749-2006</w:t>
      </w:r>
    </w:p>
    <w:p>
      <w:pPr>
        <w:spacing w:line="360" w:lineRule="auto"/>
        <w:rPr>
          <w:rFonts w:ascii="Times New Roman" w:hAnsi="Times New Roman" w:eastAsia="宋体" w:cs="Times New Roman"/>
          <w:color w:val="000000"/>
          <w:kern w:val="2"/>
          <w:sz w:val="21"/>
          <w:szCs w:val="21"/>
          <w:highlight w:val="none"/>
          <w:lang w:val="en-US" w:eastAsia="zh-CN" w:bidi="ar-SA"/>
        </w:rPr>
      </w:pPr>
      <w:r>
        <w:rPr>
          <w:rFonts w:hint="eastAsia" w:ascii="Times New Roman" w:hAnsi="宋体" w:eastAsia="宋体" w:cs="Times New Roman"/>
          <w:color w:val="000000"/>
          <w:kern w:val="2"/>
          <w:sz w:val="21"/>
          <w:szCs w:val="21"/>
          <w:highlight w:val="none"/>
          <w:lang w:val="en-US" w:eastAsia="zh-CN" w:bidi="ar-SA"/>
        </w:rPr>
        <w:t>《饮用净水水质标准》</w:t>
      </w:r>
      <w:r>
        <w:rPr>
          <w:rFonts w:hint="eastAsia" w:ascii="Times New Roman" w:hAnsi="Times New Roman" w:eastAsia="宋体" w:cs="Times New Roman"/>
          <w:color w:val="000000"/>
          <w:kern w:val="2"/>
          <w:sz w:val="21"/>
          <w:szCs w:val="21"/>
          <w:highlight w:val="none"/>
          <w:lang w:val="en-US" w:eastAsia="zh-CN" w:bidi="ar-SA"/>
        </w:rPr>
        <w:t xml:space="preserve">                                    CJ94-2005</w:t>
      </w:r>
    </w:p>
    <w:p>
      <w:pPr>
        <w:spacing w:line="360" w:lineRule="auto"/>
        <w:rPr>
          <w:rFonts w:ascii="Times New Roman" w:hAnsi="Times New Roman" w:eastAsia="宋体" w:cs="Times New Roman"/>
          <w:color w:val="000000"/>
          <w:kern w:val="2"/>
          <w:sz w:val="21"/>
          <w:szCs w:val="21"/>
          <w:highlight w:val="none"/>
          <w:lang w:val="en-US" w:eastAsia="zh-CN" w:bidi="ar-SA"/>
        </w:rPr>
      </w:pPr>
      <w:r>
        <w:rPr>
          <w:rFonts w:hint="eastAsia" w:ascii="Times New Roman" w:hAnsi="宋体" w:eastAsia="宋体" w:cs="Times New Roman"/>
          <w:color w:val="000000"/>
          <w:kern w:val="2"/>
          <w:sz w:val="21"/>
          <w:szCs w:val="21"/>
          <w:highlight w:val="none"/>
          <w:lang w:val="en-US" w:eastAsia="zh-CN" w:bidi="ar-SA"/>
        </w:rPr>
        <w:t>《分析实验室用水规格和试验方法》</w:t>
      </w:r>
      <w:r>
        <w:rPr>
          <w:rFonts w:hint="eastAsia" w:ascii="Times New Roman" w:hAnsi="Times New Roman" w:eastAsia="宋体" w:cs="Times New Roman"/>
          <w:color w:val="000000"/>
          <w:kern w:val="2"/>
          <w:sz w:val="21"/>
          <w:szCs w:val="21"/>
          <w:highlight w:val="none"/>
          <w:lang w:val="en-US" w:eastAsia="zh-CN" w:bidi="ar-SA"/>
        </w:rPr>
        <w:tab/>
      </w:r>
      <w:r>
        <w:rPr>
          <w:rFonts w:hint="eastAsia" w:ascii="Times New Roman" w:hAnsi="Times New Roman" w:eastAsia="宋体" w:cs="Times New Roman"/>
          <w:color w:val="000000"/>
          <w:kern w:val="2"/>
          <w:sz w:val="21"/>
          <w:szCs w:val="21"/>
          <w:highlight w:val="none"/>
          <w:lang w:val="en-US" w:eastAsia="zh-CN" w:bidi="ar-SA"/>
        </w:rPr>
        <w:t xml:space="preserve">    GB/T 6682-2008</w:t>
      </w:r>
    </w:p>
    <w:p>
      <w:pPr>
        <w:spacing w:line="360" w:lineRule="auto"/>
        <w:rPr>
          <w:rFonts w:ascii="Times New Roman" w:hAnsi="Times New Roman" w:eastAsia="宋体" w:cs="Times New Roman"/>
          <w:color w:val="000000"/>
          <w:kern w:val="2"/>
          <w:sz w:val="21"/>
          <w:szCs w:val="21"/>
          <w:highlight w:val="none"/>
          <w:lang w:val="en-US" w:eastAsia="zh-CN" w:bidi="ar-SA"/>
        </w:rPr>
      </w:pPr>
      <w:r>
        <w:rPr>
          <w:rFonts w:hint="eastAsia" w:ascii="Times New Roman" w:hAnsi="宋体" w:eastAsia="宋体" w:cs="Times New Roman"/>
          <w:color w:val="000000"/>
          <w:kern w:val="2"/>
          <w:sz w:val="21"/>
          <w:szCs w:val="21"/>
          <w:highlight w:val="none"/>
          <w:lang w:val="en-US" w:eastAsia="zh-CN" w:bidi="ar-SA"/>
        </w:rPr>
        <w:t>《医疗设备电气安全标准》</w:t>
      </w:r>
      <w:r>
        <w:rPr>
          <w:rFonts w:hint="eastAsia" w:ascii="Times New Roman" w:hAnsi="Times New Roman" w:eastAsia="宋体" w:cs="Times New Roman"/>
          <w:color w:val="000000"/>
          <w:kern w:val="2"/>
          <w:sz w:val="21"/>
          <w:szCs w:val="21"/>
          <w:highlight w:val="none"/>
          <w:lang w:val="en-US" w:eastAsia="zh-CN" w:bidi="ar-SA"/>
        </w:rPr>
        <w:tab/>
      </w:r>
      <w:r>
        <w:rPr>
          <w:rFonts w:hint="eastAsia" w:ascii="Times New Roman" w:hAnsi="Times New Roman" w:eastAsia="宋体" w:cs="Times New Roman"/>
          <w:color w:val="000000"/>
          <w:kern w:val="2"/>
          <w:sz w:val="21"/>
          <w:szCs w:val="21"/>
          <w:highlight w:val="none"/>
          <w:lang w:val="en-US" w:eastAsia="zh-CN" w:bidi="ar-SA"/>
        </w:rPr>
        <w:t xml:space="preserve">    GB9706-2007</w:t>
      </w:r>
    </w:p>
    <w:p>
      <w:pPr>
        <w:spacing w:line="360" w:lineRule="auto"/>
        <w:rPr>
          <w:rFonts w:ascii="Times New Roman" w:hAnsi="Times New Roman" w:eastAsia="宋体" w:cs="Times New Roman"/>
          <w:color w:val="000000"/>
          <w:kern w:val="2"/>
          <w:sz w:val="21"/>
          <w:szCs w:val="21"/>
          <w:highlight w:val="none"/>
          <w:lang w:val="en-US" w:eastAsia="zh-CN" w:bidi="ar-SA"/>
        </w:rPr>
      </w:pPr>
      <w:r>
        <w:rPr>
          <w:rFonts w:hint="eastAsia" w:ascii="Times New Roman" w:hAnsi="宋体" w:eastAsia="宋体" w:cs="Times New Roman"/>
          <w:color w:val="000000"/>
          <w:kern w:val="2"/>
          <w:sz w:val="21"/>
          <w:szCs w:val="21"/>
          <w:highlight w:val="none"/>
          <w:lang w:val="en-US" w:eastAsia="zh-CN" w:bidi="ar-SA"/>
        </w:rPr>
        <w:t>《医院消毒供应中心第</w:t>
      </w:r>
      <w:r>
        <w:rPr>
          <w:rFonts w:hint="eastAsia" w:ascii="Times New Roman" w:hAnsi="Times New Roman" w:eastAsia="宋体" w:cs="Times New Roman"/>
          <w:color w:val="000000"/>
          <w:kern w:val="2"/>
          <w:sz w:val="21"/>
          <w:szCs w:val="21"/>
          <w:highlight w:val="none"/>
          <w:lang w:val="en-US" w:eastAsia="zh-CN" w:bidi="ar-SA"/>
        </w:rPr>
        <w:t>1</w:t>
      </w:r>
      <w:r>
        <w:rPr>
          <w:rFonts w:hint="eastAsia" w:ascii="Times New Roman" w:hAnsi="宋体" w:eastAsia="宋体" w:cs="Times New Roman"/>
          <w:color w:val="000000"/>
          <w:kern w:val="2"/>
          <w:sz w:val="21"/>
          <w:szCs w:val="21"/>
          <w:highlight w:val="none"/>
          <w:lang w:val="en-US" w:eastAsia="zh-CN" w:bidi="ar-SA"/>
        </w:rPr>
        <w:t>部分：管理规范》</w:t>
      </w:r>
      <w:r>
        <w:rPr>
          <w:rFonts w:hint="eastAsia" w:ascii="Times New Roman" w:hAnsi="Times New Roman" w:eastAsia="宋体" w:cs="Times New Roman"/>
          <w:color w:val="000000"/>
          <w:kern w:val="2"/>
          <w:sz w:val="21"/>
          <w:szCs w:val="21"/>
          <w:highlight w:val="none"/>
          <w:lang w:val="en-US" w:eastAsia="zh-CN" w:bidi="ar-SA"/>
        </w:rPr>
        <w:t xml:space="preserve">                 WS 310.1-2016</w:t>
      </w:r>
    </w:p>
    <w:p>
      <w:pPr>
        <w:spacing w:line="360" w:lineRule="auto"/>
        <w:rPr>
          <w:rFonts w:ascii="Times New Roman" w:hAnsi="Times New Roman" w:eastAsia="宋体" w:cs="Times New Roman"/>
          <w:color w:val="000000"/>
          <w:kern w:val="2"/>
          <w:sz w:val="21"/>
          <w:szCs w:val="21"/>
          <w:highlight w:val="none"/>
          <w:lang w:val="en-US" w:eastAsia="zh-CN" w:bidi="ar-SA"/>
        </w:rPr>
      </w:pPr>
      <w:r>
        <w:rPr>
          <w:rFonts w:hint="eastAsia" w:ascii="Times New Roman" w:hAnsi="宋体" w:eastAsia="宋体" w:cs="Times New Roman"/>
          <w:color w:val="000000"/>
          <w:kern w:val="2"/>
          <w:sz w:val="21"/>
          <w:szCs w:val="21"/>
          <w:highlight w:val="none"/>
          <w:lang w:val="en-US" w:eastAsia="zh-CN" w:bidi="ar-SA"/>
        </w:rPr>
        <w:t>《医院消毒供应中心第</w:t>
      </w:r>
      <w:r>
        <w:rPr>
          <w:rFonts w:hint="eastAsia" w:ascii="Times New Roman" w:hAnsi="Times New Roman" w:eastAsia="宋体" w:cs="Times New Roman"/>
          <w:color w:val="000000"/>
          <w:kern w:val="2"/>
          <w:sz w:val="21"/>
          <w:szCs w:val="21"/>
          <w:highlight w:val="none"/>
          <w:lang w:val="en-US" w:eastAsia="zh-CN" w:bidi="ar-SA"/>
        </w:rPr>
        <w:t>2</w:t>
      </w:r>
      <w:r>
        <w:rPr>
          <w:rFonts w:hint="eastAsia" w:ascii="Times New Roman" w:hAnsi="宋体" w:eastAsia="宋体" w:cs="Times New Roman"/>
          <w:color w:val="000000"/>
          <w:kern w:val="2"/>
          <w:sz w:val="21"/>
          <w:szCs w:val="21"/>
          <w:highlight w:val="none"/>
          <w:lang w:val="en-US" w:eastAsia="zh-CN" w:bidi="ar-SA"/>
        </w:rPr>
        <w:t>部分：清洗消毒及灭菌技术操作规范》</w:t>
      </w:r>
      <w:r>
        <w:rPr>
          <w:rFonts w:hint="eastAsia" w:ascii="Times New Roman" w:hAnsi="Times New Roman" w:eastAsia="宋体" w:cs="Times New Roman"/>
          <w:color w:val="000000"/>
          <w:kern w:val="2"/>
          <w:sz w:val="21"/>
          <w:szCs w:val="21"/>
          <w:highlight w:val="none"/>
          <w:lang w:val="en-US" w:eastAsia="zh-CN" w:bidi="ar-SA"/>
        </w:rPr>
        <w:t>WS 310.2-2016</w:t>
      </w:r>
    </w:p>
    <w:p>
      <w:pPr>
        <w:spacing w:line="360" w:lineRule="auto"/>
        <w:rPr>
          <w:rFonts w:ascii="Times New Roman" w:hAnsi="Times New Roman" w:eastAsia="宋体" w:cs="Times New Roman"/>
          <w:color w:val="000000"/>
          <w:kern w:val="2"/>
          <w:sz w:val="21"/>
          <w:szCs w:val="21"/>
          <w:highlight w:val="none"/>
          <w:lang w:val="en-US" w:eastAsia="zh-CN" w:bidi="ar-SA"/>
        </w:rPr>
      </w:pPr>
      <w:r>
        <w:rPr>
          <w:rFonts w:hint="eastAsia" w:ascii="Times New Roman" w:hAnsi="宋体" w:eastAsia="宋体" w:cs="Times New Roman"/>
          <w:color w:val="000000"/>
          <w:kern w:val="2"/>
          <w:sz w:val="21"/>
          <w:szCs w:val="21"/>
          <w:highlight w:val="none"/>
          <w:lang w:val="en-US" w:eastAsia="zh-CN" w:bidi="ar-SA"/>
        </w:rPr>
        <w:t>《</w:t>
      </w:r>
      <w:r>
        <w:rPr>
          <w:rFonts w:hint="eastAsia" w:ascii="Times New Roman" w:hAnsi="宋体" w:eastAsia="宋体" w:cs="宋体"/>
          <w:color w:val="000000"/>
          <w:kern w:val="0"/>
          <w:sz w:val="22"/>
          <w:szCs w:val="22"/>
          <w:highlight w:val="none"/>
          <w:lang w:val="en-US" w:eastAsia="zh-CN" w:bidi="ar-SA"/>
        </w:rPr>
        <w:t>软式内镜清洗消毒技术规范》</w:t>
      </w:r>
      <w:r>
        <w:rPr>
          <w:rFonts w:hint="eastAsia" w:ascii="Times New Roman" w:hAnsi="Times New Roman" w:eastAsia="宋体" w:cs="宋体"/>
          <w:color w:val="000000"/>
          <w:kern w:val="0"/>
          <w:sz w:val="22"/>
          <w:szCs w:val="22"/>
          <w:highlight w:val="none"/>
          <w:lang w:val="en-US" w:eastAsia="zh-CN" w:bidi="ar-SA"/>
        </w:rPr>
        <w:t xml:space="preserve">                         WS 507-2016</w:t>
      </w:r>
    </w:p>
    <w:p>
      <w:pPr>
        <w:spacing w:line="360" w:lineRule="auto"/>
        <w:rPr>
          <w:rFonts w:ascii="Times New Roman" w:hAnsi="Times New Roman" w:eastAsia="宋体" w:cs="Times New Roman"/>
          <w:color w:val="000000"/>
          <w:kern w:val="2"/>
          <w:sz w:val="21"/>
          <w:szCs w:val="21"/>
          <w:highlight w:val="none"/>
          <w:lang w:val="en-US" w:eastAsia="zh-CN" w:bidi="ar-SA"/>
        </w:rPr>
      </w:pPr>
      <w:r>
        <w:rPr>
          <w:rFonts w:hint="eastAsia" w:ascii="Times New Roman" w:hAnsi="宋体" w:eastAsia="宋体" w:cs="Times New Roman"/>
          <w:color w:val="000000"/>
          <w:kern w:val="2"/>
          <w:sz w:val="21"/>
          <w:szCs w:val="21"/>
          <w:highlight w:val="none"/>
          <w:lang w:val="en-US" w:eastAsia="zh-CN" w:bidi="ar-SA"/>
        </w:rPr>
        <w:t>《血液透析及相关治疗用水》</w:t>
      </w:r>
      <w:r>
        <w:rPr>
          <w:rFonts w:hint="eastAsia" w:ascii="Times New Roman" w:hAnsi="Times New Roman" w:eastAsia="宋体" w:cs="Times New Roman"/>
          <w:color w:val="000000"/>
          <w:kern w:val="2"/>
          <w:sz w:val="21"/>
          <w:szCs w:val="21"/>
          <w:highlight w:val="none"/>
          <w:lang w:val="en-US" w:eastAsia="zh-CN" w:bidi="ar-SA"/>
        </w:rPr>
        <w:t xml:space="preserve"> YY0572-2015</w:t>
      </w:r>
    </w:p>
    <w:p>
      <w:pPr>
        <w:spacing w:line="360" w:lineRule="auto"/>
        <w:rPr>
          <w:rFonts w:ascii="Times New Roman" w:hAnsi="Times New Roman" w:eastAsia="宋体" w:cs="Times New Roman"/>
          <w:color w:val="000000"/>
          <w:kern w:val="2"/>
          <w:sz w:val="21"/>
          <w:szCs w:val="21"/>
          <w:highlight w:val="none"/>
          <w:lang w:val="en-US" w:eastAsia="zh-CN" w:bidi="ar-SA"/>
        </w:rPr>
      </w:pPr>
      <w:r>
        <w:rPr>
          <w:rFonts w:hint="eastAsia" w:ascii="Times New Roman" w:hAnsi="宋体" w:eastAsia="宋体" w:cs="Times New Roman"/>
          <w:color w:val="000000"/>
          <w:kern w:val="2"/>
          <w:sz w:val="21"/>
          <w:szCs w:val="21"/>
          <w:highlight w:val="none"/>
          <w:lang w:val="en-US" w:eastAsia="zh-CN" w:bidi="ar-SA"/>
        </w:rPr>
        <w:t>《建筑给水排水设计规范》</w:t>
      </w:r>
      <w:r>
        <w:rPr>
          <w:rFonts w:hint="eastAsia" w:ascii="Times New Roman" w:hAnsi="Times New Roman" w:eastAsia="宋体" w:cs="Times New Roman"/>
          <w:color w:val="000000"/>
          <w:kern w:val="2"/>
          <w:sz w:val="21"/>
          <w:szCs w:val="21"/>
          <w:highlight w:val="none"/>
          <w:lang w:val="en-US" w:eastAsia="zh-CN" w:bidi="ar-SA"/>
        </w:rPr>
        <w:t xml:space="preserve">                                GB50015-2010</w:t>
      </w:r>
    </w:p>
    <w:p>
      <w:pPr>
        <w:spacing w:line="360" w:lineRule="auto"/>
        <w:rPr>
          <w:rFonts w:ascii="Times New Roman" w:hAnsi="Times New Roman" w:eastAsia="宋体" w:cs="Times New Roman"/>
          <w:color w:val="000000"/>
          <w:kern w:val="2"/>
          <w:sz w:val="21"/>
          <w:szCs w:val="21"/>
          <w:highlight w:val="none"/>
          <w:lang w:val="en-US" w:eastAsia="zh-CN" w:bidi="ar-SA"/>
        </w:rPr>
      </w:pPr>
      <w:r>
        <w:rPr>
          <w:rFonts w:hint="eastAsia" w:ascii="Times New Roman" w:hAnsi="宋体" w:eastAsia="宋体" w:cs="Times New Roman"/>
          <w:color w:val="000000"/>
          <w:kern w:val="2"/>
          <w:sz w:val="21"/>
          <w:szCs w:val="21"/>
          <w:highlight w:val="none"/>
          <w:lang w:val="en-US" w:eastAsia="zh-CN" w:bidi="ar-SA"/>
        </w:rPr>
        <w:t>《建筑给排水及采暖工程施工质量验收规范》</w:t>
      </w:r>
      <w:r>
        <w:rPr>
          <w:rFonts w:hint="eastAsia" w:ascii="Times New Roman" w:hAnsi="Times New Roman" w:eastAsia="宋体" w:cs="Times New Roman"/>
          <w:color w:val="000000"/>
          <w:kern w:val="2"/>
          <w:sz w:val="21"/>
          <w:szCs w:val="21"/>
          <w:highlight w:val="none"/>
          <w:lang w:val="en-US" w:eastAsia="zh-CN" w:bidi="ar-SA"/>
        </w:rPr>
        <w:t xml:space="preserve">                GB50242-2015</w:t>
      </w:r>
    </w:p>
    <w:p>
      <w:pPr>
        <w:spacing w:line="360" w:lineRule="auto"/>
        <w:rPr>
          <w:rFonts w:ascii="Times New Roman" w:hAnsi="Times New Roman" w:eastAsia="宋体" w:cs="Times New Roman"/>
          <w:color w:val="000000"/>
          <w:kern w:val="2"/>
          <w:sz w:val="21"/>
          <w:szCs w:val="21"/>
          <w:highlight w:val="none"/>
          <w:lang w:val="en-US" w:eastAsia="zh-CN" w:bidi="ar-SA"/>
        </w:rPr>
      </w:pPr>
      <w:r>
        <w:rPr>
          <w:rFonts w:hint="eastAsia" w:ascii="Times New Roman" w:hAnsi="宋体" w:eastAsia="宋体" w:cs="Times New Roman"/>
          <w:color w:val="000000"/>
          <w:kern w:val="2"/>
          <w:sz w:val="21"/>
          <w:szCs w:val="21"/>
          <w:highlight w:val="none"/>
          <w:lang w:val="en-US" w:eastAsia="zh-CN" w:bidi="ar-SA"/>
        </w:rPr>
        <w:t>《建筑电气工程施工质量验收规范》</w:t>
      </w:r>
      <w:r>
        <w:rPr>
          <w:rFonts w:hint="eastAsia" w:ascii="Times New Roman" w:hAnsi="Times New Roman" w:eastAsia="宋体" w:cs="Times New Roman"/>
          <w:color w:val="000000"/>
          <w:kern w:val="2"/>
          <w:sz w:val="21"/>
          <w:szCs w:val="21"/>
          <w:highlight w:val="none"/>
          <w:lang w:val="en-US" w:eastAsia="zh-CN" w:bidi="ar-SA"/>
        </w:rPr>
        <w:t xml:space="preserve">                        GB50303-2015</w:t>
      </w:r>
    </w:p>
    <w:p>
      <w:pPr>
        <w:spacing w:line="360" w:lineRule="auto"/>
        <w:rPr>
          <w:rFonts w:ascii="Times New Roman" w:hAnsi="Times New Roman" w:eastAsia="宋体" w:cs="Times New Roman"/>
          <w:color w:val="000000"/>
          <w:kern w:val="2"/>
          <w:sz w:val="21"/>
          <w:szCs w:val="21"/>
          <w:highlight w:val="none"/>
          <w:lang w:val="en-US" w:eastAsia="zh-CN" w:bidi="ar-SA"/>
        </w:rPr>
      </w:pPr>
      <w:r>
        <w:rPr>
          <w:rFonts w:hint="eastAsia" w:ascii="Times New Roman" w:hAnsi="宋体" w:eastAsia="宋体" w:cs="Times New Roman"/>
          <w:color w:val="000000"/>
          <w:kern w:val="2"/>
          <w:sz w:val="21"/>
          <w:szCs w:val="21"/>
          <w:highlight w:val="none"/>
          <w:lang w:val="en-US" w:eastAsia="zh-CN" w:bidi="ar-SA"/>
        </w:rPr>
        <w:t>《医院洁净手术部建筑技术规范》</w:t>
      </w:r>
      <w:r>
        <w:rPr>
          <w:rFonts w:ascii="Times New Roman" w:hAnsi="Times New Roman" w:eastAsia="宋体" w:cs="Times New Roman"/>
          <w:color w:val="000000"/>
          <w:kern w:val="2"/>
          <w:sz w:val="21"/>
          <w:szCs w:val="21"/>
          <w:highlight w:val="none"/>
          <w:lang w:val="en-US" w:eastAsia="zh-CN" w:bidi="ar-SA"/>
        </w:rPr>
        <w:t>GB50333-2013</w:t>
      </w:r>
    </w:p>
    <w:p>
      <w:pPr>
        <w:spacing w:line="360" w:lineRule="auto"/>
        <w:rPr>
          <w:rFonts w:ascii="Times New Roman" w:hAnsi="Times New Roman" w:eastAsia="宋体" w:cs="Times New Roman"/>
          <w:color w:val="000000"/>
          <w:kern w:val="2"/>
          <w:sz w:val="21"/>
          <w:szCs w:val="21"/>
          <w:highlight w:val="none"/>
          <w:lang w:val="en-US" w:eastAsia="zh-CN" w:bidi="ar-SA"/>
        </w:rPr>
      </w:pPr>
      <w:r>
        <w:rPr>
          <w:rFonts w:hint="eastAsia" w:ascii="Times New Roman" w:hAnsi="宋体" w:eastAsia="宋体" w:cs="Times New Roman"/>
          <w:color w:val="000000"/>
          <w:kern w:val="2"/>
          <w:sz w:val="21"/>
          <w:szCs w:val="21"/>
          <w:highlight w:val="none"/>
          <w:lang w:val="en-US" w:eastAsia="zh-CN" w:bidi="ar-SA"/>
        </w:rPr>
        <w:t>《现场设备、工业管道焊接工程施工及验收规范》</w:t>
      </w:r>
      <w:r>
        <w:rPr>
          <w:rFonts w:ascii="Times New Roman" w:hAnsi="Times New Roman" w:eastAsia="宋体" w:cs="Times New Roman"/>
          <w:color w:val="000000"/>
          <w:kern w:val="2"/>
          <w:sz w:val="21"/>
          <w:szCs w:val="21"/>
          <w:highlight w:val="none"/>
          <w:lang w:val="en-US" w:eastAsia="zh-CN" w:bidi="ar-SA"/>
        </w:rPr>
        <w:t>GB 50236-2011</w:t>
      </w:r>
    </w:p>
    <w:p>
      <w:pPr>
        <w:spacing w:line="360" w:lineRule="auto"/>
        <w:rPr>
          <w:rFonts w:ascii="Times New Roman" w:hAnsi="Times New Roman" w:eastAsia="宋体" w:cs="Times New Roman"/>
          <w:color w:val="000000"/>
          <w:kern w:val="2"/>
          <w:sz w:val="21"/>
          <w:szCs w:val="21"/>
          <w:highlight w:val="none"/>
          <w:lang w:val="en-US" w:eastAsia="zh-CN" w:bidi="ar-SA"/>
        </w:rPr>
      </w:pPr>
      <w:r>
        <w:rPr>
          <w:rFonts w:hint="eastAsia" w:ascii="Times New Roman" w:hAnsi="宋体" w:eastAsia="宋体" w:cs="Times New Roman"/>
          <w:color w:val="000000"/>
          <w:kern w:val="2"/>
          <w:sz w:val="21"/>
          <w:szCs w:val="21"/>
          <w:highlight w:val="none"/>
          <w:lang w:val="en-US" w:eastAsia="zh-CN" w:bidi="ar-SA"/>
        </w:rPr>
        <w:t>《不锈钢卡压式管件组件第</w:t>
      </w:r>
      <w:r>
        <w:rPr>
          <w:rFonts w:hint="eastAsia" w:ascii="Times New Roman" w:hAnsi="Times New Roman" w:eastAsia="宋体" w:cs="Times New Roman"/>
          <w:color w:val="000000"/>
          <w:kern w:val="2"/>
          <w:sz w:val="21"/>
          <w:szCs w:val="21"/>
          <w:highlight w:val="none"/>
          <w:lang w:val="en-US" w:eastAsia="zh-CN" w:bidi="ar-SA"/>
        </w:rPr>
        <w:t>1</w:t>
      </w:r>
      <w:r>
        <w:rPr>
          <w:rFonts w:hint="eastAsia" w:ascii="Times New Roman" w:hAnsi="宋体" w:eastAsia="宋体" w:cs="Times New Roman"/>
          <w:color w:val="000000"/>
          <w:kern w:val="2"/>
          <w:sz w:val="21"/>
          <w:szCs w:val="21"/>
          <w:highlight w:val="none"/>
          <w:lang w:val="en-US" w:eastAsia="zh-CN" w:bidi="ar-SA"/>
        </w:rPr>
        <w:t>部分：卡压式管件》</w:t>
      </w:r>
      <w:r>
        <w:rPr>
          <w:rFonts w:hint="eastAsia" w:ascii="Times New Roman" w:hAnsi="Times New Roman" w:eastAsia="宋体" w:cs="Times New Roman"/>
          <w:color w:val="000000"/>
          <w:kern w:val="2"/>
          <w:sz w:val="21"/>
          <w:szCs w:val="21"/>
          <w:highlight w:val="none"/>
          <w:lang w:val="en-US" w:eastAsia="zh-CN" w:bidi="ar-SA"/>
        </w:rPr>
        <w:t xml:space="preserve">           GB/T 19228.1-2011</w:t>
      </w:r>
    </w:p>
    <w:p>
      <w:pPr>
        <w:spacing w:line="360" w:lineRule="auto"/>
        <w:rPr>
          <w:rFonts w:ascii="Times New Roman" w:hAnsi="Times New Roman" w:eastAsia="宋体" w:cs="Times New Roman"/>
          <w:color w:val="000000"/>
          <w:kern w:val="2"/>
          <w:sz w:val="21"/>
          <w:szCs w:val="21"/>
          <w:highlight w:val="none"/>
          <w:lang w:val="en-US" w:eastAsia="zh-CN" w:bidi="ar-SA"/>
        </w:rPr>
      </w:pPr>
      <w:r>
        <w:rPr>
          <w:rFonts w:hint="eastAsia" w:ascii="Times New Roman" w:hAnsi="宋体" w:eastAsia="宋体" w:cs="Times New Roman"/>
          <w:color w:val="000000"/>
          <w:kern w:val="2"/>
          <w:sz w:val="21"/>
          <w:szCs w:val="21"/>
          <w:highlight w:val="none"/>
          <w:lang w:val="en-US" w:eastAsia="zh-CN" w:bidi="ar-SA"/>
        </w:rPr>
        <w:t>《不锈钢卡压式管件组件第</w:t>
      </w:r>
      <w:r>
        <w:rPr>
          <w:rFonts w:hint="eastAsia" w:ascii="Times New Roman" w:hAnsi="Times New Roman" w:eastAsia="宋体" w:cs="Times New Roman"/>
          <w:color w:val="000000"/>
          <w:kern w:val="2"/>
          <w:sz w:val="21"/>
          <w:szCs w:val="21"/>
          <w:highlight w:val="none"/>
          <w:lang w:val="en-US" w:eastAsia="zh-CN" w:bidi="ar-SA"/>
        </w:rPr>
        <w:t>2</w:t>
      </w:r>
      <w:r>
        <w:rPr>
          <w:rFonts w:hint="eastAsia" w:ascii="Times New Roman" w:hAnsi="宋体" w:eastAsia="宋体" w:cs="Times New Roman"/>
          <w:color w:val="000000"/>
          <w:kern w:val="2"/>
          <w:sz w:val="21"/>
          <w:szCs w:val="21"/>
          <w:highlight w:val="none"/>
          <w:lang w:val="en-US" w:eastAsia="zh-CN" w:bidi="ar-SA"/>
        </w:rPr>
        <w:t>部分：连接用薄壁不锈钢管》</w:t>
      </w:r>
      <w:r>
        <w:rPr>
          <w:rFonts w:hint="eastAsia" w:ascii="Times New Roman" w:hAnsi="Times New Roman" w:eastAsia="宋体" w:cs="Times New Roman"/>
          <w:color w:val="000000"/>
          <w:kern w:val="2"/>
          <w:sz w:val="21"/>
          <w:szCs w:val="21"/>
          <w:highlight w:val="none"/>
          <w:lang w:val="en-US" w:eastAsia="zh-CN" w:bidi="ar-SA"/>
        </w:rPr>
        <w:t xml:space="preserve">   GB/T 19228.2-2011</w:t>
      </w:r>
    </w:p>
    <w:p>
      <w:pPr>
        <w:spacing w:line="360" w:lineRule="auto"/>
        <w:rPr>
          <w:rFonts w:ascii="Times New Roman" w:hAnsi="Times New Roman" w:eastAsia="宋体" w:cs="Times New Roman"/>
          <w:color w:val="000000"/>
          <w:kern w:val="2"/>
          <w:sz w:val="21"/>
          <w:szCs w:val="21"/>
          <w:highlight w:val="none"/>
          <w:lang w:val="en-US" w:eastAsia="zh-CN" w:bidi="ar-SA"/>
        </w:rPr>
      </w:pPr>
      <w:r>
        <w:rPr>
          <w:rFonts w:hint="eastAsia" w:ascii="Times New Roman" w:hAnsi="宋体" w:eastAsia="宋体" w:cs="Times New Roman"/>
          <w:color w:val="000000"/>
          <w:kern w:val="2"/>
          <w:sz w:val="21"/>
          <w:szCs w:val="21"/>
          <w:highlight w:val="none"/>
          <w:lang w:val="en-US" w:eastAsia="zh-CN" w:bidi="ar-SA"/>
        </w:rPr>
        <w:t>《智能建筑工程质量验收规范》</w:t>
      </w:r>
      <w:r>
        <w:rPr>
          <w:rFonts w:hint="eastAsia" w:ascii="Times New Roman" w:hAnsi="Times New Roman" w:eastAsia="宋体" w:cs="Times New Roman"/>
          <w:color w:val="000000"/>
          <w:kern w:val="2"/>
          <w:sz w:val="21"/>
          <w:szCs w:val="21"/>
          <w:highlight w:val="none"/>
          <w:lang w:val="en-US" w:eastAsia="zh-CN" w:bidi="ar-SA"/>
        </w:rPr>
        <w:t xml:space="preserve">                            GB50339-2013</w:t>
      </w:r>
    </w:p>
    <w:p>
      <w:pPr>
        <w:spacing w:line="360" w:lineRule="auto"/>
        <w:rPr>
          <w:rFonts w:ascii="Times New Roman" w:hAnsi="Times New Roman" w:eastAsia="宋体" w:cs="Times New Roman"/>
          <w:color w:val="000000"/>
          <w:kern w:val="2"/>
          <w:sz w:val="21"/>
          <w:szCs w:val="21"/>
          <w:highlight w:val="none"/>
          <w:lang w:val="en-US" w:eastAsia="zh-CN" w:bidi="ar-SA"/>
        </w:rPr>
      </w:pPr>
      <w:r>
        <w:rPr>
          <w:rFonts w:hint="eastAsia" w:ascii="Times New Roman" w:hAnsi="宋体" w:eastAsia="宋体" w:cs="Times New Roman"/>
          <w:color w:val="000000"/>
          <w:kern w:val="2"/>
          <w:sz w:val="21"/>
          <w:szCs w:val="21"/>
          <w:highlight w:val="none"/>
          <w:lang w:val="en-US" w:eastAsia="zh-CN" w:bidi="ar-SA"/>
        </w:rPr>
        <w:t>《建设工程文件归档整理规范》</w:t>
      </w:r>
      <w:r>
        <w:rPr>
          <w:rFonts w:hint="eastAsia" w:ascii="Times New Roman" w:hAnsi="Times New Roman" w:eastAsia="宋体" w:cs="Times New Roman"/>
          <w:color w:val="000000"/>
          <w:kern w:val="2"/>
          <w:sz w:val="21"/>
          <w:szCs w:val="21"/>
          <w:highlight w:val="none"/>
          <w:lang w:val="en-US" w:eastAsia="zh-CN" w:bidi="ar-SA"/>
        </w:rPr>
        <w:t xml:space="preserve">                            GB/T50328- 2014</w:t>
      </w:r>
    </w:p>
    <w:p>
      <w:pPr>
        <w:spacing w:line="360" w:lineRule="auto"/>
        <w:rPr>
          <w:rFonts w:ascii="Times New Roman" w:hAnsi="Times New Roman" w:eastAsia="宋体" w:cs="Times New Roman"/>
          <w:color w:val="000000"/>
          <w:kern w:val="2"/>
          <w:sz w:val="21"/>
          <w:szCs w:val="21"/>
          <w:highlight w:val="none"/>
          <w:lang w:val="en-US" w:eastAsia="zh-CN" w:bidi="ar-SA"/>
        </w:rPr>
      </w:pPr>
      <w:r>
        <w:rPr>
          <w:rFonts w:hint="eastAsia" w:ascii="Times New Roman" w:hAnsi="宋体" w:eastAsia="宋体" w:cs="Times New Roman"/>
          <w:color w:val="000000"/>
          <w:kern w:val="2"/>
          <w:sz w:val="21"/>
          <w:szCs w:val="21"/>
          <w:highlight w:val="none"/>
          <w:lang w:val="en-US" w:eastAsia="zh-CN" w:bidi="ar-SA"/>
        </w:rPr>
        <w:t>国家及地方颁发的其它相关法律法规；</w:t>
      </w:r>
    </w:p>
    <w:p>
      <w:pPr>
        <w:spacing w:line="360" w:lineRule="auto"/>
        <w:rPr>
          <w:rFonts w:ascii="Times New Roman" w:hAnsi="Times New Roman" w:eastAsia="宋体" w:cs="Times New Roman"/>
          <w:color w:val="000000"/>
          <w:kern w:val="2"/>
          <w:sz w:val="21"/>
          <w:szCs w:val="21"/>
          <w:highlight w:val="none"/>
          <w:lang w:val="en-US" w:eastAsia="zh-CN" w:bidi="ar-SA"/>
        </w:rPr>
      </w:pPr>
      <w:r>
        <w:rPr>
          <w:rFonts w:hint="eastAsia" w:ascii="Times New Roman" w:hAnsi="宋体" w:eastAsia="宋体" w:cs="Times New Roman"/>
          <w:color w:val="000000"/>
          <w:kern w:val="2"/>
          <w:sz w:val="21"/>
          <w:szCs w:val="21"/>
          <w:highlight w:val="none"/>
          <w:lang w:val="en-US" w:eastAsia="zh-CN" w:bidi="ar-SA"/>
        </w:rPr>
        <w:t>由采购人认可的其他国家的其他权威标准，这些标准应为最新标准，投标人应及时提供给采购人（国外标准应翻译成中文）。</w:t>
      </w:r>
    </w:p>
    <w:p>
      <w:pPr>
        <w:spacing w:line="360" w:lineRule="auto"/>
        <w:rPr>
          <w:rFonts w:ascii="Times New Roman" w:hAnsi="Times New Roman" w:eastAsia="宋体" w:cs="Times New Roman"/>
          <w:color w:val="000000"/>
          <w:kern w:val="2"/>
          <w:sz w:val="21"/>
          <w:szCs w:val="21"/>
          <w:highlight w:val="none"/>
          <w:lang w:val="en-US" w:eastAsia="zh-CN" w:bidi="ar-SA"/>
        </w:rPr>
      </w:pPr>
      <w:r>
        <w:rPr>
          <w:rFonts w:hint="eastAsia" w:ascii="Times New Roman" w:hAnsi="宋体" w:eastAsia="宋体" w:cs="Times New Roman"/>
          <w:color w:val="000000"/>
          <w:kern w:val="2"/>
          <w:sz w:val="21"/>
          <w:szCs w:val="21"/>
          <w:highlight w:val="none"/>
          <w:lang w:val="en-US" w:eastAsia="zh-CN" w:bidi="ar-SA"/>
        </w:rPr>
        <w:t>其他有关的中国规定</w:t>
      </w:r>
    </w:p>
    <w:p>
      <w:pPr>
        <w:spacing w:line="360" w:lineRule="auto"/>
        <w:rPr>
          <w:rFonts w:ascii="Times New Roman" w:hAnsi="Times New Roman" w:eastAsia="宋体" w:cs="Times New Roman"/>
          <w:color w:val="000000"/>
          <w:kern w:val="2"/>
          <w:sz w:val="21"/>
          <w:szCs w:val="21"/>
          <w:highlight w:val="none"/>
          <w:lang w:val="en-US" w:eastAsia="zh-CN" w:bidi="ar-SA"/>
        </w:rPr>
      </w:pPr>
      <w:r>
        <w:rPr>
          <w:rFonts w:hint="eastAsia" w:ascii="Times New Roman" w:hAnsi="宋体" w:eastAsia="宋体" w:cs="Times New Roman"/>
          <w:color w:val="000000"/>
          <w:kern w:val="2"/>
          <w:sz w:val="21"/>
          <w:szCs w:val="21"/>
          <w:highlight w:val="none"/>
          <w:lang w:val="en-US" w:eastAsia="zh-CN" w:bidi="ar-SA"/>
        </w:rPr>
        <w:t>由招标人认可的其它国家的其它权威标准</w:t>
      </w:r>
    </w:p>
    <w:p>
      <w:pPr>
        <w:spacing w:line="360" w:lineRule="auto"/>
        <w:rPr>
          <w:rFonts w:ascii="Times New Roman" w:hAnsi="Times New Roman" w:eastAsia="宋体" w:cs="Times New Roman"/>
          <w:color w:val="000000"/>
          <w:kern w:val="2"/>
          <w:sz w:val="21"/>
          <w:szCs w:val="21"/>
          <w:highlight w:val="none"/>
          <w:lang w:val="en-US" w:eastAsia="zh-CN" w:bidi="ar-SA"/>
        </w:rPr>
      </w:pPr>
    </w:p>
    <w:p>
      <w:pPr>
        <w:widowControl/>
        <w:numPr>
          <w:ilvl w:val="0"/>
          <w:numId w:val="39"/>
        </w:numPr>
        <w:spacing w:line="480" w:lineRule="auto"/>
        <w:jc w:val="both"/>
        <w:outlineLvl w:val="1"/>
        <w:rPr>
          <w:rFonts w:ascii="Times New Roman" w:hAnsi="Times New Roman" w:eastAsia="宋体" w:cs="Times New Roman"/>
          <w:b/>
          <w:kern w:val="0"/>
          <w:sz w:val="24"/>
          <w:szCs w:val="21"/>
          <w:highlight w:val="none"/>
          <w:lang w:val="en-US" w:eastAsia="zh-CN" w:bidi="ar-SA"/>
        </w:rPr>
      </w:pPr>
      <w:bookmarkStart w:id="441" w:name="_Toc10771"/>
      <w:r>
        <w:rPr>
          <w:rFonts w:hint="eastAsia" w:ascii="Times New Roman" w:hAnsi="宋体" w:eastAsia="宋体" w:cs="Times New Roman"/>
          <w:b/>
          <w:kern w:val="0"/>
          <w:sz w:val="24"/>
          <w:szCs w:val="21"/>
          <w:highlight w:val="none"/>
          <w:lang w:val="en-US" w:eastAsia="zh-CN" w:bidi="ar-SA"/>
        </w:rPr>
        <w:t>医用纯水系统用水点及用水量需求</w:t>
      </w:r>
      <w:bookmarkEnd w:id="441"/>
    </w:p>
    <w:p>
      <w:pPr>
        <w:keepNext/>
        <w:keepLines/>
        <w:widowControl w:val="0"/>
        <w:numPr>
          <w:ilvl w:val="0"/>
          <w:numId w:val="40"/>
        </w:numPr>
        <w:spacing w:line="360" w:lineRule="auto"/>
        <w:jc w:val="both"/>
        <w:outlineLvl w:val="2"/>
        <w:rPr>
          <w:rFonts w:ascii="Times New Roman" w:hAnsi="Times New Roman" w:eastAsia="宋体" w:cs="Times New Roman"/>
          <w:b/>
          <w:bCs/>
          <w:kern w:val="2"/>
          <w:sz w:val="21"/>
          <w:szCs w:val="32"/>
          <w:highlight w:val="none"/>
          <w:lang w:val="en-US" w:eastAsia="zh-CN" w:bidi="ar-SA"/>
        </w:rPr>
      </w:pPr>
      <w:r>
        <w:rPr>
          <w:rFonts w:hint="eastAsia" w:ascii="Times New Roman" w:hAnsi="宋体" w:eastAsia="宋体" w:cs="Times New Roman"/>
          <w:b/>
          <w:bCs/>
          <w:kern w:val="2"/>
          <w:sz w:val="21"/>
          <w:szCs w:val="32"/>
          <w:highlight w:val="none"/>
          <w:lang w:val="en-US" w:eastAsia="zh-CN" w:bidi="ar-SA"/>
        </w:rPr>
        <w:t>结合医院平面设计，纯水用水点及用水量分布如下：</w:t>
      </w:r>
    </w:p>
    <w:tbl>
      <w:tblPr>
        <w:tblStyle w:val="3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76"/>
        <w:gridCol w:w="1420"/>
        <w:gridCol w:w="1338"/>
        <w:gridCol w:w="2772"/>
        <w:gridCol w:w="1187"/>
        <w:gridCol w:w="1139"/>
        <w:gridCol w:w="11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349" w:type="pct"/>
            <w:shd w:val="clear" w:color="000000" w:fill="92D050"/>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序号</w:t>
            </w:r>
          </w:p>
        </w:tc>
        <w:tc>
          <w:tcPr>
            <w:tcW w:w="733" w:type="pct"/>
            <w:shd w:val="clear" w:color="000000" w:fill="92D050"/>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楼号</w:t>
            </w:r>
            <w:r>
              <w:rPr>
                <w:rFonts w:hint="eastAsia" w:ascii="Times New Roman" w:hAnsi="Times New Roman" w:eastAsia="宋体" w:cs="宋体"/>
                <w:color w:val="000000"/>
                <w:kern w:val="0"/>
                <w:sz w:val="22"/>
                <w:szCs w:val="22"/>
                <w:highlight w:val="none"/>
                <w:lang w:val="en-US" w:eastAsia="zh-CN" w:bidi="ar-SA"/>
              </w:rPr>
              <w:t>/</w:t>
            </w:r>
            <w:r>
              <w:rPr>
                <w:rFonts w:hint="eastAsia" w:ascii="Times New Roman" w:hAnsi="宋体" w:eastAsia="宋体" w:cs="宋体"/>
                <w:color w:val="000000"/>
                <w:kern w:val="0"/>
                <w:sz w:val="22"/>
                <w:szCs w:val="22"/>
                <w:highlight w:val="none"/>
                <w:lang w:val="en-US" w:eastAsia="zh-CN" w:bidi="ar-SA"/>
              </w:rPr>
              <w:t>楼层</w:t>
            </w:r>
          </w:p>
        </w:tc>
        <w:tc>
          <w:tcPr>
            <w:tcW w:w="691" w:type="pct"/>
            <w:shd w:val="clear" w:color="000000" w:fill="92D050"/>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用水科室</w:t>
            </w:r>
            <w:r>
              <w:rPr>
                <w:rFonts w:hint="eastAsia" w:ascii="Times New Roman" w:hAnsi="Times New Roman" w:eastAsia="宋体" w:cs="宋体"/>
                <w:color w:val="000000"/>
                <w:kern w:val="0"/>
                <w:sz w:val="22"/>
                <w:szCs w:val="22"/>
                <w:highlight w:val="none"/>
                <w:lang w:val="en-US" w:eastAsia="zh-CN" w:bidi="ar-SA"/>
              </w:rPr>
              <w:t>/</w:t>
            </w:r>
            <w:r>
              <w:rPr>
                <w:rFonts w:hint="eastAsia" w:ascii="Times New Roman" w:hAnsi="宋体" w:eastAsia="宋体" w:cs="宋体"/>
                <w:color w:val="000000"/>
                <w:kern w:val="0"/>
                <w:sz w:val="22"/>
                <w:szCs w:val="22"/>
                <w:highlight w:val="none"/>
                <w:lang w:val="en-US" w:eastAsia="zh-CN" w:bidi="ar-SA"/>
              </w:rPr>
              <w:t>地点</w:t>
            </w:r>
          </w:p>
        </w:tc>
        <w:tc>
          <w:tcPr>
            <w:tcW w:w="1431" w:type="pct"/>
            <w:shd w:val="clear" w:color="000000" w:fill="92D050"/>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用水点设置说明</w:t>
            </w:r>
          </w:p>
        </w:tc>
        <w:tc>
          <w:tcPr>
            <w:tcW w:w="613" w:type="pct"/>
            <w:shd w:val="clear" w:color="000000" w:fill="92D050"/>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水质类别</w:t>
            </w:r>
          </w:p>
        </w:tc>
        <w:tc>
          <w:tcPr>
            <w:tcW w:w="588" w:type="pct"/>
            <w:shd w:val="clear" w:color="000000" w:fill="92D050"/>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用水点（个）</w:t>
            </w:r>
          </w:p>
        </w:tc>
        <w:tc>
          <w:tcPr>
            <w:tcW w:w="595" w:type="pct"/>
            <w:shd w:val="clear" w:color="000000" w:fill="92D050"/>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设计用水量（</w:t>
            </w:r>
            <w:r>
              <w:rPr>
                <w:rFonts w:hint="eastAsia" w:ascii="Times New Roman" w:hAnsi="Times New Roman" w:eastAsia="宋体" w:cs="宋体"/>
                <w:color w:val="000000"/>
                <w:kern w:val="0"/>
                <w:sz w:val="22"/>
                <w:szCs w:val="22"/>
                <w:highlight w:val="none"/>
                <w:lang w:val="en-US" w:eastAsia="zh-CN" w:bidi="ar-SA"/>
              </w:rPr>
              <w:t>L/h</w:t>
            </w:r>
            <w:r>
              <w:rPr>
                <w:rFonts w:hint="eastAsia" w:ascii="Times New Roman" w:hAnsi="宋体" w:eastAsia="宋体" w:cs="宋体"/>
                <w:color w:val="000000"/>
                <w:kern w:val="0"/>
                <w:sz w:val="22"/>
                <w:szCs w:val="22"/>
                <w:highlight w:val="none"/>
                <w:lang w:val="en-US" w:eastAsia="zh-CN" w:bidi="ar-S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0" w:hRule="atLeast"/>
        </w:trPr>
        <w:tc>
          <w:tcPr>
            <w:tcW w:w="349"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1</w:t>
            </w:r>
          </w:p>
        </w:tc>
        <w:tc>
          <w:tcPr>
            <w:tcW w:w="733"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3</w:t>
            </w:r>
            <w:r>
              <w:rPr>
                <w:rFonts w:hint="eastAsia" w:ascii="Times New Roman" w:hAnsi="宋体" w:eastAsia="宋体" w:cs="宋体"/>
                <w:color w:val="000000"/>
                <w:kern w:val="0"/>
                <w:sz w:val="22"/>
                <w:szCs w:val="22"/>
                <w:highlight w:val="none"/>
                <w:lang w:val="en-US" w:eastAsia="zh-CN" w:bidi="ar-SA"/>
              </w:rPr>
              <w:t>号楼</w:t>
            </w:r>
            <w:r>
              <w:rPr>
                <w:rFonts w:hint="eastAsia" w:ascii="Times New Roman" w:hAnsi="Times New Roman" w:eastAsia="宋体" w:cs="宋体"/>
                <w:color w:val="000000"/>
                <w:kern w:val="0"/>
                <w:sz w:val="22"/>
                <w:szCs w:val="22"/>
                <w:highlight w:val="none"/>
                <w:lang w:val="en-US" w:eastAsia="zh-CN" w:bidi="ar-SA"/>
              </w:rPr>
              <w:t>3F</w:t>
            </w:r>
          </w:p>
        </w:tc>
        <w:tc>
          <w:tcPr>
            <w:tcW w:w="691"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血透中心</w:t>
            </w:r>
          </w:p>
        </w:tc>
        <w:tc>
          <w:tcPr>
            <w:tcW w:w="1431"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病床</w:t>
            </w:r>
          </w:p>
        </w:tc>
        <w:tc>
          <w:tcPr>
            <w:tcW w:w="613"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血透用水</w:t>
            </w:r>
          </w:p>
        </w:tc>
        <w:tc>
          <w:tcPr>
            <w:tcW w:w="588"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82</w:t>
            </w:r>
          </w:p>
        </w:tc>
        <w:tc>
          <w:tcPr>
            <w:tcW w:w="595"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6000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0" w:hRule="atLeast"/>
        </w:trPr>
        <w:tc>
          <w:tcPr>
            <w:tcW w:w="349"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2</w:t>
            </w:r>
          </w:p>
        </w:tc>
        <w:tc>
          <w:tcPr>
            <w:tcW w:w="733"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1</w:t>
            </w:r>
            <w:r>
              <w:rPr>
                <w:rFonts w:hint="eastAsia" w:ascii="Times New Roman" w:hAnsi="宋体" w:eastAsia="宋体" w:cs="宋体"/>
                <w:color w:val="000000"/>
                <w:kern w:val="0"/>
                <w:sz w:val="22"/>
                <w:szCs w:val="22"/>
                <w:highlight w:val="none"/>
                <w:lang w:val="en-US" w:eastAsia="zh-CN" w:bidi="ar-SA"/>
              </w:rPr>
              <w:t>号楼</w:t>
            </w:r>
            <w:r>
              <w:rPr>
                <w:rFonts w:hint="eastAsia" w:ascii="Times New Roman" w:hAnsi="Times New Roman" w:eastAsia="宋体" w:cs="宋体"/>
                <w:color w:val="000000"/>
                <w:kern w:val="0"/>
                <w:sz w:val="22"/>
                <w:szCs w:val="22"/>
                <w:highlight w:val="none"/>
                <w:lang w:val="en-US" w:eastAsia="zh-CN" w:bidi="ar-SA"/>
              </w:rPr>
              <w:t>2F</w:t>
            </w:r>
          </w:p>
        </w:tc>
        <w:tc>
          <w:tcPr>
            <w:tcW w:w="691"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检验科</w:t>
            </w:r>
          </w:p>
        </w:tc>
        <w:tc>
          <w:tcPr>
            <w:tcW w:w="1431"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生化免疫流水线、产物分析、急诊反应区等</w:t>
            </w:r>
          </w:p>
        </w:tc>
        <w:tc>
          <w:tcPr>
            <w:tcW w:w="613" w:type="pct"/>
            <w:vMerge w:val="restar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检验用水</w:t>
            </w:r>
          </w:p>
        </w:tc>
        <w:tc>
          <w:tcPr>
            <w:tcW w:w="588"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24</w:t>
            </w:r>
          </w:p>
        </w:tc>
        <w:tc>
          <w:tcPr>
            <w:tcW w:w="595"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1200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0" w:hRule="atLeast"/>
        </w:trPr>
        <w:tc>
          <w:tcPr>
            <w:tcW w:w="349"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3</w:t>
            </w:r>
          </w:p>
        </w:tc>
        <w:tc>
          <w:tcPr>
            <w:tcW w:w="733" w:type="pct"/>
            <w:vMerge w:val="restar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1</w:t>
            </w:r>
            <w:r>
              <w:rPr>
                <w:rFonts w:hint="eastAsia" w:ascii="Times New Roman" w:hAnsi="宋体" w:eastAsia="宋体" w:cs="宋体"/>
                <w:color w:val="000000"/>
                <w:kern w:val="0"/>
                <w:sz w:val="22"/>
                <w:szCs w:val="22"/>
                <w:highlight w:val="none"/>
                <w:lang w:val="en-US" w:eastAsia="zh-CN" w:bidi="ar-SA"/>
              </w:rPr>
              <w:t>号楼</w:t>
            </w:r>
            <w:r>
              <w:rPr>
                <w:rFonts w:hint="eastAsia" w:ascii="Times New Roman" w:hAnsi="Times New Roman" w:eastAsia="宋体" w:cs="宋体"/>
                <w:color w:val="000000"/>
                <w:kern w:val="0"/>
                <w:sz w:val="22"/>
                <w:szCs w:val="22"/>
                <w:highlight w:val="none"/>
                <w:lang w:val="en-US" w:eastAsia="zh-CN" w:bidi="ar-SA"/>
              </w:rPr>
              <w:t>3F</w:t>
            </w:r>
          </w:p>
        </w:tc>
        <w:tc>
          <w:tcPr>
            <w:tcW w:w="691"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病理科</w:t>
            </w:r>
          </w:p>
        </w:tc>
        <w:tc>
          <w:tcPr>
            <w:tcW w:w="1431"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免疫组化、产物分析等</w:t>
            </w:r>
          </w:p>
        </w:tc>
        <w:tc>
          <w:tcPr>
            <w:tcW w:w="613" w:type="pct"/>
            <w:vMerge w:val="continue"/>
            <w:noWrap w:val="0"/>
            <w:vAlign w:val="center"/>
          </w:tcPr>
          <w:p>
            <w:pPr>
              <w:widowControl/>
              <w:jc w:val="left"/>
              <w:rPr>
                <w:rFonts w:ascii="Times New Roman" w:hAnsi="Times New Roman" w:eastAsia="宋体" w:cs="宋体"/>
                <w:color w:val="000000"/>
                <w:kern w:val="0"/>
                <w:sz w:val="22"/>
                <w:szCs w:val="22"/>
                <w:highlight w:val="none"/>
                <w:lang w:val="en-US" w:eastAsia="zh-CN" w:bidi="ar-SA"/>
              </w:rPr>
            </w:pPr>
          </w:p>
        </w:tc>
        <w:tc>
          <w:tcPr>
            <w:tcW w:w="588"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15</w:t>
            </w:r>
          </w:p>
        </w:tc>
        <w:tc>
          <w:tcPr>
            <w:tcW w:w="595"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0" w:hRule="atLeast"/>
        </w:trPr>
        <w:tc>
          <w:tcPr>
            <w:tcW w:w="349"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4</w:t>
            </w:r>
          </w:p>
        </w:tc>
        <w:tc>
          <w:tcPr>
            <w:tcW w:w="733" w:type="pct"/>
            <w:vMerge w:val="continue"/>
            <w:noWrap w:val="0"/>
            <w:vAlign w:val="center"/>
          </w:tcPr>
          <w:p>
            <w:pPr>
              <w:widowControl/>
              <w:jc w:val="left"/>
              <w:rPr>
                <w:rFonts w:ascii="Times New Roman" w:hAnsi="Times New Roman" w:eastAsia="宋体" w:cs="宋体"/>
                <w:color w:val="000000"/>
                <w:kern w:val="0"/>
                <w:sz w:val="22"/>
                <w:szCs w:val="22"/>
                <w:highlight w:val="none"/>
                <w:lang w:val="en-US" w:eastAsia="zh-CN" w:bidi="ar-SA"/>
              </w:rPr>
            </w:pPr>
          </w:p>
        </w:tc>
        <w:tc>
          <w:tcPr>
            <w:tcW w:w="691"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输血科</w:t>
            </w:r>
          </w:p>
        </w:tc>
        <w:tc>
          <w:tcPr>
            <w:tcW w:w="1431"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分析、扩增、提取、准备</w:t>
            </w:r>
          </w:p>
        </w:tc>
        <w:tc>
          <w:tcPr>
            <w:tcW w:w="613" w:type="pct"/>
            <w:vMerge w:val="continue"/>
            <w:noWrap w:val="0"/>
            <w:vAlign w:val="center"/>
          </w:tcPr>
          <w:p>
            <w:pPr>
              <w:widowControl/>
              <w:jc w:val="left"/>
              <w:rPr>
                <w:rFonts w:ascii="Times New Roman" w:hAnsi="Times New Roman" w:eastAsia="宋体" w:cs="宋体"/>
                <w:color w:val="000000"/>
                <w:kern w:val="0"/>
                <w:sz w:val="22"/>
                <w:szCs w:val="22"/>
                <w:highlight w:val="none"/>
                <w:lang w:val="en-US" w:eastAsia="zh-CN" w:bidi="ar-SA"/>
              </w:rPr>
            </w:pPr>
          </w:p>
        </w:tc>
        <w:tc>
          <w:tcPr>
            <w:tcW w:w="588"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4</w:t>
            </w:r>
          </w:p>
        </w:tc>
        <w:tc>
          <w:tcPr>
            <w:tcW w:w="595"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0" w:hRule="atLeast"/>
        </w:trPr>
        <w:tc>
          <w:tcPr>
            <w:tcW w:w="349"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5</w:t>
            </w:r>
          </w:p>
        </w:tc>
        <w:tc>
          <w:tcPr>
            <w:tcW w:w="733"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7</w:t>
            </w:r>
            <w:r>
              <w:rPr>
                <w:rFonts w:hint="eastAsia" w:ascii="Times New Roman" w:hAnsi="宋体" w:eastAsia="宋体" w:cs="宋体"/>
                <w:color w:val="000000"/>
                <w:kern w:val="0"/>
                <w:sz w:val="22"/>
                <w:szCs w:val="22"/>
                <w:highlight w:val="none"/>
                <w:lang w:val="en-US" w:eastAsia="zh-CN" w:bidi="ar-SA"/>
              </w:rPr>
              <w:t>号楼</w:t>
            </w:r>
            <w:r>
              <w:rPr>
                <w:rFonts w:hint="eastAsia" w:ascii="Times New Roman" w:hAnsi="Times New Roman" w:eastAsia="宋体" w:cs="宋体"/>
                <w:color w:val="000000"/>
                <w:kern w:val="0"/>
                <w:sz w:val="22"/>
                <w:szCs w:val="22"/>
                <w:highlight w:val="none"/>
                <w:lang w:val="en-US" w:eastAsia="zh-CN" w:bidi="ar-SA"/>
              </w:rPr>
              <w:t>4F</w:t>
            </w:r>
          </w:p>
        </w:tc>
        <w:tc>
          <w:tcPr>
            <w:tcW w:w="691"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　</w:t>
            </w:r>
          </w:p>
        </w:tc>
        <w:tc>
          <w:tcPr>
            <w:tcW w:w="1431"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生物实验室等</w:t>
            </w:r>
          </w:p>
        </w:tc>
        <w:tc>
          <w:tcPr>
            <w:tcW w:w="613" w:type="pct"/>
            <w:vMerge w:val="continue"/>
            <w:noWrap w:val="0"/>
            <w:vAlign w:val="center"/>
          </w:tcPr>
          <w:p>
            <w:pPr>
              <w:widowControl/>
              <w:jc w:val="left"/>
              <w:rPr>
                <w:rFonts w:ascii="Times New Roman" w:hAnsi="Times New Roman" w:eastAsia="宋体" w:cs="宋体"/>
                <w:color w:val="000000"/>
                <w:kern w:val="0"/>
                <w:sz w:val="22"/>
                <w:szCs w:val="22"/>
                <w:highlight w:val="none"/>
                <w:lang w:val="en-US" w:eastAsia="zh-CN" w:bidi="ar-SA"/>
              </w:rPr>
            </w:pPr>
          </w:p>
        </w:tc>
        <w:tc>
          <w:tcPr>
            <w:tcW w:w="588"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18</w:t>
            </w:r>
          </w:p>
        </w:tc>
        <w:tc>
          <w:tcPr>
            <w:tcW w:w="595"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0" w:hRule="atLeast"/>
        </w:trPr>
        <w:tc>
          <w:tcPr>
            <w:tcW w:w="349"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6</w:t>
            </w:r>
          </w:p>
        </w:tc>
        <w:tc>
          <w:tcPr>
            <w:tcW w:w="733"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7</w:t>
            </w:r>
            <w:r>
              <w:rPr>
                <w:rFonts w:hint="eastAsia" w:ascii="Times New Roman" w:hAnsi="宋体" w:eastAsia="宋体" w:cs="宋体"/>
                <w:color w:val="000000"/>
                <w:kern w:val="0"/>
                <w:sz w:val="22"/>
                <w:szCs w:val="22"/>
                <w:highlight w:val="none"/>
                <w:lang w:val="en-US" w:eastAsia="zh-CN" w:bidi="ar-SA"/>
              </w:rPr>
              <w:t>号楼</w:t>
            </w:r>
            <w:r>
              <w:rPr>
                <w:rFonts w:hint="eastAsia" w:ascii="Times New Roman" w:hAnsi="Times New Roman" w:eastAsia="宋体" w:cs="宋体"/>
                <w:color w:val="000000"/>
                <w:kern w:val="0"/>
                <w:sz w:val="22"/>
                <w:szCs w:val="22"/>
                <w:highlight w:val="none"/>
                <w:lang w:val="en-US" w:eastAsia="zh-CN" w:bidi="ar-SA"/>
              </w:rPr>
              <w:t>5F</w:t>
            </w:r>
          </w:p>
        </w:tc>
        <w:tc>
          <w:tcPr>
            <w:tcW w:w="691"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　</w:t>
            </w:r>
          </w:p>
        </w:tc>
        <w:tc>
          <w:tcPr>
            <w:tcW w:w="1431"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生物实验室等</w:t>
            </w:r>
          </w:p>
        </w:tc>
        <w:tc>
          <w:tcPr>
            <w:tcW w:w="613" w:type="pct"/>
            <w:vMerge w:val="continue"/>
            <w:noWrap w:val="0"/>
            <w:vAlign w:val="center"/>
          </w:tcPr>
          <w:p>
            <w:pPr>
              <w:widowControl/>
              <w:jc w:val="left"/>
              <w:rPr>
                <w:rFonts w:ascii="Times New Roman" w:hAnsi="Times New Roman" w:eastAsia="宋体" w:cs="宋体"/>
                <w:color w:val="000000"/>
                <w:kern w:val="0"/>
                <w:sz w:val="22"/>
                <w:szCs w:val="22"/>
                <w:highlight w:val="none"/>
                <w:lang w:val="en-US" w:eastAsia="zh-CN" w:bidi="ar-SA"/>
              </w:rPr>
            </w:pPr>
          </w:p>
        </w:tc>
        <w:tc>
          <w:tcPr>
            <w:tcW w:w="588"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18</w:t>
            </w:r>
          </w:p>
        </w:tc>
        <w:tc>
          <w:tcPr>
            <w:tcW w:w="595"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0" w:hRule="atLeast"/>
        </w:trPr>
        <w:tc>
          <w:tcPr>
            <w:tcW w:w="349"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7</w:t>
            </w:r>
          </w:p>
        </w:tc>
        <w:tc>
          <w:tcPr>
            <w:tcW w:w="733"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7</w:t>
            </w:r>
            <w:r>
              <w:rPr>
                <w:rFonts w:hint="eastAsia" w:ascii="Times New Roman" w:hAnsi="宋体" w:eastAsia="宋体" w:cs="宋体"/>
                <w:color w:val="000000"/>
                <w:kern w:val="0"/>
                <w:sz w:val="22"/>
                <w:szCs w:val="22"/>
                <w:highlight w:val="none"/>
                <w:lang w:val="en-US" w:eastAsia="zh-CN" w:bidi="ar-SA"/>
              </w:rPr>
              <w:t>号楼</w:t>
            </w:r>
            <w:r>
              <w:rPr>
                <w:rFonts w:hint="eastAsia" w:ascii="Times New Roman" w:hAnsi="Times New Roman" w:eastAsia="宋体" w:cs="宋体"/>
                <w:color w:val="000000"/>
                <w:kern w:val="0"/>
                <w:sz w:val="22"/>
                <w:szCs w:val="22"/>
                <w:highlight w:val="none"/>
                <w:lang w:val="en-US" w:eastAsia="zh-CN" w:bidi="ar-SA"/>
              </w:rPr>
              <w:t>6F</w:t>
            </w:r>
          </w:p>
        </w:tc>
        <w:tc>
          <w:tcPr>
            <w:tcW w:w="691"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　</w:t>
            </w:r>
          </w:p>
        </w:tc>
        <w:tc>
          <w:tcPr>
            <w:tcW w:w="1431"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生物实验室等</w:t>
            </w:r>
          </w:p>
        </w:tc>
        <w:tc>
          <w:tcPr>
            <w:tcW w:w="613" w:type="pct"/>
            <w:vMerge w:val="continue"/>
            <w:noWrap w:val="0"/>
            <w:vAlign w:val="center"/>
          </w:tcPr>
          <w:p>
            <w:pPr>
              <w:widowControl/>
              <w:jc w:val="left"/>
              <w:rPr>
                <w:rFonts w:ascii="Times New Roman" w:hAnsi="Times New Roman" w:eastAsia="宋体" w:cs="宋体"/>
                <w:color w:val="000000"/>
                <w:kern w:val="0"/>
                <w:sz w:val="22"/>
                <w:szCs w:val="22"/>
                <w:highlight w:val="none"/>
                <w:lang w:val="en-US" w:eastAsia="zh-CN" w:bidi="ar-SA"/>
              </w:rPr>
            </w:pPr>
          </w:p>
        </w:tc>
        <w:tc>
          <w:tcPr>
            <w:tcW w:w="588"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18</w:t>
            </w:r>
          </w:p>
        </w:tc>
        <w:tc>
          <w:tcPr>
            <w:tcW w:w="595"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0" w:hRule="atLeast"/>
        </w:trPr>
        <w:tc>
          <w:tcPr>
            <w:tcW w:w="349"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8</w:t>
            </w:r>
          </w:p>
        </w:tc>
        <w:tc>
          <w:tcPr>
            <w:tcW w:w="733"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7</w:t>
            </w:r>
            <w:r>
              <w:rPr>
                <w:rFonts w:hint="eastAsia" w:ascii="Times New Roman" w:hAnsi="宋体" w:eastAsia="宋体" w:cs="宋体"/>
                <w:color w:val="000000"/>
                <w:kern w:val="0"/>
                <w:sz w:val="22"/>
                <w:szCs w:val="22"/>
                <w:highlight w:val="none"/>
                <w:lang w:val="en-US" w:eastAsia="zh-CN" w:bidi="ar-SA"/>
              </w:rPr>
              <w:t>号楼</w:t>
            </w:r>
            <w:r>
              <w:rPr>
                <w:rFonts w:hint="eastAsia" w:ascii="Times New Roman" w:hAnsi="Times New Roman" w:eastAsia="宋体" w:cs="宋体"/>
                <w:color w:val="000000"/>
                <w:kern w:val="0"/>
                <w:sz w:val="22"/>
                <w:szCs w:val="22"/>
                <w:highlight w:val="none"/>
                <w:lang w:val="en-US" w:eastAsia="zh-CN" w:bidi="ar-SA"/>
              </w:rPr>
              <w:t>7F</w:t>
            </w:r>
          </w:p>
        </w:tc>
        <w:tc>
          <w:tcPr>
            <w:tcW w:w="691"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　</w:t>
            </w:r>
          </w:p>
        </w:tc>
        <w:tc>
          <w:tcPr>
            <w:tcW w:w="1431"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生物实验室等</w:t>
            </w:r>
          </w:p>
        </w:tc>
        <w:tc>
          <w:tcPr>
            <w:tcW w:w="613" w:type="pct"/>
            <w:vMerge w:val="continue"/>
            <w:noWrap w:val="0"/>
            <w:vAlign w:val="center"/>
          </w:tcPr>
          <w:p>
            <w:pPr>
              <w:widowControl/>
              <w:jc w:val="left"/>
              <w:rPr>
                <w:rFonts w:ascii="Times New Roman" w:hAnsi="Times New Roman" w:eastAsia="宋体" w:cs="宋体"/>
                <w:color w:val="000000"/>
                <w:kern w:val="0"/>
                <w:sz w:val="22"/>
                <w:szCs w:val="22"/>
                <w:highlight w:val="none"/>
                <w:lang w:val="en-US" w:eastAsia="zh-CN" w:bidi="ar-SA"/>
              </w:rPr>
            </w:pPr>
          </w:p>
        </w:tc>
        <w:tc>
          <w:tcPr>
            <w:tcW w:w="588"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17</w:t>
            </w:r>
          </w:p>
        </w:tc>
        <w:tc>
          <w:tcPr>
            <w:tcW w:w="595"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0" w:hRule="atLeast"/>
        </w:trPr>
        <w:tc>
          <w:tcPr>
            <w:tcW w:w="349"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9</w:t>
            </w:r>
          </w:p>
        </w:tc>
        <w:tc>
          <w:tcPr>
            <w:tcW w:w="733"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1</w:t>
            </w:r>
            <w:r>
              <w:rPr>
                <w:rFonts w:hint="eastAsia" w:ascii="Times New Roman" w:hAnsi="宋体" w:eastAsia="宋体" w:cs="宋体"/>
                <w:color w:val="000000"/>
                <w:kern w:val="0"/>
                <w:sz w:val="22"/>
                <w:szCs w:val="22"/>
                <w:highlight w:val="none"/>
                <w:lang w:val="en-US" w:eastAsia="zh-CN" w:bidi="ar-SA"/>
              </w:rPr>
              <w:t>号楼</w:t>
            </w:r>
            <w:r>
              <w:rPr>
                <w:rFonts w:hint="eastAsia" w:ascii="Times New Roman" w:hAnsi="Times New Roman" w:eastAsia="宋体" w:cs="宋体"/>
                <w:color w:val="000000"/>
                <w:kern w:val="0"/>
                <w:sz w:val="22"/>
                <w:szCs w:val="22"/>
                <w:highlight w:val="none"/>
                <w:lang w:val="en-US" w:eastAsia="zh-CN" w:bidi="ar-SA"/>
              </w:rPr>
              <w:t>1F</w:t>
            </w:r>
          </w:p>
        </w:tc>
        <w:tc>
          <w:tcPr>
            <w:tcW w:w="691"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急诊、急救</w:t>
            </w:r>
          </w:p>
        </w:tc>
        <w:tc>
          <w:tcPr>
            <w:tcW w:w="1431"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急诊清创间、急救洗胃间</w:t>
            </w:r>
          </w:p>
        </w:tc>
        <w:tc>
          <w:tcPr>
            <w:tcW w:w="613" w:type="pct"/>
            <w:vMerge w:val="restar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一级清洗用水</w:t>
            </w:r>
          </w:p>
        </w:tc>
        <w:tc>
          <w:tcPr>
            <w:tcW w:w="588"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2</w:t>
            </w:r>
          </w:p>
        </w:tc>
        <w:tc>
          <w:tcPr>
            <w:tcW w:w="595"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400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0" w:hRule="atLeast"/>
        </w:trPr>
        <w:tc>
          <w:tcPr>
            <w:tcW w:w="349"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10</w:t>
            </w:r>
          </w:p>
        </w:tc>
        <w:tc>
          <w:tcPr>
            <w:tcW w:w="733"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1</w:t>
            </w:r>
            <w:r>
              <w:rPr>
                <w:rFonts w:hint="eastAsia" w:ascii="Times New Roman" w:hAnsi="宋体" w:eastAsia="宋体" w:cs="宋体"/>
                <w:color w:val="000000"/>
                <w:kern w:val="0"/>
                <w:sz w:val="22"/>
                <w:szCs w:val="22"/>
                <w:highlight w:val="none"/>
                <w:lang w:val="en-US" w:eastAsia="zh-CN" w:bidi="ar-SA"/>
              </w:rPr>
              <w:t>号楼</w:t>
            </w:r>
            <w:r>
              <w:rPr>
                <w:rFonts w:hint="eastAsia" w:ascii="Times New Roman" w:hAnsi="Times New Roman" w:eastAsia="宋体" w:cs="宋体"/>
                <w:color w:val="000000"/>
                <w:kern w:val="0"/>
                <w:sz w:val="22"/>
                <w:szCs w:val="22"/>
                <w:highlight w:val="none"/>
                <w:lang w:val="en-US" w:eastAsia="zh-CN" w:bidi="ar-SA"/>
              </w:rPr>
              <w:t>2F</w:t>
            </w:r>
          </w:p>
        </w:tc>
        <w:tc>
          <w:tcPr>
            <w:tcW w:w="691"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检验科</w:t>
            </w:r>
          </w:p>
        </w:tc>
        <w:tc>
          <w:tcPr>
            <w:tcW w:w="1431"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洗消室</w:t>
            </w:r>
            <w:r>
              <w:rPr>
                <w:rFonts w:hint="eastAsia" w:ascii="Times New Roman" w:hAnsi="Times New Roman" w:eastAsia="宋体" w:cs="宋体"/>
                <w:color w:val="000000"/>
                <w:kern w:val="0"/>
                <w:sz w:val="22"/>
                <w:szCs w:val="22"/>
                <w:highlight w:val="none"/>
                <w:lang w:val="en-US" w:eastAsia="zh-CN" w:bidi="ar-SA"/>
              </w:rPr>
              <w:t>1</w:t>
            </w:r>
            <w:r>
              <w:rPr>
                <w:rFonts w:hint="eastAsia" w:ascii="Times New Roman" w:hAnsi="宋体" w:eastAsia="宋体" w:cs="宋体"/>
                <w:color w:val="000000"/>
                <w:kern w:val="0"/>
                <w:sz w:val="22"/>
                <w:szCs w:val="22"/>
                <w:highlight w:val="none"/>
                <w:lang w:val="en-US" w:eastAsia="zh-CN" w:bidi="ar-SA"/>
              </w:rPr>
              <w:t>、洗眼装置</w:t>
            </w:r>
            <w:r>
              <w:rPr>
                <w:rFonts w:hint="eastAsia" w:ascii="Times New Roman" w:hAnsi="Times New Roman" w:eastAsia="宋体" w:cs="宋体"/>
                <w:color w:val="000000"/>
                <w:kern w:val="0"/>
                <w:sz w:val="22"/>
                <w:szCs w:val="22"/>
                <w:highlight w:val="none"/>
                <w:lang w:val="en-US" w:eastAsia="zh-CN" w:bidi="ar-SA"/>
              </w:rPr>
              <w:t>1</w:t>
            </w:r>
            <w:r>
              <w:rPr>
                <w:rFonts w:hint="eastAsia" w:ascii="Times New Roman" w:hAnsi="宋体" w:eastAsia="宋体" w:cs="宋体"/>
                <w:color w:val="000000"/>
                <w:kern w:val="0"/>
                <w:sz w:val="22"/>
                <w:szCs w:val="22"/>
                <w:highlight w:val="none"/>
                <w:lang w:val="en-US" w:eastAsia="zh-CN" w:bidi="ar-SA"/>
              </w:rPr>
              <w:t>、灭菌锅</w:t>
            </w:r>
            <w:r>
              <w:rPr>
                <w:rFonts w:hint="eastAsia" w:ascii="Times New Roman" w:hAnsi="Times New Roman" w:eastAsia="宋体" w:cs="宋体"/>
                <w:color w:val="000000"/>
                <w:kern w:val="0"/>
                <w:sz w:val="22"/>
                <w:szCs w:val="22"/>
                <w:highlight w:val="none"/>
                <w:lang w:val="en-US" w:eastAsia="zh-CN" w:bidi="ar-SA"/>
              </w:rPr>
              <w:t>3</w:t>
            </w:r>
          </w:p>
        </w:tc>
        <w:tc>
          <w:tcPr>
            <w:tcW w:w="613" w:type="pct"/>
            <w:vMerge w:val="continue"/>
            <w:noWrap w:val="0"/>
            <w:vAlign w:val="center"/>
          </w:tcPr>
          <w:p>
            <w:pPr>
              <w:widowControl/>
              <w:jc w:val="left"/>
              <w:rPr>
                <w:rFonts w:ascii="Times New Roman" w:hAnsi="Times New Roman" w:eastAsia="宋体" w:cs="宋体"/>
                <w:color w:val="000000"/>
                <w:kern w:val="0"/>
                <w:sz w:val="22"/>
                <w:szCs w:val="22"/>
                <w:highlight w:val="none"/>
                <w:lang w:val="en-US" w:eastAsia="zh-CN" w:bidi="ar-SA"/>
              </w:rPr>
            </w:pPr>
          </w:p>
        </w:tc>
        <w:tc>
          <w:tcPr>
            <w:tcW w:w="588"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5</w:t>
            </w:r>
          </w:p>
        </w:tc>
        <w:tc>
          <w:tcPr>
            <w:tcW w:w="595"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400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0" w:hRule="atLeast"/>
        </w:trPr>
        <w:tc>
          <w:tcPr>
            <w:tcW w:w="349"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11</w:t>
            </w:r>
          </w:p>
        </w:tc>
        <w:tc>
          <w:tcPr>
            <w:tcW w:w="733"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1</w:t>
            </w:r>
            <w:r>
              <w:rPr>
                <w:rFonts w:hint="eastAsia" w:ascii="Times New Roman" w:hAnsi="宋体" w:eastAsia="宋体" w:cs="宋体"/>
                <w:color w:val="000000"/>
                <w:kern w:val="0"/>
                <w:sz w:val="22"/>
                <w:szCs w:val="22"/>
                <w:highlight w:val="none"/>
                <w:lang w:val="en-US" w:eastAsia="zh-CN" w:bidi="ar-SA"/>
              </w:rPr>
              <w:t>号楼</w:t>
            </w:r>
            <w:r>
              <w:rPr>
                <w:rFonts w:hint="eastAsia" w:ascii="Times New Roman" w:hAnsi="Times New Roman" w:eastAsia="宋体" w:cs="宋体"/>
                <w:color w:val="000000"/>
                <w:kern w:val="0"/>
                <w:sz w:val="22"/>
                <w:szCs w:val="22"/>
                <w:highlight w:val="none"/>
                <w:lang w:val="en-US" w:eastAsia="zh-CN" w:bidi="ar-SA"/>
              </w:rPr>
              <w:t>3F</w:t>
            </w:r>
          </w:p>
        </w:tc>
        <w:tc>
          <w:tcPr>
            <w:tcW w:w="691"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中心供应</w:t>
            </w:r>
          </w:p>
        </w:tc>
        <w:tc>
          <w:tcPr>
            <w:tcW w:w="1431"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清洗槽</w:t>
            </w:r>
            <w:r>
              <w:rPr>
                <w:rFonts w:hint="eastAsia" w:ascii="Times New Roman" w:hAnsi="Times New Roman" w:eastAsia="宋体" w:cs="宋体"/>
                <w:color w:val="000000"/>
                <w:kern w:val="0"/>
                <w:sz w:val="22"/>
                <w:szCs w:val="22"/>
                <w:highlight w:val="none"/>
                <w:lang w:val="en-US" w:eastAsia="zh-CN" w:bidi="ar-SA"/>
              </w:rPr>
              <w:t>5</w:t>
            </w:r>
            <w:r>
              <w:rPr>
                <w:rFonts w:hint="eastAsia" w:ascii="Times New Roman" w:hAnsi="宋体" w:eastAsia="宋体" w:cs="宋体"/>
                <w:color w:val="000000"/>
                <w:kern w:val="0"/>
                <w:sz w:val="22"/>
                <w:szCs w:val="22"/>
                <w:highlight w:val="none"/>
                <w:lang w:val="en-US" w:eastAsia="zh-CN" w:bidi="ar-SA"/>
              </w:rPr>
              <w:t>、清洗机</w:t>
            </w:r>
            <w:r>
              <w:rPr>
                <w:rFonts w:hint="eastAsia" w:ascii="Times New Roman" w:hAnsi="Times New Roman" w:eastAsia="宋体" w:cs="宋体"/>
                <w:color w:val="000000"/>
                <w:kern w:val="0"/>
                <w:sz w:val="22"/>
                <w:szCs w:val="22"/>
                <w:highlight w:val="none"/>
                <w:lang w:val="en-US" w:eastAsia="zh-CN" w:bidi="ar-SA"/>
              </w:rPr>
              <w:t>10</w:t>
            </w:r>
            <w:r>
              <w:rPr>
                <w:rFonts w:hint="eastAsia" w:ascii="Times New Roman" w:hAnsi="宋体" w:eastAsia="宋体" w:cs="宋体"/>
                <w:color w:val="000000"/>
                <w:kern w:val="0"/>
                <w:sz w:val="22"/>
                <w:szCs w:val="22"/>
                <w:highlight w:val="none"/>
                <w:lang w:val="en-US" w:eastAsia="zh-CN" w:bidi="ar-SA"/>
              </w:rPr>
              <w:t>、酸化水设备进水</w:t>
            </w:r>
            <w:r>
              <w:rPr>
                <w:rFonts w:hint="eastAsia" w:ascii="Times New Roman" w:hAnsi="Times New Roman" w:eastAsia="宋体" w:cs="宋体"/>
                <w:color w:val="000000"/>
                <w:kern w:val="0"/>
                <w:sz w:val="22"/>
                <w:szCs w:val="22"/>
                <w:highlight w:val="none"/>
                <w:lang w:val="en-US" w:eastAsia="zh-CN" w:bidi="ar-SA"/>
              </w:rPr>
              <w:t>1</w:t>
            </w:r>
            <w:r>
              <w:rPr>
                <w:rFonts w:hint="eastAsia" w:ascii="Times New Roman" w:hAnsi="宋体" w:eastAsia="宋体" w:cs="宋体"/>
                <w:color w:val="000000"/>
                <w:kern w:val="0"/>
                <w:sz w:val="22"/>
                <w:szCs w:val="22"/>
                <w:highlight w:val="none"/>
                <w:lang w:val="en-US" w:eastAsia="zh-CN" w:bidi="ar-SA"/>
              </w:rPr>
              <w:t>、洗眼器</w:t>
            </w:r>
            <w:r>
              <w:rPr>
                <w:rFonts w:hint="eastAsia" w:ascii="Times New Roman" w:hAnsi="Times New Roman" w:eastAsia="宋体" w:cs="宋体"/>
                <w:color w:val="000000"/>
                <w:kern w:val="0"/>
                <w:sz w:val="22"/>
                <w:szCs w:val="22"/>
                <w:highlight w:val="none"/>
                <w:lang w:val="en-US" w:eastAsia="zh-CN" w:bidi="ar-SA"/>
              </w:rPr>
              <w:t>1</w:t>
            </w:r>
          </w:p>
        </w:tc>
        <w:tc>
          <w:tcPr>
            <w:tcW w:w="613" w:type="pct"/>
            <w:vMerge w:val="continue"/>
            <w:noWrap w:val="0"/>
            <w:vAlign w:val="center"/>
          </w:tcPr>
          <w:p>
            <w:pPr>
              <w:widowControl/>
              <w:jc w:val="left"/>
              <w:rPr>
                <w:rFonts w:ascii="Times New Roman" w:hAnsi="Times New Roman" w:eastAsia="宋体" w:cs="宋体"/>
                <w:color w:val="000000"/>
                <w:kern w:val="0"/>
                <w:sz w:val="22"/>
                <w:szCs w:val="22"/>
                <w:highlight w:val="none"/>
                <w:lang w:val="en-US" w:eastAsia="zh-CN" w:bidi="ar-SA"/>
              </w:rPr>
            </w:pPr>
          </w:p>
        </w:tc>
        <w:tc>
          <w:tcPr>
            <w:tcW w:w="588"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17</w:t>
            </w:r>
          </w:p>
        </w:tc>
        <w:tc>
          <w:tcPr>
            <w:tcW w:w="595"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5500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0" w:hRule="atLeast"/>
        </w:trPr>
        <w:tc>
          <w:tcPr>
            <w:tcW w:w="349"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12</w:t>
            </w:r>
          </w:p>
        </w:tc>
        <w:tc>
          <w:tcPr>
            <w:tcW w:w="733"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1</w:t>
            </w:r>
            <w:r>
              <w:rPr>
                <w:rFonts w:hint="eastAsia" w:ascii="Times New Roman" w:hAnsi="宋体" w:eastAsia="宋体" w:cs="宋体"/>
                <w:color w:val="000000"/>
                <w:kern w:val="0"/>
                <w:sz w:val="22"/>
                <w:szCs w:val="22"/>
                <w:highlight w:val="none"/>
                <w:lang w:val="en-US" w:eastAsia="zh-CN" w:bidi="ar-SA"/>
              </w:rPr>
              <w:t>号楼</w:t>
            </w:r>
            <w:r>
              <w:rPr>
                <w:rFonts w:hint="eastAsia" w:ascii="Times New Roman" w:hAnsi="Times New Roman" w:eastAsia="宋体" w:cs="宋体"/>
                <w:color w:val="000000"/>
                <w:kern w:val="0"/>
                <w:sz w:val="22"/>
                <w:szCs w:val="22"/>
                <w:highlight w:val="none"/>
                <w:lang w:val="en-US" w:eastAsia="zh-CN" w:bidi="ar-SA"/>
              </w:rPr>
              <w:t>1F</w:t>
            </w:r>
          </w:p>
        </w:tc>
        <w:tc>
          <w:tcPr>
            <w:tcW w:w="691"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DSA</w:t>
            </w:r>
          </w:p>
        </w:tc>
        <w:tc>
          <w:tcPr>
            <w:tcW w:w="1431"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清洗间（预留）</w:t>
            </w:r>
          </w:p>
        </w:tc>
        <w:tc>
          <w:tcPr>
            <w:tcW w:w="613" w:type="pct"/>
            <w:vMerge w:val="restar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二级清洗用水</w:t>
            </w:r>
          </w:p>
        </w:tc>
        <w:tc>
          <w:tcPr>
            <w:tcW w:w="588"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1</w:t>
            </w:r>
          </w:p>
        </w:tc>
        <w:tc>
          <w:tcPr>
            <w:tcW w:w="595"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0" w:hRule="atLeast"/>
        </w:trPr>
        <w:tc>
          <w:tcPr>
            <w:tcW w:w="349"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13</w:t>
            </w:r>
          </w:p>
        </w:tc>
        <w:tc>
          <w:tcPr>
            <w:tcW w:w="733"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1</w:t>
            </w:r>
            <w:r>
              <w:rPr>
                <w:rFonts w:hint="eastAsia" w:ascii="Times New Roman" w:hAnsi="宋体" w:eastAsia="宋体" w:cs="宋体"/>
                <w:color w:val="000000"/>
                <w:kern w:val="0"/>
                <w:sz w:val="22"/>
                <w:szCs w:val="22"/>
                <w:highlight w:val="none"/>
                <w:lang w:val="en-US" w:eastAsia="zh-CN" w:bidi="ar-SA"/>
              </w:rPr>
              <w:t>号楼</w:t>
            </w:r>
            <w:r>
              <w:rPr>
                <w:rFonts w:hint="eastAsia" w:ascii="Times New Roman" w:hAnsi="Times New Roman" w:eastAsia="宋体" w:cs="宋体"/>
                <w:color w:val="000000"/>
                <w:kern w:val="0"/>
                <w:sz w:val="22"/>
                <w:szCs w:val="22"/>
                <w:highlight w:val="none"/>
                <w:lang w:val="en-US" w:eastAsia="zh-CN" w:bidi="ar-SA"/>
              </w:rPr>
              <w:t>2F</w:t>
            </w:r>
          </w:p>
        </w:tc>
        <w:tc>
          <w:tcPr>
            <w:tcW w:w="691"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EICU</w:t>
            </w:r>
          </w:p>
        </w:tc>
        <w:tc>
          <w:tcPr>
            <w:tcW w:w="1431"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支气管清洗</w:t>
            </w:r>
          </w:p>
        </w:tc>
        <w:tc>
          <w:tcPr>
            <w:tcW w:w="613" w:type="pct"/>
            <w:vMerge w:val="continue"/>
            <w:noWrap w:val="0"/>
            <w:vAlign w:val="center"/>
          </w:tcPr>
          <w:p>
            <w:pPr>
              <w:widowControl/>
              <w:jc w:val="left"/>
              <w:rPr>
                <w:rFonts w:ascii="Times New Roman" w:hAnsi="Times New Roman" w:eastAsia="宋体" w:cs="宋体"/>
                <w:color w:val="000000"/>
                <w:kern w:val="0"/>
                <w:sz w:val="22"/>
                <w:szCs w:val="22"/>
                <w:highlight w:val="none"/>
                <w:lang w:val="en-US" w:eastAsia="zh-CN" w:bidi="ar-SA"/>
              </w:rPr>
            </w:pPr>
          </w:p>
        </w:tc>
        <w:tc>
          <w:tcPr>
            <w:tcW w:w="588"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1</w:t>
            </w:r>
          </w:p>
        </w:tc>
        <w:tc>
          <w:tcPr>
            <w:tcW w:w="595"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0" w:hRule="atLeast"/>
        </w:trPr>
        <w:tc>
          <w:tcPr>
            <w:tcW w:w="349"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14</w:t>
            </w:r>
          </w:p>
        </w:tc>
        <w:tc>
          <w:tcPr>
            <w:tcW w:w="733"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1</w:t>
            </w:r>
            <w:r>
              <w:rPr>
                <w:rFonts w:hint="eastAsia" w:ascii="Times New Roman" w:hAnsi="宋体" w:eastAsia="宋体" w:cs="宋体"/>
                <w:color w:val="000000"/>
                <w:kern w:val="0"/>
                <w:sz w:val="22"/>
                <w:szCs w:val="22"/>
                <w:highlight w:val="none"/>
                <w:lang w:val="en-US" w:eastAsia="zh-CN" w:bidi="ar-SA"/>
              </w:rPr>
              <w:t>号楼</w:t>
            </w:r>
            <w:r>
              <w:rPr>
                <w:rFonts w:hint="eastAsia" w:ascii="Times New Roman" w:hAnsi="Times New Roman" w:eastAsia="宋体" w:cs="宋体"/>
                <w:color w:val="000000"/>
                <w:kern w:val="0"/>
                <w:sz w:val="22"/>
                <w:szCs w:val="22"/>
                <w:highlight w:val="none"/>
                <w:lang w:val="en-US" w:eastAsia="zh-CN" w:bidi="ar-SA"/>
              </w:rPr>
              <w:t>3F</w:t>
            </w:r>
          </w:p>
        </w:tc>
        <w:tc>
          <w:tcPr>
            <w:tcW w:w="691"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内镜中心</w:t>
            </w:r>
          </w:p>
        </w:tc>
        <w:tc>
          <w:tcPr>
            <w:tcW w:w="1431"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清洗机</w:t>
            </w:r>
            <w:r>
              <w:rPr>
                <w:rFonts w:hint="eastAsia" w:ascii="Times New Roman" w:hAnsi="Times New Roman" w:eastAsia="宋体" w:cs="宋体"/>
                <w:color w:val="000000"/>
                <w:kern w:val="0"/>
                <w:sz w:val="22"/>
                <w:szCs w:val="22"/>
                <w:highlight w:val="none"/>
                <w:lang w:val="en-US" w:eastAsia="zh-CN" w:bidi="ar-SA"/>
              </w:rPr>
              <w:t>16</w:t>
            </w:r>
            <w:r>
              <w:rPr>
                <w:rFonts w:hint="eastAsia" w:ascii="Times New Roman" w:hAnsi="宋体" w:eastAsia="宋体" w:cs="宋体"/>
                <w:color w:val="000000"/>
                <w:kern w:val="0"/>
                <w:sz w:val="22"/>
                <w:szCs w:val="22"/>
                <w:highlight w:val="none"/>
                <w:lang w:val="en-US" w:eastAsia="zh-CN" w:bidi="ar-SA"/>
              </w:rPr>
              <w:t>，洗槽</w:t>
            </w:r>
            <w:r>
              <w:rPr>
                <w:rFonts w:hint="eastAsia" w:ascii="Times New Roman" w:hAnsi="Times New Roman" w:eastAsia="宋体" w:cs="宋体"/>
                <w:color w:val="000000"/>
                <w:kern w:val="0"/>
                <w:sz w:val="22"/>
                <w:szCs w:val="22"/>
                <w:highlight w:val="none"/>
                <w:lang w:val="en-US" w:eastAsia="zh-CN" w:bidi="ar-SA"/>
              </w:rPr>
              <w:t>16</w:t>
            </w:r>
            <w:r>
              <w:rPr>
                <w:rFonts w:hint="eastAsia" w:ascii="Times New Roman" w:hAnsi="宋体" w:eastAsia="宋体" w:cs="宋体"/>
                <w:color w:val="000000"/>
                <w:kern w:val="0"/>
                <w:sz w:val="22"/>
                <w:szCs w:val="22"/>
                <w:highlight w:val="none"/>
                <w:lang w:val="en-US" w:eastAsia="zh-CN" w:bidi="ar-SA"/>
              </w:rPr>
              <w:t>、酸化水设备原水</w:t>
            </w:r>
            <w:r>
              <w:rPr>
                <w:rFonts w:hint="eastAsia" w:ascii="Times New Roman" w:hAnsi="Times New Roman" w:eastAsia="宋体" w:cs="宋体"/>
                <w:color w:val="000000"/>
                <w:kern w:val="0"/>
                <w:sz w:val="22"/>
                <w:szCs w:val="22"/>
                <w:highlight w:val="none"/>
                <w:lang w:val="en-US" w:eastAsia="zh-CN" w:bidi="ar-SA"/>
              </w:rPr>
              <w:t>1</w:t>
            </w:r>
          </w:p>
        </w:tc>
        <w:tc>
          <w:tcPr>
            <w:tcW w:w="613" w:type="pct"/>
            <w:vMerge w:val="continue"/>
            <w:noWrap w:val="0"/>
            <w:vAlign w:val="center"/>
          </w:tcPr>
          <w:p>
            <w:pPr>
              <w:widowControl/>
              <w:jc w:val="left"/>
              <w:rPr>
                <w:rFonts w:ascii="Times New Roman" w:hAnsi="Times New Roman" w:eastAsia="宋体" w:cs="宋体"/>
                <w:color w:val="000000"/>
                <w:kern w:val="0"/>
                <w:sz w:val="22"/>
                <w:szCs w:val="22"/>
                <w:highlight w:val="none"/>
                <w:lang w:val="en-US" w:eastAsia="zh-CN" w:bidi="ar-SA"/>
              </w:rPr>
            </w:pPr>
          </w:p>
        </w:tc>
        <w:tc>
          <w:tcPr>
            <w:tcW w:w="588"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33</w:t>
            </w:r>
          </w:p>
        </w:tc>
        <w:tc>
          <w:tcPr>
            <w:tcW w:w="595"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5000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0" w:hRule="atLeast"/>
        </w:trPr>
        <w:tc>
          <w:tcPr>
            <w:tcW w:w="349"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15</w:t>
            </w:r>
          </w:p>
        </w:tc>
        <w:tc>
          <w:tcPr>
            <w:tcW w:w="733"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1</w:t>
            </w:r>
            <w:r>
              <w:rPr>
                <w:rFonts w:hint="eastAsia" w:ascii="Times New Roman" w:hAnsi="宋体" w:eastAsia="宋体" w:cs="宋体"/>
                <w:color w:val="000000"/>
                <w:kern w:val="0"/>
                <w:sz w:val="22"/>
                <w:szCs w:val="22"/>
                <w:highlight w:val="none"/>
                <w:lang w:val="en-US" w:eastAsia="zh-CN" w:bidi="ar-SA"/>
              </w:rPr>
              <w:t>号楼</w:t>
            </w:r>
            <w:r>
              <w:rPr>
                <w:rFonts w:hint="eastAsia" w:ascii="Times New Roman" w:hAnsi="Times New Roman" w:eastAsia="宋体" w:cs="宋体"/>
                <w:color w:val="000000"/>
                <w:kern w:val="0"/>
                <w:sz w:val="22"/>
                <w:szCs w:val="22"/>
                <w:highlight w:val="none"/>
                <w:lang w:val="en-US" w:eastAsia="zh-CN" w:bidi="ar-SA"/>
              </w:rPr>
              <w:t>3F</w:t>
            </w:r>
          </w:p>
        </w:tc>
        <w:tc>
          <w:tcPr>
            <w:tcW w:w="691"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中心供应</w:t>
            </w:r>
          </w:p>
        </w:tc>
        <w:tc>
          <w:tcPr>
            <w:tcW w:w="1431"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蒸汽发生器</w:t>
            </w:r>
          </w:p>
        </w:tc>
        <w:tc>
          <w:tcPr>
            <w:tcW w:w="613" w:type="pct"/>
            <w:vMerge w:val="continue"/>
            <w:noWrap w:val="0"/>
            <w:vAlign w:val="center"/>
          </w:tcPr>
          <w:p>
            <w:pPr>
              <w:widowControl/>
              <w:jc w:val="left"/>
              <w:rPr>
                <w:rFonts w:ascii="Times New Roman" w:hAnsi="Times New Roman" w:eastAsia="宋体" w:cs="宋体"/>
                <w:color w:val="000000"/>
                <w:kern w:val="0"/>
                <w:sz w:val="22"/>
                <w:szCs w:val="22"/>
                <w:highlight w:val="none"/>
                <w:lang w:val="en-US" w:eastAsia="zh-CN" w:bidi="ar-SA"/>
              </w:rPr>
            </w:pPr>
          </w:p>
        </w:tc>
        <w:tc>
          <w:tcPr>
            <w:tcW w:w="588"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1</w:t>
            </w:r>
          </w:p>
        </w:tc>
        <w:tc>
          <w:tcPr>
            <w:tcW w:w="595"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2000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0" w:hRule="atLeast"/>
        </w:trPr>
        <w:tc>
          <w:tcPr>
            <w:tcW w:w="349"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16</w:t>
            </w:r>
          </w:p>
        </w:tc>
        <w:tc>
          <w:tcPr>
            <w:tcW w:w="733"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1</w:t>
            </w:r>
            <w:r>
              <w:rPr>
                <w:rFonts w:hint="eastAsia" w:ascii="Times New Roman" w:hAnsi="宋体" w:eastAsia="宋体" w:cs="宋体"/>
                <w:color w:val="000000"/>
                <w:kern w:val="0"/>
                <w:sz w:val="22"/>
                <w:szCs w:val="22"/>
                <w:highlight w:val="none"/>
                <w:lang w:val="en-US" w:eastAsia="zh-CN" w:bidi="ar-SA"/>
              </w:rPr>
              <w:t>号楼</w:t>
            </w:r>
            <w:r>
              <w:rPr>
                <w:rFonts w:hint="eastAsia" w:ascii="Times New Roman" w:hAnsi="Times New Roman" w:eastAsia="宋体" w:cs="宋体"/>
                <w:color w:val="000000"/>
                <w:kern w:val="0"/>
                <w:sz w:val="22"/>
                <w:szCs w:val="22"/>
                <w:highlight w:val="none"/>
                <w:lang w:val="en-US" w:eastAsia="zh-CN" w:bidi="ar-SA"/>
              </w:rPr>
              <w:t>3F</w:t>
            </w:r>
          </w:p>
        </w:tc>
        <w:tc>
          <w:tcPr>
            <w:tcW w:w="691"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中心供应</w:t>
            </w:r>
          </w:p>
        </w:tc>
        <w:tc>
          <w:tcPr>
            <w:tcW w:w="1431"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高温灭菌器</w:t>
            </w:r>
          </w:p>
        </w:tc>
        <w:tc>
          <w:tcPr>
            <w:tcW w:w="613"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软化水</w:t>
            </w:r>
          </w:p>
        </w:tc>
        <w:tc>
          <w:tcPr>
            <w:tcW w:w="588"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11</w:t>
            </w:r>
          </w:p>
        </w:tc>
        <w:tc>
          <w:tcPr>
            <w:tcW w:w="595"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3000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0" w:hRule="atLeast"/>
        </w:trPr>
        <w:tc>
          <w:tcPr>
            <w:tcW w:w="349"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17</w:t>
            </w:r>
          </w:p>
        </w:tc>
        <w:tc>
          <w:tcPr>
            <w:tcW w:w="733"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1</w:t>
            </w:r>
            <w:r>
              <w:rPr>
                <w:rFonts w:hint="eastAsia" w:ascii="Times New Roman" w:hAnsi="宋体" w:eastAsia="宋体" w:cs="宋体"/>
                <w:color w:val="000000"/>
                <w:kern w:val="0"/>
                <w:sz w:val="22"/>
                <w:szCs w:val="22"/>
                <w:highlight w:val="none"/>
                <w:lang w:val="en-US" w:eastAsia="zh-CN" w:bidi="ar-SA"/>
              </w:rPr>
              <w:t>号楼</w:t>
            </w:r>
            <w:r>
              <w:rPr>
                <w:rFonts w:hint="eastAsia" w:ascii="Times New Roman" w:hAnsi="Times New Roman" w:eastAsia="宋体" w:cs="宋体"/>
                <w:color w:val="000000"/>
                <w:kern w:val="0"/>
                <w:sz w:val="22"/>
                <w:szCs w:val="22"/>
                <w:highlight w:val="none"/>
                <w:lang w:val="en-US" w:eastAsia="zh-CN" w:bidi="ar-SA"/>
              </w:rPr>
              <w:t>1F-4F</w:t>
            </w:r>
            <w:r>
              <w:rPr>
                <w:rFonts w:hint="eastAsia" w:ascii="Times New Roman" w:hAnsi="宋体" w:eastAsia="宋体" w:cs="宋体"/>
                <w:color w:val="000000"/>
                <w:kern w:val="0"/>
                <w:sz w:val="22"/>
                <w:szCs w:val="22"/>
                <w:highlight w:val="none"/>
                <w:lang w:val="en-US" w:eastAsia="zh-CN" w:bidi="ar-SA"/>
              </w:rPr>
              <w:t>、</w:t>
            </w:r>
            <w:r>
              <w:rPr>
                <w:rFonts w:hint="eastAsia" w:ascii="Times New Roman" w:hAnsi="Times New Roman" w:eastAsia="宋体" w:cs="宋体"/>
                <w:color w:val="000000"/>
                <w:kern w:val="0"/>
                <w:sz w:val="22"/>
                <w:szCs w:val="22"/>
                <w:highlight w:val="none"/>
                <w:lang w:val="en-US" w:eastAsia="zh-CN" w:bidi="ar-SA"/>
              </w:rPr>
              <w:t>2</w:t>
            </w:r>
            <w:r>
              <w:rPr>
                <w:rFonts w:hint="eastAsia" w:ascii="Times New Roman" w:hAnsi="宋体" w:eastAsia="宋体" w:cs="宋体"/>
                <w:color w:val="000000"/>
                <w:kern w:val="0"/>
                <w:sz w:val="22"/>
                <w:szCs w:val="22"/>
                <w:highlight w:val="none"/>
                <w:lang w:val="en-US" w:eastAsia="zh-CN" w:bidi="ar-SA"/>
              </w:rPr>
              <w:t>号楼</w:t>
            </w:r>
            <w:r>
              <w:rPr>
                <w:rFonts w:hint="eastAsia" w:ascii="Times New Roman" w:hAnsi="Times New Roman" w:eastAsia="宋体" w:cs="宋体"/>
                <w:color w:val="000000"/>
                <w:kern w:val="0"/>
                <w:sz w:val="22"/>
                <w:szCs w:val="22"/>
                <w:highlight w:val="none"/>
                <w:lang w:val="en-US" w:eastAsia="zh-CN" w:bidi="ar-SA"/>
              </w:rPr>
              <w:t>1F-9F</w:t>
            </w:r>
            <w:r>
              <w:rPr>
                <w:rFonts w:hint="eastAsia" w:ascii="Times New Roman" w:hAnsi="宋体" w:eastAsia="宋体" w:cs="宋体"/>
                <w:color w:val="000000"/>
                <w:kern w:val="0"/>
                <w:sz w:val="22"/>
                <w:szCs w:val="22"/>
                <w:highlight w:val="none"/>
                <w:lang w:val="en-US" w:eastAsia="zh-CN" w:bidi="ar-SA"/>
              </w:rPr>
              <w:t>、</w:t>
            </w:r>
            <w:r>
              <w:rPr>
                <w:rFonts w:hint="eastAsia" w:ascii="Times New Roman" w:hAnsi="Times New Roman" w:eastAsia="宋体" w:cs="宋体"/>
                <w:color w:val="000000"/>
                <w:kern w:val="0"/>
                <w:sz w:val="22"/>
                <w:szCs w:val="22"/>
                <w:highlight w:val="none"/>
                <w:lang w:val="en-US" w:eastAsia="zh-CN" w:bidi="ar-SA"/>
              </w:rPr>
              <w:t>3</w:t>
            </w:r>
            <w:r>
              <w:rPr>
                <w:rFonts w:hint="eastAsia" w:ascii="Times New Roman" w:hAnsi="宋体" w:eastAsia="宋体" w:cs="宋体"/>
                <w:color w:val="000000"/>
                <w:kern w:val="0"/>
                <w:sz w:val="22"/>
                <w:szCs w:val="22"/>
                <w:highlight w:val="none"/>
                <w:lang w:val="en-US" w:eastAsia="zh-CN" w:bidi="ar-SA"/>
              </w:rPr>
              <w:t>号楼</w:t>
            </w:r>
            <w:r>
              <w:rPr>
                <w:rFonts w:hint="eastAsia" w:ascii="Times New Roman" w:hAnsi="Times New Roman" w:eastAsia="宋体" w:cs="宋体"/>
                <w:color w:val="000000"/>
                <w:kern w:val="0"/>
                <w:sz w:val="22"/>
                <w:szCs w:val="22"/>
                <w:highlight w:val="none"/>
                <w:lang w:val="en-US" w:eastAsia="zh-CN" w:bidi="ar-SA"/>
              </w:rPr>
              <w:t>1F-17F</w:t>
            </w:r>
            <w:r>
              <w:rPr>
                <w:rFonts w:hint="eastAsia" w:ascii="Times New Roman" w:hAnsi="宋体" w:eastAsia="宋体" w:cs="宋体"/>
                <w:color w:val="000000"/>
                <w:kern w:val="0"/>
                <w:sz w:val="22"/>
                <w:szCs w:val="22"/>
                <w:highlight w:val="none"/>
                <w:lang w:val="en-US" w:eastAsia="zh-CN" w:bidi="ar-SA"/>
              </w:rPr>
              <w:t>、</w:t>
            </w:r>
            <w:r>
              <w:rPr>
                <w:rFonts w:hint="eastAsia" w:ascii="Times New Roman" w:hAnsi="Times New Roman" w:eastAsia="宋体" w:cs="宋体"/>
                <w:color w:val="000000"/>
                <w:kern w:val="0"/>
                <w:sz w:val="22"/>
                <w:szCs w:val="22"/>
                <w:highlight w:val="none"/>
                <w:lang w:val="en-US" w:eastAsia="zh-CN" w:bidi="ar-SA"/>
              </w:rPr>
              <w:t>4</w:t>
            </w:r>
            <w:r>
              <w:rPr>
                <w:rFonts w:hint="eastAsia" w:ascii="Times New Roman" w:hAnsi="宋体" w:eastAsia="宋体" w:cs="宋体"/>
                <w:color w:val="000000"/>
                <w:kern w:val="0"/>
                <w:sz w:val="22"/>
                <w:szCs w:val="22"/>
                <w:highlight w:val="none"/>
                <w:lang w:val="en-US" w:eastAsia="zh-CN" w:bidi="ar-SA"/>
              </w:rPr>
              <w:t>号楼</w:t>
            </w:r>
            <w:r>
              <w:rPr>
                <w:rFonts w:hint="eastAsia" w:ascii="Times New Roman" w:hAnsi="Times New Roman" w:eastAsia="宋体" w:cs="宋体"/>
                <w:color w:val="000000"/>
                <w:kern w:val="0"/>
                <w:sz w:val="22"/>
                <w:szCs w:val="22"/>
                <w:highlight w:val="none"/>
                <w:lang w:val="en-US" w:eastAsia="zh-CN" w:bidi="ar-SA"/>
              </w:rPr>
              <w:t>1F-17F</w:t>
            </w:r>
            <w:r>
              <w:rPr>
                <w:rFonts w:hint="eastAsia" w:ascii="Times New Roman" w:hAnsi="宋体" w:eastAsia="宋体" w:cs="宋体"/>
                <w:color w:val="000000"/>
                <w:kern w:val="0"/>
                <w:sz w:val="22"/>
                <w:szCs w:val="22"/>
                <w:highlight w:val="none"/>
                <w:lang w:val="en-US" w:eastAsia="zh-CN" w:bidi="ar-SA"/>
              </w:rPr>
              <w:t>、</w:t>
            </w:r>
            <w:r>
              <w:rPr>
                <w:rFonts w:hint="eastAsia" w:ascii="Times New Roman" w:hAnsi="Times New Roman" w:eastAsia="宋体" w:cs="宋体"/>
                <w:color w:val="000000"/>
                <w:kern w:val="0"/>
                <w:sz w:val="22"/>
                <w:szCs w:val="22"/>
                <w:highlight w:val="none"/>
                <w:lang w:val="en-US" w:eastAsia="zh-CN" w:bidi="ar-SA"/>
              </w:rPr>
              <w:t>5</w:t>
            </w:r>
            <w:r>
              <w:rPr>
                <w:rFonts w:hint="eastAsia" w:ascii="Times New Roman" w:hAnsi="宋体" w:eastAsia="宋体" w:cs="宋体"/>
                <w:color w:val="000000"/>
                <w:kern w:val="0"/>
                <w:sz w:val="22"/>
                <w:szCs w:val="22"/>
                <w:highlight w:val="none"/>
                <w:lang w:val="en-US" w:eastAsia="zh-CN" w:bidi="ar-SA"/>
              </w:rPr>
              <w:t>号楼</w:t>
            </w:r>
            <w:r>
              <w:rPr>
                <w:rFonts w:hint="eastAsia" w:ascii="Times New Roman" w:hAnsi="Times New Roman" w:eastAsia="宋体" w:cs="宋体"/>
                <w:color w:val="000000"/>
                <w:kern w:val="0"/>
                <w:sz w:val="22"/>
                <w:szCs w:val="22"/>
                <w:highlight w:val="none"/>
                <w:lang w:val="en-US" w:eastAsia="zh-CN" w:bidi="ar-SA"/>
              </w:rPr>
              <w:t>F1-9F</w:t>
            </w:r>
            <w:r>
              <w:rPr>
                <w:rFonts w:hint="eastAsia" w:ascii="Times New Roman" w:hAnsi="宋体" w:eastAsia="宋体" w:cs="宋体"/>
                <w:color w:val="000000"/>
                <w:kern w:val="0"/>
                <w:sz w:val="22"/>
                <w:szCs w:val="22"/>
                <w:highlight w:val="none"/>
                <w:lang w:val="en-US" w:eastAsia="zh-CN" w:bidi="ar-SA"/>
              </w:rPr>
              <w:t>、</w:t>
            </w:r>
            <w:r>
              <w:rPr>
                <w:rFonts w:hint="eastAsia" w:ascii="Times New Roman" w:hAnsi="Times New Roman" w:eastAsia="宋体" w:cs="宋体"/>
                <w:color w:val="000000"/>
                <w:kern w:val="0"/>
                <w:sz w:val="22"/>
                <w:szCs w:val="22"/>
                <w:highlight w:val="none"/>
                <w:lang w:val="en-US" w:eastAsia="zh-CN" w:bidi="ar-SA"/>
              </w:rPr>
              <w:t>6</w:t>
            </w:r>
            <w:r>
              <w:rPr>
                <w:rFonts w:hint="eastAsia" w:ascii="Times New Roman" w:hAnsi="宋体" w:eastAsia="宋体" w:cs="宋体"/>
                <w:color w:val="000000"/>
                <w:kern w:val="0"/>
                <w:sz w:val="22"/>
                <w:szCs w:val="22"/>
                <w:highlight w:val="none"/>
                <w:lang w:val="en-US" w:eastAsia="zh-CN" w:bidi="ar-SA"/>
              </w:rPr>
              <w:t>号楼</w:t>
            </w:r>
            <w:r>
              <w:rPr>
                <w:rFonts w:hint="eastAsia" w:ascii="Times New Roman" w:hAnsi="Times New Roman" w:eastAsia="宋体" w:cs="宋体"/>
                <w:color w:val="000000"/>
                <w:kern w:val="0"/>
                <w:sz w:val="22"/>
                <w:szCs w:val="22"/>
                <w:highlight w:val="none"/>
                <w:lang w:val="en-US" w:eastAsia="zh-CN" w:bidi="ar-SA"/>
              </w:rPr>
              <w:t>1F-4F</w:t>
            </w:r>
            <w:r>
              <w:rPr>
                <w:rFonts w:hint="eastAsia" w:ascii="Times New Roman" w:hAnsi="宋体" w:eastAsia="宋体" w:cs="宋体"/>
                <w:color w:val="000000"/>
                <w:kern w:val="0"/>
                <w:sz w:val="22"/>
                <w:szCs w:val="22"/>
                <w:highlight w:val="none"/>
                <w:lang w:val="en-US" w:eastAsia="zh-CN" w:bidi="ar-SA"/>
              </w:rPr>
              <w:t>、</w:t>
            </w:r>
            <w:r>
              <w:rPr>
                <w:rFonts w:hint="eastAsia" w:ascii="Times New Roman" w:hAnsi="Times New Roman" w:eastAsia="宋体" w:cs="宋体"/>
                <w:color w:val="000000"/>
                <w:kern w:val="0"/>
                <w:sz w:val="22"/>
                <w:szCs w:val="22"/>
                <w:highlight w:val="none"/>
                <w:lang w:val="en-US" w:eastAsia="zh-CN" w:bidi="ar-SA"/>
              </w:rPr>
              <w:t>7</w:t>
            </w:r>
            <w:r>
              <w:rPr>
                <w:rFonts w:hint="eastAsia" w:ascii="Times New Roman" w:hAnsi="宋体" w:eastAsia="宋体" w:cs="宋体"/>
                <w:color w:val="000000"/>
                <w:kern w:val="0"/>
                <w:sz w:val="22"/>
                <w:szCs w:val="22"/>
                <w:highlight w:val="none"/>
                <w:lang w:val="en-US" w:eastAsia="zh-CN" w:bidi="ar-SA"/>
              </w:rPr>
              <w:t>号楼</w:t>
            </w:r>
            <w:r>
              <w:rPr>
                <w:rFonts w:hint="eastAsia" w:ascii="Times New Roman" w:hAnsi="Times New Roman" w:eastAsia="宋体" w:cs="宋体"/>
                <w:color w:val="000000"/>
                <w:kern w:val="0"/>
                <w:sz w:val="22"/>
                <w:szCs w:val="22"/>
                <w:highlight w:val="none"/>
                <w:lang w:val="en-US" w:eastAsia="zh-CN" w:bidi="ar-SA"/>
              </w:rPr>
              <w:t>1F-7F</w:t>
            </w:r>
            <w:r>
              <w:rPr>
                <w:rFonts w:hint="eastAsia" w:ascii="Times New Roman" w:hAnsi="宋体" w:eastAsia="宋体" w:cs="宋体"/>
                <w:color w:val="000000"/>
                <w:kern w:val="0"/>
                <w:sz w:val="22"/>
                <w:szCs w:val="22"/>
                <w:highlight w:val="none"/>
                <w:lang w:val="en-US" w:eastAsia="zh-CN" w:bidi="ar-SA"/>
              </w:rPr>
              <w:t>、</w:t>
            </w:r>
            <w:r>
              <w:rPr>
                <w:rFonts w:hint="eastAsia" w:ascii="Times New Roman" w:hAnsi="Times New Roman" w:eastAsia="宋体" w:cs="宋体"/>
                <w:color w:val="000000"/>
                <w:kern w:val="0"/>
                <w:sz w:val="22"/>
                <w:szCs w:val="22"/>
                <w:highlight w:val="none"/>
                <w:lang w:val="en-US" w:eastAsia="zh-CN" w:bidi="ar-SA"/>
              </w:rPr>
              <w:t>8</w:t>
            </w:r>
            <w:r>
              <w:rPr>
                <w:rFonts w:hint="eastAsia" w:ascii="Times New Roman" w:hAnsi="宋体" w:eastAsia="宋体" w:cs="宋体"/>
                <w:color w:val="000000"/>
                <w:kern w:val="0"/>
                <w:sz w:val="22"/>
                <w:szCs w:val="22"/>
                <w:highlight w:val="none"/>
                <w:lang w:val="en-US" w:eastAsia="zh-CN" w:bidi="ar-SA"/>
              </w:rPr>
              <w:t>号楼</w:t>
            </w:r>
            <w:r>
              <w:rPr>
                <w:rFonts w:hint="eastAsia" w:ascii="Times New Roman" w:hAnsi="Times New Roman" w:eastAsia="宋体" w:cs="宋体"/>
                <w:color w:val="000000"/>
                <w:kern w:val="0"/>
                <w:sz w:val="22"/>
                <w:szCs w:val="22"/>
                <w:highlight w:val="none"/>
                <w:lang w:val="en-US" w:eastAsia="zh-CN" w:bidi="ar-SA"/>
              </w:rPr>
              <w:t>1F-2F</w:t>
            </w:r>
            <w:r>
              <w:rPr>
                <w:rFonts w:hint="eastAsia" w:ascii="Times New Roman" w:hAnsi="宋体" w:eastAsia="宋体" w:cs="宋体"/>
                <w:color w:val="000000"/>
                <w:kern w:val="0"/>
                <w:sz w:val="22"/>
                <w:szCs w:val="22"/>
                <w:highlight w:val="none"/>
                <w:lang w:val="en-US" w:eastAsia="zh-CN" w:bidi="ar-SA"/>
              </w:rPr>
              <w:t>、</w:t>
            </w:r>
            <w:r>
              <w:rPr>
                <w:rFonts w:hint="eastAsia" w:ascii="Times New Roman" w:hAnsi="Times New Roman" w:eastAsia="宋体" w:cs="宋体"/>
                <w:color w:val="000000"/>
                <w:kern w:val="0"/>
                <w:sz w:val="22"/>
                <w:szCs w:val="22"/>
                <w:highlight w:val="none"/>
                <w:lang w:val="en-US" w:eastAsia="zh-CN" w:bidi="ar-SA"/>
              </w:rPr>
              <w:t>9</w:t>
            </w:r>
            <w:r>
              <w:rPr>
                <w:rFonts w:hint="eastAsia" w:ascii="Times New Roman" w:hAnsi="宋体" w:eastAsia="宋体" w:cs="宋体"/>
                <w:color w:val="000000"/>
                <w:kern w:val="0"/>
                <w:sz w:val="22"/>
                <w:szCs w:val="22"/>
                <w:highlight w:val="none"/>
                <w:lang w:val="en-US" w:eastAsia="zh-CN" w:bidi="ar-SA"/>
              </w:rPr>
              <w:t>号楼</w:t>
            </w:r>
            <w:r>
              <w:rPr>
                <w:rFonts w:hint="eastAsia" w:ascii="Times New Roman" w:hAnsi="Times New Roman" w:eastAsia="宋体" w:cs="宋体"/>
                <w:color w:val="000000"/>
                <w:kern w:val="0"/>
                <w:sz w:val="22"/>
                <w:szCs w:val="22"/>
                <w:highlight w:val="none"/>
                <w:lang w:val="en-US" w:eastAsia="zh-CN" w:bidi="ar-SA"/>
              </w:rPr>
              <w:t>1F-9F</w:t>
            </w:r>
          </w:p>
        </w:tc>
        <w:tc>
          <w:tcPr>
            <w:tcW w:w="691"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　</w:t>
            </w:r>
          </w:p>
        </w:tc>
        <w:tc>
          <w:tcPr>
            <w:tcW w:w="1431"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候诊区、走廊、办公、茶水间、会议室等（壁挂式</w:t>
            </w:r>
            <w:r>
              <w:rPr>
                <w:rFonts w:hint="eastAsia" w:ascii="Times New Roman" w:hAnsi="Times New Roman" w:eastAsia="宋体" w:cs="宋体"/>
                <w:color w:val="000000"/>
                <w:kern w:val="0"/>
                <w:sz w:val="22"/>
                <w:szCs w:val="22"/>
                <w:highlight w:val="none"/>
                <w:lang w:val="en-US" w:eastAsia="zh-CN" w:bidi="ar-SA"/>
              </w:rPr>
              <w:t>23</w:t>
            </w:r>
            <w:r>
              <w:rPr>
                <w:rFonts w:hint="eastAsia" w:ascii="Times New Roman" w:hAnsi="宋体" w:eastAsia="宋体" w:cs="宋体"/>
                <w:color w:val="000000"/>
                <w:kern w:val="0"/>
                <w:sz w:val="22"/>
                <w:szCs w:val="22"/>
                <w:highlight w:val="none"/>
                <w:lang w:val="en-US" w:eastAsia="zh-CN" w:bidi="ar-SA"/>
              </w:rPr>
              <w:t>，落地式</w:t>
            </w:r>
            <w:r>
              <w:rPr>
                <w:rFonts w:hint="eastAsia" w:ascii="Times New Roman" w:hAnsi="Times New Roman" w:eastAsia="宋体" w:cs="宋体"/>
                <w:color w:val="000000"/>
                <w:kern w:val="0"/>
                <w:sz w:val="22"/>
                <w:szCs w:val="22"/>
                <w:highlight w:val="none"/>
                <w:lang w:val="en-US" w:eastAsia="zh-CN" w:bidi="ar-SA"/>
              </w:rPr>
              <w:t>46</w:t>
            </w:r>
            <w:r>
              <w:rPr>
                <w:rFonts w:hint="eastAsia" w:ascii="Times New Roman" w:hAnsi="宋体" w:eastAsia="宋体" w:cs="宋体"/>
                <w:color w:val="000000"/>
                <w:kern w:val="0"/>
                <w:sz w:val="22"/>
                <w:szCs w:val="22"/>
                <w:highlight w:val="none"/>
                <w:lang w:val="en-US" w:eastAsia="zh-CN" w:bidi="ar-SA"/>
              </w:rPr>
              <w:t>，开水炉</w:t>
            </w:r>
            <w:r>
              <w:rPr>
                <w:rFonts w:hint="eastAsia" w:ascii="Times New Roman" w:hAnsi="Times New Roman" w:eastAsia="宋体" w:cs="宋体"/>
                <w:color w:val="000000"/>
                <w:kern w:val="0"/>
                <w:sz w:val="22"/>
                <w:szCs w:val="22"/>
                <w:highlight w:val="none"/>
                <w:lang w:val="en-US" w:eastAsia="zh-CN" w:bidi="ar-SA"/>
              </w:rPr>
              <w:t>46</w:t>
            </w:r>
            <w:r>
              <w:rPr>
                <w:rFonts w:hint="eastAsia" w:ascii="Times New Roman" w:hAnsi="宋体" w:eastAsia="宋体" w:cs="宋体"/>
                <w:color w:val="000000"/>
                <w:kern w:val="0"/>
                <w:sz w:val="22"/>
                <w:szCs w:val="22"/>
                <w:highlight w:val="none"/>
                <w:lang w:val="en-US" w:eastAsia="zh-CN" w:bidi="ar-SA"/>
              </w:rPr>
              <w:t>，口腔科牙椅</w:t>
            </w:r>
            <w:r>
              <w:rPr>
                <w:rFonts w:hint="eastAsia" w:ascii="Times New Roman" w:hAnsi="Times New Roman" w:eastAsia="宋体" w:cs="宋体"/>
                <w:color w:val="000000"/>
                <w:kern w:val="0"/>
                <w:sz w:val="22"/>
                <w:szCs w:val="22"/>
                <w:highlight w:val="none"/>
                <w:lang w:val="en-US" w:eastAsia="zh-CN" w:bidi="ar-SA"/>
              </w:rPr>
              <w:t>35</w:t>
            </w:r>
            <w:r>
              <w:rPr>
                <w:rFonts w:hint="eastAsia" w:ascii="Times New Roman" w:hAnsi="宋体" w:eastAsia="宋体" w:cs="宋体"/>
                <w:color w:val="000000"/>
                <w:kern w:val="0"/>
                <w:sz w:val="22"/>
                <w:szCs w:val="22"/>
                <w:highlight w:val="none"/>
                <w:lang w:val="en-US" w:eastAsia="zh-CN" w:bidi="ar-SA"/>
              </w:rPr>
              <w:t>）</w:t>
            </w:r>
          </w:p>
        </w:tc>
        <w:tc>
          <w:tcPr>
            <w:tcW w:w="613"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饮用纯水</w:t>
            </w:r>
          </w:p>
        </w:tc>
        <w:tc>
          <w:tcPr>
            <w:tcW w:w="588"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150</w:t>
            </w:r>
          </w:p>
        </w:tc>
        <w:tc>
          <w:tcPr>
            <w:tcW w:w="595"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4000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5" w:hRule="atLeast"/>
        </w:trPr>
        <w:tc>
          <w:tcPr>
            <w:tcW w:w="349"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18</w:t>
            </w:r>
          </w:p>
        </w:tc>
        <w:tc>
          <w:tcPr>
            <w:tcW w:w="733" w:type="pct"/>
            <w:vMerge w:val="restar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1</w:t>
            </w:r>
            <w:r>
              <w:rPr>
                <w:rFonts w:hint="eastAsia" w:ascii="Times New Roman" w:hAnsi="宋体" w:eastAsia="宋体" w:cs="宋体"/>
                <w:color w:val="000000"/>
                <w:kern w:val="0"/>
                <w:sz w:val="22"/>
                <w:szCs w:val="22"/>
                <w:highlight w:val="none"/>
                <w:lang w:val="en-US" w:eastAsia="zh-CN" w:bidi="ar-SA"/>
              </w:rPr>
              <w:t>号楼</w:t>
            </w:r>
            <w:r>
              <w:rPr>
                <w:rFonts w:hint="eastAsia" w:ascii="Times New Roman" w:hAnsi="Times New Roman" w:eastAsia="宋体" w:cs="宋体"/>
                <w:color w:val="000000"/>
                <w:kern w:val="0"/>
                <w:sz w:val="22"/>
                <w:szCs w:val="22"/>
                <w:highlight w:val="none"/>
                <w:lang w:val="en-US" w:eastAsia="zh-CN" w:bidi="ar-SA"/>
              </w:rPr>
              <w:t>1F</w:t>
            </w:r>
          </w:p>
        </w:tc>
        <w:tc>
          <w:tcPr>
            <w:tcW w:w="691"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DSA</w:t>
            </w:r>
          </w:p>
        </w:tc>
        <w:tc>
          <w:tcPr>
            <w:tcW w:w="1431"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刷手池</w:t>
            </w:r>
          </w:p>
        </w:tc>
        <w:tc>
          <w:tcPr>
            <w:tcW w:w="613" w:type="pct"/>
            <w:vMerge w:val="restar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冲洗用水</w:t>
            </w:r>
          </w:p>
        </w:tc>
        <w:tc>
          <w:tcPr>
            <w:tcW w:w="588"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6</w:t>
            </w:r>
          </w:p>
        </w:tc>
        <w:tc>
          <w:tcPr>
            <w:tcW w:w="595"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600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5" w:hRule="atLeast"/>
        </w:trPr>
        <w:tc>
          <w:tcPr>
            <w:tcW w:w="349"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19</w:t>
            </w:r>
          </w:p>
        </w:tc>
        <w:tc>
          <w:tcPr>
            <w:tcW w:w="733" w:type="pct"/>
            <w:vMerge w:val="continue"/>
            <w:noWrap w:val="0"/>
            <w:vAlign w:val="center"/>
          </w:tcPr>
          <w:p>
            <w:pPr>
              <w:widowControl/>
              <w:jc w:val="left"/>
              <w:rPr>
                <w:rFonts w:ascii="Times New Roman" w:hAnsi="Times New Roman" w:eastAsia="宋体" w:cs="宋体"/>
                <w:color w:val="000000"/>
                <w:kern w:val="0"/>
                <w:sz w:val="22"/>
                <w:szCs w:val="22"/>
                <w:highlight w:val="none"/>
                <w:lang w:val="en-US" w:eastAsia="zh-CN" w:bidi="ar-SA"/>
              </w:rPr>
            </w:pPr>
          </w:p>
        </w:tc>
        <w:tc>
          <w:tcPr>
            <w:tcW w:w="691"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急诊手术室</w:t>
            </w:r>
          </w:p>
        </w:tc>
        <w:tc>
          <w:tcPr>
            <w:tcW w:w="1431"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刷手池</w:t>
            </w:r>
          </w:p>
        </w:tc>
        <w:tc>
          <w:tcPr>
            <w:tcW w:w="613" w:type="pct"/>
            <w:vMerge w:val="continue"/>
            <w:noWrap w:val="0"/>
            <w:vAlign w:val="center"/>
          </w:tcPr>
          <w:p>
            <w:pPr>
              <w:widowControl/>
              <w:jc w:val="left"/>
              <w:rPr>
                <w:rFonts w:ascii="Times New Roman" w:hAnsi="Times New Roman" w:eastAsia="宋体" w:cs="宋体"/>
                <w:color w:val="000000"/>
                <w:kern w:val="0"/>
                <w:sz w:val="22"/>
                <w:szCs w:val="22"/>
                <w:highlight w:val="none"/>
                <w:lang w:val="en-US" w:eastAsia="zh-CN" w:bidi="ar-SA"/>
              </w:rPr>
            </w:pPr>
          </w:p>
        </w:tc>
        <w:tc>
          <w:tcPr>
            <w:tcW w:w="588"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3</w:t>
            </w:r>
          </w:p>
        </w:tc>
        <w:tc>
          <w:tcPr>
            <w:tcW w:w="595"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5" w:hRule="atLeast"/>
        </w:trPr>
        <w:tc>
          <w:tcPr>
            <w:tcW w:w="349"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20</w:t>
            </w:r>
          </w:p>
        </w:tc>
        <w:tc>
          <w:tcPr>
            <w:tcW w:w="733"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1</w:t>
            </w:r>
            <w:r>
              <w:rPr>
                <w:rFonts w:hint="eastAsia" w:ascii="Times New Roman" w:hAnsi="宋体" w:eastAsia="宋体" w:cs="宋体"/>
                <w:color w:val="000000"/>
                <w:kern w:val="0"/>
                <w:sz w:val="22"/>
                <w:szCs w:val="22"/>
                <w:highlight w:val="none"/>
                <w:lang w:val="en-US" w:eastAsia="zh-CN" w:bidi="ar-SA"/>
              </w:rPr>
              <w:t>号楼</w:t>
            </w:r>
            <w:r>
              <w:rPr>
                <w:rFonts w:hint="eastAsia" w:ascii="Times New Roman" w:hAnsi="Times New Roman" w:eastAsia="宋体" w:cs="宋体"/>
                <w:color w:val="000000"/>
                <w:kern w:val="0"/>
                <w:sz w:val="22"/>
                <w:szCs w:val="22"/>
                <w:highlight w:val="none"/>
                <w:lang w:val="en-US" w:eastAsia="zh-CN" w:bidi="ar-SA"/>
              </w:rPr>
              <w:t>3F</w:t>
            </w:r>
          </w:p>
        </w:tc>
        <w:tc>
          <w:tcPr>
            <w:tcW w:w="691"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内镜中心</w:t>
            </w:r>
          </w:p>
        </w:tc>
        <w:tc>
          <w:tcPr>
            <w:tcW w:w="1431"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刷手</w:t>
            </w:r>
          </w:p>
        </w:tc>
        <w:tc>
          <w:tcPr>
            <w:tcW w:w="613" w:type="pct"/>
            <w:vMerge w:val="continue"/>
            <w:noWrap w:val="0"/>
            <w:vAlign w:val="center"/>
          </w:tcPr>
          <w:p>
            <w:pPr>
              <w:widowControl/>
              <w:jc w:val="left"/>
              <w:rPr>
                <w:rFonts w:ascii="Times New Roman" w:hAnsi="Times New Roman" w:eastAsia="宋体" w:cs="宋体"/>
                <w:color w:val="000000"/>
                <w:kern w:val="0"/>
                <w:sz w:val="22"/>
                <w:szCs w:val="22"/>
                <w:highlight w:val="none"/>
                <w:lang w:val="en-US" w:eastAsia="zh-CN" w:bidi="ar-SA"/>
              </w:rPr>
            </w:pPr>
          </w:p>
        </w:tc>
        <w:tc>
          <w:tcPr>
            <w:tcW w:w="588"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3</w:t>
            </w:r>
          </w:p>
        </w:tc>
        <w:tc>
          <w:tcPr>
            <w:tcW w:w="595"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5" w:hRule="atLeast"/>
        </w:trPr>
        <w:tc>
          <w:tcPr>
            <w:tcW w:w="349"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21</w:t>
            </w:r>
          </w:p>
        </w:tc>
        <w:tc>
          <w:tcPr>
            <w:tcW w:w="733" w:type="pct"/>
            <w:vMerge w:val="restar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1</w:t>
            </w:r>
            <w:r>
              <w:rPr>
                <w:rFonts w:hint="eastAsia" w:ascii="Times New Roman" w:hAnsi="宋体" w:eastAsia="宋体" w:cs="宋体"/>
                <w:color w:val="000000"/>
                <w:kern w:val="0"/>
                <w:sz w:val="22"/>
                <w:szCs w:val="22"/>
                <w:highlight w:val="none"/>
                <w:lang w:val="en-US" w:eastAsia="zh-CN" w:bidi="ar-SA"/>
              </w:rPr>
              <w:t>号楼</w:t>
            </w:r>
            <w:r>
              <w:rPr>
                <w:rFonts w:hint="eastAsia" w:ascii="Times New Roman" w:hAnsi="Times New Roman" w:eastAsia="宋体" w:cs="宋体"/>
                <w:color w:val="000000"/>
                <w:kern w:val="0"/>
                <w:sz w:val="22"/>
                <w:szCs w:val="22"/>
                <w:highlight w:val="none"/>
                <w:lang w:val="en-US" w:eastAsia="zh-CN" w:bidi="ar-SA"/>
              </w:rPr>
              <w:t>4F</w:t>
            </w:r>
          </w:p>
        </w:tc>
        <w:tc>
          <w:tcPr>
            <w:tcW w:w="691"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眼科门诊</w:t>
            </w:r>
          </w:p>
        </w:tc>
        <w:tc>
          <w:tcPr>
            <w:tcW w:w="1431"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刷手池</w:t>
            </w:r>
          </w:p>
        </w:tc>
        <w:tc>
          <w:tcPr>
            <w:tcW w:w="613" w:type="pct"/>
            <w:vMerge w:val="continue"/>
            <w:noWrap w:val="0"/>
            <w:vAlign w:val="center"/>
          </w:tcPr>
          <w:p>
            <w:pPr>
              <w:widowControl/>
              <w:jc w:val="left"/>
              <w:rPr>
                <w:rFonts w:ascii="Times New Roman" w:hAnsi="Times New Roman" w:eastAsia="宋体" w:cs="宋体"/>
                <w:color w:val="000000"/>
                <w:kern w:val="0"/>
                <w:sz w:val="22"/>
                <w:szCs w:val="22"/>
                <w:highlight w:val="none"/>
                <w:lang w:val="en-US" w:eastAsia="zh-CN" w:bidi="ar-SA"/>
              </w:rPr>
            </w:pPr>
          </w:p>
        </w:tc>
        <w:tc>
          <w:tcPr>
            <w:tcW w:w="588"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3</w:t>
            </w:r>
          </w:p>
        </w:tc>
        <w:tc>
          <w:tcPr>
            <w:tcW w:w="595"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5" w:hRule="atLeast"/>
        </w:trPr>
        <w:tc>
          <w:tcPr>
            <w:tcW w:w="349"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22</w:t>
            </w:r>
          </w:p>
        </w:tc>
        <w:tc>
          <w:tcPr>
            <w:tcW w:w="733" w:type="pct"/>
            <w:vMerge w:val="continue"/>
            <w:noWrap w:val="0"/>
            <w:vAlign w:val="center"/>
          </w:tcPr>
          <w:p>
            <w:pPr>
              <w:widowControl/>
              <w:jc w:val="left"/>
              <w:rPr>
                <w:rFonts w:ascii="Times New Roman" w:hAnsi="Times New Roman" w:eastAsia="宋体" w:cs="宋体"/>
                <w:color w:val="000000"/>
                <w:kern w:val="0"/>
                <w:sz w:val="22"/>
                <w:szCs w:val="22"/>
                <w:highlight w:val="none"/>
                <w:lang w:val="en-US" w:eastAsia="zh-CN" w:bidi="ar-SA"/>
              </w:rPr>
            </w:pPr>
          </w:p>
        </w:tc>
        <w:tc>
          <w:tcPr>
            <w:tcW w:w="691"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肿瘤门诊</w:t>
            </w:r>
          </w:p>
        </w:tc>
        <w:tc>
          <w:tcPr>
            <w:tcW w:w="1431"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刷手池</w:t>
            </w:r>
          </w:p>
        </w:tc>
        <w:tc>
          <w:tcPr>
            <w:tcW w:w="613" w:type="pct"/>
            <w:vMerge w:val="continue"/>
            <w:noWrap w:val="0"/>
            <w:vAlign w:val="center"/>
          </w:tcPr>
          <w:p>
            <w:pPr>
              <w:widowControl/>
              <w:jc w:val="left"/>
              <w:rPr>
                <w:rFonts w:ascii="Times New Roman" w:hAnsi="Times New Roman" w:eastAsia="宋体" w:cs="宋体"/>
                <w:color w:val="000000"/>
                <w:kern w:val="0"/>
                <w:sz w:val="22"/>
                <w:szCs w:val="22"/>
                <w:highlight w:val="none"/>
                <w:lang w:val="en-US" w:eastAsia="zh-CN" w:bidi="ar-SA"/>
              </w:rPr>
            </w:pPr>
          </w:p>
        </w:tc>
        <w:tc>
          <w:tcPr>
            <w:tcW w:w="588"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3</w:t>
            </w:r>
          </w:p>
        </w:tc>
        <w:tc>
          <w:tcPr>
            <w:tcW w:w="595"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5" w:hRule="atLeast"/>
        </w:trPr>
        <w:tc>
          <w:tcPr>
            <w:tcW w:w="349"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23</w:t>
            </w:r>
          </w:p>
        </w:tc>
        <w:tc>
          <w:tcPr>
            <w:tcW w:w="733" w:type="pct"/>
            <w:vMerge w:val="continue"/>
            <w:noWrap w:val="0"/>
            <w:vAlign w:val="center"/>
          </w:tcPr>
          <w:p>
            <w:pPr>
              <w:widowControl/>
              <w:jc w:val="left"/>
              <w:rPr>
                <w:rFonts w:ascii="Times New Roman" w:hAnsi="Times New Roman" w:eastAsia="宋体" w:cs="宋体"/>
                <w:color w:val="000000"/>
                <w:kern w:val="0"/>
                <w:sz w:val="22"/>
                <w:szCs w:val="22"/>
                <w:highlight w:val="none"/>
                <w:lang w:val="en-US" w:eastAsia="zh-CN" w:bidi="ar-SA"/>
              </w:rPr>
            </w:pPr>
          </w:p>
        </w:tc>
        <w:tc>
          <w:tcPr>
            <w:tcW w:w="691"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口腔科</w:t>
            </w:r>
          </w:p>
        </w:tc>
        <w:tc>
          <w:tcPr>
            <w:tcW w:w="1431"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刷手池</w:t>
            </w:r>
          </w:p>
        </w:tc>
        <w:tc>
          <w:tcPr>
            <w:tcW w:w="613" w:type="pct"/>
            <w:vMerge w:val="continue"/>
            <w:noWrap w:val="0"/>
            <w:vAlign w:val="center"/>
          </w:tcPr>
          <w:p>
            <w:pPr>
              <w:widowControl/>
              <w:jc w:val="left"/>
              <w:rPr>
                <w:rFonts w:ascii="Times New Roman" w:hAnsi="Times New Roman" w:eastAsia="宋体" w:cs="宋体"/>
                <w:color w:val="000000"/>
                <w:kern w:val="0"/>
                <w:sz w:val="22"/>
                <w:szCs w:val="22"/>
                <w:highlight w:val="none"/>
                <w:lang w:val="en-US" w:eastAsia="zh-CN" w:bidi="ar-SA"/>
              </w:rPr>
            </w:pPr>
          </w:p>
        </w:tc>
        <w:tc>
          <w:tcPr>
            <w:tcW w:w="588"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3</w:t>
            </w:r>
          </w:p>
        </w:tc>
        <w:tc>
          <w:tcPr>
            <w:tcW w:w="595"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5" w:hRule="atLeast"/>
        </w:trPr>
        <w:tc>
          <w:tcPr>
            <w:tcW w:w="349"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24</w:t>
            </w:r>
          </w:p>
        </w:tc>
        <w:tc>
          <w:tcPr>
            <w:tcW w:w="733" w:type="pct"/>
            <w:vMerge w:val="continue"/>
            <w:noWrap w:val="0"/>
            <w:vAlign w:val="center"/>
          </w:tcPr>
          <w:p>
            <w:pPr>
              <w:widowControl/>
              <w:jc w:val="left"/>
              <w:rPr>
                <w:rFonts w:ascii="Times New Roman" w:hAnsi="Times New Roman" w:eastAsia="宋体" w:cs="宋体"/>
                <w:color w:val="000000"/>
                <w:kern w:val="0"/>
                <w:sz w:val="22"/>
                <w:szCs w:val="22"/>
                <w:highlight w:val="none"/>
                <w:lang w:val="en-US" w:eastAsia="zh-CN" w:bidi="ar-SA"/>
              </w:rPr>
            </w:pPr>
          </w:p>
        </w:tc>
        <w:tc>
          <w:tcPr>
            <w:tcW w:w="691"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手术中心</w:t>
            </w:r>
          </w:p>
        </w:tc>
        <w:tc>
          <w:tcPr>
            <w:tcW w:w="1431"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刷手池</w:t>
            </w:r>
          </w:p>
        </w:tc>
        <w:tc>
          <w:tcPr>
            <w:tcW w:w="613" w:type="pct"/>
            <w:vMerge w:val="continue"/>
            <w:noWrap w:val="0"/>
            <w:vAlign w:val="center"/>
          </w:tcPr>
          <w:p>
            <w:pPr>
              <w:widowControl/>
              <w:jc w:val="left"/>
              <w:rPr>
                <w:rFonts w:ascii="Times New Roman" w:hAnsi="Times New Roman" w:eastAsia="宋体" w:cs="宋体"/>
                <w:color w:val="000000"/>
                <w:kern w:val="0"/>
                <w:sz w:val="22"/>
                <w:szCs w:val="22"/>
                <w:highlight w:val="none"/>
                <w:lang w:val="en-US" w:eastAsia="zh-CN" w:bidi="ar-SA"/>
              </w:rPr>
            </w:pPr>
          </w:p>
        </w:tc>
        <w:tc>
          <w:tcPr>
            <w:tcW w:w="588"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62</w:t>
            </w:r>
          </w:p>
        </w:tc>
        <w:tc>
          <w:tcPr>
            <w:tcW w:w="595"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6600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5" w:hRule="atLeast"/>
        </w:trPr>
        <w:tc>
          <w:tcPr>
            <w:tcW w:w="349"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25</w:t>
            </w:r>
          </w:p>
        </w:tc>
        <w:tc>
          <w:tcPr>
            <w:tcW w:w="733"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2</w:t>
            </w:r>
            <w:r>
              <w:rPr>
                <w:rFonts w:hint="eastAsia" w:ascii="Times New Roman" w:hAnsi="宋体" w:eastAsia="宋体" w:cs="宋体"/>
                <w:color w:val="000000"/>
                <w:kern w:val="0"/>
                <w:sz w:val="22"/>
                <w:szCs w:val="22"/>
                <w:highlight w:val="none"/>
                <w:lang w:val="en-US" w:eastAsia="zh-CN" w:bidi="ar-SA"/>
              </w:rPr>
              <w:t>号楼</w:t>
            </w:r>
            <w:r>
              <w:rPr>
                <w:rFonts w:hint="eastAsia" w:ascii="Times New Roman" w:hAnsi="Times New Roman" w:eastAsia="宋体" w:cs="宋体"/>
                <w:color w:val="000000"/>
                <w:kern w:val="0"/>
                <w:sz w:val="22"/>
                <w:szCs w:val="22"/>
                <w:highlight w:val="none"/>
                <w:lang w:val="en-US" w:eastAsia="zh-CN" w:bidi="ar-SA"/>
              </w:rPr>
              <w:t>4F</w:t>
            </w:r>
          </w:p>
        </w:tc>
        <w:tc>
          <w:tcPr>
            <w:tcW w:w="691"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产房</w:t>
            </w:r>
          </w:p>
        </w:tc>
        <w:tc>
          <w:tcPr>
            <w:tcW w:w="1431"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刷手池</w:t>
            </w:r>
          </w:p>
        </w:tc>
        <w:tc>
          <w:tcPr>
            <w:tcW w:w="613" w:type="pct"/>
            <w:vMerge w:val="continue"/>
            <w:noWrap w:val="0"/>
            <w:vAlign w:val="center"/>
          </w:tcPr>
          <w:p>
            <w:pPr>
              <w:widowControl/>
              <w:jc w:val="left"/>
              <w:rPr>
                <w:rFonts w:ascii="Times New Roman" w:hAnsi="Times New Roman" w:eastAsia="宋体" w:cs="宋体"/>
                <w:color w:val="000000"/>
                <w:kern w:val="0"/>
                <w:sz w:val="22"/>
                <w:szCs w:val="22"/>
                <w:highlight w:val="none"/>
                <w:lang w:val="en-US" w:eastAsia="zh-CN" w:bidi="ar-SA"/>
              </w:rPr>
            </w:pPr>
          </w:p>
        </w:tc>
        <w:tc>
          <w:tcPr>
            <w:tcW w:w="588"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3</w:t>
            </w:r>
          </w:p>
        </w:tc>
        <w:tc>
          <w:tcPr>
            <w:tcW w:w="595"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5" w:hRule="atLeast"/>
        </w:trPr>
        <w:tc>
          <w:tcPr>
            <w:tcW w:w="349"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26</w:t>
            </w:r>
          </w:p>
        </w:tc>
        <w:tc>
          <w:tcPr>
            <w:tcW w:w="733"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2</w:t>
            </w:r>
            <w:r>
              <w:rPr>
                <w:rFonts w:hint="eastAsia" w:ascii="Times New Roman" w:hAnsi="宋体" w:eastAsia="宋体" w:cs="宋体"/>
                <w:color w:val="000000"/>
                <w:kern w:val="0"/>
                <w:sz w:val="22"/>
                <w:szCs w:val="22"/>
                <w:highlight w:val="none"/>
                <w:lang w:val="en-US" w:eastAsia="zh-CN" w:bidi="ar-SA"/>
              </w:rPr>
              <w:t>号楼</w:t>
            </w:r>
            <w:r>
              <w:rPr>
                <w:rFonts w:hint="eastAsia" w:ascii="Times New Roman" w:hAnsi="Times New Roman" w:eastAsia="宋体" w:cs="宋体"/>
                <w:color w:val="000000"/>
                <w:kern w:val="0"/>
                <w:sz w:val="22"/>
                <w:szCs w:val="22"/>
                <w:highlight w:val="none"/>
                <w:lang w:val="en-US" w:eastAsia="zh-CN" w:bidi="ar-SA"/>
              </w:rPr>
              <w:t>5F</w:t>
            </w:r>
          </w:p>
        </w:tc>
        <w:tc>
          <w:tcPr>
            <w:tcW w:w="691"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NICU</w:t>
            </w:r>
          </w:p>
        </w:tc>
        <w:tc>
          <w:tcPr>
            <w:tcW w:w="1431"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洗婴</w:t>
            </w:r>
          </w:p>
        </w:tc>
        <w:tc>
          <w:tcPr>
            <w:tcW w:w="613" w:type="pct"/>
            <w:vMerge w:val="continue"/>
            <w:noWrap w:val="0"/>
            <w:vAlign w:val="center"/>
          </w:tcPr>
          <w:p>
            <w:pPr>
              <w:widowControl/>
              <w:jc w:val="left"/>
              <w:rPr>
                <w:rFonts w:ascii="Times New Roman" w:hAnsi="Times New Roman" w:eastAsia="宋体" w:cs="宋体"/>
                <w:color w:val="000000"/>
                <w:kern w:val="0"/>
                <w:sz w:val="22"/>
                <w:szCs w:val="22"/>
                <w:highlight w:val="none"/>
                <w:lang w:val="en-US" w:eastAsia="zh-CN" w:bidi="ar-SA"/>
              </w:rPr>
            </w:pPr>
          </w:p>
        </w:tc>
        <w:tc>
          <w:tcPr>
            <w:tcW w:w="588"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2</w:t>
            </w:r>
          </w:p>
        </w:tc>
        <w:tc>
          <w:tcPr>
            <w:tcW w:w="595"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600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5" w:hRule="atLeast"/>
        </w:trPr>
        <w:tc>
          <w:tcPr>
            <w:tcW w:w="3817" w:type="pct"/>
            <w:gridSpan w:val="5"/>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合计</w:t>
            </w:r>
          </w:p>
        </w:tc>
        <w:tc>
          <w:tcPr>
            <w:tcW w:w="588"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506</w:t>
            </w:r>
          </w:p>
        </w:tc>
        <w:tc>
          <w:tcPr>
            <w:tcW w:w="595"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39800</w:t>
            </w:r>
          </w:p>
        </w:tc>
      </w:tr>
    </w:tbl>
    <w:p>
      <w:pPr>
        <w:rPr>
          <w:rFonts w:ascii="Times New Roman" w:hAnsi="Times New Roman" w:eastAsia="宋体" w:cs="Times New Roman"/>
          <w:kern w:val="2"/>
          <w:sz w:val="21"/>
          <w:szCs w:val="22"/>
          <w:highlight w:val="none"/>
          <w:lang w:val="en-US" w:eastAsia="zh-CN" w:bidi="ar-SA"/>
        </w:rPr>
      </w:pPr>
    </w:p>
    <w:p>
      <w:pPr>
        <w:keepNext/>
        <w:keepLines/>
        <w:widowControl w:val="0"/>
        <w:numPr>
          <w:ilvl w:val="0"/>
          <w:numId w:val="40"/>
        </w:numPr>
        <w:spacing w:line="480" w:lineRule="auto"/>
        <w:jc w:val="both"/>
        <w:outlineLvl w:val="2"/>
        <w:rPr>
          <w:rFonts w:ascii="Times New Roman" w:hAnsi="Times New Roman" w:eastAsia="宋体" w:cs="Times New Roman"/>
          <w:b/>
          <w:bCs/>
          <w:kern w:val="2"/>
          <w:sz w:val="21"/>
          <w:szCs w:val="32"/>
          <w:highlight w:val="none"/>
          <w:lang w:val="en-US" w:eastAsia="zh-CN" w:bidi="ar-SA"/>
        </w:rPr>
      </w:pPr>
      <w:r>
        <w:rPr>
          <w:rFonts w:hint="eastAsia" w:ascii="Times New Roman" w:hAnsi="宋体" w:eastAsia="宋体" w:cs="Times New Roman"/>
          <w:b/>
          <w:bCs/>
          <w:kern w:val="2"/>
          <w:sz w:val="21"/>
          <w:szCs w:val="32"/>
          <w:highlight w:val="none"/>
          <w:lang w:val="en-US" w:eastAsia="zh-CN" w:bidi="ar-SA"/>
        </w:rPr>
        <w:t>采用分质供水方式，水量及水质汇总统计如下：</w:t>
      </w:r>
    </w:p>
    <w:tbl>
      <w:tblPr>
        <w:tblStyle w:val="3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9"/>
        <w:gridCol w:w="1152"/>
        <w:gridCol w:w="992"/>
        <w:gridCol w:w="1251"/>
        <w:gridCol w:w="3000"/>
        <w:gridCol w:w="26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340" w:type="pct"/>
            <w:shd w:val="clear" w:color="000000" w:fill="92D050"/>
            <w:noWrap w:val="0"/>
            <w:vAlign w:val="center"/>
          </w:tcPr>
          <w:p>
            <w:pPr>
              <w:widowControl/>
              <w:jc w:val="center"/>
              <w:rPr>
                <w:rFonts w:ascii="Times New Roman" w:hAnsi="Times New Roman" w:eastAsia="宋体" w:cs="宋体"/>
                <w:kern w:val="0"/>
                <w:sz w:val="22"/>
                <w:szCs w:val="22"/>
                <w:highlight w:val="none"/>
                <w:lang w:val="en-US" w:eastAsia="zh-CN" w:bidi="ar-SA"/>
              </w:rPr>
            </w:pPr>
            <w:r>
              <w:rPr>
                <w:rFonts w:hint="eastAsia" w:ascii="Times New Roman" w:hAnsi="宋体" w:eastAsia="宋体" w:cs="宋体"/>
                <w:kern w:val="0"/>
                <w:sz w:val="22"/>
                <w:szCs w:val="22"/>
                <w:highlight w:val="none"/>
                <w:lang w:val="en-US" w:eastAsia="zh-CN" w:bidi="ar-SA"/>
              </w:rPr>
              <w:t>序号</w:t>
            </w:r>
          </w:p>
        </w:tc>
        <w:tc>
          <w:tcPr>
            <w:tcW w:w="595" w:type="pct"/>
            <w:shd w:val="clear" w:color="000000" w:fill="92D050"/>
            <w:noWrap w:val="0"/>
            <w:vAlign w:val="center"/>
          </w:tcPr>
          <w:p>
            <w:pPr>
              <w:widowControl/>
              <w:jc w:val="center"/>
              <w:rPr>
                <w:rFonts w:ascii="Times New Roman" w:hAnsi="Times New Roman" w:eastAsia="宋体" w:cs="宋体"/>
                <w:kern w:val="0"/>
                <w:sz w:val="22"/>
                <w:szCs w:val="22"/>
                <w:highlight w:val="none"/>
                <w:lang w:val="en-US" w:eastAsia="zh-CN" w:bidi="ar-SA"/>
              </w:rPr>
            </w:pPr>
            <w:r>
              <w:rPr>
                <w:rFonts w:hint="eastAsia" w:ascii="Times New Roman" w:hAnsi="宋体" w:eastAsia="宋体" w:cs="宋体"/>
                <w:kern w:val="0"/>
                <w:sz w:val="22"/>
                <w:szCs w:val="22"/>
                <w:highlight w:val="none"/>
                <w:lang w:val="en-US" w:eastAsia="zh-CN" w:bidi="ar-SA"/>
              </w:rPr>
              <w:t>分类</w:t>
            </w:r>
          </w:p>
        </w:tc>
        <w:tc>
          <w:tcPr>
            <w:tcW w:w="512" w:type="pct"/>
            <w:shd w:val="clear" w:color="000000" w:fill="92D050"/>
            <w:noWrap w:val="0"/>
            <w:vAlign w:val="center"/>
          </w:tcPr>
          <w:p>
            <w:pPr>
              <w:widowControl/>
              <w:jc w:val="center"/>
              <w:rPr>
                <w:rFonts w:hint="eastAsia" w:ascii="Times New Roman" w:hAnsi="宋体" w:eastAsia="宋体" w:cs="宋体"/>
                <w:kern w:val="0"/>
                <w:sz w:val="22"/>
                <w:szCs w:val="22"/>
                <w:highlight w:val="none"/>
                <w:lang w:val="en-US" w:eastAsia="zh-CN" w:bidi="ar-SA"/>
              </w:rPr>
            </w:pPr>
            <w:r>
              <w:rPr>
                <w:rFonts w:hint="eastAsia" w:ascii="Times New Roman" w:hAnsi="宋体" w:eastAsia="宋体" w:cs="宋体"/>
                <w:kern w:val="0"/>
                <w:sz w:val="22"/>
                <w:szCs w:val="22"/>
                <w:highlight w:val="none"/>
                <w:lang w:val="en-US" w:eastAsia="zh-CN" w:bidi="ar-SA"/>
              </w:rPr>
              <w:t>用水点</w:t>
            </w:r>
          </w:p>
          <w:p>
            <w:pPr>
              <w:widowControl/>
              <w:jc w:val="center"/>
              <w:rPr>
                <w:rFonts w:ascii="Times New Roman" w:hAnsi="Times New Roman" w:eastAsia="宋体" w:cs="宋体"/>
                <w:kern w:val="0"/>
                <w:sz w:val="22"/>
                <w:szCs w:val="22"/>
                <w:highlight w:val="none"/>
                <w:lang w:val="en-US" w:eastAsia="zh-CN" w:bidi="ar-SA"/>
              </w:rPr>
            </w:pPr>
            <w:r>
              <w:rPr>
                <w:rFonts w:hint="eastAsia" w:ascii="Times New Roman" w:hAnsi="宋体" w:eastAsia="宋体" w:cs="宋体"/>
                <w:kern w:val="0"/>
                <w:sz w:val="22"/>
                <w:szCs w:val="22"/>
                <w:highlight w:val="none"/>
                <w:lang w:val="en-US" w:eastAsia="zh-CN" w:bidi="ar-SA"/>
              </w:rPr>
              <w:t>（个）</w:t>
            </w:r>
          </w:p>
        </w:tc>
        <w:tc>
          <w:tcPr>
            <w:tcW w:w="646" w:type="pct"/>
            <w:shd w:val="clear" w:color="000000" w:fill="92D050"/>
            <w:noWrap w:val="0"/>
            <w:vAlign w:val="center"/>
          </w:tcPr>
          <w:p>
            <w:pPr>
              <w:widowControl/>
              <w:jc w:val="center"/>
              <w:rPr>
                <w:rFonts w:hint="eastAsia" w:ascii="Times New Roman" w:hAnsi="宋体" w:eastAsia="宋体" w:cs="宋体"/>
                <w:kern w:val="0"/>
                <w:sz w:val="22"/>
                <w:szCs w:val="22"/>
                <w:highlight w:val="none"/>
                <w:lang w:val="en-US" w:eastAsia="zh-CN" w:bidi="ar-SA"/>
              </w:rPr>
            </w:pPr>
            <w:r>
              <w:rPr>
                <w:rFonts w:hint="eastAsia" w:ascii="Times New Roman" w:hAnsi="宋体" w:eastAsia="宋体" w:cs="宋体"/>
                <w:kern w:val="0"/>
                <w:sz w:val="22"/>
                <w:szCs w:val="22"/>
                <w:highlight w:val="none"/>
                <w:lang w:val="en-US" w:eastAsia="zh-CN" w:bidi="ar-SA"/>
              </w:rPr>
              <w:t>用水量</w:t>
            </w:r>
          </w:p>
          <w:p>
            <w:pPr>
              <w:widowControl/>
              <w:jc w:val="center"/>
              <w:rPr>
                <w:rFonts w:ascii="Times New Roman" w:hAnsi="Times New Roman" w:eastAsia="宋体" w:cs="宋体"/>
                <w:kern w:val="0"/>
                <w:sz w:val="22"/>
                <w:szCs w:val="22"/>
                <w:highlight w:val="none"/>
                <w:lang w:val="en-US" w:eastAsia="zh-CN" w:bidi="ar-SA"/>
              </w:rPr>
            </w:pPr>
            <w:r>
              <w:rPr>
                <w:rFonts w:hint="eastAsia" w:ascii="Times New Roman" w:hAnsi="宋体" w:eastAsia="宋体" w:cs="宋体"/>
                <w:kern w:val="0"/>
                <w:sz w:val="22"/>
                <w:szCs w:val="22"/>
                <w:highlight w:val="none"/>
                <w:lang w:val="en-US" w:eastAsia="zh-CN" w:bidi="ar-SA"/>
              </w:rPr>
              <w:t>（</w:t>
            </w:r>
            <w:r>
              <w:rPr>
                <w:rFonts w:hint="eastAsia" w:ascii="Times New Roman" w:hAnsi="Times New Roman" w:eastAsia="宋体" w:cs="宋体"/>
                <w:kern w:val="0"/>
                <w:sz w:val="22"/>
                <w:szCs w:val="22"/>
                <w:highlight w:val="none"/>
                <w:lang w:val="en-US" w:eastAsia="zh-CN" w:bidi="ar-SA"/>
              </w:rPr>
              <w:t>L/h</w:t>
            </w:r>
            <w:r>
              <w:rPr>
                <w:rFonts w:hint="eastAsia" w:ascii="Times New Roman" w:hAnsi="宋体" w:eastAsia="宋体" w:cs="宋体"/>
                <w:kern w:val="0"/>
                <w:sz w:val="22"/>
                <w:szCs w:val="22"/>
                <w:highlight w:val="none"/>
                <w:lang w:val="en-US" w:eastAsia="zh-CN" w:bidi="ar-SA"/>
              </w:rPr>
              <w:t>）</w:t>
            </w:r>
          </w:p>
        </w:tc>
        <w:tc>
          <w:tcPr>
            <w:tcW w:w="1549" w:type="pct"/>
            <w:shd w:val="clear" w:color="000000" w:fill="92D050"/>
            <w:noWrap w:val="0"/>
            <w:vAlign w:val="center"/>
          </w:tcPr>
          <w:p>
            <w:pPr>
              <w:widowControl/>
              <w:jc w:val="center"/>
              <w:rPr>
                <w:rFonts w:ascii="Times New Roman" w:hAnsi="Times New Roman" w:eastAsia="宋体" w:cs="宋体"/>
                <w:kern w:val="0"/>
                <w:sz w:val="22"/>
                <w:szCs w:val="22"/>
                <w:highlight w:val="none"/>
                <w:lang w:val="en-US" w:eastAsia="zh-CN" w:bidi="ar-SA"/>
              </w:rPr>
            </w:pPr>
            <w:r>
              <w:rPr>
                <w:rFonts w:hint="eastAsia" w:ascii="Times New Roman" w:hAnsi="宋体" w:eastAsia="宋体" w:cs="宋体"/>
                <w:kern w:val="0"/>
                <w:sz w:val="22"/>
                <w:szCs w:val="22"/>
                <w:highlight w:val="none"/>
                <w:lang w:val="en-US" w:eastAsia="zh-CN" w:bidi="ar-SA"/>
              </w:rPr>
              <w:t>水质标准</w:t>
            </w:r>
          </w:p>
        </w:tc>
        <w:tc>
          <w:tcPr>
            <w:tcW w:w="1358" w:type="pct"/>
            <w:shd w:val="clear" w:color="000000" w:fill="92D050"/>
            <w:noWrap w:val="0"/>
            <w:vAlign w:val="center"/>
          </w:tcPr>
          <w:p>
            <w:pPr>
              <w:widowControl/>
              <w:jc w:val="center"/>
              <w:rPr>
                <w:rFonts w:ascii="Times New Roman" w:hAnsi="Times New Roman" w:eastAsia="宋体" w:cs="宋体"/>
                <w:kern w:val="0"/>
                <w:sz w:val="22"/>
                <w:szCs w:val="22"/>
                <w:highlight w:val="none"/>
                <w:lang w:val="en-US" w:eastAsia="zh-CN" w:bidi="ar-SA"/>
              </w:rPr>
            </w:pPr>
            <w:r>
              <w:rPr>
                <w:rFonts w:hint="eastAsia" w:ascii="Times New Roman" w:hAnsi="宋体" w:eastAsia="宋体" w:cs="宋体"/>
                <w:kern w:val="0"/>
                <w:sz w:val="22"/>
                <w:szCs w:val="22"/>
                <w:highlight w:val="none"/>
                <w:lang w:val="en-US" w:eastAsia="zh-CN" w:bidi="ar-SA"/>
              </w:rPr>
              <w:t>输水管路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0" w:hRule="atLeast"/>
        </w:trPr>
        <w:tc>
          <w:tcPr>
            <w:tcW w:w="340" w:type="pct"/>
            <w:noWrap w:val="0"/>
            <w:vAlign w:val="center"/>
          </w:tcPr>
          <w:p>
            <w:pPr>
              <w:widowControl/>
              <w:jc w:val="center"/>
              <w:rPr>
                <w:rFonts w:ascii="Times New Roman" w:hAnsi="Times New Roman" w:eastAsia="宋体" w:cs="宋体"/>
                <w:kern w:val="0"/>
                <w:sz w:val="22"/>
                <w:szCs w:val="22"/>
                <w:highlight w:val="none"/>
                <w:lang w:val="en-US" w:eastAsia="zh-CN" w:bidi="ar-SA"/>
              </w:rPr>
            </w:pPr>
            <w:r>
              <w:rPr>
                <w:rFonts w:hint="eastAsia" w:ascii="Times New Roman" w:hAnsi="Times New Roman" w:eastAsia="宋体" w:cs="宋体"/>
                <w:kern w:val="0"/>
                <w:sz w:val="22"/>
                <w:szCs w:val="22"/>
                <w:highlight w:val="none"/>
                <w:lang w:val="en-US" w:eastAsia="zh-CN" w:bidi="ar-SA"/>
              </w:rPr>
              <w:t>1</w:t>
            </w:r>
          </w:p>
        </w:tc>
        <w:tc>
          <w:tcPr>
            <w:tcW w:w="595" w:type="pct"/>
            <w:noWrap w:val="0"/>
            <w:vAlign w:val="center"/>
          </w:tcPr>
          <w:p>
            <w:pPr>
              <w:widowControl/>
              <w:jc w:val="center"/>
              <w:rPr>
                <w:rFonts w:ascii="Times New Roman" w:hAnsi="Times New Roman" w:eastAsia="宋体" w:cs="宋体"/>
                <w:kern w:val="0"/>
                <w:sz w:val="22"/>
                <w:szCs w:val="22"/>
                <w:highlight w:val="none"/>
                <w:lang w:val="en-US" w:eastAsia="zh-CN" w:bidi="ar-SA"/>
              </w:rPr>
            </w:pPr>
            <w:r>
              <w:rPr>
                <w:rFonts w:hint="eastAsia" w:ascii="Times New Roman" w:hAnsi="宋体" w:eastAsia="宋体" w:cs="宋体"/>
                <w:kern w:val="0"/>
                <w:sz w:val="22"/>
                <w:szCs w:val="22"/>
                <w:highlight w:val="none"/>
                <w:lang w:val="en-US" w:eastAsia="zh-CN" w:bidi="ar-SA"/>
              </w:rPr>
              <w:t>血透用水</w:t>
            </w:r>
          </w:p>
        </w:tc>
        <w:tc>
          <w:tcPr>
            <w:tcW w:w="512" w:type="pct"/>
            <w:noWrap w:val="0"/>
            <w:vAlign w:val="center"/>
          </w:tcPr>
          <w:p>
            <w:pPr>
              <w:widowControl/>
              <w:jc w:val="center"/>
              <w:rPr>
                <w:rFonts w:ascii="Times New Roman" w:hAnsi="Times New Roman" w:eastAsia="宋体" w:cs="宋体"/>
                <w:kern w:val="0"/>
                <w:sz w:val="22"/>
                <w:szCs w:val="22"/>
                <w:highlight w:val="none"/>
                <w:lang w:val="en-US" w:eastAsia="zh-CN" w:bidi="ar-SA"/>
              </w:rPr>
            </w:pPr>
            <w:r>
              <w:rPr>
                <w:rFonts w:hint="eastAsia" w:ascii="Times New Roman" w:hAnsi="Times New Roman" w:eastAsia="宋体" w:cs="宋体"/>
                <w:kern w:val="0"/>
                <w:sz w:val="22"/>
                <w:szCs w:val="22"/>
                <w:highlight w:val="none"/>
                <w:lang w:val="en-US" w:eastAsia="zh-CN" w:bidi="ar-SA"/>
              </w:rPr>
              <w:t>82</w:t>
            </w:r>
          </w:p>
        </w:tc>
        <w:tc>
          <w:tcPr>
            <w:tcW w:w="646" w:type="pct"/>
            <w:noWrap w:val="0"/>
            <w:vAlign w:val="center"/>
          </w:tcPr>
          <w:p>
            <w:pPr>
              <w:widowControl/>
              <w:jc w:val="center"/>
              <w:rPr>
                <w:rFonts w:ascii="Times New Roman" w:hAnsi="Times New Roman" w:eastAsia="宋体" w:cs="宋体"/>
                <w:kern w:val="0"/>
                <w:sz w:val="22"/>
                <w:szCs w:val="22"/>
                <w:highlight w:val="none"/>
                <w:lang w:val="en-US" w:eastAsia="zh-CN" w:bidi="ar-SA"/>
              </w:rPr>
            </w:pPr>
            <w:r>
              <w:rPr>
                <w:rFonts w:hint="eastAsia" w:ascii="Times New Roman" w:hAnsi="Times New Roman" w:eastAsia="宋体" w:cs="宋体"/>
                <w:kern w:val="0"/>
                <w:sz w:val="22"/>
                <w:szCs w:val="22"/>
                <w:highlight w:val="none"/>
                <w:lang w:val="en-US" w:eastAsia="zh-CN" w:bidi="ar-SA"/>
              </w:rPr>
              <w:t>6000</w:t>
            </w:r>
          </w:p>
        </w:tc>
        <w:tc>
          <w:tcPr>
            <w:tcW w:w="1549" w:type="pct"/>
            <w:noWrap w:val="0"/>
            <w:vAlign w:val="center"/>
          </w:tcPr>
          <w:p>
            <w:pPr>
              <w:widowControl/>
              <w:jc w:val="center"/>
              <w:rPr>
                <w:rFonts w:ascii="Times New Roman" w:hAnsi="Times New Roman" w:eastAsia="宋体" w:cs="宋体"/>
                <w:kern w:val="0"/>
                <w:sz w:val="22"/>
                <w:szCs w:val="22"/>
                <w:highlight w:val="none"/>
                <w:lang w:val="en-US" w:eastAsia="zh-CN" w:bidi="ar-SA"/>
              </w:rPr>
            </w:pPr>
            <w:r>
              <w:rPr>
                <w:rFonts w:hint="eastAsia" w:ascii="Times New Roman" w:hAnsi="宋体" w:eastAsia="宋体" w:cs="宋体"/>
                <w:kern w:val="0"/>
                <w:sz w:val="22"/>
                <w:szCs w:val="22"/>
                <w:highlight w:val="none"/>
                <w:lang w:val="en-US" w:eastAsia="zh-CN" w:bidi="ar-SA"/>
              </w:rPr>
              <w:t>《血液透析及相关治疗用水》（</w:t>
            </w:r>
            <w:r>
              <w:rPr>
                <w:rFonts w:hint="eastAsia" w:ascii="Times New Roman" w:hAnsi="Times New Roman" w:eastAsia="宋体" w:cs="宋体"/>
                <w:kern w:val="0"/>
                <w:sz w:val="22"/>
                <w:szCs w:val="22"/>
                <w:highlight w:val="none"/>
                <w:lang w:val="en-US" w:eastAsia="zh-CN" w:bidi="ar-SA"/>
              </w:rPr>
              <w:t>YY0572-2015</w:t>
            </w:r>
            <w:r>
              <w:rPr>
                <w:rFonts w:hint="eastAsia" w:ascii="Times New Roman" w:hAnsi="宋体" w:eastAsia="宋体" w:cs="宋体"/>
                <w:kern w:val="0"/>
                <w:sz w:val="22"/>
                <w:szCs w:val="22"/>
                <w:highlight w:val="none"/>
                <w:lang w:val="en-US" w:eastAsia="zh-CN" w:bidi="ar-SA"/>
              </w:rPr>
              <w:t>）</w:t>
            </w:r>
          </w:p>
        </w:tc>
        <w:tc>
          <w:tcPr>
            <w:tcW w:w="1358" w:type="pct"/>
            <w:noWrap w:val="0"/>
            <w:vAlign w:val="center"/>
          </w:tcPr>
          <w:p>
            <w:pPr>
              <w:widowControl/>
              <w:jc w:val="left"/>
              <w:rPr>
                <w:rFonts w:hint="eastAsia" w:ascii="Times New Roman" w:hAnsi="宋体" w:eastAsia="宋体" w:cs="宋体"/>
                <w:kern w:val="0"/>
                <w:sz w:val="22"/>
                <w:szCs w:val="22"/>
                <w:highlight w:val="none"/>
                <w:lang w:val="en-US" w:eastAsia="zh-CN" w:bidi="ar-SA"/>
              </w:rPr>
            </w:pPr>
          </w:p>
          <w:p>
            <w:pPr>
              <w:widowControl/>
              <w:jc w:val="left"/>
              <w:rPr>
                <w:rFonts w:ascii="Times New Roman" w:hAnsi="Times New Roman" w:eastAsia="宋体" w:cs="宋体"/>
                <w:kern w:val="0"/>
                <w:sz w:val="22"/>
                <w:szCs w:val="22"/>
                <w:highlight w:val="none"/>
                <w:lang w:val="en-US" w:eastAsia="zh-CN" w:bidi="ar-SA"/>
              </w:rPr>
            </w:pPr>
            <w:r>
              <w:rPr>
                <w:rFonts w:hint="eastAsia" w:ascii="Times New Roman" w:hAnsi="宋体" w:eastAsia="宋体" w:cs="宋体"/>
                <w:kern w:val="0"/>
                <w:sz w:val="22"/>
                <w:szCs w:val="22"/>
                <w:highlight w:val="none"/>
                <w:lang w:val="en-US" w:eastAsia="zh-CN" w:bidi="ar-SA"/>
              </w:rPr>
              <w:t>中央机房至血透机房输送管管径：</w:t>
            </w:r>
            <w:r>
              <w:rPr>
                <w:rFonts w:hint="eastAsia" w:ascii="Times New Roman" w:hAnsi="Times New Roman" w:eastAsia="宋体" w:cs="宋体"/>
                <w:kern w:val="0"/>
                <w:sz w:val="22"/>
                <w:szCs w:val="22"/>
                <w:highlight w:val="none"/>
                <w:lang w:val="en-US" w:eastAsia="zh-CN" w:bidi="ar-SA"/>
              </w:rPr>
              <w:t>DN65&amp;DN50</w:t>
            </w:r>
            <w:r>
              <w:rPr>
                <w:rFonts w:hint="eastAsia" w:ascii="Times New Roman" w:hAnsi="宋体" w:eastAsia="宋体" w:cs="宋体"/>
                <w:kern w:val="0"/>
                <w:sz w:val="22"/>
                <w:szCs w:val="22"/>
                <w:highlight w:val="none"/>
                <w:lang w:val="en-US" w:eastAsia="zh-CN" w:bidi="ar-SA"/>
              </w:rPr>
              <w:t>，管路材质：</w:t>
            </w:r>
            <w:r>
              <w:rPr>
                <w:rFonts w:hint="eastAsia" w:ascii="Times New Roman" w:hAnsi="Times New Roman" w:eastAsia="宋体" w:cs="宋体"/>
                <w:kern w:val="0"/>
                <w:sz w:val="22"/>
                <w:szCs w:val="22"/>
                <w:highlight w:val="none"/>
                <w:lang w:val="en-US" w:eastAsia="zh-CN" w:bidi="ar-SA"/>
              </w:rPr>
              <w:t>SS304</w:t>
            </w:r>
            <w:r>
              <w:rPr>
                <w:rFonts w:hint="eastAsia" w:ascii="Times New Roman" w:hAnsi="宋体" w:eastAsia="宋体" w:cs="宋体"/>
                <w:kern w:val="0"/>
                <w:sz w:val="22"/>
                <w:szCs w:val="22"/>
                <w:highlight w:val="none"/>
                <w:lang w:val="en-US" w:eastAsia="zh-CN" w:bidi="ar-SA"/>
              </w:rPr>
              <w:t>；血透机房至各血透用水点输送管管径：</w:t>
            </w:r>
            <w:r>
              <w:rPr>
                <w:rFonts w:hint="eastAsia" w:ascii="Times New Roman" w:hAnsi="Times New Roman" w:eastAsia="宋体" w:cs="宋体"/>
                <w:kern w:val="0"/>
                <w:sz w:val="22"/>
                <w:szCs w:val="22"/>
                <w:highlight w:val="none"/>
                <w:lang w:val="en-US" w:eastAsia="zh-CN" w:bidi="ar-SA"/>
              </w:rPr>
              <w:t>DN32</w:t>
            </w:r>
            <w:r>
              <w:rPr>
                <w:rFonts w:hint="eastAsia" w:ascii="Times New Roman" w:hAnsi="宋体" w:eastAsia="宋体" w:cs="宋体"/>
                <w:kern w:val="0"/>
                <w:sz w:val="22"/>
                <w:szCs w:val="22"/>
                <w:highlight w:val="none"/>
                <w:lang w:val="en-US" w:eastAsia="zh-CN" w:bidi="ar-SA"/>
              </w:rPr>
              <w:t>，管路材质：</w:t>
            </w:r>
            <w:r>
              <w:rPr>
                <w:rFonts w:hint="eastAsia" w:ascii="Times New Roman" w:hAnsi="Times New Roman" w:eastAsia="宋体" w:cs="宋体"/>
                <w:kern w:val="0"/>
                <w:sz w:val="22"/>
                <w:szCs w:val="22"/>
                <w:highlight w:val="none"/>
                <w:lang w:val="en-US" w:eastAsia="zh-CN" w:bidi="ar-SA"/>
              </w:rPr>
              <w:t>SS316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0" w:hRule="atLeast"/>
        </w:trPr>
        <w:tc>
          <w:tcPr>
            <w:tcW w:w="340" w:type="pct"/>
            <w:noWrap w:val="0"/>
            <w:vAlign w:val="center"/>
          </w:tcPr>
          <w:p>
            <w:pPr>
              <w:widowControl/>
              <w:jc w:val="center"/>
              <w:rPr>
                <w:rFonts w:ascii="Times New Roman" w:hAnsi="Times New Roman" w:eastAsia="宋体" w:cs="宋体"/>
                <w:kern w:val="0"/>
                <w:sz w:val="22"/>
                <w:szCs w:val="22"/>
                <w:highlight w:val="none"/>
                <w:lang w:val="en-US" w:eastAsia="zh-CN" w:bidi="ar-SA"/>
              </w:rPr>
            </w:pPr>
            <w:r>
              <w:rPr>
                <w:rFonts w:hint="eastAsia" w:ascii="Times New Roman" w:hAnsi="Times New Roman" w:eastAsia="宋体" w:cs="宋体"/>
                <w:kern w:val="0"/>
                <w:sz w:val="22"/>
                <w:szCs w:val="22"/>
                <w:highlight w:val="none"/>
                <w:lang w:val="en-US" w:eastAsia="zh-CN" w:bidi="ar-SA"/>
              </w:rPr>
              <w:t>2</w:t>
            </w:r>
          </w:p>
        </w:tc>
        <w:tc>
          <w:tcPr>
            <w:tcW w:w="595" w:type="pct"/>
            <w:noWrap w:val="0"/>
            <w:vAlign w:val="center"/>
          </w:tcPr>
          <w:p>
            <w:pPr>
              <w:widowControl/>
              <w:jc w:val="center"/>
              <w:rPr>
                <w:rFonts w:ascii="Times New Roman" w:hAnsi="Times New Roman" w:eastAsia="宋体" w:cs="宋体"/>
                <w:kern w:val="0"/>
                <w:sz w:val="22"/>
                <w:szCs w:val="22"/>
                <w:highlight w:val="none"/>
                <w:lang w:val="en-US" w:eastAsia="zh-CN" w:bidi="ar-SA"/>
              </w:rPr>
            </w:pPr>
            <w:r>
              <w:rPr>
                <w:rFonts w:hint="eastAsia" w:ascii="Times New Roman" w:hAnsi="宋体" w:eastAsia="宋体" w:cs="宋体"/>
                <w:kern w:val="0"/>
                <w:sz w:val="22"/>
                <w:szCs w:val="22"/>
                <w:highlight w:val="none"/>
                <w:lang w:val="en-US" w:eastAsia="zh-CN" w:bidi="ar-SA"/>
              </w:rPr>
              <w:t>检验用水</w:t>
            </w:r>
          </w:p>
        </w:tc>
        <w:tc>
          <w:tcPr>
            <w:tcW w:w="512" w:type="pct"/>
            <w:noWrap w:val="0"/>
            <w:vAlign w:val="center"/>
          </w:tcPr>
          <w:p>
            <w:pPr>
              <w:widowControl/>
              <w:jc w:val="center"/>
              <w:rPr>
                <w:rFonts w:ascii="Times New Roman" w:hAnsi="Times New Roman" w:eastAsia="宋体" w:cs="宋体"/>
                <w:kern w:val="0"/>
                <w:sz w:val="22"/>
                <w:szCs w:val="22"/>
                <w:highlight w:val="none"/>
                <w:lang w:val="en-US" w:eastAsia="zh-CN" w:bidi="ar-SA"/>
              </w:rPr>
            </w:pPr>
            <w:r>
              <w:rPr>
                <w:rFonts w:hint="eastAsia" w:ascii="Times New Roman" w:hAnsi="Times New Roman" w:eastAsia="宋体" w:cs="宋体"/>
                <w:kern w:val="0"/>
                <w:sz w:val="22"/>
                <w:szCs w:val="22"/>
                <w:highlight w:val="none"/>
                <w:lang w:val="en-US" w:eastAsia="zh-CN" w:bidi="ar-SA"/>
              </w:rPr>
              <w:t>114</w:t>
            </w:r>
          </w:p>
        </w:tc>
        <w:tc>
          <w:tcPr>
            <w:tcW w:w="646" w:type="pct"/>
            <w:noWrap w:val="0"/>
            <w:vAlign w:val="center"/>
          </w:tcPr>
          <w:p>
            <w:pPr>
              <w:widowControl/>
              <w:jc w:val="center"/>
              <w:rPr>
                <w:rFonts w:ascii="Times New Roman" w:hAnsi="Times New Roman" w:eastAsia="宋体" w:cs="宋体"/>
                <w:kern w:val="0"/>
                <w:sz w:val="22"/>
                <w:szCs w:val="22"/>
                <w:highlight w:val="none"/>
                <w:lang w:val="en-US" w:eastAsia="zh-CN" w:bidi="ar-SA"/>
              </w:rPr>
            </w:pPr>
            <w:r>
              <w:rPr>
                <w:rFonts w:hint="eastAsia" w:ascii="Times New Roman" w:hAnsi="Times New Roman" w:eastAsia="宋体" w:cs="宋体"/>
                <w:kern w:val="0"/>
                <w:sz w:val="22"/>
                <w:szCs w:val="22"/>
                <w:highlight w:val="none"/>
                <w:lang w:val="en-US" w:eastAsia="zh-CN" w:bidi="ar-SA"/>
              </w:rPr>
              <w:t>3000</w:t>
            </w:r>
          </w:p>
        </w:tc>
        <w:tc>
          <w:tcPr>
            <w:tcW w:w="1549" w:type="pct"/>
            <w:noWrap w:val="0"/>
            <w:vAlign w:val="center"/>
          </w:tcPr>
          <w:p>
            <w:pPr>
              <w:widowControl/>
              <w:jc w:val="center"/>
              <w:rPr>
                <w:rFonts w:hint="eastAsia" w:ascii="Times New Roman" w:hAnsi="宋体" w:eastAsia="宋体" w:cs="宋体"/>
                <w:kern w:val="0"/>
                <w:sz w:val="22"/>
                <w:szCs w:val="22"/>
                <w:highlight w:val="none"/>
                <w:lang w:val="en-US" w:eastAsia="zh-CN" w:bidi="ar-SA"/>
              </w:rPr>
            </w:pPr>
            <w:r>
              <w:rPr>
                <w:rFonts w:hint="eastAsia" w:ascii="Times New Roman" w:hAnsi="宋体" w:eastAsia="宋体" w:cs="宋体"/>
                <w:kern w:val="0"/>
                <w:sz w:val="22"/>
                <w:szCs w:val="22"/>
                <w:highlight w:val="none"/>
                <w:lang w:val="en-US" w:eastAsia="zh-CN" w:bidi="ar-SA"/>
              </w:rPr>
              <w:t>《分析实验室用水规格和试验方法》</w:t>
            </w:r>
          </w:p>
          <w:p>
            <w:pPr>
              <w:widowControl/>
              <w:jc w:val="center"/>
              <w:rPr>
                <w:rFonts w:ascii="Times New Roman" w:hAnsi="Times New Roman" w:eastAsia="宋体" w:cs="宋体"/>
                <w:kern w:val="0"/>
                <w:sz w:val="22"/>
                <w:szCs w:val="22"/>
                <w:highlight w:val="none"/>
                <w:lang w:val="en-US" w:eastAsia="zh-CN" w:bidi="ar-SA"/>
              </w:rPr>
            </w:pPr>
            <w:r>
              <w:rPr>
                <w:rFonts w:hint="eastAsia" w:ascii="Times New Roman" w:hAnsi="宋体" w:eastAsia="宋体" w:cs="宋体"/>
                <w:kern w:val="0"/>
                <w:sz w:val="22"/>
                <w:szCs w:val="22"/>
                <w:highlight w:val="none"/>
                <w:lang w:val="en-US" w:eastAsia="zh-CN" w:bidi="ar-SA"/>
              </w:rPr>
              <w:t>（</w:t>
            </w:r>
            <w:r>
              <w:rPr>
                <w:rFonts w:hint="eastAsia" w:ascii="Times New Roman" w:hAnsi="Times New Roman" w:eastAsia="宋体" w:cs="宋体"/>
                <w:kern w:val="0"/>
                <w:sz w:val="22"/>
                <w:szCs w:val="22"/>
                <w:highlight w:val="none"/>
                <w:lang w:val="en-US" w:eastAsia="zh-CN" w:bidi="ar-SA"/>
              </w:rPr>
              <w:t>GB/T6682-2008</w:t>
            </w:r>
            <w:r>
              <w:rPr>
                <w:rFonts w:hint="eastAsia" w:ascii="Times New Roman" w:hAnsi="宋体" w:eastAsia="宋体" w:cs="宋体"/>
                <w:kern w:val="0"/>
                <w:sz w:val="22"/>
                <w:szCs w:val="22"/>
                <w:highlight w:val="none"/>
                <w:lang w:val="en-US" w:eastAsia="zh-CN" w:bidi="ar-SA"/>
              </w:rPr>
              <w:t>）一级标准</w:t>
            </w:r>
          </w:p>
        </w:tc>
        <w:tc>
          <w:tcPr>
            <w:tcW w:w="1358" w:type="pct"/>
            <w:noWrap w:val="0"/>
            <w:vAlign w:val="center"/>
          </w:tcPr>
          <w:p>
            <w:pPr>
              <w:widowControl/>
              <w:jc w:val="left"/>
              <w:rPr>
                <w:rFonts w:hint="eastAsia" w:ascii="Times New Roman" w:hAnsi="宋体" w:eastAsia="宋体" w:cs="宋体"/>
                <w:kern w:val="0"/>
                <w:sz w:val="22"/>
                <w:szCs w:val="22"/>
                <w:highlight w:val="none"/>
                <w:lang w:val="en-US" w:eastAsia="zh-CN" w:bidi="ar-SA"/>
              </w:rPr>
            </w:pPr>
            <w:r>
              <w:rPr>
                <w:rFonts w:hint="eastAsia" w:ascii="Times New Roman" w:hAnsi="宋体" w:eastAsia="宋体" w:cs="宋体"/>
                <w:kern w:val="0"/>
                <w:sz w:val="22"/>
                <w:szCs w:val="22"/>
                <w:highlight w:val="none"/>
                <w:lang w:val="en-US" w:eastAsia="zh-CN" w:bidi="ar-SA"/>
              </w:rPr>
              <w:t>管路材质：</w:t>
            </w:r>
            <w:r>
              <w:rPr>
                <w:rFonts w:hint="eastAsia" w:ascii="Times New Roman" w:hAnsi="Times New Roman" w:eastAsia="宋体" w:cs="宋体"/>
                <w:kern w:val="0"/>
                <w:sz w:val="22"/>
                <w:szCs w:val="22"/>
                <w:highlight w:val="none"/>
                <w:lang w:val="en-US" w:eastAsia="zh-CN" w:bidi="ar-SA"/>
              </w:rPr>
              <w:t>SS304</w:t>
            </w:r>
            <w:r>
              <w:rPr>
                <w:rFonts w:hint="eastAsia" w:ascii="Times New Roman" w:hAnsi="宋体" w:eastAsia="宋体" w:cs="宋体"/>
                <w:kern w:val="0"/>
                <w:sz w:val="22"/>
                <w:szCs w:val="22"/>
                <w:highlight w:val="none"/>
                <w:lang w:val="en-US" w:eastAsia="zh-CN" w:bidi="ar-SA"/>
              </w:rPr>
              <w:t>；</w:t>
            </w:r>
          </w:p>
          <w:p>
            <w:pPr>
              <w:widowControl/>
              <w:jc w:val="left"/>
              <w:rPr>
                <w:rFonts w:ascii="Times New Roman" w:hAnsi="Times New Roman" w:eastAsia="宋体" w:cs="宋体"/>
                <w:kern w:val="0"/>
                <w:sz w:val="22"/>
                <w:szCs w:val="22"/>
                <w:highlight w:val="none"/>
                <w:lang w:val="en-US" w:eastAsia="zh-CN" w:bidi="ar-SA"/>
              </w:rPr>
            </w:pPr>
            <w:r>
              <w:rPr>
                <w:rFonts w:hint="eastAsia" w:ascii="Times New Roman" w:hAnsi="宋体" w:eastAsia="宋体" w:cs="宋体"/>
                <w:kern w:val="0"/>
                <w:sz w:val="22"/>
                <w:szCs w:val="22"/>
                <w:highlight w:val="none"/>
                <w:lang w:val="en-US" w:eastAsia="zh-CN" w:bidi="ar-SA"/>
              </w:rPr>
              <w:t>管径：</w:t>
            </w:r>
            <w:r>
              <w:rPr>
                <w:rFonts w:hint="eastAsia" w:ascii="Times New Roman" w:hAnsi="Times New Roman" w:eastAsia="宋体" w:cs="宋体"/>
                <w:kern w:val="0"/>
                <w:sz w:val="22"/>
                <w:szCs w:val="22"/>
                <w:highlight w:val="none"/>
                <w:lang w:val="en-US" w:eastAsia="zh-CN" w:bidi="ar-SA"/>
              </w:rPr>
              <w:t>DN32-20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0" w:hRule="atLeast"/>
        </w:trPr>
        <w:tc>
          <w:tcPr>
            <w:tcW w:w="340" w:type="pct"/>
            <w:noWrap w:val="0"/>
            <w:vAlign w:val="center"/>
          </w:tcPr>
          <w:p>
            <w:pPr>
              <w:widowControl/>
              <w:jc w:val="center"/>
              <w:rPr>
                <w:rFonts w:ascii="Times New Roman" w:hAnsi="Times New Roman" w:eastAsia="宋体" w:cs="宋体"/>
                <w:kern w:val="0"/>
                <w:sz w:val="22"/>
                <w:szCs w:val="22"/>
                <w:highlight w:val="none"/>
                <w:lang w:val="en-US" w:eastAsia="zh-CN" w:bidi="ar-SA"/>
              </w:rPr>
            </w:pPr>
            <w:r>
              <w:rPr>
                <w:rFonts w:hint="eastAsia" w:ascii="Times New Roman" w:hAnsi="Times New Roman" w:eastAsia="宋体" w:cs="宋体"/>
                <w:kern w:val="0"/>
                <w:sz w:val="22"/>
                <w:szCs w:val="22"/>
                <w:highlight w:val="none"/>
                <w:lang w:val="en-US" w:eastAsia="zh-CN" w:bidi="ar-SA"/>
              </w:rPr>
              <w:t>3</w:t>
            </w:r>
          </w:p>
        </w:tc>
        <w:tc>
          <w:tcPr>
            <w:tcW w:w="595" w:type="pct"/>
            <w:noWrap w:val="0"/>
            <w:vAlign w:val="center"/>
          </w:tcPr>
          <w:p>
            <w:pPr>
              <w:widowControl/>
              <w:jc w:val="center"/>
              <w:rPr>
                <w:rFonts w:ascii="Times New Roman" w:hAnsi="Times New Roman" w:eastAsia="宋体" w:cs="宋体"/>
                <w:kern w:val="0"/>
                <w:sz w:val="22"/>
                <w:szCs w:val="22"/>
                <w:highlight w:val="none"/>
                <w:lang w:val="en-US" w:eastAsia="zh-CN" w:bidi="ar-SA"/>
              </w:rPr>
            </w:pPr>
            <w:r>
              <w:rPr>
                <w:rFonts w:hint="eastAsia" w:ascii="Times New Roman" w:hAnsi="宋体" w:eastAsia="宋体" w:cs="宋体"/>
                <w:kern w:val="0"/>
                <w:sz w:val="22"/>
                <w:szCs w:val="22"/>
                <w:highlight w:val="none"/>
                <w:lang w:val="en-US" w:eastAsia="zh-CN" w:bidi="ar-SA"/>
              </w:rPr>
              <w:t>一级清洗用水</w:t>
            </w:r>
          </w:p>
        </w:tc>
        <w:tc>
          <w:tcPr>
            <w:tcW w:w="512" w:type="pct"/>
            <w:noWrap w:val="0"/>
            <w:vAlign w:val="center"/>
          </w:tcPr>
          <w:p>
            <w:pPr>
              <w:widowControl/>
              <w:jc w:val="center"/>
              <w:rPr>
                <w:rFonts w:ascii="Times New Roman" w:hAnsi="Times New Roman" w:eastAsia="宋体" w:cs="宋体"/>
                <w:kern w:val="0"/>
                <w:sz w:val="22"/>
                <w:szCs w:val="22"/>
                <w:highlight w:val="none"/>
                <w:lang w:val="en-US" w:eastAsia="zh-CN" w:bidi="ar-SA"/>
              </w:rPr>
            </w:pPr>
            <w:r>
              <w:rPr>
                <w:rFonts w:hint="eastAsia" w:ascii="Times New Roman" w:hAnsi="Times New Roman" w:eastAsia="宋体" w:cs="宋体"/>
                <w:kern w:val="0"/>
                <w:sz w:val="22"/>
                <w:szCs w:val="22"/>
                <w:highlight w:val="none"/>
                <w:lang w:val="en-US" w:eastAsia="zh-CN" w:bidi="ar-SA"/>
              </w:rPr>
              <w:t>24</w:t>
            </w:r>
          </w:p>
        </w:tc>
        <w:tc>
          <w:tcPr>
            <w:tcW w:w="646" w:type="pct"/>
            <w:noWrap w:val="0"/>
            <w:vAlign w:val="center"/>
          </w:tcPr>
          <w:p>
            <w:pPr>
              <w:widowControl/>
              <w:jc w:val="center"/>
              <w:rPr>
                <w:rFonts w:ascii="Times New Roman" w:hAnsi="Times New Roman" w:eastAsia="宋体" w:cs="宋体"/>
                <w:kern w:val="0"/>
                <w:sz w:val="22"/>
                <w:szCs w:val="22"/>
                <w:highlight w:val="none"/>
                <w:lang w:val="en-US" w:eastAsia="zh-CN" w:bidi="ar-SA"/>
              </w:rPr>
            </w:pPr>
            <w:r>
              <w:rPr>
                <w:rFonts w:hint="eastAsia" w:ascii="Times New Roman" w:hAnsi="Times New Roman" w:eastAsia="宋体" w:cs="宋体"/>
                <w:kern w:val="0"/>
                <w:sz w:val="22"/>
                <w:szCs w:val="22"/>
                <w:highlight w:val="none"/>
                <w:lang w:val="en-US" w:eastAsia="zh-CN" w:bidi="ar-SA"/>
              </w:rPr>
              <w:t>6300</w:t>
            </w:r>
          </w:p>
        </w:tc>
        <w:tc>
          <w:tcPr>
            <w:tcW w:w="1549" w:type="pct"/>
            <w:noWrap w:val="0"/>
            <w:vAlign w:val="center"/>
          </w:tcPr>
          <w:p>
            <w:pPr>
              <w:widowControl/>
              <w:jc w:val="center"/>
              <w:rPr>
                <w:rFonts w:hint="eastAsia" w:ascii="Times New Roman" w:hAnsi="宋体" w:eastAsia="宋体" w:cs="宋体"/>
                <w:kern w:val="0"/>
                <w:sz w:val="22"/>
                <w:szCs w:val="22"/>
                <w:highlight w:val="none"/>
                <w:lang w:val="en-US" w:eastAsia="zh-CN" w:bidi="ar-SA"/>
              </w:rPr>
            </w:pPr>
            <w:r>
              <w:rPr>
                <w:rFonts w:hint="eastAsia" w:ascii="Times New Roman" w:hAnsi="宋体" w:eastAsia="宋体" w:cs="宋体"/>
                <w:kern w:val="0"/>
                <w:sz w:val="22"/>
                <w:szCs w:val="22"/>
                <w:highlight w:val="none"/>
                <w:lang w:val="en-US" w:eastAsia="zh-CN" w:bidi="ar-SA"/>
              </w:rPr>
              <w:t>《医疗器械清洗消毒用水标准》</w:t>
            </w:r>
          </w:p>
          <w:p>
            <w:pPr>
              <w:widowControl/>
              <w:jc w:val="center"/>
              <w:rPr>
                <w:rFonts w:hint="eastAsia" w:ascii="Times New Roman" w:hAnsi="宋体" w:eastAsia="宋体" w:cs="宋体"/>
                <w:kern w:val="0"/>
                <w:sz w:val="22"/>
                <w:szCs w:val="22"/>
                <w:highlight w:val="none"/>
                <w:lang w:val="en-US" w:eastAsia="zh-CN" w:bidi="ar-SA"/>
              </w:rPr>
            </w:pPr>
            <w:r>
              <w:rPr>
                <w:rFonts w:hint="eastAsia" w:ascii="Times New Roman" w:hAnsi="宋体" w:eastAsia="宋体" w:cs="宋体"/>
                <w:kern w:val="0"/>
                <w:sz w:val="22"/>
                <w:szCs w:val="22"/>
                <w:highlight w:val="none"/>
                <w:lang w:val="en-US" w:eastAsia="zh-CN" w:bidi="ar-SA"/>
              </w:rPr>
              <w:t>（</w:t>
            </w:r>
            <w:r>
              <w:rPr>
                <w:rFonts w:hint="eastAsia" w:ascii="Times New Roman" w:hAnsi="Times New Roman" w:eastAsia="宋体" w:cs="宋体"/>
                <w:kern w:val="0"/>
                <w:sz w:val="22"/>
                <w:szCs w:val="22"/>
                <w:highlight w:val="none"/>
                <w:lang w:val="en-US" w:eastAsia="zh-CN" w:bidi="ar-SA"/>
              </w:rPr>
              <w:t>WS 310.1-2016</w:t>
            </w:r>
            <w:r>
              <w:rPr>
                <w:rFonts w:hint="eastAsia" w:ascii="Times New Roman" w:hAnsi="宋体" w:eastAsia="宋体" w:cs="宋体"/>
                <w:kern w:val="0"/>
                <w:sz w:val="22"/>
                <w:szCs w:val="22"/>
                <w:highlight w:val="none"/>
                <w:lang w:val="en-US" w:eastAsia="zh-CN" w:bidi="ar-SA"/>
              </w:rPr>
              <w:t>）《软式内镜清洗消毒技术规范》</w:t>
            </w:r>
          </w:p>
          <w:p>
            <w:pPr>
              <w:widowControl/>
              <w:jc w:val="center"/>
              <w:rPr>
                <w:rFonts w:ascii="Times New Roman" w:hAnsi="Times New Roman" w:eastAsia="宋体" w:cs="宋体"/>
                <w:kern w:val="0"/>
                <w:sz w:val="22"/>
                <w:szCs w:val="22"/>
                <w:highlight w:val="none"/>
                <w:lang w:val="en-US" w:eastAsia="zh-CN" w:bidi="ar-SA"/>
              </w:rPr>
            </w:pPr>
            <w:r>
              <w:rPr>
                <w:rFonts w:hint="eastAsia" w:ascii="Times New Roman" w:hAnsi="宋体" w:eastAsia="宋体" w:cs="宋体"/>
                <w:kern w:val="0"/>
                <w:sz w:val="22"/>
                <w:szCs w:val="22"/>
                <w:highlight w:val="none"/>
                <w:lang w:val="en-US" w:eastAsia="zh-CN" w:bidi="ar-SA"/>
              </w:rPr>
              <w:t>（</w:t>
            </w:r>
            <w:r>
              <w:rPr>
                <w:rFonts w:hint="eastAsia" w:ascii="Times New Roman" w:hAnsi="Times New Roman" w:eastAsia="宋体" w:cs="宋体"/>
                <w:kern w:val="0"/>
                <w:sz w:val="22"/>
                <w:szCs w:val="22"/>
                <w:highlight w:val="none"/>
                <w:lang w:val="en-US" w:eastAsia="zh-CN" w:bidi="ar-SA"/>
              </w:rPr>
              <w:t>WS507-2016</w:t>
            </w:r>
            <w:r>
              <w:rPr>
                <w:rFonts w:hint="eastAsia" w:ascii="Times New Roman" w:hAnsi="宋体" w:eastAsia="宋体" w:cs="宋体"/>
                <w:kern w:val="0"/>
                <w:sz w:val="22"/>
                <w:szCs w:val="22"/>
                <w:highlight w:val="none"/>
                <w:lang w:val="en-US" w:eastAsia="zh-CN" w:bidi="ar-SA"/>
              </w:rPr>
              <w:t>）</w:t>
            </w:r>
          </w:p>
        </w:tc>
        <w:tc>
          <w:tcPr>
            <w:tcW w:w="1358" w:type="pct"/>
            <w:noWrap w:val="0"/>
            <w:vAlign w:val="center"/>
          </w:tcPr>
          <w:p>
            <w:pPr>
              <w:widowControl/>
              <w:jc w:val="left"/>
              <w:rPr>
                <w:rFonts w:hint="eastAsia" w:ascii="Times New Roman" w:hAnsi="宋体" w:eastAsia="宋体" w:cs="宋体"/>
                <w:kern w:val="0"/>
                <w:sz w:val="22"/>
                <w:szCs w:val="22"/>
                <w:highlight w:val="none"/>
                <w:lang w:val="en-US" w:eastAsia="zh-CN" w:bidi="ar-SA"/>
              </w:rPr>
            </w:pPr>
            <w:r>
              <w:rPr>
                <w:rFonts w:hint="eastAsia" w:ascii="Times New Roman" w:hAnsi="宋体" w:eastAsia="宋体" w:cs="宋体"/>
                <w:kern w:val="0"/>
                <w:sz w:val="22"/>
                <w:szCs w:val="22"/>
                <w:highlight w:val="none"/>
                <w:lang w:val="en-US" w:eastAsia="zh-CN" w:bidi="ar-SA"/>
              </w:rPr>
              <w:t>管路材质：</w:t>
            </w:r>
            <w:r>
              <w:rPr>
                <w:rFonts w:hint="eastAsia" w:ascii="Times New Roman" w:hAnsi="Times New Roman" w:eastAsia="宋体" w:cs="宋体"/>
                <w:kern w:val="0"/>
                <w:sz w:val="22"/>
                <w:szCs w:val="22"/>
                <w:highlight w:val="none"/>
                <w:lang w:val="en-US" w:eastAsia="zh-CN" w:bidi="ar-SA"/>
              </w:rPr>
              <w:t>SS304</w:t>
            </w:r>
            <w:r>
              <w:rPr>
                <w:rFonts w:hint="eastAsia" w:ascii="Times New Roman" w:hAnsi="宋体" w:eastAsia="宋体" w:cs="宋体"/>
                <w:kern w:val="0"/>
                <w:sz w:val="22"/>
                <w:szCs w:val="22"/>
                <w:highlight w:val="none"/>
                <w:lang w:val="en-US" w:eastAsia="zh-CN" w:bidi="ar-SA"/>
              </w:rPr>
              <w:t>；</w:t>
            </w:r>
          </w:p>
          <w:p>
            <w:pPr>
              <w:widowControl/>
              <w:jc w:val="left"/>
              <w:rPr>
                <w:rFonts w:ascii="Times New Roman" w:hAnsi="Times New Roman" w:eastAsia="宋体" w:cs="宋体"/>
                <w:kern w:val="0"/>
                <w:sz w:val="22"/>
                <w:szCs w:val="22"/>
                <w:highlight w:val="none"/>
                <w:lang w:val="en-US" w:eastAsia="zh-CN" w:bidi="ar-SA"/>
              </w:rPr>
            </w:pPr>
            <w:r>
              <w:rPr>
                <w:rFonts w:hint="eastAsia" w:ascii="Times New Roman" w:hAnsi="宋体" w:eastAsia="宋体" w:cs="宋体"/>
                <w:kern w:val="0"/>
                <w:sz w:val="22"/>
                <w:szCs w:val="22"/>
                <w:highlight w:val="none"/>
                <w:lang w:val="en-US" w:eastAsia="zh-CN" w:bidi="ar-SA"/>
              </w:rPr>
              <w:t>管径：</w:t>
            </w:r>
            <w:r>
              <w:rPr>
                <w:rFonts w:hint="eastAsia" w:ascii="Times New Roman" w:hAnsi="Times New Roman" w:eastAsia="宋体" w:cs="宋体"/>
                <w:kern w:val="0"/>
                <w:sz w:val="22"/>
                <w:szCs w:val="22"/>
                <w:highlight w:val="none"/>
                <w:lang w:val="en-US" w:eastAsia="zh-CN" w:bidi="ar-SA"/>
              </w:rPr>
              <w:t>DN50-20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0" w:hRule="atLeast"/>
        </w:trPr>
        <w:tc>
          <w:tcPr>
            <w:tcW w:w="340" w:type="pct"/>
            <w:noWrap w:val="0"/>
            <w:vAlign w:val="center"/>
          </w:tcPr>
          <w:p>
            <w:pPr>
              <w:widowControl/>
              <w:jc w:val="center"/>
              <w:rPr>
                <w:rFonts w:ascii="Times New Roman" w:hAnsi="Times New Roman" w:eastAsia="宋体" w:cs="宋体"/>
                <w:kern w:val="0"/>
                <w:sz w:val="22"/>
                <w:szCs w:val="22"/>
                <w:highlight w:val="none"/>
                <w:lang w:val="en-US" w:eastAsia="zh-CN" w:bidi="ar-SA"/>
              </w:rPr>
            </w:pPr>
            <w:r>
              <w:rPr>
                <w:rFonts w:hint="eastAsia" w:ascii="Times New Roman" w:hAnsi="Times New Roman" w:eastAsia="宋体" w:cs="宋体"/>
                <w:kern w:val="0"/>
                <w:sz w:val="22"/>
                <w:szCs w:val="22"/>
                <w:highlight w:val="none"/>
                <w:lang w:val="en-US" w:eastAsia="zh-CN" w:bidi="ar-SA"/>
              </w:rPr>
              <w:t>4</w:t>
            </w:r>
          </w:p>
        </w:tc>
        <w:tc>
          <w:tcPr>
            <w:tcW w:w="595" w:type="pct"/>
            <w:noWrap w:val="0"/>
            <w:vAlign w:val="center"/>
          </w:tcPr>
          <w:p>
            <w:pPr>
              <w:widowControl/>
              <w:jc w:val="center"/>
              <w:rPr>
                <w:rFonts w:ascii="Times New Roman" w:hAnsi="Times New Roman" w:eastAsia="宋体" w:cs="宋体"/>
                <w:kern w:val="0"/>
                <w:sz w:val="22"/>
                <w:szCs w:val="22"/>
                <w:highlight w:val="none"/>
                <w:lang w:val="en-US" w:eastAsia="zh-CN" w:bidi="ar-SA"/>
              </w:rPr>
            </w:pPr>
            <w:r>
              <w:rPr>
                <w:rFonts w:hint="eastAsia" w:ascii="Times New Roman" w:hAnsi="宋体" w:eastAsia="宋体" w:cs="宋体"/>
                <w:kern w:val="0"/>
                <w:sz w:val="22"/>
                <w:szCs w:val="22"/>
                <w:highlight w:val="none"/>
                <w:lang w:val="en-US" w:eastAsia="zh-CN" w:bidi="ar-SA"/>
              </w:rPr>
              <w:t>二级清洗用水</w:t>
            </w:r>
          </w:p>
        </w:tc>
        <w:tc>
          <w:tcPr>
            <w:tcW w:w="512" w:type="pct"/>
            <w:noWrap w:val="0"/>
            <w:vAlign w:val="center"/>
          </w:tcPr>
          <w:p>
            <w:pPr>
              <w:widowControl/>
              <w:jc w:val="center"/>
              <w:rPr>
                <w:rFonts w:ascii="Times New Roman" w:hAnsi="Times New Roman" w:eastAsia="宋体" w:cs="宋体"/>
                <w:kern w:val="0"/>
                <w:sz w:val="22"/>
                <w:szCs w:val="22"/>
                <w:highlight w:val="none"/>
                <w:lang w:val="en-US" w:eastAsia="zh-CN" w:bidi="ar-SA"/>
              </w:rPr>
            </w:pPr>
            <w:r>
              <w:rPr>
                <w:rFonts w:hint="eastAsia" w:ascii="Times New Roman" w:hAnsi="Times New Roman" w:eastAsia="宋体" w:cs="宋体"/>
                <w:kern w:val="0"/>
                <w:sz w:val="22"/>
                <w:szCs w:val="22"/>
                <w:highlight w:val="none"/>
                <w:lang w:val="en-US" w:eastAsia="zh-CN" w:bidi="ar-SA"/>
              </w:rPr>
              <w:t>36</w:t>
            </w:r>
          </w:p>
        </w:tc>
        <w:tc>
          <w:tcPr>
            <w:tcW w:w="646" w:type="pct"/>
            <w:noWrap w:val="0"/>
            <w:vAlign w:val="center"/>
          </w:tcPr>
          <w:p>
            <w:pPr>
              <w:widowControl/>
              <w:jc w:val="center"/>
              <w:rPr>
                <w:rFonts w:ascii="Times New Roman" w:hAnsi="Times New Roman" w:eastAsia="宋体" w:cs="宋体"/>
                <w:kern w:val="0"/>
                <w:sz w:val="22"/>
                <w:szCs w:val="22"/>
                <w:highlight w:val="none"/>
                <w:lang w:val="en-US" w:eastAsia="zh-CN" w:bidi="ar-SA"/>
              </w:rPr>
            </w:pPr>
            <w:r>
              <w:rPr>
                <w:rFonts w:hint="eastAsia" w:ascii="Times New Roman" w:hAnsi="Times New Roman" w:eastAsia="宋体" w:cs="宋体"/>
                <w:kern w:val="0"/>
                <w:sz w:val="22"/>
                <w:szCs w:val="22"/>
                <w:highlight w:val="none"/>
                <w:lang w:val="en-US" w:eastAsia="zh-CN" w:bidi="ar-SA"/>
              </w:rPr>
              <w:t>7400</w:t>
            </w:r>
          </w:p>
        </w:tc>
        <w:tc>
          <w:tcPr>
            <w:tcW w:w="1549" w:type="pct"/>
            <w:noWrap w:val="0"/>
            <w:vAlign w:val="center"/>
          </w:tcPr>
          <w:p>
            <w:pPr>
              <w:widowControl/>
              <w:jc w:val="center"/>
              <w:rPr>
                <w:rFonts w:hint="eastAsia" w:ascii="Times New Roman" w:hAnsi="宋体" w:eastAsia="宋体" w:cs="宋体"/>
                <w:kern w:val="0"/>
                <w:sz w:val="22"/>
                <w:szCs w:val="22"/>
                <w:highlight w:val="none"/>
                <w:lang w:val="en-US" w:eastAsia="zh-CN" w:bidi="ar-SA"/>
              </w:rPr>
            </w:pPr>
            <w:r>
              <w:rPr>
                <w:rFonts w:hint="eastAsia" w:ascii="Times New Roman" w:hAnsi="宋体" w:eastAsia="宋体" w:cs="宋体"/>
                <w:kern w:val="0"/>
                <w:sz w:val="22"/>
                <w:szCs w:val="22"/>
                <w:highlight w:val="none"/>
                <w:lang w:val="en-US" w:eastAsia="zh-CN" w:bidi="ar-SA"/>
              </w:rPr>
              <w:t>《医疗器械清洗消毒用水标准》</w:t>
            </w:r>
          </w:p>
          <w:p>
            <w:pPr>
              <w:widowControl/>
              <w:jc w:val="center"/>
              <w:rPr>
                <w:rFonts w:ascii="Times New Roman" w:hAnsi="Times New Roman" w:eastAsia="宋体" w:cs="宋体"/>
                <w:kern w:val="0"/>
                <w:sz w:val="22"/>
                <w:szCs w:val="22"/>
                <w:highlight w:val="none"/>
                <w:lang w:val="en-US" w:eastAsia="zh-CN" w:bidi="ar-SA"/>
              </w:rPr>
            </w:pPr>
            <w:r>
              <w:rPr>
                <w:rFonts w:hint="eastAsia" w:ascii="Times New Roman" w:hAnsi="宋体" w:eastAsia="宋体" w:cs="宋体"/>
                <w:kern w:val="0"/>
                <w:sz w:val="22"/>
                <w:szCs w:val="22"/>
                <w:highlight w:val="none"/>
                <w:lang w:val="en-US" w:eastAsia="zh-CN" w:bidi="ar-SA"/>
              </w:rPr>
              <w:t>（</w:t>
            </w:r>
            <w:r>
              <w:rPr>
                <w:rFonts w:hint="eastAsia" w:ascii="Times New Roman" w:hAnsi="Times New Roman" w:eastAsia="宋体" w:cs="宋体"/>
                <w:kern w:val="0"/>
                <w:sz w:val="22"/>
                <w:szCs w:val="22"/>
                <w:highlight w:val="none"/>
                <w:lang w:val="en-US" w:eastAsia="zh-CN" w:bidi="ar-SA"/>
              </w:rPr>
              <w:t>WS 310.1-2016</w:t>
            </w:r>
            <w:r>
              <w:rPr>
                <w:rFonts w:hint="eastAsia" w:ascii="Times New Roman" w:hAnsi="宋体" w:eastAsia="宋体" w:cs="宋体"/>
                <w:kern w:val="0"/>
                <w:sz w:val="22"/>
                <w:szCs w:val="22"/>
                <w:highlight w:val="none"/>
                <w:lang w:val="en-US" w:eastAsia="zh-CN" w:bidi="ar-SA"/>
              </w:rPr>
              <w:t>）</w:t>
            </w:r>
          </w:p>
        </w:tc>
        <w:tc>
          <w:tcPr>
            <w:tcW w:w="1358" w:type="pct"/>
            <w:noWrap w:val="0"/>
            <w:vAlign w:val="center"/>
          </w:tcPr>
          <w:p>
            <w:pPr>
              <w:widowControl/>
              <w:jc w:val="left"/>
              <w:rPr>
                <w:rFonts w:hint="eastAsia" w:ascii="Times New Roman" w:hAnsi="宋体" w:eastAsia="宋体" w:cs="宋体"/>
                <w:kern w:val="0"/>
                <w:sz w:val="22"/>
                <w:szCs w:val="22"/>
                <w:highlight w:val="none"/>
                <w:lang w:val="en-US" w:eastAsia="zh-CN" w:bidi="ar-SA"/>
              </w:rPr>
            </w:pPr>
            <w:r>
              <w:rPr>
                <w:rFonts w:hint="eastAsia" w:ascii="Times New Roman" w:hAnsi="宋体" w:eastAsia="宋体" w:cs="宋体"/>
                <w:kern w:val="0"/>
                <w:sz w:val="22"/>
                <w:szCs w:val="22"/>
                <w:highlight w:val="none"/>
                <w:lang w:val="en-US" w:eastAsia="zh-CN" w:bidi="ar-SA"/>
              </w:rPr>
              <w:t>管路材质：</w:t>
            </w:r>
            <w:r>
              <w:rPr>
                <w:rFonts w:hint="eastAsia" w:ascii="Times New Roman" w:hAnsi="Times New Roman" w:eastAsia="宋体" w:cs="宋体"/>
                <w:kern w:val="0"/>
                <w:sz w:val="22"/>
                <w:szCs w:val="22"/>
                <w:highlight w:val="none"/>
                <w:lang w:val="en-US" w:eastAsia="zh-CN" w:bidi="ar-SA"/>
              </w:rPr>
              <w:t>SS304</w:t>
            </w:r>
            <w:r>
              <w:rPr>
                <w:rFonts w:hint="eastAsia" w:ascii="Times New Roman" w:hAnsi="宋体" w:eastAsia="宋体" w:cs="宋体"/>
                <w:kern w:val="0"/>
                <w:sz w:val="22"/>
                <w:szCs w:val="22"/>
                <w:highlight w:val="none"/>
                <w:lang w:val="en-US" w:eastAsia="zh-CN" w:bidi="ar-SA"/>
              </w:rPr>
              <w:t>；</w:t>
            </w:r>
          </w:p>
          <w:p>
            <w:pPr>
              <w:widowControl/>
              <w:jc w:val="left"/>
              <w:rPr>
                <w:rFonts w:ascii="Times New Roman" w:hAnsi="Times New Roman" w:eastAsia="宋体" w:cs="宋体"/>
                <w:kern w:val="0"/>
                <w:sz w:val="22"/>
                <w:szCs w:val="22"/>
                <w:highlight w:val="none"/>
                <w:lang w:val="en-US" w:eastAsia="zh-CN" w:bidi="ar-SA"/>
              </w:rPr>
            </w:pPr>
            <w:r>
              <w:rPr>
                <w:rFonts w:hint="eastAsia" w:ascii="Times New Roman" w:hAnsi="宋体" w:eastAsia="宋体" w:cs="宋体"/>
                <w:kern w:val="0"/>
                <w:sz w:val="22"/>
                <w:szCs w:val="22"/>
                <w:highlight w:val="none"/>
                <w:lang w:val="en-US" w:eastAsia="zh-CN" w:bidi="ar-SA"/>
              </w:rPr>
              <w:t>管径：</w:t>
            </w:r>
            <w:r>
              <w:rPr>
                <w:rFonts w:hint="eastAsia" w:ascii="Times New Roman" w:hAnsi="Times New Roman" w:eastAsia="宋体" w:cs="宋体"/>
                <w:kern w:val="0"/>
                <w:sz w:val="22"/>
                <w:szCs w:val="22"/>
                <w:highlight w:val="none"/>
                <w:lang w:val="en-US" w:eastAsia="zh-CN" w:bidi="ar-SA"/>
              </w:rPr>
              <w:t>DN50-40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0" w:hRule="atLeast"/>
        </w:trPr>
        <w:tc>
          <w:tcPr>
            <w:tcW w:w="340" w:type="pct"/>
            <w:noWrap w:val="0"/>
            <w:vAlign w:val="center"/>
          </w:tcPr>
          <w:p>
            <w:pPr>
              <w:widowControl/>
              <w:jc w:val="center"/>
              <w:rPr>
                <w:rFonts w:ascii="Times New Roman" w:hAnsi="Times New Roman" w:eastAsia="宋体" w:cs="宋体"/>
                <w:kern w:val="0"/>
                <w:sz w:val="22"/>
                <w:szCs w:val="22"/>
                <w:highlight w:val="none"/>
                <w:lang w:val="en-US" w:eastAsia="zh-CN" w:bidi="ar-SA"/>
              </w:rPr>
            </w:pPr>
            <w:r>
              <w:rPr>
                <w:rFonts w:hint="eastAsia" w:ascii="Times New Roman" w:hAnsi="Times New Roman" w:eastAsia="宋体" w:cs="宋体"/>
                <w:kern w:val="0"/>
                <w:sz w:val="22"/>
                <w:szCs w:val="22"/>
                <w:highlight w:val="none"/>
                <w:lang w:val="en-US" w:eastAsia="zh-CN" w:bidi="ar-SA"/>
              </w:rPr>
              <w:t>5</w:t>
            </w:r>
          </w:p>
        </w:tc>
        <w:tc>
          <w:tcPr>
            <w:tcW w:w="595" w:type="pct"/>
            <w:noWrap w:val="0"/>
            <w:vAlign w:val="center"/>
          </w:tcPr>
          <w:p>
            <w:pPr>
              <w:widowControl/>
              <w:jc w:val="center"/>
              <w:rPr>
                <w:rFonts w:ascii="Times New Roman" w:hAnsi="Times New Roman" w:eastAsia="宋体" w:cs="宋体"/>
                <w:kern w:val="0"/>
                <w:sz w:val="22"/>
                <w:szCs w:val="22"/>
                <w:highlight w:val="none"/>
                <w:lang w:val="en-US" w:eastAsia="zh-CN" w:bidi="ar-SA"/>
              </w:rPr>
            </w:pPr>
            <w:r>
              <w:rPr>
                <w:rFonts w:hint="eastAsia" w:ascii="Times New Roman" w:hAnsi="宋体" w:eastAsia="宋体" w:cs="宋体"/>
                <w:kern w:val="0"/>
                <w:sz w:val="22"/>
                <w:szCs w:val="22"/>
                <w:highlight w:val="none"/>
                <w:lang w:val="en-US" w:eastAsia="zh-CN" w:bidi="ar-SA"/>
              </w:rPr>
              <w:t>饮用纯水</w:t>
            </w:r>
          </w:p>
        </w:tc>
        <w:tc>
          <w:tcPr>
            <w:tcW w:w="512" w:type="pct"/>
            <w:noWrap w:val="0"/>
            <w:vAlign w:val="center"/>
          </w:tcPr>
          <w:p>
            <w:pPr>
              <w:widowControl/>
              <w:jc w:val="center"/>
              <w:rPr>
                <w:rFonts w:ascii="Times New Roman" w:hAnsi="Times New Roman" w:eastAsia="宋体" w:cs="宋体"/>
                <w:kern w:val="0"/>
                <w:sz w:val="22"/>
                <w:szCs w:val="22"/>
                <w:highlight w:val="none"/>
                <w:lang w:val="en-US" w:eastAsia="zh-CN" w:bidi="ar-SA"/>
              </w:rPr>
            </w:pPr>
            <w:r>
              <w:rPr>
                <w:rFonts w:hint="eastAsia" w:ascii="Times New Roman" w:hAnsi="Times New Roman" w:eastAsia="宋体" w:cs="宋体"/>
                <w:kern w:val="0"/>
                <w:sz w:val="22"/>
                <w:szCs w:val="22"/>
                <w:highlight w:val="none"/>
                <w:lang w:val="en-US" w:eastAsia="zh-CN" w:bidi="ar-SA"/>
              </w:rPr>
              <w:t>150</w:t>
            </w:r>
          </w:p>
        </w:tc>
        <w:tc>
          <w:tcPr>
            <w:tcW w:w="646" w:type="pct"/>
            <w:noWrap w:val="0"/>
            <w:vAlign w:val="center"/>
          </w:tcPr>
          <w:p>
            <w:pPr>
              <w:widowControl/>
              <w:jc w:val="center"/>
              <w:rPr>
                <w:rFonts w:ascii="Times New Roman" w:hAnsi="Times New Roman" w:eastAsia="宋体" w:cs="宋体"/>
                <w:kern w:val="0"/>
                <w:sz w:val="22"/>
                <w:szCs w:val="22"/>
                <w:highlight w:val="none"/>
                <w:lang w:val="en-US" w:eastAsia="zh-CN" w:bidi="ar-SA"/>
              </w:rPr>
            </w:pPr>
            <w:r>
              <w:rPr>
                <w:rFonts w:hint="eastAsia" w:ascii="Times New Roman" w:hAnsi="Times New Roman" w:eastAsia="宋体" w:cs="宋体"/>
                <w:kern w:val="0"/>
                <w:sz w:val="22"/>
                <w:szCs w:val="22"/>
                <w:highlight w:val="none"/>
                <w:lang w:val="en-US" w:eastAsia="zh-CN" w:bidi="ar-SA"/>
              </w:rPr>
              <w:t>4000</w:t>
            </w:r>
          </w:p>
        </w:tc>
        <w:tc>
          <w:tcPr>
            <w:tcW w:w="1549" w:type="pct"/>
            <w:noWrap w:val="0"/>
            <w:vAlign w:val="center"/>
          </w:tcPr>
          <w:p>
            <w:pPr>
              <w:widowControl/>
              <w:jc w:val="center"/>
              <w:rPr>
                <w:rFonts w:ascii="Times New Roman" w:hAnsi="Times New Roman" w:eastAsia="宋体" w:cs="宋体"/>
                <w:kern w:val="0"/>
                <w:sz w:val="22"/>
                <w:szCs w:val="22"/>
                <w:highlight w:val="none"/>
                <w:lang w:val="en-US" w:eastAsia="zh-CN" w:bidi="ar-SA"/>
              </w:rPr>
            </w:pPr>
            <w:r>
              <w:rPr>
                <w:rFonts w:hint="eastAsia" w:ascii="Times New Roman" w:hAnsi="宋体" w:eastAsia="宋体" w:cs="宋体"/>
                <w:kern w:val="0"/>
                <w:sz w:val="22"/>
                <w:szCs w:val="22"/>
                <w:highlight w:val="none"/>
                <w:lang w:val="en-US" w:eastAsia="zh-CN" w:bidi="ar-SA"/>
              </w:rPr>
              <w:t>《饮用净水水质标准》（</w:t>
            </w:r>
            <w:r>
              <w:rPr>
                <w:rFonts w:hint="eastAsia" w:ascii="Times New Roman" w:hAnsi="Times New Roman" w:eastAsia="宋体" w:cs="宋体"/>
                <w:kern w:val="0"/>
                <w:sz w:val="22"/>
                <w:szCs w:val="22"/>
                <w:highlight w:val="none"/>
                <w:lang w:val="en-US" w:eastAsia="zh-CN" w:bidi="ar-SA"/>
              </w:rPr>
              <w:t>CJ94-2005</w:t>
            </w:r>
            <w:r>
              <w:rPr>
                <w:rFonts w:hint="eastAsia" w:ascii="Times New Roman" w:hAnsi="宋体" w:eastAsia="宋体" w:cs="宋体"/>
                <w:kern w:val="0"/>
                <w:sz w:val="22"/>
                <w:szCs w:val="22"/>
                <w:highlight w:val="none"/>
                <w:lang w:val="en-US" w:eastAsia="zh-CN" w:bidi="ar-SA"/>
              </w:rPr>
              <w:t>）</w:t>
            </w:r>
          </w:p>
        </w:tc>
        <w:tc>
          <w:tcPr>
            <w:tcW w:w="1358" w:type="pct"/>
            <w:noWrap w:val="0"/>
            <w:vAlign w:val="center"/>
          </w:tcPr>
          <w:p>
            <w:pPr>
              <w:widowControl/>
              <w:jc w:val="left"/>
              <w:rPr>
                <w:rFonts w:hint="eastAsia" w:ascii="Times New Roman" w:hAnsi="宋体" w:eastAsia="宋体" w:cs="宋体"/>
                <w:kern w:val="0"/>
                <w:sz w:val="22"/>
                <w:szCs w:val="22"/>
                <w:highlight w:val="none"/>
                <w:lang w:val="en-US" w:eastAsia="zh-CN" w:bidi="ar-SA"/>
              </w:rPr>
            </w:pPr>
            <w:r>
              <w:rPr>
                <w:rFonts w:hint="eastAsia" w:ascii="Times New Roman" w:hAnsi="宋体" w:eastAsia="宋体" w:cs="宋体"/>
                <w:kern w:val="0"/>
                <w:sz w:val="22"/>
                <w:szCs w:val="22"/>
                <w:highlight w:val="none"/>
                <w:lang w:val="en-US" w:eastAsia="zh-CN" w:bidi="ar-SA"/>
              </w:rPr>
              <w:t>管路材质：</w:t>
            </w:r>
            <w:r>
              <w:rPr>
                <w:rFonts w:hint="eastAsia" w:ascii="Times New Roman" w:hAnsi="Times New Roman" w:eastAsia="宋体" w:cs="宋体"/>
                <w:kern w:val="0"/>
                <w:sz w:val="22"/>
                <w:szCs w:val="22"/>
                <w:highlight w:val="none"/>
                <w:lang w:val="en-US" w:eastAsia="zh-CN" w:bidi="ar-SA"/>
              </w:rPr>
              <w:t>SS304</w:t>
            </w:r>
            <w:r>
              <w:rPr>
                <w:rFonts w:hint="eastAsia" w:ascii="Times New Roman" w:hAnsi="宋体" w:eastAsia="宋体" w:cs="宋体"/>
                <w:kern w:val="0"/>
                <w:sz w:val="22"/>
                <w:szCs w:val="22"/>
                <w:highlight w:val="none"/>
                <w:lang w:val="en-US" w:eastAsia="zh-CN" w:bidi="ar-SA"/>
              </w:rPr>
              <w:t>；</w:t>
            </w:r>
          </w:p>
          <w:p>
            <w:pPr>
              <w:widowControl/>
              <w:jc w:val="left"/>
              <w:rPr>
                <w:rFonts w:ascii="Times New Roman" w:hAnsi="Times New Roman" w:eastAsia="宋体" w:cs="宋体"/>
                <w:kern w:val="0"/>
                <w:sz w:val="22"/>
                <w:szCs w:val="22"/>
                <w:highlight w:val="none"/>
                <w:lang w:val="en-US" w:eastAsia="zh-CN" w:bidi="ar-SA"/>
              </w:rPr>
            </w:pPr>
            <w:r>
              <w:rPr>
                <w:rFonts w:hint="eastAsia" w:ascii="Times New Roman" w:hAnsi="宋体" w:eastAsia="宋体" w:cs="宋体"/>
                <w:kern w:val="0"/>
                <w:sz w:val="22"/>
                <w:szCs w:val="22"/>
                <w:highlight w:val="none"/>
                <w:lang w:val="en-US" w:eastAsia="zh-CN" w:bidi="ar-SA"/>
              </w:rPr>
              <w:t>管径：</w:t>
            </w:r>
            <w:r>
              <w:rPr>
                <w:rFonts w:hint="eastAsia" w:ascii="Times New Roman" w:hAnsi="Times New Roman" w:eastAsia="宋体" w:cs="宋体"/>
                <w:kern w:val="0"/>
                <w:sz w:val="22"/>
                <w:szCs w:val="22"/>
                <w:highlight w:val="none"/>
                <w:lang w:val="en-US" w:eastAsia="zh-CN" w:bidi="ar-SA"/>
              </w:rPr>
              <w:t>DN40-20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0" w:hRule="atLeast"/>
        </w:trPr>
        <w:tc>
          <w:tcPr>
            <w:tcW w:w="340"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6</w:t>
            </w:r>
          </w:p>
        </w:tc>
        <w:tc>
          <w:tcPr>
            <w:tcW w:w="595"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冲洗用水</w:t>
            </w:r>
          </w:p>
        </w:tc>
        <w:tc>
          <w:tcPr>
            <w:tcW w:w="512"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88</w:t>
            </w:r>
          </w:p>
        </w:tc>
        <w:tc>
          <w:tcPr>
            <w:tcW w:w="646"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9600</w:t>
            </w:r>
          </w:p>
        </w:tc>
        <w:tc>
          <w:tcPr>
            <w:tcW w:w="1549"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冲洗用水标准</w:t>
            </w:r>
          </w:p>
        </w:tc>
        <w:tc>
          <w:tcPr>
            <w:tcW w:w="1358" w:type="pct"/>
            <w:noWrap w:val="0"/>
            <w:vAlign w:val="center"/>
          </w:tcPr>
          <w:p>
            <w:pPr>
              <w:widowControl/>
              <w:jc w:val="left"/>
              <w:rPr>
                <w:rFonts w:hint="eastAsia" w:ascii="Times New Roman" w:hAnsi="宋体" w:eastAsia="宋体" w:cs="宋体"/>
                <w:kern w:val="0"/>
                <w:sz w:val="22"/>
                <w:szCs w:val="22"/>
                <w:highlight w:val="none"/>
                <w:lang w:val="en-US" w:eastAsia="zh-CN" w:bidi="ar-SA"/>
              </w:rPr>
            </w:pPr>
            <w:r>
              <w:rPr>
                <w:rFonts w:hint="eastAsia" w:ascii="Times New Roman" w:hAnsi="宋体" w:eastAsia="宋体" w:cs="宋体"/>
                <w:kern w:val="0"/>
                <w:sz w:val="22"/>
                <w:szCs w:val="22"/>
                <w:highlight w:val="none"/>
                <w:lang w:val="en-US" w:eastAsia="zh-CN" w:bidi="ar-SA"/>
              </w:rPr>
              <w:t>管路材质：</w:t>
            </w:r>
            <w:r>
              <w:rPr>
                <w:rFonts w:hint="eastAsia" w:ascii="Times New Roman" w:hAnsi="Times New Roman" w:eastAsia="宋体" w:cs="宋体"/>
                <w:kern w:val="0"/>
                <w:sz w:val="22"/>
                <w:szCs w:val="22"/>
                <w:highlight w:val="none"/>
                <w:lang w:val="en-US" w:eastAsia="zh-CN" w:bidi="ar-SA"/>
              </w:rPr>
              <w:t>SS304</w:t>
            </w:r>
            <w:r>
              <w:rPr>
                <w:rFonts w:hint="eastAsia" w:ascii="Times New Roman" w:hAnsi="宋体" w:eastAsia="宋体" w:cs="宋体"/>
                <w:kern w:val="0"/>
                <w:sz w:val="22"/>
                <w:szCs w:val="22"/>
                <w:highlight w:val="none"/>
                <w:lang w:val="en-US" w:eastAsia="zh-CN" w:bidi="ar-SA"/>
              </w:rPr>
              <w:t>；</w:t>
            </w:r>
          </w:p>
          <w:p>
            <w:pPr>
              <w:widowControl/>
              <w:jc w:val="left"/>
              <w:rPr>
                <w:rFonts w:ascii="Times New Roman" w:hAnsi="Times New Roman" w:eastAsia="宋体" w:cs="宋体"/>
                <w:kern w:val="0"/>
                <w:sz w:val="22"/>
                <w:szCs w:val="22"/>
                <w:highlight w:val="none"/>
                <w:lang w:val="en-US" w:eastAsia="zh-CN" w:bidi="ar-SA"/>
              </w:rPr>
            </w:pPr>
            <w:r>
              <w:rPr>
                <w:rFonts w:hint="eastAsia" w:ascii="Times New Roman" w:hAnsi="宋体" w:eastAsia="宋体" w:cs="宋体"/>
                <w:kern w:val="0"/>
                <w:sz w:val="22"/>
                <w:szCs w:val="22"/>
                <w:highlight w:val="none"/>
                <w:lang w:val="en-US" w:eastAsia="zh-CN" w:bidi="ar-SA"/>
              </w:rPr>
              <w:t>管径：</w:t>
            </w:r>
            <w:r>
              <w:rPr>
                <w:rFonts w:hint="eastAsia" w:ascii="Times New Roman" w:hAnsi="Times New Roman" w:eastAsia="宋体" w:cs="宋体"/>
                <w:kern w:val="0"/>
                <w:sz w:val="22"/>
                <w:szCs w:val="22"/>
                <w:highlight w:val="none"/>
                <w:lang w:val="en-US" w:eastAsia="zh-CN" w:bidi="ar-SA"/>
              </w:rPr>
              <w:t>DN50-20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0" w:hRule="atLeast"/>
        </w:trPr>
        <w:tc>
          <w:tcPr>
            <w:tcW w:w="340"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7</w:t>
            </w:r>
          </w:p>
        </w:tc>
        <w:tc>
          <w:tcPr>
            <w:tcW w:w="595"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软化水</w:t>
            </w:r>
          </w:p>
        </w:tc>
        <w:tc>
          <w:tcPr>
            <w:tcW w:w="512"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11</w:t>
            </w:r>
          </w:p>
        </w:tc>
        <w:tc>
          <w:tcPr>
            <w:tcW w:w="646"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3000</w:t>
            </w:r>
          </w:p>
        </w:tc>
        <w:tc>
          <w:tcPr>
            <w:tcW w:w="1549"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硬度＜</w:t>
            </w:r>
            <w:r>
              <w:rPr>
                <w:rFonts w:hint="eastAsia" w:ascii="Times New Roman" w:hAnsi="Times New Roman" w:eastAsia="宋体" w:cs="宋体"/>
                <w:color w:val="000000"/>
                <w:kern w:val="0"/>
                <w:sz w:val="22"/>
                <w:szCs w:val="22"/>
                <w:highlight w:val="none"/>
                <w:lang w:val="en-US" w:eastAsia="zh-CN" w:bidi="ar-SA"/>
              </w:rPr>
              <w:t>17.1ppm</w:t>
            </w:r>
            <w:r>
              <w:rPr>
                <w:rFonts w:hint="eastAsia" w:ascii="Times New Roman" w:hAnsi="宋体" w:eastAsia="宋体" w:cs="宋体"/>
                <w:color w:val="000000"/>
                <w:kern w:val="0"/>
                <w:sz w:val="22"/>
                <w:szCs w:val="22"/>
                <w:highlight w:val="none"/>
                <w:lang w:val="en-US" w:eastAsia="zh-CN" w:bidi="ar-SA"/>
              </w:rPr>
              <w:t>（以碳酸钙计）</w:t>
            </w:r>
          </w:p>
        </w:tc>
        <w:tc>
          <w:tcPr>
            <w:tcW w:w="1358" w:type="pct"/>
            <w:noWrap w:val="0"/>
            <w:vAlign w:val="center"/>
          </w:tcPr>
          <w:p>
            <w:pPr>
              <w:widowControl/>
              <w:jc w:val="left"/>
              <w:rPr>
                <w:rFonts w:hint="eastAsia" w:ascii="Times New Roman" w:hAnsi="宋体" w:eastAsia="宋体" w:cs="宋体"/>
                <w:kern w:val="0"/>
                <w:sz w:val="22"/>
                <w:szCs w:val="22"/>
                <w:highlight w:val="none"/>
                <w:lang w:val="en-US" w:eastAsia="zh-CN" w:bidi="ar-SA"/>
              </w:rPr>
            </w:pPr>
            <w:r>
              <w:rPr>
                <w:rFonts w:hint="eastAsia" w:ascii="Times New Roman" w:hAnsi="宋体" w:eastAsia="宋体" w:cs="宋体"/>
                <w:kern w:val="0"/>
                <w:sz w:val="22"/>
                <w:szCs w:val="22"/>
                <w:highlight w:val="none"/>
                <w:lang w:val="en-US" w:eastAsia="zh-CN" w:bidi="ar-SA"/>
              </w:rPr>
              <w:t>管路材质：</w:t>
            </w:r>
            <w:r>
              <w:rPr>
                <w:rFonts w:hint="eastAsia" w:ascii="Times New Roman" w:hAnsi="Times New Roman" w:eastAsia="宋体" w:cs="宋体"/>
                <w:kern w:val="0"/>
                <w:sz w:val="22"/>
                <w:szCs w:val="22"/>
                <w:highlight w:val="none"/>
                <w:lang w:val="en-US" w:eastAsia="zh-CN" w:bidi="ar-SA"/>
              </w:rPr>
              <w:t>SS304</w:t>
            </w:r>
            <w:r>
              <w:rPr>
                <w:rFonts w:hint="eastAsia" w:ascii="Times New Roman" w:hAnsi="宋体" w:eastAsia="宋体" w:cs="宋体"/>
                <w:kern w:val="0"/>
                <w:sz w:val="22"/>
                <w:szCs w:val="22"/>
                <w:highlight w:val="none"/>
                <w:lang w:val="en-US" w:eastAsia="zh-CN" w:bidi="ar-SA"/>
              </w:rPr>
              <w:t>；</w:t>
            </w:r>
          </w:p>
          <w:p>
            <w:pPr>
              <w:widowControl/>
              <w:jc w:val="left"/>
              <w:rPr>
                <w:rFonts w:ascii="Times New Roman" w:hAnsi="Times New Roman" w:eastAsia="宋体" w:cs="宋体"/>
                <w:kern w:val="0"/>
                <w:sz w:val="22"/>
                <w:szCs w:val="22"/>
                <w:highlight w:val="none"/>
                <w:lang w:val="en-US" w:eastAsia="zh-CN" w:bidi="ar-SA"/>
              </w:rPr>
            </w:pPr>
            <w:r>
              <w:rPr>
                <w:rFonts w:hint="eastAsia" w:ascii="Times New Roman" w:hAnsi="宋体" w:eastAsia="宋体" w:cs="宋体"/>
                <w:kern w:val="0"/>
                <w:sz w:val="22"/>
                <w:szCs w:val="22"/>
                <w:highlight w:val="none"/>
                <w:lang w:val="en-US" w:eastAsia="zh-CN" w:bidi="ar-SA"/>
              </w:rPr>
              <w:t>管径：</w:t>
            </w:r>
            <w:r>
              <w:rPr>
                <w:rFonts w:hint="eastAsia" w:ascii="Times New Roman" w:hAnsi="Times New Roman" w:eastAsia="宋体" w:cs="宋体"/>
                <w:kern w:val="0"/>
                <w:sz w:val="22"/>
                <w:szCs w:val="22"/>
                <w:highlight w:val="none"/>
                <w:lang w:val="en-US" w:eastAsia="zh-CN" w:bidi="ar-SA"/>
              </w:rPr>
              <w:t>DN32-25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0" w:hRule="atLeast"/>
        </w:trPr>
        <w:tc>
          <w:tcPr>
            <w:tcW w:w="935" w:type="pct"/>
            <w:gridSpan w:val="2"/>
            <w:noWrap w:val="0"/>
            <w:vAlign w:val="center"/>
          </w:tcPr>
          <w:p>
            <w:pPr>
              <w:widowControl/>
              <w:jc w:val="center"/>
              <w:rPr>
                <w:rFonts w:ascii="Times New Roman" w:hAnsi="Times New Roman" w:eastAsia="宋体" w:cs="宋体"/>
                <w:kern w:val="0"/>
                <w:sz w:val="22"/>
                <w:szCs w:val="22"/>
                <w:highlight w:val="none"/>
                <w:lang w:val="en-US" w:eastAsia="zh-CN" w:bidi="ar-SA"/>
              </w:rPr>
            </w:pPr>
            <w:r>
              <w:rPr>
                <w:rFonts w:hint="eastAsia" w:ascii="Times New Roman" w:hAnsi="宋体" w:eastAsia="宋体" w:cs="宋体"/>
                <w:kern w:val="0"/>
                <w:sz w:val="22"/>
                <w:szCs w:val="22"/>
                <w:highlight w:val="none"/>
                <w:lang w:val="en-US" w:eastAsia="zh-CN" w:bidi="ar-SA"/>
              </w:rPr>
              <w:t>合计</w:t>
            </w:r>
          </w:p>
        </w:tc>
        <w:tc>
          <w:tcPr>
            <w:tcW w:w="512" w:type="pct"/>
            <w:noWrap w:val="0"/>
            <w:vAlign w:val="center"/>
          </w:tcPr>
          <w:p>
            <w:pPr>
              <w:widowControl/>
              <w:jc w:val="center"/>
              <w:rPr>
                <w:rFonts w:ascii="Times New Roman" w:hAnsi="Times New Roman" w:eastAsia="宋体" w:cs="宋体"/>
                <w:kern w:val="0"/>
                <w:sz w:val="22"/>
                <w:szCs w:val="22"/>
                <w:highlight w:val="none"/>
                <w:lang w:val="en-US" w:eastAsia="zh-CN" w:bidi="ar-SA"/>
              </w:rPr>
            </w:pPr>
            <w:r>
              <w:rPr>
                <w:rFonts w:hint="eastAsia" w:ascii="Times New Roman" w:hAnsi="Times New Roman" w:eastAsia="宋体" w:cs="宋体"/>
                <w:kern w:val="0"/>
                <w:sz w:val="22"/>
                <w:szCs w:val="22"/>
                <w:highlight w:val="none"/>
                <w:lang w:val="en-US" w:eastAsia="zh-CN" w:bidi="ar-SA"/>
              </w:rPr>
              <w:t>505</w:t>
            </w:r>
          </w:p>
        </w:tc>
        <w:tc>
          <w:tcPr>
            <w:tcW w:w="646" w:type="pct"/>
            <w:noWrap w:val="0"/>
            <w:vAlign w:val="center"/>
          </w:tcPr>
          <w:p>
            <w:pPr>
              <w:widowControl/>
              <w:jc w:val="center"/>
              <w:rPr>
                <w:rFonts w:ascii="Times New Roman" w:hAnsi="Times New Roman" w:eastAsia="宋体" w:cs="宋体"/>
                <w:kern w:val="0"/>
                <w:sz w:val="22"/>
                <w:szCs w:val="22"/>
                <w:highlight w:val="none"/>
                <w:lang w:val="en-US" w:eastAsia="zh-CN" w:bidi="ar-SA"/>
              </w:rPr>
            </w:pPr>
            <w:r>
              <w:rPr>
                <w:rFonts w:hint="eastAsia" w:ascii="Times New Roman" w:hAnsi="Times New Roman" w:eastAsia="宋体" w:cs="宋体"/>
                <w:kern w:val="0"/>
                <w:sz w:val="22"/>
                <w:szCs w:val="22"/>
                <w:highlight w:val="none"/>
                <w:lang w:val="en-US" w:eastAsia="zh-CN" w:bidi="ar-SA"/>
              </w:rPr>
              <w:t>39300</w:t>
            </w:r>
          </w:p>
        </w:tc>
        <w:tc>
          <w:tcPr>
            <w:tcW w:w="2907" w:type="pct"/>
            <w:gridSpan w:val="2"/>
            <w:vMerge w:val="restart"/>
            <w:noWrap w:val="0"/>
            <w:vAlign w:val="center"/>
          </w:tcPr>
          <w:p>
            <w:pPr>
              <w:widowControl/>
              <w:jc w:val="center"/>
              <w:rPr>
                <w:rFonts w:ascii="Times New Roman" w:hAnsi="Times New Roman" w:eastAsia="宋体" w:cs="宋体"/>
                <w:kern w:val="0"/>
                <w:sz w:val="22"/>
                <w:szCs w:val="22"/>
                <w:highlight w:val="none"/>
                <w:lang w:val="en-US" w:eastAsia="zh-CN" w:bidi="ar-SA"/>
              </w:rPr>
            </w:pPr>
            <w:r>
              <w:rPr>
                <w:rFonts w:hint="eastAsia" w:ascii="Times New Roman" w:hAnsi="宋体" w:eastAsia="宋体" w:cs="宋体"/>
                <w:kern w:val="0"/>
                <w:sz w:val="22"/>
                <w:szCs w:val="22"/>
                <w:highlight w:val="none"/>
                <w:lang w:val="en-US" w:eastAsia="zh-CN" w:bidi="ar-SA"/>
              </w:rPr>
              <w:t>水处理机的主要配件为</w:t>
            </w:r>
            <w:r>
              <w:rPr>
                <w:rFonts w:hint="eastAsia" w:ascii="Times New Roman" w:hAnsi="Times New Roman" w:eastAsia="宋体" w:cs="宋体"/>
                <w:kern w:val="0"/>
                <w:sz w:val="22"/>
                <w:szCs w:val="22"/>
                <w:highlight w:val="none"/>
                <w:lang w:val="en-US" w:eastAsia="zh-CN" w:bidi="ar-SA"/>
              </w:rPr>
              <w:t>RO</w:t>
            </w:r>
            <w:r>
              <w:rPr>
                <w:rFonts w:hint="eastAsia" w:ascii="Times New Roman" w:hAnsi="宋体" w:eastAsia="宋体" w:cs="宋体"/>
                <w:kern w:val="0"/>
                <w:sz w:val="22"/>
                <w:szCs w:val="22"/>
                <w:highlight w:val="none"/>
                <w:lang w:val="en-US" w:eastAsia="zh-CN" w:bidi="ar-SA"/>
              </w:rPr>
              <w:t>膜元件，其特点是：其它条件恒定不变情况下，温度每下降</w:t>
            </w:r>
            <w:r>
              <w:rPr>
                <w:rFonts w:hint="eastAsia" w:ascii="Times New Roman" w:hAnsi="Times New Roman" w:eastAsia="宋体" w:cs="宋体"/>
                <w:kern w:val="0"/>
                <w:sz w:val="22"/>
                <w:szCs w:val="22"/>
                <w:highlight w:val="none"/>
                <w:lang w:val="en-US" w:eastAsia="zh-CN" w:bidi="ar-SA"/>
              </w:rPr>
              <w:t>1</w:t>
            </w:r>
            <w:r>
              <w:rPr>
                <w:rFonts w:hint="eastAsia" w:ascii="Times New Roman" w:hAnsi="宋体" w:eastAsia="宋体" w:cs="宋体"/>
                <w:kern w:val="0"/>
                <w:sz w:val="22"/>
                <w:szCs w:val="22"/>
                <w:highlight w:val="none"/>
                <w:lang w:val="en-US" w:eastAsia="zh-CN" w:bidi="ar-SA"/>
              </w:rPr>
              <w:t>℃，产水量可下降</w:t>
            </w:r>
            <w:r>
              <w:rPr>
                <w:rFonts w:hint="eastAsia" w:ascii="Times New Roman" w:hAnsi="Times New Roman" w:eastAsia="宋体" w:cs="宋体"/>
                <w:kern w:val="0"/>
                <w:sz w:val="22"/>
                <w:szCs w:val="22"/>
                <w:highlight w:val="none"/>
                <w:lang w:val="en-US" w:eastAsia="zh-CN" w:bidi="ar-SA"/>
              </w:rPr>
              <w:t>3%</w:t>
            </w:r>
            <w:r>
              <w:rPr>
                <w:rFonts w:hint="eastAsia" w:ascii="Times New Roman" w:hAnsi="宋体" w:eastAsia="宋体" w:cs="宋体"/>
                <w:kern w:val="0"/>
                <w:sz w:val="22"/>
                <w:szCs w:val="22"/>
                <w:highlight w:val="none"/>
                <w:lang w:val="en-US" w:eastAsia="zh-CN" w:bidi="ar-SA"/>
              </w:rPr>
              <w:t>左右。另外同时充分考虑</w:t>
            </w:r>
            <w:r>
              <w:rPr>
                <w:rFonts w:hint="eastAsia" w:ascii="Times New Roman" w:hAnsi="Times New Roman" w:eastAsia="宋体" w:cs="宋体"/>
                <w:kern w:val="0"/>
                <w:sz w:val="22"/>
                <w:szCs w:val="22"/>
                <w:highlight w:val="none"/>
                <w:lang w:val="en-US" w:eastAsia="zh-CN" w:bidi="ar-SA"/>
              </w:rPr>
              <w:t>RO</w:t>
            </w:r>
            <w:r>
              <w:rPr>
                <w:rFonts w:hint="eastAsia" w:ascii="Times New Roman" w:hAnsi="宋体" w:eastAsia="宋体" w:cs="宋体"/>
                <w:kern w:val="0"/>
                <w:sz w:val="22"/>
                <w:szCs w:val="22"/>
                <w:highlight w:val="none"/>
                <w:lang w:val="en-US" w:eastAsia="zh-CN" w:bidi="ar-SA"/>
              </w:rPr>
              <w:t>膜元件的年衰减率，膜的堵塞，及医院日后发展添置用水设备的可能，设计纯水实际量。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0" w:hRule="atLeast"/>
        </w:trPr>
        <w:tc>
          <w:tcPr>
            <w:tcW w:w="935" w:type="pct"/>
            <w:gridSpan w:val="2"/>
            <w:noWrap w:val="0"/>
            <w:vAlign w:val="center"/>
          </w:tcPr>
          <w:p>
            <w:pPr>
              <w:widowControl/>
              <w:jc w:val="center"/>
              <w:rPr>
                <w:rFonts w:ascii="Times New Roman" w:hAnsi="Times New Roman" w:eastAsia="宋体" w:cs="宋体"/>
                <w:b/>
                <w:bCs/>
                <w:kern w:val="0"/>
                <w:sz w:val="22"/>
                <w:szCs w:val="22"/>
                <w:highlight w:val="none"/>
                <w:lang w:val="en-US" w:eastAsia="zh-CN" w:bidi="ar-SA"/>
              </w:rPr>
            </w:pPr>
            <w:r>
              <w:rPr>
                <w:rFonts w:hint="eastAsia" w:ascii="Times New Roman" w:hAnsi="宋体" w:eastAsia="宋体" w:cs="宋体"/>
                <w:b/>
                <w:bCs/>
                <w:kern w:val="0"/>
                <w:sz w:val="22"/>
                <w:szCs w:val="22"/>
                <w:highlight w:val="none"/>
                <w:lang w:val="en-US" w:eastAsia="zh-CN" w:bidi="ar-SA"/>
              </w:rPr>
              <w:t>设计</w:t>
            </w:r>
          </w:p>
        </w:tc>
        <w:tc>
          <w:tcPr>
            <w:tcW w:w="512" w:type="pct"/>
            <w:noWrap w:val="0"/>
            <w:vAlign w:val="center"/>
          </w:tcPr>
          <w:p>
            <w:pPr>
              <w:widowControl/>
              <w:jc w:val="center"/>
              <w:rPr>
                <w:rFonts w:ascii="Times New Roman" w:hAnsi="Times New Roman" w:eastAsia="宋体" w:cs="宋体"/>
                <w:kern w:val="0"/>
                <w:sz w:val="22"/>
                <w:szCs w:val="22"/>
                <w:highlight w:val="none"/>
                <w:lang w:val="en-US" w:eastAsia="zh-CN" w:bidi="ar-SA"/>
              </w:rPr>
            </w:pPr>
            <w:r>
              <w:rPr>
                <w:rFonts w:hint="eastAsia" w:ascii="Times New Roman" w:hAnsi="Times New Roman" w:eastAsia="宋体" w:cs="宋体"/>
                <w:kern w:val="0"/>
                <w:sz w:val="22"/>
                <w:szCs w:val="22"/>
                <w:highlight w:val="none"/>
                <w:lang w:val="en-US" w:eastAsia="zh-CN" w:bidi="ar-SA"/>
              </w:rPr>
              <w:t>505</w:t>
            </w:r>
          </w:p>
        </w:tc>
        <w:tc>
          <w:tcPr>
            <w:tcW w:w="646" w:type="pct"/>
            <w:noWrap w:val="0"/>
            <w:vAlign w:val="center"/>
          </w:tcPr>
          <w:p>
            <w:pPr>
              <w:widowControl/>
              <w:jc w:val="center"/>
              <w:rPr>
                <w:rFonts w:ascii="Times New Roman" w:hAnsi="Times New Roman" w:eastAsia="宋体" w:cs="宋体"/>
                <w:kern w:val="0"/>
                <w:sz w:val="22"/>
                <w:szCs w:val="22"/>
                <w:highlight w:val="none"/>
                <w:lang w:val="en-US" w:eastAsia="zh-CN" w:bidi="ar-SA"/>
              </w:rPr>
            </w:pPr>
            <w:r>
              <w:rPr>
                <w:rFonts w:hint="eastAsia" w:ascii="Times New Roman" w:hAnsi="Times New Roman" w:eastAsia="宋体" w:cs="宋体"/>
                <w:kern w:val="0"/>
                <w:sz w:val="22"/>
                <w:szCs w:val="22"/>
                <w:highlight w:val="none"/>
                <w:lang w:val="en-US" w:eastAsia="zh-CN" w:bidi="ar-SA"/>
              </w:rPr>
              <w:t>40000</w:t>
            </w:r>
          </w:p>
        </w:tc>
        <w:tc>
          <w:tcPr>
            <w:tcW w:w="2907" w:type="pct"/>
            <w:gridSpan w:val="2"/>
            <w:vMerge w:val="continue"/>
            <w:noWrap w:val="0"/>
            <w:vAlign w:val="center"/>
          </w:tcPr>
          <w:p>
            <w:pPr>
              <w:widowControl/>
              <w:jc w:val="left"/>
              <w:rPr>
                <w:rFonts w:ascii="Times New Roman" w:hAnsi="Times New Roman" w:eastAsia="宋体" w:cs="宋体"/>
                <w:kern w:val="0"/>
                <w:sz w:val="22"/>
                <w:szCs w:val="22"/>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0" w:hRule="atLeast"/>
        </w:trPr>
        <w:tc>
          <w:tcPr>
            <w:tcW w:w="5000" w:type="pct"/>
            <w:gridSpan w:val="6"/>
            <w:noWrap w:val="0"/>
            <w:vAlign w:val="center"/>
          </w:tcPr>
          <w:p>
            <w:pPr>
              <w:widowControl/>
              <w:jc w:val="center"/>
              <w:rPr>
                <w:rFonts w:ascii="Times New Roman" w:hAnsi="Times New Roman" w:eastAsia="宋体" w:cs="宋体"/>
                <w:kern w:val="0"/>
                <w:sz w:val="22"/>
                <w:szCs w:val="22"/>
                <w:highlight w:val="none"/>
                <w:lang w:val="en-US" w:eastAsia="zh-CN" w:bidi="ar-SA"/>
              </w:rPr>
            </w:pPr>
            <w:r>
              <w:rPr>
                <w:rFonts w:hint="eastAsia" w:ascii="Times New Roman" w:hAnsi="宋体" w:eastAsia="宋体" w:cs="宋体"/>
                <w:kern w:val="0"/>
                <w:sz w:val="22"/>
                <w:szCs w:val="22"/>
                <w:highlight w:val="none"/>
                <w:lang w:val="en-US" w:eastAsia="zh-CN" w:bidi="ar-SA"/>
              </w:rPr>
              <w:t>中心水机房暂定在地下一层纯水机房，建议占地面积约</w:t>
            </w:r>
            <w:r>
              <w:rPr>
                <w:rFonts w:hint="eastAsia" w:ascii="Times New Roman" w:hAnsi="Times New Roman" w:eastAsia="宋体" w:cs="宋体"/>
                <w:kern w:val="0"/>
                <w:sz w:val="22"/>
                <w:szCs w:val="22"/>
                <w:highlight w:val="none"/>
                <w:lang w:val="en-US" w:eastAsia="zh-CN" w:bidi="ar-SA"/>
              </w:rPr>
              <w:t>160-180</w:t>
            </w:r>
            <w:r>
              <w:rPr>
                <w:rFonts w:hint="eastAsia" w:ascii="Times New Roman" w:hAnsi="宋体" w:eastAsia="宋体" w:cs="宋体"/>
                <w:kern w:val="0"/>
                <w:sz w:val="22"/>
                <w:szCs w:val="22"/>
                <w:highlight w:val="none"/>
                <w:lang w:val="en-US" w:eastAsia="zh-CN" w:bidi="ar-SA"/>
              </w:rPr>
              <w:t>平方，承重</w:t>
            </w:r>
            <w:r>
              <w:rPr>
                <w:rFonts w:hint="eastAsia" w:ascii="Times New Roman" w:hAnsi="Times New Roman" w:eastAsia="宋体" w:cs="宋体"/>
                <w:kern w:val="0"/>
                <w:sz w:val="22"/>
                <w:szCs w:val="22"/>
                <w:highlight w:val="none"/>
                <w:lang w:val="en-US" w:eastAsia="zh-CN" w:bidi="ar-SA"/>
              </w:rPr>
              <w:t>≥70t,</w:t>
            </w:r>
            <w:r>
              <w:rPr>
                <w:rFonts w:hint="eastAsia" w:ascii="Times New Roman" w:hAnsi="宋体" w:eastAsia="宋体" w:cs="宋体"/>
                <w:kern w:val="0"/>
                <w:sz w:val="22"/>
                <w:szCs w:val="22"/>
                <w:highlight w:val="none"/>
                <w:lang w:val="en-US" w:eastAsia="zh-CN" w:bidi="ar-SA"/>
              </w:rPr>
              <w:t>做好防水和地坪。</w:t>
            </w:r>
          </w:p>
        </w:tc>
      </w:tr>
    </w:tbl>
    <w:p>
      <w:pPr>
        <w:rPr>
          <w:rFonts w:ascii="Times New Roman" w:hAnsi="Times New Roman" w:eastAsia="宋体" w:cs="Times New Roman"/>
          <w:kern w:val="2"/>
          <w:sz w:val="21"/>
          <w:szCs w:val="22"/>
          <w:highlight w:val="none"/>
          <w:lang w:val="en-US" w:eastAsia="zh-CN" w:bidi="ar-SA"/>
        </w:rPr>
      </w:pPr>
    </w:p>
    <w:p>
      <w:pPr>
        <w:rPr>
          <w:rFonts w:ascii="Times New Roman" w:hAnsi="Times New Roman" w:eastAsia="宋体"/>
          <w:highlight w:val="none"/>
        </w:rPr>
        <w:sectPr>
          <w:pgSz w:w="11906" w:h="16838"/>
          <w:pgMar w:top="1440" w:right="1077" w:bottom="1440" w:left="1077" w:header="851" w:footer="992" w:gutter="284"/>
          <w:cols w:space="720" w:num="1"/>
          <w:docGrid w:type="lines" w:linePitch="312" w:charSpace="0"/>
        </w:sectPr>
      </w:pPr>
    </w:p>
    <w:p>
      <w:pPr>
        <w:keepNext/>
        <w:keepLines/>
        <w:widowControl w:val="0"/>
        <w:numPr>
          <w:ilvl w:val="0"/>
          <w:numId w:val="40"/>
        </w:numPr>
        <w:spacing w:line="480" w:lineRule="auto"/>
        <w:jc w:val="both"/>
        <w:outlineLvl w:val="2"/>
        <w:rPr>
          <w:rFonts w:ascii="Times New Roman" w:hAnsi="Times New Roman" w:eastAsia="宋体" w:cs="Times New Roman"/>
          <w:b/>
          <w:bCs/>
          <w:kern w:val="2"/>
          <w:sz w:val="21"/>
          <w:szCs w:val="32"/>
          <w:highlight w:val="none"/>
          <w:lang w:val="en-US" w:eastAsia="zh-CN" w:bidi="ar-SA"/>
        </w:rPr>
      </w:pPr>
      <w:r>
        <w:rPr>
          <w:rFonts w:hint="eastAsia" w:ascii="Times New Roman" w:hAnsi="宋体" w:eastAsia="宋体" w:cs="Times New Roman"/>
          <w:b/>
          <w:bCs/>
          <w:kern w:val="2"/>
          <w:sz w:val="21"/>
          <w:szCs w:val="32"/>
          <w:highlight w:val="none"/>
          <w:lang w:val="en-US" w:eastAsia="zh-CN" w:bidi="ar-SA"/>
        </w:rPr>
        <w:t>饮用纯水具体用水点用水量如下：</w:t>
      </w:r>
    </w:p>
    <w:tbl>
      <w:tblPr>
        <w:tblStyle w:val="3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6"/>
        <w:gridCol w:w="1400"/>
        <w:gridCol w:w="4204"/>
        <w:gridCol w:w="1114"/>
        <w:gridCol w:w="1108"/>
        <w:gridCol w:w="1108"/>
        <w:gridCol w:w="1108"/>
        <w:gridCol w:w="1109"/>
        <w:gridCol w:w="1109"/>
        <w:gridCol w:w="10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88" w:type="pct"/>
            <w:shd w:val="clear" w:color="000000" w:fill="92D050"/>
            <w:noWrap w:val="0"/>
            <w:vAlign w:val="center"/>
          </w:tcPr>
          <w:p>
            <w:pPr>
              <w:widowControl/>
              <w:jc w:val="center"/>
              <w:rPr>
                <w:rFonts w:ascii="宋体" w:hAnsi="宋体" w:eastAsia="宋体" w:cs="宋体"/>
                <w:b/>
                <w:bCs/>
                <w:color w:val="000000"/>
                <w:kern w:val="0"/>
                <w:sz w:val="22"/>
                <w:szCs w:val="22"/>
                <w:highlight w:val="none"/>
                <w:lang w:val="en-US" w:eastAsia="zh-CN" w:bidi="ar-SA"/>
              </w:rPr>
            </w:pPr>
            <w:r>
              <w:rPr>
                <w:rFonts w:hint="eastAsia" w:ascii="宋体" w:hAnsi="宋体" w:eastAsia="宋体" w:cs="宋体"/>
                <w:b/>
                <w:bCs/>
                <w:color w:val="000000"/>
                <w:kern w:val="0"/>
                <w:sz w:val="22"/>
                <w:szCs w:val="22"/>
                <w:highlight w:val="none"/>
                <w:lang w:val="en-US" w:eastAsia="zh-CN" w:bidi="ar-SA"/>
              </w:rPr>
              <w:t>序号</w:t>
            </w:r>
          </w:p>
        </w:tc>
        <w:tc>
          <w:tcPr>
            <w:tcW w:w="494" w:type="pct"/>
            <w:shd w:val="clear" w:color="000000" w:fill="92D050"/>
            <w:noWrap w:val="0"/>
            <w:vAlign w:val="center"/>
          </w:tcPr>
          <w:p>
            <w:pPr>
              <w:widowControl/>
              <w:jc w:val="center"/>
              <w:rPr>
                <w:rFonts w:ascii="宋体" w:hAnsi="宋体" w:eastAsia="宋体" w:cs="宋体"/>
                <w:b/>
                <w:bCs/>
                <w:color w:val="000000"/>
                <w:kern w:val="0"/>
                <w:sz w:val="22"/>
                <w:szCs w:val="22"/>
                <w:highlight w:val="none"/>
                <w:lang w:val="en-US" w:eastAsia="zh-CN" w:bidi="ar-SA"/>
              </w:rPr>
            </w:pPr>
            <w:r>
              <w:rPr>
                <w:rFonts w:hint="eastAsia" w:ascii="宋体" w:hAnsi="宋体" w:eastAsia="宋体" w:cs="宋体"/>
                <w:b/>
                <w:bCs/>
                <w:color w:val="000000"/>
                <w:kern w:val="0"/>
                <w:sz w:val="22"/>
                <w:szCs w:val="22"/>
                <w:highlight w:val="none"/>
                <w:lang w:val="en-US" w:eastAsia="zh-CN" w:bidi="ar-SA"/>
              </w:rPr>
              <w:t>楼号/楼层</w:t>
            </w:r>
          </w:p>
        </w:tc>
        <w:tc>
          <w:tcPr>
            <w:tcW w:w="1483" w:type="pct"/>
            <w:shd w:val="clear" w:color="000000" w:fill="92D050"/>
            <w:noWrap w:val="0"/>
            <w:vAlign w:val="center"/>
          </w:tcPr>
          <w:p>
            <w:pPr>
              <w:widowControl/>
              <w:jc w:val="center"/>
              <w:rPr>
                <w:rFonts w:ascii="宋体" w:hAnsi="宋体" w:eastAsia="宋体" w:cs="宋体"/>
                <w:b/>
                <w:bCs/>
                <w:color w:val="000000"/>
                <w:kern w:val="0"/>
                <w:sz w:val="22"/>
                <w:szCs w:val="22"/>
                <w:highlight w:val="none"/>
                <w:lang w:val="en-US" w:eastAsia="zh-CN" w:bidi="ar-SA"/>
              </w:rPr>
            </w:pPr>
            <w:r>
              <w:rPr>
                <w:rFonts w:hint="eastAsia" w:ascii="宋体" w:hAnsi="宋体" w:eastAsia="宋体" w:cs="宋体"/>
                <w:b/>
                <w:bCs/>
                <w:color w:val="000000"/>
                <w:kern w:val="0"/>
                <w:sz w:val="22"/>
                <w:szCs w:val="22"/>
                <w:highlight w:val="none"/>
                <w:lang w:val="en-US" w:eastAsia="zh-CN" w:bidi="ar-SA"/>
              </w:rPr>
              <w:t>用水点设置说明</w:t>
            </w:r>
          </w:p>
        </w:tc>
        <w:tc>
          <w:tcPr>
            <w:tcW w:w="392" w:type="pct"/>
            <w:shd w:val="clear" w:color="000000" w:fill="92D050"/>
            <w:noWrap w:val="0"/>
            <w:vAlign w:val="center"/>
          </w:tcPr>
          <w:p>
            <w:pPr>
              <w:widowControl/>
              <w:jc w:val="center"/>
              <w:rPr>
                <w:rFonts w:ascii="宋体" w:hAnsi="宋体" w:eastAsia="宋体" w:cs="宋体"/>
                <w:b/>
                <w:bCs/>
                <w:color w:val="000000"/>
                <w:kern w:val="0"/>
                <w:sz w:val="22"/>
                <w:szCs w:val="22"/>
                <w:highlight w:val="none"/>
                <w:lang w:val="en-US" w:eastAsia="zh-CN" w:bidi="ar-SA"/>
              </w:rPr>
            </w:pPr>
            <w:r>
              <w:rPr>
                <w:rFonts w:hint="eastAsia" w:ascii="宋体" w:hAnsi="宋体" w:eastAsia="宋体" w:cs="宋体"/>
                <w:b/>
                <w:bCs/>
                <w:color w:val="000000"/>
                <w:kern w:val="0"/>
                <w:sz w:val="22"/>
                <w:szCs w:val="22"/>
                <w:highlight w:val="none"/>
                <w:lang w:val="en-US" w:eastAsia="zh-CN" w:bidi="ar-SA"/>
              </w:rPr>
              <w:t>水质类别</w:t>
            </w:r>
          </w:p>
        </w:tc>
        <w:tc>
          <w:tcPr>
            <w:tcW w:w="391" w:type="pct"/>
            <w:shd w:val="clear" w:color="000000" w:fill="92D050"/>
            <w:noWrap w:val="0"/>
            <w:vAlign w:val="center"/>
          </w:tcPr>
          <w:p>
            <w:pPr>
              <w:widowControl/>
              <w:jc w:val="center"/>
              <w:rPr>
                <w:rFonts w:ascii="宋体" w:hAnsi="宋体" w:eastAsia="宋体" w:cs="宋体"/>
                <w:b/>
                <w:bCs/>
                <w:color w:val="000000"/>
                <w:kern w:val="0"/>
                <w:sz w:val="22"/>
                <w:szCs w:val="22"/>
                <w:highlight w:val="none"/>
                <w:lang w:val="en-US" w:eastAsia="zh-CN" w:bidi="ar-SA"/>
              </w:rPr>
            </w:pPr>
            <w:r>
              <w:rPr>
                <w:rFonts w:hint="eastAsia" w:ascii="宋体" w:hAnsi="宋体" w:eastAsia="宋体" w:cs="宋体"/>
                <w:b/>
                <w:bCs/>
                <w:color w:val="000000"/>
                <w:kern w:val="0"/>
                <w:sz w:val="22"/>
                <w:szCs w:val="22"/>
                <w:highlight w:val="none"/>
                <w:lang w:val="en-US" w:eastAsia="zh-CN" w:bidi="ar-SA"/>
              </w:rPr>
              <w:t>壁挂式管线机</w:t>
            </w:r>
          </w:p>
        </w:tc>
        <w:tc>
          <w:tcPr>
            <w:tcW w:w="391" w:type="pct"/>
            <w:shd w:val="clear" w:color="000000" w:fill="92D050"/>
            <w:noWrap w:val="0"/>
            <w:vAlign w:val="center"/>
          </w:tcPr>
          <w:p>
            <w:pPr>
              <w:widowControl/>
              <w:jc w:val="center"/>
              <w:rPr>
                <w:rFonts w:ascii="宋体" w:hAnsi="宋体" w:eastAsia="宋体" w:cs="宋体"/>
                <w:b/>
                <w:bCs/>
                <w:color w:val="000000"/>
                <w:kern w:val="0"/>
                <w:sz w:val="22"/>
                <w:szCs w:val="22"/>
                <w:highlight w:val="none"/>
                <w:lang w:val="en-US" w:eastAsia="zh-CN" w:bidi="ar-SA"/>
              </w:rPr>
            </w:pPr>
            <w:r>
              <w:rPr>
                <w:rFonts w:hint="eastAsia" w:ascii="宋体" w:hAnsi="宋体" w:eastAsia="宋体" w:cs="宋体"/>
                <w:b/>
                <w:bCs/>
                <w:color w:val="000000"/>
                <w:kern w:val="0"/>
                <w:sz w:val="22"/>
                <w:szCs w:val="22"/>
                <w:highlight w:val="none"/>
                <w:lang w:val="en-US" w:eastAsia="zh-CN" w:bidi="ar-SA"/>
              </w:rPr>
              <w:t>落地式管线机</w:t>
            </w:r>
          </w:p>
        </w:tc>
        <w:tc>
          <w:tcPr>
            <w:tcW w:w="391" w:type="pct"/>
            <w:shd w:val="clear" w:color="000000" w:fill="92D050"/>
            <w:noWrap w:val="0"/>
            <w:vAlign w:val="center"/>
          </w:tcPr>
          <w:p>
            <w:pPr>
              <w:widowControl/>
              <w:jc w:val="center"/>
              <w:rPr>
                <w:rFonts w:ascii="宋体" w:hAnsi="宋体" w:eastAsia="宋体" w:cs="宋体"/>
                <w:b/>
                <w:bCs/>
                <w:color w:val="000000"/>
                <w:kern w:val="0"/>
                <w:sz w:val="22"/>
                <w:szCs w:val="22"/>
                <w:highlight w:val="none"/>
                <w:lang w:val="en-US" w:eastAsia="zh-CN" w:bidi="ar-SA"/>
              </w:rPr>
            </w:pPr>
            <w:r>
              <w:rPr>
                <w:rFonts w:hint="eastAsia" w:ascii="宋体" w:hAnsi="宋体" w:eastAsia="宋体" w:cs="宋体"/>
                <w:b/>
                <w:bCs/>
                <w:color w:val="000000"/>
                <w:kern w:val="0"/>
                <w:sz w:val="22"/>
                <w:szCs w:val="22"/>
                <w:highlight w:val="none"/>
                <w:lang w:val="en-US" w:eastAsia="zh-CN" w:bidi="ar-SA"/>
              </w:rPr>
              <w:t>开水炉</w:t>
            </w:r>
          </w:p>
        </w:tc>
        <w:tc>
          <w:tcPr>
            <w:tcW w:w="391" w:type="pct"/>
            <w:shd w:val="clear" w:color="000000" w:fill="92D050"/>
            <w:noWrap w:val="0"/>
            <w:vAlign w:val="center"/>
          </w:tcPr>
          <w:p>
            <w:pPr>
              <w:widowControl/>
              <w:jc w:val="center"/>
              <w:rPr>
                <w:rFonts w:ascii="宋体" w:hAnsi="宋体" w:eastAsia="宋体" w:cs="宋体"/>
                <w:b/>
                <w:bCs/>
                <w:color w:val="000000"/>
                <w:kern w:val="0"/>
                <w:sz w:val="22"/>
                <w:szCs w:val="22"/>
                <w:highlight w:val="none"/>
                <w:lang w:val="en-US" w:eastAsia="zh-CN" w:bidi="ar-SA"/>
              </w:rPr>
            </w:pPr>
            <w:r>
              <w:rPr>
                <w:rFonts w:hint="eastAsia" w:ascii="宋体" w:hAnsi="宋体" w:eastAsia="宋体" w:cs="宋体"/>
                <w:b/>
                <w:bCs/>
                <w:color w:val="000000"/>
                <w:kern w:val="0"/>
                <w:sz w:val="22"/>
                <w:szCs w:val="22"/>
                <w:highlight w:val="none"/>
                <w:lang w:val="en-US" w:eastAsia="zh-CN" w:bidi="ar-SA"/>
              </w:rPr>
              <w:t>阀门DN15</w:t>
            </w:r>
          </w:p>
        </w:tc>
        <w:tc>
          <w:tcPr>
            <w:tcW w:w="391" w:type="pct"/>
            <w:shd w:val="clear" w:color="000000" w:fill="92D050"/>
            <w:noWrap w:val="0"/>
            <w:vAlign w:val="center"/>
          </w:tcPr>
          <w:p>
            <w:pPr>
              <w:widowControl/>
              <w:jc w:val="center"/>
              <w:rPr>
                <w:rFonts w:ascii="宋体" w:hAnsi="宋体" w:eastAsia="宋体" w:cs="宋体"/>
                <w:b/>
                <w:bCs/>
                <w:color w:val="000000"/>
                <w:kern w:val="0"/>
                <w:sz w:val="22"/>
                <w:szCs w:val="22"/>
                <w:highlight w:val="none"/>
                <w:lang w:val="en-US" w:eastAsia="zh-CN" w:bidi="ar-SA"/>
              </w:rPr>
            </w:pPr>
            <w:r>
              <w:rPr>
                <w:rFonts w:hint="eastAsia" w:ascii="宋体" w:hAnsi="宋体" w:eastAsia="宋体" w:cs="宋体"/>
                <w:b/>
                <w:bCs/>
                <w:color w:val="000000"/>
                <w:kern w:val="0"/>
                <w:sz w:val="22"/>
                <w:szCs w:val="22"/>
                <w:highlight w:val="none"/>
                <w:lang w:val="en-US" w:eastAsia="zh-CN" w:bidi="ar-SA"/>
              </w:rPr>
              <w:t>用水点（个）</w:t>
            </w:r>
          </w:p>
        </w:tc>
        <w:tc>
          <w:tcPr>
            <w:tcW w:w="388" w:type="pct"/>
            <w:shd w:val="clear" w:color="000000" w:fill="92D050"/>
            <w:noWrap w:val="0"/>
            <w:vAlign w:val="center"/>
          </w:tcPr>
          <w:p>
            <w:pPr>
              <w:widowControl/>
              <w:jc w:val="center"/>
              <w:rPr>
                <w:rFonts w:ascii="宋体" w:hAnsi="宋体" w:eastAsia="宋体" w:cs="宋体"/>
                <w:b/>
                <w:bCs/>
                <w:color w:val="000000"/>
                <w:kern w:val="0"/>
                <w:sz w:val="22"/>
                <w:szCs w:val="22"/>
                <w:highlight w:val="none"/>
                <w:lang w:val="en-US" w:eastAsia="zh-CN" w:bidi="ar-SA"/>
              </w:rPr>
            </w:pPr>
            <w:r>
              <w:rPr>
                <w:rFonts w:hint="eastAsia" w:ascii="宋体" w:hAnsi="宋体" w:eastAsia="宋体" w:cs="宋体"/>
                <w:b/>
                <w:bCs/>
                <w:color w:val="000000"/>
                <w:kern w:val="0"/>
                <w:sz w:val="22"/>
                <w:szCs w:val="22"/>
                <w:highlight w:val="none"/>
                <w:lang w:val="en-US" w:eastAsia="zh-CN" w:bidi="ar-SA"/>
              </w:rPr>
              <w:t>设计用水量（L/h）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88"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1</w:t>
            </w:r>
          </w:p>
        </w:tc>
        <w:tc>
          <w:tcPr>
            <w:tcW w:w="494"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1号楼1F</w:t>
            </w:r>
          </w:p>
        </w:tc>
        <w:tc>
          <w:tcPr>
            <w:tcW w:w="1483" w:type="pct"/>
            <w:noWrap w:val="0"/>
            <w:vAlign w:val="center"/>
          </w:tcPr>
          <w:p>
            <w:pPr>
              <w:widowControl/>
              <w:jc w:val="center"/>
              <w:rPr>
                <w:rFonts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候诊区、茶水间、会议室等（壁挂式4，落地式6）</w:t>
            </w:r>
          </w:p>
        </w:tc>
        <w:tc>
          <w:tcPr>
            <w:tcW w:w="392" w:type="pct"/>
            <w:vMerge w:val="restar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饮用纯水</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4</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6</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10</w:t>
            </w:r>
          </w:p>
        </w:tc>
        <w:tc>
          <w:tcPr>
            <w:tcW w:w="388" w:type="pct"/>
            <w:vMerge w:val="restar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4000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88"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2</w:t>
            </w:r>
          </w:p>
        </w:tc>
        <w:tc>
          <w:tcPr>
            <w:tcW w:w="494"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1号楼2F</w:t>
            </w:r>
          </w:p>
        </w:tc>
        <w:tc>
          <w:tcPr>
            <w:tcW w:w="1483" w:type="pct"/>
            <w:noWrap w:val="0"/>
            <w:vAlign w:val="center"/>
          </w:tcPr>
          <w:p>
            <w:pPr>
              <w:widowControl/>
              <w:jc w:val="center"/>
              <w:rPr>
                <w:rFonts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候诊区茶水间、会议室等(壁挂式2，落地式4，开水炉2)</w:t>
            </w:r>
          </w:p>
        </w:tc>
        <w:tc>
          <w:tcPr>
            <w:tcW w:w="392"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c>
          <w:tcPr>
            <w:tcW w:w="391" w:type="pct"/>
            <w:noWrap w:val="0"/>
            <w:vAlign w:val="center"/>
          </w:tcPr>
          <w:p>
            <w:pPr>
              <w:widowControl/>
              <w:jc w:val="center"/>
              <w:rPr>
                <w:rFonts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2</w:t>
            </w:r>
          </w:p>
        </w:tc>
        <w:tc>
          <w:tcPr>
            <w:tcW w:w="391" w:type="pct"/>
            <w:noWrap w:val="0"/>
            <w:vAlign w:val="center"/>
          </w:tcPr>
          <w:p>
            <w:pPr>
              <w:widowControl/>
              <w:jc w:val="center"/>
              <w:rPr>
                <w:rFonts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4</w:t>
            </w:r>
          </w:p>
        </w:tc>
        <w:tc>
          <w:tcPr>
            <w:tcW w:w="391" w:type="pct"/>
            <w:noWrap w:val="0"/>
            <w:vAlign w:val="center"/>
          </w:tcPr>
          <w:p>
            <w:pPr>
              <w:widowControl/>
              <w:jc w:val="center"/>
              <w:rPr>
                <w:rFonts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2</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8</w:t>
            </w:r>
          </w:p>
        </w:tc>
        <w:tc>
          <w:tcPr>
            <w:tcW w:w="388"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88"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3</w:t>
            </w:r>
          </w:p>
        </w:tc>
        <w:tc>
          <w:tcPr>
            <w:tcW w:w="494"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1号楼3F</w:t>
            </w:r>
          </w:p>
        </w:tc>
        <w:tc>
          <w:tcPr>
            <w:tcW w:w="1483" w:type="pct"/>
            <w:noWrap w:val="0"/>
            <w:vAlign w:val="center"/>
          </w:tcPr>
          <w:p>
            <w:pPr>
              <w:widowControl/>
              <w:jc w:val="center"/>
              <w:rPr>
                <w:rFonts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候诊区、走廊、办公、茶水间、会议室等(壁挂式6，落地式6)</w:t>
            </w:r>
          </w:p>
        </w:tc>
        <w:tc>
          <w:tcPr>
            <w:tcW w:w="392"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c>
          <w:tcPr>
            <w:tcW w:w="391" w:type="pct"/>
            <w:noWrap w:val="0"/>
            <w:vAlign w:val="center"/>
          </w:tcPr>
          <w:p>
            <w:pPr>
              <w:widowControl/>
              <w:jc w:val="center"/>
              <w:rPr>
                <w:rFonts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6</w:t>
            </w:r>
          </w:p>
        </w:tc>
        <w:tc>
          <w:tcPr>
            <w:tcW w:w="391" w:type="pct"/>
            <w:noWrap w:val="0"/>
            <w:vAlign w:val="center"/>
          </w:tcPr>
          <w:p>
            <w:pPr>
              <w:widowControl/>
              <w:jc w:val="center"/>
              <w:rPr>
                <w:rFonts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6</w:t>
            </w:r>
          </w:p>
        </w:tc>
        <w:tc>
          <w:tcPr>
            <w:tcW w:w="391" w:type="pct"/>
            <w:noWrap w:val="0"/>
            <w:vAlign w:val="center"/>
          </w:tcPr>
          <w:p>
            <w:pPr>
              <w:widowControl/>
              <w:jc w:val="center"/>
              <w:rPr>
                <w:rFonts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12</w:t>
            </w:r>
          </w:p>
        </w:tc>
        <w:tc>
          <w:tcPr>
            <w:tcW w:w="388"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88"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4</w:t>
            </w:r>
          </w:p>
        </w:tc>
        <w:tc>
          <w:tcPr>
            <w:tcW w:w="494" w:type="pct"/>
            <w:vMerge w:val="restar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1号楼4F</w:t>
            </w:r>
          </w:p>
        </w:tc>
        <w:tc>
          <w:tcPr>
            <w:tcW w:w="1483" w:type="pct"/>
            <w:noWrap w:val="0"/>
            <w:vAlign w:val="center"/>
          </w:tcPr>
          <w:p>
            <w:pPr>
              <w:widowControl/>
              <w:jc w:val="center"/>
              <w:rPr>
                <w:rFonts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候诊区、走廊、办公、茶水间、会议室等（壁挂式1，落地式6）</w:t>
            </w:r>
          </w:p>
        </w:tc>
        <w:tc>
          <w:tcPr>
            <w:tcW w:w="392"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c>
          <w:tcPr>
            <w:tcW w:w="391" w:type="pct"/>
            <w:noWrap w:val="0"/>
            <w:vAlign w:val="center"/>
          </w:tcPr>
          <w:p>
            <w:pPr>
              <w:widowControl/>
              <w:jc w:val="center"/>
              <w:rPr>
                <w:rFonts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1</w:t>
            </w:r>
          </w:p>
        </w:tc>
        <w:tc>
          <w:tcPr>
            <w:tcW w:w="391" w:type="pct"/>
            <w:noWrap w:val="0"/>
            <w:vAlign w:val="center"/>
          </w:tcPr>
          <w:p>
            <w:pPr>
              <w:widowControl/>
              <w:jc w:val="center"/>
              <w:rPr>
                <w:rFonts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6</w:t>
            </w:r>
          </w:p>
        </w:tc>
        <w:tc>
          <w:tcPr>
            <w:tcW w:w="391" w:type="pct"/>
            <w:noWrap w:val="0"/>
            <w:vAlign w:val="center"/>
          </w:tcPr>
          <w:p>
            <w:pPr>
              <w:widowControl/>
              <w:jc w:val="center"/>
              <w:rPr>
                <w:rFonts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7</w:t>
            </w:r>
          </w:p>
        </w:tc>
        <w:tc>
          <w:tcPr>
            <w:tcW w:w="388"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88"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5</w:t>
            </w:r>
          </w:p>
        </w:tc>
        <w:tc>
          <w:tcPr>
            <w:tcW w:w="494"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c>
          <w:tcPr>
            <w:tcW w:w="1483" w:type="pct"/>
            <w:noWrap w:val="0"/>
            <w:vAlign w:val="center"/>
          </w:tcPr>
          <w:p>
            <w:pPr>
              <w:widowControl/>
              <w:jc w:val="center"/>
              <w:rPr>
                <w:rFonts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牙椅</w:t>
            </w:r>
          </w:p>
        </w:tc>
        <w:tc>
          <w:tcPr>
            <w:tcW w:w="392"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c>
          <w:tcPr>
            <w:tcW w:w="391" w:type="pct"/>
            <w:noWrap w:val="0"/>
            <w:vAlign w:val="center"/>
          </w:tcPr>
          <w:p>
            <w:pPr>
              <w:widowControl/>
              <w:jc w:val="center"/>
              <w:rPr>
                <w:rFonts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35</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35</w:t>
            </w:r>
          </w:p>
        </w:tc>
        <w:tc>
          <w:tcPr>
            <w:tcW w:w="388"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88"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6</w:t>
            </w:r>
          </w:p>
        </w:tc>
        <w:tc>
          <w:tcPr>
            <w:tcW w:w="494"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1号楼5F</w:t>
            </w:r>
          </w:p>
        </w:tc>
        <w:tc>
          <w:tcPr>
            <w:tcW w:w="1483" w:type="pct"/>
            <w:noWrap w:val="0"/>
            <w:vAlign w:val="center"/>
          </w:tcPr>
          <w:p>
            <w:pPr>
              <w:widowControl/>
              <w:jc w:val="center"/>
              <w:rPr>
                <w:rFonts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医护休息区1（落地式）</w:t>
            </w:r>
          </w:p>
        </w:tc>
        <w:tc>
          <w:tcPr>
            <w:tcW w:w="392"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c>
          <w:tcPr>
            <w:tcW w:w="391" w:type="pct"/>
            <w:noWrap w:val="0"/>
            <w:vAlign w:val="center"/>
          </w:tcPr>
          <w:p>
            <w:pPr>
              <w:widowControl/>
              <w:jc w:val="center"/>
              <w:rPr>
                <w:rFonts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1</w:t>
            </w:r>
          </w:p>
        </w:tc>
        <w:tc>
          <w:tcPr>
            <w:tcW w:w="391" w:type="pct"/>
            <w:noWrap w:val="0"/>
            <w:vAlign w:val="center"/>
          </w:tcPr>
          <w:p>
            <w:pPr>
              <w:widowControl/>
              <w:jc w:val="center"/>
              <w:rPr>
                <w:rFonts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1</w:t>
            </w:r>
          </w:p>
        </w:tc>
        <w:tc>
          <w:tcPr>
            <w:tcW w:w="388"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88"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7</w:t>
            </w:r>
          </w:p>
        </w:tc>
        <w:tc>
          <w:tcPr>
            <w:tcW w:w="494"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2-5号楼1F</w:t>
            </w:r>
          </w:p>
        </w:tc>
        <w:tc>
          <w:tcPr>
            <w:tcW w:w="1483" w:type="pct"/>
            <w:noWrap w:val="0"/>
            <w:vAlign w:val="center"/>
          </w:tcPr>
          <w:p>
            <w:pPr>
              <w:widowControl/>
              <w:jc w:val="center"/>
              <w:rPr>
                <w:rFonts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候诊区、茶水间、会议室等(壁挂式2，落地式4)</w:t>
            </w:r>
          </w:p>
        </w:tc>
        <w:tc>
          <w:tcPr>
            <w:tcW w:w="392"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c>
          <w:tcPr>
            <w:tcW w:w="391" w:type="pct"/>
            <w:noWrap w:val="0"/>
            <w:vAlign w:val="center"/>
          </w:tcPr>
          <w:p>
            <w:pPr>
              <w:widowControl/>
              <w:jc w:val="center"/>
              <w:rPr>
                <w:rFonts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2</w:t>
            </w:r>
          </w:p>
        </w:tc>
        <w:tc>
          <w:tcPr>
            <w:tcW w:w="391" w:type="pct"/>
            <w:noWrap w:val="0"/>
            <w:vAlign w:val="center"/>
          </w:tcPr>
          <w:p>
            <w:pPr>
              <w:widowControl/>
              <w:jc w:val="center"/>
              <w:rPr>
                <w:rFonts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4</w:t>
            </w:r>
          </w:p>
        </w:tc>
        <w:tc>
          <w:tcPr>
            <w:tcW w:w="391" w:type="pct"/>
            <w:noWrap w:val="0"/>
            <w:vAlign w:val="center"/>
          </w:tcPr>
          <w:p>
            <w:pPr>
              <w:widowControl/>
              <w:jc w:val="center"/>
              <w:rPr>
                <w:rFonts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6</w:t>
            </w:r>
          </w:p>
        </w:tc>
        <w:tc>
          <w:tcPr>
            <w:tcW w:w="388"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88"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8</w:t>
            </w:r>
          </w:p>
        </w:tc>
        <w:tc>
          <w:tcPr>
            <w:tcW w:w="494"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2-5号楼2F</w:t>
            </w:r>
          </w:p>
        </w:tc>
        <w:tc>
          <w:tcPr>
            <w:tcW w:w="1483" w:type="pct"/>
            <w:noWrap w:val="0"/>
            <w:vAlign w:val="center"/>
          </w:tcPr>
          <w:p>
            <w:pPr>
              <w:widowControl/>
              <w:jc w:val="center"/>
              <w:rPr>
                <w:rFonts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候诊区、茶水间、会议室等(落地式2、开水炉1)</w:t>
            </w:r>
          </w:p>
        </w:tc>
        <w:tc>
          <w:tcPr>
            <w:tcW w:w="392"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2</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1</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3</w:t>
            </w:r>
          </w:p>
        </w:tc>
        <w:tc>
          <w:tcPr>
            <w:tcW w:w="388"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88"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9</w:t>
            </w:r>
          </w:p>
        </w:tc>
        <w:tc>
          <w:tcPr>
            <w:tcW w:w="494"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2-5号楼3F</w:t>
            </w:r>
          </w:p>
        </w:tc>
        <w:tc>
          <w:tcPr>
            <w:tcW w:w="1483" w:type="pct"/>
            <w:noWrap w:val="0"/>
            <w:vAlign w:val="center"/>
          </w:tcPr>
          <w:p>
            <w:pPr>
              <w:widowControl/>
              <w:jc w:val="center"/>
              <w:rPr>
                <w:rFonts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候诊区、茶水间、会议室等(落地式4、开水炉2)</w:t>
            </w:r>
          </w:p>
        </w:tc>
        <w:tc>
          <w:tcPr>
            <w:tcW w:w="392"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4</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2</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6</w:t>
            </w:r>
          </w:p>
        </w:tc>
        <w:tc>
          <w:tcPr>
            <w:tcW w:w="388"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88"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10</w:t>
            </w:r>
          </w:p>
        </w:tc>
        <w:tc>
          <w:tcPr>
            <w:tcW w:w="494"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2-5号楼4F</w:t>
            </w:r>
          </w:p>
        </w:tc>
        <w:tc>
          <w:tcPr>
            <w:tcW w:w="1483" w:type="pct"/>
            <w:noWrap w:val="0"/>
            <w:vAlign w:val="center"/>
          </w:tcPr>
          <w:p>
            <w:pPr>
              <w:widowControl/>
              <w:jc w:val="center"/>
              <w:rPr>
                <w:rFonts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候诊区、茶水间、会议室等（壁挂式2，开水炉2）</w:t>
            </w:r>
          </w:p>
        </w:tc>
        <w:tc>
          <w:tcPr>
            <w:tcW w:w="392"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2</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2</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4</w:t>
            </w:r>
          </w:p>
        </w:tc>
        <w:tc>
          <w:tcPr>
            <w:tcW w:w="388"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88"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11</w:t>
            </w:r>
          </w:p>
        </w:tc>
        <w:tc>
          <w:tcPr>
            <w:tcW w:w="494"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2-5号楼5F</w:t>
            </w:r>
          </w:p>
        </w:tc>
        <w:tc>
          <w:tcPr>
            <w:tcW w:w="1483" w:type="pct"/>
            <w:noWrap w:val="0"/>
            <w:vAlign w:val="center"/>
          </w:tcPr>
          <w:p>
            <w:pPr>
              <w:widowControl/>
              <w:jc w:val="center"/>
              <w:rPr>
                <w:rFonts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开水间（开水炉4）</w:t>
            </w:r>
          </w:p>
        </w:tc>
        <w:tc>
          <w:tcPr>
            <w:tcW w:w="392"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4</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4</w:t>
            </w:r>
          </w:p>
        </w:tc>
        <w:tc>
          <w:tcPr>
            <w:tcW w:w="388"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88"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12</w:t>
            </w:r>
          </w:p>
        </w:tc>
        <w:tc>
          <w:tcPr>
            <w:tcW w:w="494"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2号楼6-9F</w:t>
            </w:r>
          </w:p>
        </w:tc>
        <w:tc>
          <w:tcPr>
            <w:tcW w:w="1483" w:type="pct"/>
            <w:noWrap w:val="0"/>
            <w:vAlign w:val="center"/>
          </w:tcPr>
          <w:p>
            <w:pPr>
              <w:widowControl/>
              <w:jc w:val="center"/>
              <w:rPr>
                <w:rFonts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开水（开水炉4）</w:t>
            </w:r>
          </w:p>
        </w:tc>
        <w:tc>
          <w:tcPr>
            <w:tcW w:w="392"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4</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4</w:t>
            </w:r>
          </w:p>
        </w:tc>
        <w:tc>
          <w:tcPr>
            <w:tcW w:w="388"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88"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13</w:t>
            </w:r>
          </w:p>
        </w:tc>
        <w:tc>
          <w:tcPr>
            <w:tcW w:w="494"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3号楼6-17F</w:t>
            </w:r>
          </w:p>
        </w:tc>
        <w:tc>
          <w:tcPr>
            <w:tcW w:w="1483" w:type="pct"/>
            <w:noWrap w:val="0"/>
            <w:vAlign w:val="center"/>
          </w:tcPr>
          <w:p>
            <w:pPr>
              <w:widowControl/>
              <w:jc w:val="center"/>
              <w:rPr>
                <w:rFonts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开水（开水炉12）</w:t>
            </w:r>
          </w:p>
        </w:tc>
        <w:tc>
          <w:tcPr>
            <w:tcW w:w="392"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12</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12</w:t>
            </w:r>
          </w:p>
        </w:tc>
        <w:tc>
          <w:tcPr>
            <w:tcW w:w="388"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88"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14</w:t>
            </w:r>
          </w:p>
        </w:tc>
        <w:tc>
          <w:tcPr>
            <w:tcW w:w="494"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4号楼6-17F</w:t>
            </w:r>
          </w:p>
        </w:tc>
        <w:tc>
          <w:tcPr>
            <w:tcW w:w="1483" w:type="pct"/>
            <w:noWrap w:val="0"/>
            <w:vAlign w:val="center"/>
          </w:tcPr>
          <w:p>
            <w:pPr>
              <w:widowControl/>
              <w:jc w:val="center"/>
              <w:rPr>
                <w:rFonts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开水（开水炉12）</w:t>
            </w:r>
          </w:p>
        </w:tc>
        <w:tc>
          <w:tcPr>
            <w:tcW w:w="392"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12</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12</w:t>
            </w:r>
          </w:p>
        </w:tc>
        <w:tc>
          <w:tcPr>
            <w:tcW w:w="388"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88"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15</w:t>
            </w:r>
          </w:p>
        </w:tc>
        <w:tc>
          <w:tcPr>
            <w:tcW w:w="494"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5号楼6-9F</w:t>
            </w:r>
          </w:p>
        </w:tc>
        <w:tc>
          <w:tcPr>
            <w:tcW w:w="1483" w:type="pct"/>
            <w:noWrap w:val="0"/>
            <w:vAlign w:val="center"/>
          </w:tcPr>
          <w:p>
            <w:pPr>
              <w:widowControl/>
              <w:jc w:val="center"/>
              <w:rPr>
                <w:rFonts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开水（开水炉4）</w:t>
            </w:r>
          </w:p>
        </w:tc>
        <w:tc>
          <w:tcPr>
            <w:tcW w:w="392"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4</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4</w:t>
            </w:r>
          </w:p>
        </w:tc>
        <w:tc>
          <w:tcPr>
            <w:tcW w:w="388"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88"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16</w:t>
            </w:r>
          </w:p>
        </w:tc>
        <w:tc>
          <w:tcPr>
            <w:tcW w:w="494"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6号楼1F</w:t>
            </w:r>
          </w:p>
        </w:tc>
        <w:tc>
          <w:tcPr>
            <w:tcW w:w="1483" w:type="pct"/>
            <w:noWrap w:val="0"/>
            <w:vAlign w:val="center"/>
          </w:tcPr>
          <w:p>
            <w:pPr>
              <w:widowControl/>
              <w:jc w:val="center"/>
              <w:rPr>
                <w:rFonts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医护办公、候诊(壁挂式1，落地式1)</w:t>
            </w:r>
          </w:p>
        </w:tc>
        <w:tc>
          <w:tcPr>
            <w:tcW w:w="392"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1</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1</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2</w:t>
            </w:r>
          </w:p>
        </w:tc>
        <w:tc>
          <w:tcPr>
            <w:tcW w:w="388"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88"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17</w:t>
            </w:r>
          </w:p>
        </w:tc>
        <w:tc>
          <w:tcPr>
            <w:tcW w:w="494"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6号楼2F</w:t>
            </w:r>
          </w:p>
        </w:tc>
        <w:tc>
          <w:tcPr>
            <w:tcW w:w="1483" w:type="pct"/>
            <w:noWrap w:val="0"/>
            <w:vAlign w:val="center"/>
          </w:tcPr>
          <w:p>
            <w:pPr>
              <w:widowControl/>
              <w:jc w:val="center"/>
              <w:rPr>
                <w:rFonts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备餐开水间（开水炉1）</w:t>
            </w:r>
          </w:p>
        </w:tc>
        <w:tc>
          <w:tcPr>
            <w:tcW w:w="392"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1</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1</w:t>
            </w:r>
          </w:p>
        </w:tc>
        <w:tc>
          <w:tcPr>
            <w:tcW w:w="388"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88"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18</w:t>
            </w:r>
          </w:p>
        </w:tc>
        <w:tc>
          <w:tcPr>
            <w:tcW w:w="494"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6号楼3F</w:t>
            </w:r>
          </w:p>
        </w:tc>
        <w:tc>
          <w:tcPr>
            <w:tcW w:w="1483" w:type="pct"/>
            <w:noWrap w:val="0"/>
            <w:vAlign w:val="center"/>
          </w:tcPr>
          <w:p>
            <w:pPr>
              <w:widowControl/>
              <w:jc w:val="center"/>
              <w:rPr>
                <w:rFonts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备餐开水间（开水炉1）</w:t>
            </w:r>
          </w:p>
        </w:tc>
        <w:tc>
          <w:tcPr>
            <w:tcW w:w="392"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1</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1</w:t>
            </w:r>
          </w:p>
        </w:tc>
        <w:tc>
          <w:tcPr>
            <w:tcW w:w="388"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88"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19</w:t>
            </w:r>
          </w:p>
        </w:tc>
        <w:tc>
          <w:tcPr>
            <w:tcW w:w="494"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6号楼4F</w:t>
            </w:r>
          </w:p>
        </w:tc>
        <w:tc>
          <w:tcPr>
            <w:tcW w:w="1483" w:type="pct"/>
            <w:noWrap w:val="0"/>
            <w:vAlign w:val="center"/>
          </w:tcPr>
          <w:p>
            <w:pPr>
              <w:widowControl/>
              <w:jc w:val="center"/>
              <w:rPr>
                <w:rFonts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备餐开水间（开水炉1）</w:t>
            </w:r>
          </w:p>
        </w:tc>
        <w:tc>
          <w:tcPr>
            <w:tcW w:w="392"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1</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1</w:t>
            </w:r>
          </w:p>
        </w:tc>
        <w:tc>
          <w:tcPr>
            <w:tcW w:w="388"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88"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20</w:t>
            </w:r>
          </w:p>
        </w:tc>
        <w:tc>
          <w:tcPr>
            <w:tcW w:w="494"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7号楼1F</w:t>
            </w:r>
          </w:p>
        </w:tc>
        <w:tc>
          <w:tcPr>
            <w:tcW w:w="1483" w:type="pct"/>
            <w:noWrap w:val="0"/>
            <w:vAlign w:val="center"/>
          </w:tcPr>
          <w:p>
            <w:pPr>
              <w:widowControl/>
              <w:jc w:val="center"/>
              <w:rPr>
                <w:rFonts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展厅入口（落地式1）</w:t>
            </w:r>
          </w:p>
        </w:tc>
        <w:tc>
          <w:tcPr>
            <w:tcW w:w="392"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1</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1</w:t>
            </w:r>
          </w:p>
        </w:tc>
        <w:tc>
          <w:tcPr>
            <w:tcW w:w="388"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88"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21</w:t>
            </w:r>
          </w:p>
        </w:tc>
        <w:tc>
          <w:tcPr>
            <w:tcW w:w="494"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7号楼4F</w:t>
            </w:r>
          </w:p>
        </w:tc>
        <w:tc>
          <w:tcPr>
            <w:tcW w:w="1483" w:type="pct"/>
            <w:noWrap w:val="0"/>
            <w:vAlign w:val="center"/>
          </w:tcPr>
          <w:p>
            <w:pPr>
              <w:widowControl/>
              <w:jc w:val="center"/>
              <w:rPr>
                <w:rFonts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茶水间（壁挂1）</w:t>
            </w:r>
          </w:p>
        </w:tc>
        <w:tc>
          <w:tcPr>
            <w:tcW w:w="392"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1</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1</w:t>
            </w:r>
          </w:p>
        </w:tc>
        <w:tc>
          <w:tcPr>
            <w:tcW w:w="388"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88"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22</w:t>
            </w:r>
          </w:p>
        </w:tc>
        <w:tc>
          <w:tcPr>
            <w:tcW w:w="494"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7号楼5F</w:t>
            </w:r>
          </w:p>
        </w:tc>
        <w:tc>
          <w:tcPr>
            <w:tcW w:w="1483" w:type="pct"/>
            <w:noWrap w:val="0"/>
            <w:vAlign w:val="center"/>
          </w:tcPr>
          <w:p>
            <w:pPr>
              <w:widowControl/>
              <w:jc w:val="center"/>
              <w:rPr>
                <w:rFonts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茶水间（壁挂1）</w:t>
            </w:r>
          </w:p>
        </w:tc>
        <w:tc>
          <w:tcPr>
            <w:tcW w:w="392"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1</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1</w:t>
            </w:r>
          </w:p>
        </w:tc>
        <w:tc>
          <w:tcPr>
            <w:tcW w:w="388"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88"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23</w:t>
            </w:r>
          </w:p>
        </w:tc>
        <w:tc>
          <w:tcPr>
            <w:tcW w:w="494"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7号楼6F</w:t>
            </w:r>
          </w:p>
        </w:tc>
        <w:tc>
          <w:tcPr>
            <w:tcW w:w="1483" w:type="pct"/>
            <w:noWrap w:val="0"/>
            <w:vAlign w:val="center"/>
          </w:tcPr>
          <w:p>
            <w:pPr>
              <w:widowControl/>
              <w:jc w:val="center"/>
              <w:rPr>
                <w:rFonts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茶水间（壁挂1）</w:t>
            </w:r>
          </w:p>
        </w:tc>
        <w:tc>
          <w:tcPr>
            <w:tcW w:w="392"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1</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1</w:t>
            </w:r>
          </w:p>
        </w:tc>
        <w:tc>
          <w:tcPr>
            <w:tcW w:w="388"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88"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24</w:t>
            </w:r>
          </w:p>
        </w:tc>
        <w:tc>
          <w:tcPr>
            <w:tcW w:w="494"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7号楼7F</w:t>
            </w:r>
          </w:p>
        </w:tc>
        <w:tc>
          <w:tcPr>
            <w:tcW w:w="1483" w:type="pct"/>
            <w:noWrap w:val="0"/>
            <w:vAlign w:val="center"/>
          </w:tcPr>
          <w:p>
            <w:pPr>
              <w:widowControl/>
              <w:jc w:val="center"/>
              <w:rPr>
                <w:rFonts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茶水间（壁挂1）</w:t>
            </w:r>
          </w:p>
        </w:tc>
        <w:tc>
          <w:tcPr>
            <w:tcW w:w="392"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1</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1</w:t>
            </w:r>
          </w:p>
        </w:tc>
        <w:tc>
          <w:tcPr>
            <w:tcW w:w="388"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88"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25</w:t>
            </w:r>
          </w:p>
        </w:tc>
        <w:tc>
          <w:tcPr>
            <w:tcW w:w="494"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8号楼1F</w:t>
            </w:r>
          </w:p>
        </w:tc>
        <w:tc>
          <w:tcPr>
            <w:tcW w:w="1483" w:type="pct"/>
            <w:noWrap w:val="0"/>
            <w:vAlign w:val="center"/>
          </w:tcPr>
          <w:p>
            <w:pPr>
              <w:widowControl/>
              <w:jc w:val="center"/>
              <w:rPr>
                <w:rFonts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贵宾接待室（壁挂式1）</w:t>
            </w:r>
          </w:p>
        </w:tc>
        <w:tc>
          <w:tcPr>
            <w:tcW w:w="392"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1</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1</w:t>
            </w:r>
          </w:p>
        </w:tc>
        <w:tc>
          <w:tcPr>
            <w:tcW w:w="388"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88"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26</w:t>
            </w:r>
          </w:p>
        </w:tc>
        <w:tc>
          <w:tcPr>
            <w:tcW w:w="494"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9号楼1F</w:t>
            </w:r>
          </w:p>
        </w:tc>
        <w:tc>
          <w:tcPr>
            <w:tcW w:w="1483" w:type="pct"/>
            <w:noWrap w:val="0"/>
            <w:vAlign w:val="center"/>
          </w:tcPr>
          <w:p>
            <w:pPr>
              <w:widowControl/>
              <w:jc w:val="center"/>
              <w:rPr>
                <w:rFonts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办公室等（落地式2）</w:t>
            </w:r>
          </w:p>
        </w:tc>
        <w:tc>
          <w:tcPr>
            <w:tcW w:w="392"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2</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2</w:t>
            </w:r>
          </w:p>
        </w:tc>
        <w:tc>
          <w:tcPr>
            <w:tcW w:w="388"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88"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27</w:t>
            </w:r>
          </w:p>
        </w:tc>
        <w:tc>
          <w:tcPr>
            <w:tcW w:w="494"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9号楼2F</w:t>
            </w:r>
          </w:p>
        </w:tc>
        <w:tc>
          <w:tcPr>
            <w:tcW w:w="1483" w:type="pct"/>
            <w:noWrap w:val="0"/>
            <w:vAlign w:val="center"/>
          </w:tcPr>
          <w:p>
            <w:pPr>
              <w:widowControl/>
              <w:jc w:val="center"/>
              <w:rPr>
                <w:rFonts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接待区（落地式1）</w:t>
            </w:r>
          </w:p>
        </w:tc>
        <w:tc>
          <w:tcPr>
            <w:tcW w:w="392"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1</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1</w:t>
            </w:r>
          </w:p>
        </w:tc>
        <w:tc>
          <w:tcPr>
            <w:tcW w:w="388"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88"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28</w:t>
            </w:r>
          </w:p>
        </w:tc>
        <w:tc>
          <w:tcPr>
            <w:tcW w:w="494"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9号楼3F</w:t>
            </w:r>
          </w:p>
        </w:tc>
        <w:tc>
          <w:tcPr>
            <w:tcW w:w="1483" w:type="pct"/>
            <w:noWrap w:val="0"/>
            <w:vAlign w:val="center"/>
          </w:tcPr>
          <w:p>
            <w:pPr>
              <w:widowControl/>
              <w:jc w:val="center"/>
              <w:rPr>
                <w:rFonts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茶水间（落地式1）</w:t>
            </w:r>
          </w:p>
        </w:tc>
        <w:tc>
          <w:tcPr>
            <w:tcW w:w="392"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1</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1</w:t>
            </w:r>
          </w:p>
        </w:tc>
        <w:tc>
          <w:tcPr>
            <w:tcW w:w="388"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88"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29</w:t>
            </w:r>
          </w:p>
        </w:tc>
        <w:tc>
          <w:tcPr>
            <w:tcW w:w="494"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9号楼4F</w:t>
            </w:r>
          </w:p>
        </w:tc>
        <w:tc>
          <w:tcPr>
            <w:tcW w:w="1483" w:type="pct"/>
            <w:noWrap w:val="0"/>
            <w:vAlign w:val="center"/>
          </w:tcPr>
          <w:p>
            <w:pPr>
              <w:widowControl/>
              <w:jc w:val="center"/>
              <w:rPr>
                <w:rFonts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公共活动区等（落地式2）</w:t>
            </w:r>
          </w:p>
        </w:tc>
        <w:tc>
          <w:tcPr>
            <w:tcW w:w="392"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2</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2</w:t>
            </w:r>
          </w:p>
        </w:tc>
        <w:tc>
          <w:tcPr>
            <w:tcW w:w="388"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88"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30</w:t>
            </w:r>
          </w:p>
        </w:tc>
        <w:tc>
          <w:tcPr>
            <w:tcW w:w="494"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9号楼5F-9F</w:t>
            </w:r>
          </w:p>
        </w:tc>
        <w:tc>
          <w:tcPr>
            <w:tcW w:w="1483" w:type="pct"/>
            <w:noWrap w:val="0"/>
            <w:vAlign w:val="center"/>
          </w:tcPr>
          <w:p>
            <w:pPr>
              <w:widowControl/>
              <w:jc w:val="center"/>
              <w:rPr>
                <w:rFonts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活动交流室（每层各1）</w:t>
            </w:r>
          </w:p>
        </w:tc>
        <w:tc>
          <w:tcPr>
            <w:tcW w:w="392"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5</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0</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5</w:t>
            </w:r>
          </w:p>
        </w:tc>
        <w:tc>
          <w:tcPr>
            <w:tcW w:w="388" w:type="pct"/>
            <w:vMerge w:val="continue"/>
            <w:noWrap w:val="0"/>
            <w:vAlign w:val="center"/>
          </w:tcPr>
          <w:p>
            <w:pPr>
              <w:widowControl/>
              <w:jc w:val="left"/>
              <w:rPr>
                <w:rFonts w:ascii="宋体" w:hAnsi="宋体" w:eastAsia="宋体" w:cs="宋体"/>
                <w:color w:val="000000"/>
                <w:kern w:val="0"/>
                <w:sz w:val="22"/>
                <w:szCs w:val="22"/>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658" w:type="pct"/>
            <w:gridSpan w:val="4"/>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合计</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23</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46</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46</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35</w:t>
            </w:r>
          </w:p>
        </w:tc>
        <w:tc>
          <w:tcPr>
            <w:tcW w:w="391"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150</w:t>
            </w:r>
          </w:p>
        </w:tc>
        <w:tc>
          <w:tcPr>
            <w:tcW w:w="388" w:type="pct"/>
            <w:noWrap w:val="0"/>
            <w:vAlign w:val="center"/>
          </w:tcPr>
          <w:p>
            <w:pPr>
              <w:widowControl/>
              <w:jc w:val="center"/>
              <w:rPr>
                <w:rFonts w:ascii="宋体" w:hAnsi="宋体" w:eastAsia="宋体" w:cs="宋体"/>
                <w:color w:val="000000"/>
                <w:kern w:val="0"/>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SA"/>
              </w:rPr>
              <w:t>4000</w:t>
            </w:r>
          </w:p>
        </w:tc>
      </w:tr>
    </w:tbl>
    <w:p>
      <w:pPr>
        <w:rPr>
          <w:rFonts w:ascii="Times New Roman" w:hAnsi="Times New Roman" w:eastAsia="宋体"/>
          <w:highlight w:val="none"/>
        </w:rPr>
        <w:sectPr>
          <w:pgSz w:w="16838" w:h="11906" w:orient="landscape"/>
          <w:pgMar w:top="1077" w:right="1440" w:bottom="1077" w:left="1440" w:header="851" w:footer="992" w:gutter="284"/>
          <w:cols w:space="720" w:num="1"/>
          <w:docGrid w:type="lines" w:linePitch="312" w:charSpace="0"/>
        </w:sectPr>
      </w:pPr>
    </w:p>
    <w:p>
      <w:pPr>
        <w:widowControl/>
        <w:numPr>
          <w:ilvl w:val="0"/>
          <w:numId w:val="41"/>
        </w:numPr>
        <w:spacing w:line="480" w:lineRule="auto"/>
        <w:ind w:left="420" w:hanging="420"/>
        <w:jc w:val="both"/>
        <w:outlineLvl w:val="1"/>
        <w:rPr>
          <w:rFonts w:ascii="Times New Roman" w:hAnsi="Times New Roman" w:eastAsia="宋体" w:cs="Times New Roman"/>
          <w:b/>
          <w:kern w:val="0"/>
          <w:sz w:val="24"/>
          <w:szCs w:val="21"/>
          <w:highlight w:val="none"/>
          <w:lang w:val="en-US" w:eastAsia="zh-CN" w:bidi="ar-SA"/>
        </w:rPr>
      </w:pPr>
      <w:bookmarkStart w:id="442" w:name="_Toc28705"/>
      <w:r>
        <w:rPr>
          <w:rFonts w:hint="eastAsia" w:ascii="Times New Roman" w:hAnsi="宋体" w:eastAsia="宋体" w:cs="Times New Roman"/>
          <w:b/>
          <w:kern w:val="0"/>
          <w:sz w:val="24"/>
          <w:szCs w:val="21"/>
          <w:highlight w:val="none"/>
          <w:lang w:val="en-US" w:eastAsia="zh-CN" w:bidi="ar-SA"/>
        </w:rPr>
        <w:t>水质参考标准</w:t>
      </w:r>
      <w:bookmarkEnd w:id="442"/>
    </w:p>
    <w:p>
      <w:pPr>
        <w:rPr>
          <w:rFonts w:ascii="Times New Roman" w:hAnsi="Times New Roman" w:eastAsia="宋体" w:cs="Times New Roman"/>
          <w:kern w:val="2"/>
          <w:sz w:val="21"/>
          <w:szCs w:val="22"/>
          <w:highlight w:val="none"/>
          <w:lang w:val="en-US" w:eastAsia="zh-CN" w:bidi="ar-SA"/>
        </w:rPr>
      </w:pPr>
    </w:p>
    <w:p>
      <w:pPr>
        <w:widowControl w:val="0"/>
        <w:numPr>
          <w:ilvl w:val="0"/>
          <w:numId w:val="3"/>
        </w:numPr>
        <w:wordWrap w:val="0"/>
        <w:adjustRightInd w:val="0"/>
        <w:snapToGrid w:val="0"/>
        <w:jc w:val="left"/>
        <w:outlineLvl w:val="2"/>
        <w:rPr>
          <w:rFonts w:ascii="Times New Roman" w:hAnsi="Times New Roman" w:eastAsia="宋体" w:cs="Times New Roman"/>
          <w:b/>
          <w:snapToGrid w:val="0"/>
          <w:color w:val="000000"/>
          <w:kern w:val="2"/>
          <w:sz w:val="24"/>
          <w:szCs w:val="18"/>
          <w:highlight w:val="none"/>
          <w:lang w:val="en-US" w:eastAsia="zh-CN" w:bidi="ar-SA"/>
        </w:rPr>
      </w:pPr>
      <w:r>
        <w:rPr>
          <w:rFonts w:hint="eastAsia" w:ascii="Times New Roman" w:hAnsi="Times New Roman" w:eastAsia="宋体" w:cs="Times New Roman"/>
          <w:b/>
          <w:snapToGrid w:val="0"/>
          <w:color w:val="000000"/>
          <w:kern w:val="2"/>
          <w:sz w:val="24"/>
          <w:szCs w:val="18"/>
          <w:highlight w:val="none"/>
          <w:lang w:val="en-US" w:eastAsia="zh-CN" w:bidi="ar-SA"/>
        </w:rPr>
        <w:t>血透用水标准（血液透析及相关治疗用水YY0572-2015）</w:t>
      </w:r>
    </w:p>
    <w:p>
      <w:pPr>
        <w:ind w:firstLine="442"/>
        <w:rPr>
          <w:rFonts w:ascii="Times New Roman" w:hAnsi="Times New Roman" w:eastAsia="宋体" w:cs="Times New Roman"/>
          <w:kern w:val="2"/>
          <w:sz w:val="22"/>
          <w:szCs w:val="24"/>
          <w:highlight w:val="none"/>
          <w:lang w:val="en-US" w:eastAsia="zh-CN" w:bidi="ar-SA"/>
        </w:rPr>
      </w:pPr>
      <w:r>
        <w:rPr>
          <w:rFonts w:hint="eastAsia" w:ascii="Times New Roman" w:hAnsi="宋体" w:eastAsia="宋体" w:cs="Times New Roman"/>
          <w:b/>
          <w:bCs/>
          <w:kern w:val="2"/>
          <w:sz w:val="22"/>
          <w:szCs w:val="24"/>
          <w:highlight w:val="none"/>
          <w:lang w:val="en-US" w:eastAsia="zh-CN" w:bidi="ar-SA"/>
        </w:rPr>
        <w:t>微生物要求：</w:t>
      </w:r>
      <w:r>
        <w:rPr>
          <w:rFonts w:hint="eastAsia" w:ascii="Times New Roman" w:hAnsi="宋体" w:eastAsia="宋体" w:cs="Times New Roman"/>
          <w:kern w:val="2"/>
          <w:sz w:val="22"/>
          <w:szCs w:val="24"/>
          <w:highlight w:val="none"/>
          <w:lang w:val="en-US" w:eastAsia="zh-CN" w:bidi="ar-SA"/>
        </w:rPr>
        <w:t>透析用水中的细菌总数就不超过</w:t>
      </w:r>
      <w:r>
        <w:rPr>
          <w:rFonts w:hint="eastAsia" w:ascii="Times New Roman" w:hAnsi="Times New Roman" w:eastAsia="宋体" w:cs="Times New Roman"/>
          <w:kern w:val="2"/>
          <w:sz w:val="22"/>
          <w:szCs w:val="24"/>
          <w:highlight w:val="none"/>
          <w:lang w:val="en-US" w:eastAsia="zh-CN" w:bidi="ar-SA"/>
        </w:rPr>
        <w:t>100CFU/ml,</w:t>
      </w:r>
      <w:r>
        <w:rPr>
          <w:rFonts w:hint="eastAsia" w:ascii="Times New Roman" w:hAnsi="宋体" w:eastAsia="宋体" w:cs="Times New Roman"/>
          <w:kern w:val="2"/>
          <w:sz w:val="22"/>
          <w:szCs w:val="24"/>
          <w:highlight w:val="none"/>
          <w:lang w:val="en-US" w:eastAsia="zh-CN" w:bidi="ar-SA"/>
        </w:rPr>
        <w:t>干预水平应建立在系统微生物动力学知识之上。通常，干预水平是最大允许水平的</w:t>
      </w:r>
      <w:r>
        <w:rPr>
          <w:rFonts w:hint="eastAsia" w:ascii="Times New Roman" w:hAnsi="Times New Roman" w:eastAsia="宋体" w:cs="Times New Roman"/>
          <w:kern w:val="2"/>
          <w:sz w:val="22"/>
          <w:szCs w:val="24"/>
          <w:highlight w:val="none"/>
          <w:lang w:val="en-US" w:eastAsia="zh-CN" w:bidi="ar-SA"/>
        </w:rPr>
        <w:t>50%</w:t>
      </w:r>
      <w:r>
        <w:rPr>
          <w:rFonts w:hint="eastAsia" w:ascii="Times New Roman" w:hAnsi="宋体" w:eastAsia="宋体" w:cs="Times New Roman"/>
          <w:kern w:val="2"/>
          <w:sz w:val="22"/>
          <w:szCs w:val="24"/>
          <w:highlight w:val="none"/>
          <w:lang w:val="en-US" w:eastAsia="zh-CN" w:bidi="ar-SA"/>
        </w:rPr>
        <w:t>。</w:t>
      </w:r>
    </w:p>
    <w:p>
      <w:pPr>
        <w:ind w:firstLine="440"/>
        <w:rPr>
          <w:rFonts w:ascii="Times New Roman" w:hAnsi="Times New Roman" w:eastAsia="宋体" w:cs="Times New Roman"/>
          <w:kern w:val="2"/>
          <w:sz w:val="22"/>
          <w:szCs w:val="24"/>
          <w:highlight w:val="none"/>
          <w:lang w:val="en-US" w:eastAsia="zh-CN" w:bidi="ar-SA"/>
        </w:rPr>
      </w:pPr>
      <w:r>
        <w:rPr>
          <w:rFonts w:hint="eastAsia" w:ascii="Times New Roman" w:hAnsi="宋体" w:eastAsia="宋体" w:cs="Times New Roman"/>
          <w:kern w:val="2"/>
          <w:sz w:val="22"/>
          <w:szCs w:val="24"/>
          <w:highlight w:val="none"/>
          <w:lang w:val="en-US" w:eastAsia="zh-CN" w:bidi="ar-SA"/>
        </w:rPr>
        <w:t>透析用水中的内毒素含量应不超过</w:t>
      </w:r>
      <w:r>
        <w:rPr>
          <w:rFonts w:hint="eastAsia" w:ascii="Times New Roman" w:hAnsi="Times New Roman" w:eastAsia="宋体" w:cs="Times New Roman"/>
          <w:kern w:val="2"/>
          <w:sz w:val="22"/>
          <w:szCs w:val="24"/>
          <w:highlight w:val="none"/>
          <w:lang w:val="en-US" w:eastAsia="zh-CN" w:bidi="ar-SA"/>
        </w:rPr>
        <w:t>0.25EU/ml</w:t>
      </w:r>
      <w:r>
        <w:rPr>
          <w:rFonts w:hint="eastAsia" w:ascii="Times New Roman" w:hAnsi="宋体" w:eastAsia="宋体" w:cs="Times New Roman"/>
          <w:kern w:val="2"/>
          <w:sz w:val="22"/>
          <w:szCs w:val="24"/>
          <w:highlight w:val="none"/>
          <w:lang w:val="en-US" w:eastAsia="zh-CN" w:bidi="ar-SA"/>
        </w:rPr>
        <w:t>。必须建立干预水平，通常，干预水平是最大允许水平的</w:t>
      </w:r>
      <w:r>
        <w:rPr>
          <w:rFonts w:hint="eastAsia" w:ascii="Times New Roman" w:hAnsi="Times New Roman" w:eastAsia="宋体" w:cs="Times New Roman"/>
          <w:kern w:val="2"/>
          <w:sz w:val="22"/>
          <w:szCs w:val="24"/>
          <w:highlight w:val="none"/>
          <w:lang w:val="en-US" w:eastAsia="zh-CN" w:bidi="ar-SA"/>
        </w:rPr>
        <w:t>50%</w:t>
      </w:r>
      <w:r>
        <w:rPr>
          <w:rFonts w:hint="eastAsia" w:ascii="Times New Roman" w:hAnsi="宋体" w:eastAsia="宋体" w:cs="Times New Roman"/>
          <w:kern w:val="2"/>
          <w:sz w:val="22"/>
          <w:szCs w:val="24"/>
          <w:highlight w:val="none"/>
          <w:lang w:val="en-US" w:eastAsia="zh-CN" w:bidi="ar-SA"/>
        </w:rPr>
        <w:t>。</w:t>
      </w:r>
    </w:p>
    <w:p>
      <w:pPr>
        <w:ind w:firstLine="331" w:firstLineChars="150"/>
        <w:rPr>
          <w:rFonts w:ascii="Times New Roman" w:hAnsi="Times New Roman" w:eastAsia="宋体" w:cs="Times New Roman"/>
          <w:kern w:val="2"/>
          <w:sz w:val="22"/>
          <w:szCs w:val="24"/>
          <w:highlight w:val="none"/>
          <w:lang w:val="en-US" w:eastAsia="zh-CN" w:bidi="ar-SA"/>
        </w:rPr>
      </w:pPr>
      <w:r>
        <w:rPr>
          <w:rFonts w:hint="eastAsia" w:ascii="Times New Roman" w:hAnsi="宋体" w:eastAsia="宋体" w:cs="Times New Roman"/>
          <w:b/>
          <w:kern w:val="2"/>
          <w:sz w:val="22"/>
          <w:szCs w:val="24"/>
          <w:highlight w:val="none"/>
          <w:lang w:val="en-US" w:eastAsia="zh-CN" w:bidi="ar-SA"/>
        </w:rPr>
        <w:t>透析用水中化学污染物的浓度</w:t>
      </w:r>
      <w:r>
        <w:rPr>
          <w:rFonts w:hint="eastAsia" w:ascii="Times New Roman" w:hAnsi="宋体" w:eastAsia="宋体" w:cs="Times New Roman"/>
          <w:kern w:val="2"/>
          <w:sz w:val="22"/>
          <w:szCs w:val="24"/>
          <w:highlight w:val="none"/>
          <w:lang w:val="en-US" w:eastAsia="zh-CN" w:bidi="ar-SA"/>
        </w:rPr>
        <w:t>：不超过表</w:t>
      </w:r>
      <w:r>
        <w:rPr>
          <w:rFonts w:hint="eastAsia" w:ascii="Times New Roman" w:hAnsi="Times New Roman" w:eastAsia="宋体" w:cs="Times New Roman"/>
          <w:kern w:val="2"/>
          <w:sz w:val="22"/>
          <w:szCs w:val="24"/>
          <w:highlight w:val="none"/>
          <w:lang w:val="en-US" w:eastAsia="zh-CN" w:bidi="ar-SA"/>
        </w:rPr>
        <w:t>1</w:t>
      </w:r>
      <w:r>
        <w:rPr>
          <w:rFonts w:hint="eastAsia" w:ascii="Times New Roman" w:hAnsi="宋体" w:eastAsia="宋体" w:cs="Times New Roman"/>
          <w:kern w:val="2"/>
          <w:sz w:val="22"/>
          <w:szCs w:val="24"/>
          <w:highlight w:val="none"/>
          <w:lang w:val="en-US" w:eastAsia="zh-CN" w:bidi="ar-SA"/>
        </w:rPr>
        <w:t>和表</w:t>
      </w:r>
      <w:r>
        <w:rPr>
          <w:rFonts w:hint="eastAsia" w:ascii="Times New Roman" w:hAnsi="Times New Roman" w:eastAsia="宋体" w:cs="Times New Roman"/>
          <w:kern w:val="2"/>
          <w:sz w:val="22"/>
          <w:szCs w:val="24"/>
          <w:highlight w:val="none"/>
          <w:lang w:val="en-US" w:eastAsia="zh-CN" w:bidi="ar-SA"/>
        </w:rPr>
        <w:t>2</w:t>
      </w:r>
      <w:r>
        <w:rPr>
          <w:rFonts w:hint="eastAsia" w:ascii="Times New Roman" w:hAnsi="宋体" w:eastAsia="宋体" w:cs="Times New Roman"/>
          <w:kern w:val="2"/>
          <w:sz w:val="22"/>
          <w:szCs w:val="24"/>
          <w:highlight w:val="none"/>
          <w:lang w:val="en-US" w:eastAsia="zh-CN" w:bidi="ar-SA"/>
        </w:rPr>
        <w:t>的规定。</w:t>
      </w:r>
    </w:p>
    <w:p>
      <w:pPr>
        <w:ind w:firstLine="440"/>
        <w:rPr>
          <w:rFonts w:ascii="Times New Roman" w:hAnsi="Times New Roman" w:eastAsia="宋体" w:cs="Times New Roman"/>
          <w:kern w:val="2"/>
          <w:sz w:val="22"/>
          <w:szCs w:val="24"/>
          <w:highlight w:val="none"/>
          <w:lang w:val="en-US" w:eastAsia="zh-CN" w:bidi="ar-SA"/>
        </w:rPr>
      </w:pPr>
      <w:r>
        <w:rPr>
          <w:rFonts w:hint="eastAsia" w:ascii="Times New Roman" w:hAnsi="宋体" w:eastAsia="宋体" w:cs="Times New Roman"/>
          <w:kern w:val="2"/>
          <w:sz w:val="22"/>
          <w:szCs w:val="24"/>
          <w:highlight w:val="none"/>
          <w:lang w:val="en-US" w:eastAsia="zh-CN" w:bidi="ar-SA"/>
        </w:rPr>
        <w:t>表一、透析用水中有毒化学物和透析溶液电解质的最大允许量</w:t>
      </w:r>
    </w:p>
    <w:tbl>
      <w:tblPr>
        <w:tblStyle w:val="32"/>
        <w:tblW w:w="5000" w:type="pct"/>
        <w:jc w:val="center"/>
        <w:tblLayout w:type="autofit"/>
        <w:tblCellMar>
          <w:top w:w="0" w:type="dxa"/>
          <w:left w:w="108" w:type="dxa"/>
          <w:bottom w:w="0" w:type="dxa"/>
          <w:right w:w="108" w:type="dxa"/>
        </w:tblCellMar>
      </w:tblPr>
      <w:tblGrid>
        <w:gridCol w:w="4842"/>
        <w:gridCol w:w="4842"/>
      </w:tblGrid>
      <w:tr>
        <w:tblPrEx>
          <w:tblCellMar>
            <w:top w:w="0" w:type="dxa"/>
            <w:left w:w="108" w:type="dxa"/>
            <w:bottom w:w="0" w:type="dxa"/>
            <w:right w:w="108" w:type="dxa"/>
          </w:tblCellMar>
        </w:tblPrEx>
        <w:trPr>
          <w:trHeight w:val="340" w:hRule="atLeast"/>
          <w:jc w:val="center"/>
        </w:trPr>
        <w:tc>
          <w:tcPr>
            <w:tcW w:w="2500" w:type="pct"/>
            <w:tcBorders>
              <w:top w:val="single" w:color="auto" w:sz="4" w:space="0"/>
              <w:left w:val="single" w:color="auto" w:sz="4" w:space="0"/>
              <w:bottom w:val="single" w:color="auto" w:sz="4" w:space="0"/>
              <w:right w:val="single" w:color="auto" w:sz="4" w:space="0"/>
            </w:tcBorders>
            <w:shd w:val="clear" w:color="auto" w:fill="92D050"/>
            <w:noWrap w:val="0"/>
            <w:vAlign w:val="center"/>
          </w:tcPr>
          <w:p>
            <w:pPr>
              <w:jc w:val="center"/>
              <w:rPr>
                <w:rFonts w:ascii="Times New Roman" w:hAnsi="Times New Roman" w:eastAsia="宋体" w:cs="Times New Roman"/>
                <w:kern w:val="2"/>
                <w:sz w:val="22"/>
                <w:szCs w:val="24"/>
                <w:highlight w:val="none"/>
                <w:lang w:val="en-US" w:eastAsia="zh-CN" w:bidi="ar-SA"/>
              </w:rPr>
            </w:pPr>
            <w:r>
              <w:rPr>
                <w:rFonts w:hint="eastAsia" w:ascii="Times New Roman" w:hAnsi="宋体" w:eastAsia="宋体" w:cs="Times New Roman"/>
                <w:kern w:val="2"/>
                <w:sz w:val="22"/>
                <w:szCs w:val="24"/>
                <w:highlight w:val="none"/>
                <w:lang w:val="en-US" w:eastAsia="zh-CN" w:bidi="ar-SA"/>
              </w:rPr>
              <w:t>污染物</w:t>
            </w:r>
          </w:p>
        </w:tc>
        <w:tc>
          <w:tcPr>
            <w:tcW w:w="2500" w:type="pct"/>
            <w:tcBorders>
              <w:top w:val="single" w:color="auto" w:sz="4" w:space="0"/>
              <w:left w:val="nil"/>
              <w:bottom w:val="single" w:color="auto" w:sz="4" w:space="0"/>
              <w:right w:val="single" w:color="auto" w:sz="4" w:space="0"/>
            </w:tcBorders>
            <w:shd w:val="clear" w:color="auto" w:fill="92D050"/>
            <w:noWrap w:val="0"/>
            <w:vAlign w:val="center"/>
          </w:tcPr>
          <w:p>
            <w:pPr>
              <w:jc w:val="center"/>
              <w:rPr>
                <w:rFonts w:ascii="Times New Roman" w:hAnsi="Times New Roman" w:eastAsia="宋体" w:cs="Times New Roman"/>
                <w:kern w:val="2"/>
                <w:sz w:val="22"/>
                <w:szCs w:val="24"/>
                <w:highlight w:val="none"/>
                <w:lang w:val="en-US" w:eastAsia="zh-CN" w:bidi="ar-SA"/>
              </w:rPr>
            </w:pPr>
            <w:r>
              <w:rPr>
                <w:rFonts w:hint="eastAsia" w:ascii="Times New Roman" w:hAnsi="宋体" w:eastAsia="宋体" w:cs="Times New Roman"/>
                <w:kern w:val="2"/>
                <w:sz w:val="22"/>
                <w:szCs w:val="24"/>
                <w:highlight w:val="none"/>
                <w:lang w:val="en-US" w:eastAsia="zh-CN" w:bidi="ar-SA"/>
              </w:rPr>
              <w:t>最高允许浓度</w:t>
            </w:r>
            <w:r>
              <w:rPr>
                <w:rFonts w:hint="eastAsia" w:ascii="Times New Roman" w:hAnsi="Times New Roman" w:eastAsia="宋体" w:cs="Times New Roman"/>
                <w:kern w:val="2"/>
                <w:sz w:val="22"/>
                <w:szCs w:val="24"/>
                <w:highlight w:val="none"/>
                <w:lang w:val="en-US" w:eastAsia="zh-CN" w:bidi="ar-SA"/>
              </w:rPr>
              <w:t xml:space="preserve">mg/L </w:t>
            </w:r>
            <w:r>
              <w:rPr>
                <w:rFonts w:ascii="Times New Roman" w:hAnsi="Times New Roman" w:eastAsia="宋体" w:cs="Cambria Math"/>
                <w:kern w:val="2"/>
                <w:sz w:val="22"/>
                <w:szCs w:val="24"/>
                <w:highlight w:val="none"/>
                <w:lang w:val="en-US" w:eastAsia="zh-CN" w:bidi="ar-SA"/>
              </w:rPr>
              <w:t>ᵃ</w:t>
            </w:r>
          </w:p>
        </w:tc>
      </w:tr>
      <w:tr>
        <w:tblPrEx>
          <w:tblCellMar>
            <w:top w:w="0" w:type="dxa"/>
            <w:left w:w="108" w:type="dxa"/>
            <w:bottom w:w="0" w:type="dxa"/>
            <w:right w:w="108" w:type="dxa"/>
          </w:tblCellMar>
        </w:tblPrEx>
        <w:trPr>
          <w:trHeight w:val="340" w:hRule="atLeast"/>
          <w:jc w:val="center"/>
        </w:trPr>
        <w:tc>
          <w:tcPr>
            <w:tcW w:w="5000" w:type="pct"/>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ascii="Times New Roman" w:hAnsi="Times New Roman" w:eastAsia="宋体" w:cs="Times New Roman"/>
                <w:kern w:val="2"/>
                <w:sz w:val="22"/>
                <w:szCs w:val="24"/>
                <w:highlight w:val="none"/>
                <w:lang w:val="en-US" w:eastAsia="zh-CN" w:bidi="ar-SA"/>
              </w:rPr>
            </w:pPr>
            <w:r>
              <w:rPr>
                <w:rFonts w:hint="eastAsia" w:ascii="Times New Roman" w:hAnsi="宋体" w:eastAsia="宋体" w:cs="Times New Roman"/>
                <w:kern w:val="2"/>
                <w:sz w:val="22"/>
                <w:szCs w:val="24"/>
                <w:highlight w:val="none"/>
                <w:lang w:val="en-US" w:eastAsia="zh-CN" w:bidi="ar-SA"/>
              </w:rPr>
              <w:t>血液透析中已证明毒性的污染物</w:t>
            </w:r>
          </w:p>
        </w:tc>
      </w:tr>
      <w:tr>
        <w:tblPrEx>
          <w:tblCellMar>
            <w:top w:w="0" w:type="dxa"/>
            <w:left w:w="108" w:type="dxa"/>
            <w:bottom w:w="0" w:type="dxa"/>
            <w:right w:w="108" w:type="dxa"/>
          </w:tblCellMar>
        </w:tblPrEx>
        <w:trPr>
          <w:trHeight w:val="340" w:hRule="atLeast"/>
          <w:jc w:val="center"/>
        </w:trPr>
        <w:tc>
          <w:tcPr>
            <w:tcW w:w="2500" w:type="pct"/>
            <w:tcBorders>
              <w:top w:val="single" w:color="auto" w:sz="4" w:space="0"/>
              <w:left w:val="single" w:color="auto" w:sz="4" w:space="0"/>
              <w:bottom w:val="single" w:color="auto" w:sz="4" w:space="0"/>
              <w:right w:val="single" w:color="auto" w:sz="4" w:space="0"/>
            </w:tcBorders>
            <w:noWrap w:val="0"/>
            <w:vAlign w:val="center"/>
          </w:tcPr>
          <w:p>
            <w:pPr>
              <w:jc w:val="center"/>
              <w:rPr>
                <w:rFonts w:ascii="Times New Roman" w:hAnsi="Times New Roman" w:eastAsia="宋体" w:cs="Times New Roman"/>
                <w:kern w:val="2"/>
                <w:sz w:val="22"/>
                <w:szCs w:val="24"/>
                <w:highlight w:val="none"/>
                <w:lang w:val="en-US" w:eastAsia="zh-CN" w:bidi="ar-SA"/>
              </w:rPr>
            </w:pPr>
            <w:r>
              <w:rPr>
                <w:rFonts w:hint="eastAsia" w:ascii="Times New Roman" w:hAnsi="宋体" w:eastAsia="宋体" w:cs="Times New Roman"/>
                <w:kern w:val="2"/>
                <w:sz w:val="22"/>
                <w:szCs w:val="24"/>
                <w:highlight w:val="none"/>
                <w:lang w:val="en-US" w:eastAsia="zh-CN" w:bidi="ar-SA"/>
              </w:rPr>
              <w:t>铝</w:t>
            </w:r>
          </w:p>
        </w:tc>
        <w:tc>
          <w:tcPr>
            <w:tcW w:w="2500" w:type="pct"/>
            <w:tcBorders>
              <w:top w:val="single" w:color="auto" w:sz="4" w:space="0"/>
              <w:left w:val="nil"/>
              <w:bottom w:val="single" w:color="auto" w:sz="4" w:space="0"/>
              <w:right w:val="single" w:color="auto" w:sz="4" w:space="0"/>
            </w:tcBorders>
            <w:noWrap w:val="0"/>
            <w:vAlign w:val="center"/>
          </w:tcPr>
          <w:p>
            <w:pPr>
              <w:jc w:val="center"/>
              <w:rPr>
                <w:rFonts w:ascii="Times New Roman" w:hAnsi="Times New Roman" w:eastAsia="宋体" w:cs="Times New Roman"/>
                <w:kern w:val="2"/>
                <w:sz w:val="22"/>
                <w:szCs w:val="24"/>
                <w:highlight w:val="none"/>
                <w:lang w:val="en-US" w:eastAsia="zh-CN" w:bidi="ar-SA"/>
              </w:rPr>
            </w:pPr>
            <w:r>
              <w:rPr>
                <w:rFonts w:hint="eastAsia" w:ascii="Times New Roman" w:hAnsi="Times New Roman" w:eastAsia="宋体" w:cs="Times New Roman"/>
                <w:kern w:val="2"/>
                <w:sz w:val="22"/>
                <w:szCs w:val="24"/>
                <w:highlight w:val="none"/>
                <w:lang w:val="en-US" w:eastAsia="zh-CN" w:bidi="ar-SA"/>
              </w:rPr>
              <w:t>0.01</w:t>
            </w:r>
          </w:p>
        </w:tc>
      </w:tr>
      <w:tr>
        <w:tblPrEx>
          <w:tblCellMar>
            <w:top w:w="0" w:type="dxa"/>
            <w:left w:w="108" w:type="dxa"/>
            <w:bottom w:w="0" w:type="dxa"/>
            <w:right w:w="108" w:type="dxa"/>
          </w:tblCellMar>
        </w:tblPrEx>
        <w:trPr>
          <w:trHeight w:val="340" w:hRule="atLeast"/>
          <w:jc w:val="center"/>
        </w:trPr>
        <w:tc>
          <w:tcPr>
            <w:tcW w:w="2500" w:type="pct"/>
            <w:tcBorders>
              <w:top w:val="single" w:color="auto" w:sz="4" w:space="0"/>
              <w:left w:val="single" w:color="auto" w:sz="4" w:space="0"/>
              <w:bottom w:val="single" w:color="auto" w:sz="4" w:space="0"/>
              <w:right w:val="single" w:color="auto" w:sz="4" w:space="0"/>
            </w:tcBorders>
            <w:noWrap w:val="0"/>
            <w:vAlign w:val="center"/>
          </w:tcPr>
          <w:p>
            <w:pPr>
              <w:jc w:val="center"/>
              <w:rPr>
                <w:rFonts w:ascii="Times New Roman" w:hAnsi="Times New Roman" w:eastAsia="宋体" w:cs="Times New Roman"/>
                <w:kern w:val="2"/>
                <w:sz w:val="22"/>
                <w:szCs w:val="24"/>
                <w:highlight w:val="none"/>
                <w:lang w:val="en-US" w:eastAsia="zh-CN" w:bidi="ar-SA"/>
              </w:rPr>
            </w:pPr>
            <w:r>
              <w:rPr>
                <w:rFonts w:hint="eastAsia" w:ascii="Times New Roman" w:hAnsi="宋体" w:eastAsia="宋体" w:cs="Times New Roman"/>
                <w:kern w:val="2"/>
                <w:sz w:val="22"/>
                <w:szCs w:val="24"/>
                <w:highlight w:val="none"/>
                <w:lang w:val="en-US" w:eastAsia="zh-CN" w:bidi="ar-SA"/>
              </w:rPr>
              <w:t>总氯</w:t>
            </w:r>
          </w:p>
        </w:tc>
        <w:tc>
          <w:tcPr>
            <w:tcW w:w="2500" w:type="pct"/>
            <w:tcBorders>
              <w:top w:val="single" w:color="auto" w:sz="4" w:space="0"/>
              <w:left w:val="nil"/>
              <w:bottom w:val="single" w:color="auto" w:sz="4" w:space="0"/>
              <w:right w:val="single" w:color="auto" w:sz="4" w:space="0"/>
            </w:tcBorders>
            <w:noWrap w:val="0"/>
            <w:vAlign w:val="center"/>
          </w:tcPr>
          <w:p>
            <w:pPr>
              <w:jc w:val="center"/>
              <w:rPr>
                <w:rFonts w:ascii="Times New Roman" w:hAnsi="Times New Roman" w:eastAsia="宋体" w:cs="Times New Roman"/>
                <w:kern w:val="2"/>
                <w:sz w:val="22"/>
                <w:szCs w:val="24"/>
                <w:highlight w:val="none"/>
                <w:lang w:val="en-US" w:eastAsia="zh-CN" w:bidi="ar-SA"/>
              </w:rPr>
            </w:pPr>
            <w:r>
              <w:rPr>
                <w:rFonts w:hint="eastAsia" w:ascii="Times New Roman" w:hAnsi="Times New Roman" w:eastAsia="宋体" w:cs="Times New Roman"/>
                <w:kern w:val="2"/>
                <w:sz w:val="22"/>
                <w:szCs w:val="24"/>
                <w:highlight w:val="none"/>
                <w:lang w:val="en-US" w:eastAsia="zh-CN" w:bidi="ar-SA"/>
              </w:rPr>
              <w:t>0.1</w:t>
            </w:r>
          </w:p>
        </w:tc>
      </w:tr>
      <w:tr>
        <w:tblPrEx>
          <w:tblCellMar>
            <w:top w:w="0" w:type="dxa"/>
            <w:left w:w="108" w:type="dxa"/>
            <w:bottom w:w="0" w:type="dxa"/>
            <w:right w:w="108" w:type="dxa"/>
          </w:tblCellMar>
        </w:tblPrEx>
        <w:trPr>
          <w:trHeight w:val="340" w:hRule="atLeast"/>
          <w:jc w:val="center"/>
        </w:trPr>
        <w:tc>
          <w:tcPr>
            <w:tcW w:w="2500" w:type="pct"/>
            <w:tcBorders>
              <w:top w:val="single" w:color="auto" w:sz="4" w:space="0"/>
              <w:left w:val="single" w:color="auto" w:sz="4" w:space="0"/>
              <w:bottom w:val="single" w:color="auto" w:sz="4" w:space="0"/>
              <w:right w:val="single" w:color="auto" w:sz="4" w:space="0"/>
            </w:tcBorders>
            <w:noWrap w:val="0"/>
            <w:vAlign w:val="center"/>
          </w:tcPr>
          <w:p>
            <w:pPr>
              <w:jc w:val="center"/>
              <w:rPr>
                <w:rFonts w:ascii="Times New Roman" w:hAnsi="Times New Roman" w:eastAsia="宋体" w:cs="Times New Roman"/>
                <w:kern w:val="2"/>
                <w:sz w:val="22"/>
                <w:szCs w:val="24"/>
                <w:highlight w:val="none"/>
                <w:lang w:val="en-US" w:eastAsia="zh-CN" w:bidi="ar-SA"/>
              </w:rPr>
            </w:pPr>
            <w:r>
              <w:rPr>
                <w:rFonts w:hint="eastAsia" w:ascii="Times New Roman" w:hAnsi="宋体" w:eastAsia="宋体" w:cs="Times New Roman"/>
                <w:kern w:val="2"/>
                <w:sz w:val="22"/>
                <w:szCs w:val="24"/>
                <w:highlight w:val="none"/>
                <w:lang w:val="en-US" w:eastAsia="zh-CN" w:bidi="ar-SA"/>
              </w:rPr>
              <w:t>铜</w:t>
            </w:r>
          </w:p>
        </w:tc>
        <w:tc>
          <w:tcPr>
            <w:tcW w:w="2500" w:type="pct"/>
            <w:tcBorders>
              <w:top w:val="single" w:color="auto" w:sz="4" w:space="0"/>
              <w:left w:val="nil"/>
              <w:bottom w:val="single" w:color="auto" w:sz="4" w:space="0"/>
              <w:right w:val="single" w:color="auto" w:sz="4" w:space="0"/>
            </w:tcBorders>
            <w:noWrap w:val="0"/>
            <w:vAlign w:val="center"/>
          </w:tcPr>
          <w:p>
            <w:pPr>
              <w:jc w:val="center"/>
              <w:rPr>
                <w:rFonts w:ascii="Times New Roman" w:hAnsi="Times New Roman" w:eastAsia="宋体" w:cs="Times New Roman"/>
                <w:kern w:val="2"/>
                <w:sz w:val="22"/>
                <w:szCs w:val="24"/>
                <w:highlight w:val="none"/>
                <w:lang w:val="en-US" w:eastAsia="zh-CN" w:bidi="ar-SA"/>
              </w:rPr>
            </w:pPr>
            <w:r>
              <w:rPr>
                <w:rFonts w:hint="eastAsia" w:ascii="Times New Roman" w:hAnsi="Times New Roman" w:eastAsia="宋体" w:cs="Times New Roman"/>
                <w:kern w:val="2"/>
                <w:sz w:val="22"/>
                <w:szCs w:val="24"/>
                <w:highlight w:val="none"/>
                <w:lang w:val="en-US" w:eastAsia="zh-CN" w:bidi="ar-SA"/>
              </w:rPr>
              <w:t>0.1</w:t>
            </w:r>
          </w:p>
        </w:tc>
      </w:tr>
      <w:tr>
        <w:tblPrEx>
          <w:tblCellMar>
            <w:top w:w="0" w:type="dxa"/>
            <w:left w:w="108" w:type="dxa"/>
            <w:bottom w:w="0" w:type="dxa"/>
            <w:right w:w="108" w:type="dxa"/>
          </w:tblCellMar>
        </w:tblPrEx>
        <w:trPr>
          <w:trHeight w:val="340" w:hRule="atLeast"/>
          <w:jc w:val="center"/>
        </w:trPr>
        <w:tc>
          <w:tcPr>
            <w:tcW w:w="2500" w:type="pct"/>
            <w:tcBorders>
              <w:top w:val="single" w:color="auto" w:sz="4" w:space="0"/>
              <w:left w:val="single" w:color="auto" w:sz="4" w:space="0"/>
              <w:bottom w:val="single" w:color="auto" w:sz="4" w:space="0"/>
              <w:right w:val="single" w:color="auto" w:sz="4" w:space="0"/>
            </w:tcBorders>
            <w:noWrap w:val="0"/>
            <w:vAlign w:val="center"/>
          </w:tcPr>
          <w:p>
            <w:pPr>
              <w:jc w:val="center"/>
              <w:rPr>
                <w:rFonts w:ascii="Times New Roman" w:hAnsi="Times New Roman" w:eastAsia="宋体" w:cs="Times New Roman"/>
                <w:kern w:val="2"/>
                <w:sz w:val="22"/>
                <w:szCs w:val="24"/>
                <w:highlight w:val="none"/>
                <w:lang w:val="en-US" w:eastAsia="zh-CN" w:bidi="ar-SA"/>
              </w:rPr>
            </w:pPr>
            <w:r>
              <w:rPr>
                <w:rFonts w:hint="eastAsia" w:ascii="Times New Roman" w:hAnsi="宋体" w:eastAsia="宋体" w:cs="Times New Roman"/>
                <w:kern w:val="2"/>
                <w:sz w:val="22"/>
                <w:szCs w:val="24"/>
                <w:highlight w:val="none"/>
                <w:lang w:val="en-US" w:eastAsia="zh-CN" w:bidi="ar-SA"/>
              </w:rPr>
              <w:t>氟化物</w:t>
            </w:r>
          </w:p>
        </w:tc>
        <w:tc>
          <w:tcPr>
            <w:tcW w:w="2500" w:type="pct"/>
            <w:tcBorders>
              <w:top w:val="single" w:color="auto" w:sz="4" w:space="0"/>
              <w:left w:val="nil"/>
              <w:bottom w:val="single" w:color="auto" w:sz="4" w:space="0"/>
              <w:right w:val="single" w:color="auto" w:sz="4" w:space="0"/>
            </w:tcBorders>
            <w:noWrap w:val="0"/>
            <w:vAlign w:val="center"/>
          </w:tcPr>
          <w:p>
            <w:pPr>
              <w:jc w:val="center"/>
              <w:rPr>
                <w:rFonts w:ascii="Times New Roman" w:hAnsi="Times New Roman" w:eastAsia="宋体" w:cs="Times New Roman"/>
                <w:kern w:val="2"/>
                <w:sz w:val="22"/>
                <w:szCs w:val="24"/>
                <w:highlight w:val="none"/>
                <w:lang w:val="en-US" w:eastAsia="zh-CN" w:bidi="ar-SA"/>
              </w:rPr>
            </w:pPr>
            <w:r>
              <w:rPr>
                <w:rFonts w:hint="eastAsia" w:ascii="Times New Roman" w:hAnsi="Times New Roman" w:eastAsia="宋体" w:cs="Times New Roman"/>
                <w:kern w:val="2"/>
                <w:sz w:val="22"/>
                <w:szCs w:val="24"/>
                <w:highlight w:val="none"/>
                <w:lang w:val="en-US" w:eastAsia="zh-CN" w:bidi="ar-SA"/>
              </w:rPr>
              <w:t>0.2</w:t>
            </w:r>
          </w:p>
        </w:tc>
      </w:tr>
      <w:tr>
        <w:tblPrEx>
          <w:tblCellMar>
            <w:top w:w="0" w:type="dxa"/>
            <w:left w:w="108" w:type="dxa"/>
            <w:bottom w:w="0" w:type="dxa"/>
            <w:right w:w="108" w:type="dxa"/>
          </w:tblCellMar>
        </w:tblPrEx>
        <w:trPr>
          <w:trHeight w:val="340" w:hRule="atLeast"/>
          <w:jc w:val="center"/>
        </w:trPr>
        <w:tc>
          <w:tcPr>
            <w:tcW w:w="2500" w:type="pct"/>
            <w:tcBorders>
              <w:top w:val="single" w:color="auto" w:sz="4" w:space="0"/>
              <w:left w:val="single" w:color="auto" w:sz="4" w:space="0"/>
              <w:bottom w:val="single" w:color="auto" w:sz="4" w:space="0"/>
              <w:right w:val="single" w:color="auto" w:sz="4" w:space="0"/>
            </w:tcBorders>
            <w:noWrap w:val="0"/>
            <w:vAlign w:val="center"/>
          </w:tcPr>
          <w:p>
            <w:pPr>
              <w:jc w:val="center"/>
              <w:rPr>
                <w:rFonts w:ascii="Times New Roman" w:hAnsi="Times New Roman" w:eastAsia="宋体" w:cs="Times New Roman"/>
                <w:kern w:val="2"/>
                <w:sz w:val="22"/>
                <w:szCs w:val="24"/>
                <w:highlight w:val="none"/>
                <w:lang w:val="en-US" w:eastAsia="zh-CN" w:bidi="ar-SA"/>
              </w:rPr>
            </w:pPr>
            <w:r>
              <w:rPr>
                <w:rFonts w:hint="eastAsia" w:ascii="Times New Roman" w:hAnsi="宋体" w:eastAsia="宋体" w:cs="Times New Roman"/>
                <w:kern w:val="2"/>
                <w:sz w:val="22"/>
                <w:szCs w:val="24"/>
                <w:highlight w:val="none"/>
                <w:lang w:val="en-US" w:eastAsia="zh-CN" w:bidi="ar-SA"/>
              </w:rPr>
              <w:t>铅</w:t>
            </w:r>
          </w:p>
        </w:tc>
        <w:tc>
          <w:tcPr>
            <w:tcW w:w="2500" w:type="pct"/>
            <w:tcBorders>
              <w:top w:val="single" w:color="auto" w:sz="4" w:space="0"/>
              <w:left w:val="nil"/>
              <w:bottom w:val="single" w:color="auto" w:sz="4" w:space="0"/>
              <w:right w:val="single" w:color="auto" w:sz="4" w:space="0"/>
            </w:tcBorders>
            <w:noWrap w:val="0"/>
            <w:vAlign w:val="center"/>
          </w:tcPr>
          <w:p>
            <w:pPr>
              <w:jc w:val="center"/>
              <w:rPr>
                <w:rFonts w:ascii="Times New Roman" w:hAnsi="Times New Roman" w:eastAsia="宋体" w:cs="Times New Roman"/>
                <w:kern w:val="2"/>
                <w:sz w:val="22"/>
                <w:szCs w:val="24"/>
                <w:highlight w:val="none"/>
                <w:lang w:val="en-US" w:eastAsia="zh-CN" w:bidi="ar-SA"/>
              </w:rPr>
            </w:pPr>
            <w:r>
              <w:rPr>
                <w:rFonts w:hint="eastAsia" w:ascii="Times New Roman" w:hAnsi="Times New Roman" w:eastAsia="宋体" w:cs="Times New Roman"/>
                <w:kern w:val="2"/>
                <w:sz w:val="22"/>
                <w:szCs w:val="24"/>
                <w:highlight w:val="none"/>
                <w:lang w:val="en-US" w:eastAsia="zh-CN" w:bidi="ar-SA"/>
              </w:rPr>
              <w:t>0.005</w:t>
            </w:r>
          </w:p>
        </w:tc>
      </w:tr>
      <w:tr>
        <w:tblPrEx>
          <w:tblCellMar>
            <w:top w:w="0" w:type="dxa"/>
            <w:left w:w="108" w:type="dxa"/>
            <w:bottom w:w="0" w:type="dxa"/>
            <w:right w:w="108" w:type="dxa"/>
          </w:tblCellMar>
        </w:tblPrEx>
        <w:trPr>
          <w:trHeight w:val="340" w:hRule="atLeast"/>
          <w:jc w:val="center"/>
        </w:trPr>
        <w:tc>
          <w:tcPr>
            <w:tcW w:w="2500" w:type="pct"/>
            <w:tcBorders>
              <w:top w:val="single" w:color="auto" w:sz="4" w:space="0"/>
              <w:left w:val="single" w:color="auto" w:sz="4" w:space="0"/>
              <w:bottom w:val="single" w:color="auto" w:sz="4" w:space="0"/>
              <w:right w:val="single" w:color="auto" w:sz="4" w:space="0"/>
            </w:tcBorders>
            <w:noWrap w:val="0"/>
            <w:vAlign w:val="center"/>
          </w:tcPr>
          <w:p>
            <w:pPr>
              <w:jc w:val="center"/>
              <w:rPr>
                <w:rFonts w:ascii="Times New Roman" w:hAnsi="Times New Roman" w:eastAsia="宋体" w:cs="Times New Roman"/>
                <w:kern w:val="2"/>
                <w:sz w:val="22"/>
                <w:szCs w:val="24"/>
                <w:highlight w:val="none"/>
                <w:lang w:val="en-US" w:eastAsia="zh-CN" w:bidi="ar-SA"/>
              </w:rPr>
            </w:pPr>
            <w:r>
              <w:rPr>
                <w:rFonts w:hint="eastAsia" w:ascii="Times New Roman" w:hAnsi="宋体" w:eastAsia="宋体" w:cs="Times New Roman"/>
                <w:kern w:val="2"/>
                <w:sz w:val="22"/>
                <w:szCs w:val="24"/>
                <w:highlight w:val="none"/>
                <w:lang w:val="en-US" w:eastAsia="zh-CN" w:bidi="ar-SA"/>
              </w:rPr>
              <w:t>硝酸盐</w:t>
            </w:r>
            <w:r>
              <w:rPr>
                <w:rFonts w:hint="eastAsia" w:ascii="Times New Roman" w:hAnsi="Times New Roman" w:eastAsia="宋体" w:cs="Times New Roman"/>
                <w:kern w:val="2"/>
                <w:sz w:val="22"/>
                <w:szCs w:val="24"/>
                <w:highlight w:val="none"/>
                <w:lang w:val="en-US" w:eastAsia="zh-CN" w:bidi="ar-SA"/>
              </w:rPr>
              <w:t>(</w:t>
            </w:r>
            <w:r>
              <w:rPr>
                <w:rFonts w:hint="eastAsia" w:ascii="Times New Roman" w:hAnsi="宋体" w:eastAsia="宋体" w:cs="Times New Roman"/>
                <w:kern w:val="2"/>
                <w:sz w:val="22"/>
                <w:szCs w:val="24"/>
                <w:highlight w:val="none"/>
                <w:lang w:val="en-US" w:eastAsia="zh-CN" w:bidi="ar-SA"/>
              </w:rPr>
              <w:t>氮</w:t>
            </w:r>
            <w:r>
              <w:rPr>
                <w:rFonts w:hint="eastAsia" w:ascii="Times New Roman" w:hAnsi="Times New Roman" w:eastAsia="宋体" w:cs="Times New Roman"/>
                <w:kern w:val="2"/>
                <w:sz w:val="22"/>
                <w:szCs w:val="24"/>
                <w:highlight w:val="none"/>
                <w:lang w:val="en-US" w:eastAsia="zh-CN" w:bidi="ar-SA"/>
              </w:rPr>
              <w:t>)</w:t>
            </w:r>
          </w:p>
        </w:tc>
        <w:tc>
          <w:tcPr>
            <w:tcW w:w="2500" w:type="pct"/>
            <w:tcBorders>
              <w:top w:val="single" w:color="auto" w:sz="4" w:space="0"/>
              <w:left w:val="nil"/>
              <w:bottom w:val="single" w:color="auto" w:sz="4" w:space="0"/>
              <w:right w:val="single" w:color="auto" w:sz="4" w:space="0"/>
            </w:tcBorders>
            <w:noWrap w:val="0"/>
            <w:vAlign w:val="center"/>
          </w:tcPr>
          <w:p>
            <w:pPr>
              <w:jc w:val="center"/>
              <w:rPr>
                <w:rFonts w:ascii="Times New Roman" w:hAnsi="Times New Roman" w:eastAsia="宋体" w:cs="Times New Roman"/>
                <w:kern w:val="2"/>
                <w:sz w:val="22"/>
                <w:szCs w:val="24"/>
                <w:highlight w:val="none"/>
                <w:lang w:val="en-US" w:eastAsia="zh-CN" w:bidi="ar-SA"/>
              </w:rPr>
            </w:pPr>
            <w:r>
              <w:rPr>
                <w:rFonts w:hint="eastAsia" w:ascii="Times New Roman" w:hAnsi="Times New Roman" w:eastAsia="宋体" w:cs="Times New Roman"/>
                <w:kern w:val="2"/>
                <w:sz w:val="22"/>
                <w:szCs w:val="24"/>
                <w:highlight w:val="none"/>
                <w:lang w:val="en-US" w:eastAsia="zh-CN" w:bidi="ar-SA"/>
              </w:rPr>
              <w:t>2</w:t>
            </w:r>
          </w:p>
        </w:tc>
      </w:tr>
      <w:tr>
        <w:tblPrEx>
          <w:tblCellMar>
            <w:top w:w="0" w:type="dxa"/>
            <w:left w:w="108" w:type="dxa"/>
            <w:bottom w:w="0" w:type="dxa"/>
            <w:right w:w="108" w:type="dxa"/>
          </w:tblCellMar>
        </w:tblPrEx>
        <w:trPr>
          <w:trHeight w:val="340" w:hRule="atLeast"/>
          <w:jc w:val="center"/>
        </w:trPr>
        <w:tc>
          <w:tcPr>
            <w:tcW w:w="2500" w:type="pct"/>
            <w:tcBorders>
              <w:top w:val="single" w:color="auto" w:sz="4" w:space="0"/>
              <w:left w:val="single" w:color="auto" w:sz="4" w:space="0"/>
              <w:bottom w:val="single" w:color="auto" w:sz="4" w:space="0"/>
              <w:right w:val="single" w:color="auto" w:sz="4" w:space="0"/>
            </w:tcBorders>
            <w:noWrap w:val="0"/>
            <w:vAlign w:val="center"/>
          </w:tcPr>
          <w:p>
            <w:pPr>
              <w:jc w:val="center"/>
              <w:rPr>
                <w:rFonts w:ascii="Times New Roman" w:hAnsi="Times New Roman" w:eastAsia="宋体" w:cs="Times New Roman"/>
                <w:kern w:val="2"/>
                <w:sz w:val="22"/>
                <w:szCs w:val="24"/>
                <w:highlight w:val="none"/>
                <w:lang w:val="en-US" w:eastAsia="zh-CN" w:bidi="ar-SA"/>
              </w:rPr>
            </w:pPr>
            <w:r>
              <w:rPr>
                <w:rFonts w:hint="eastAsia" w:ascii="Times New Roman" w:hAnsi="宋体" w:eastAsia="宋体" w:cs="Times New Roman"/>
                <w:kern w:val="2"/>
                <w:sz w:val="22"/>
                <w:szCs w:val="24"/>
                <w:highlight w:val="none"/>
                <w:lang w:val="en-US" w:eastAsia="zh-CN" w:bidi="ar-SA"/>
              </w:rPr>
              <w:t>硫酸盐</w:t>
            </w:r>
          </w:p>
        </w:tc>
        <w:tc>
          <w:tcPr>
            <w:tcW w:w="2500" w:type="pct"/>
            <w:tcBorders>
              <w:top w:val="single" w:color="auto" w:sz="4" w:space="0"/>
              <w:left w:val="nil"/>
              <w:bottom w:val="single" w:color="auto" w:sz="4" w:space="0"/>
              <w:right w:val="single" w:color="auto" w:sz="4" w:space="0"/>
            </w:tcBorders>
            <w:noWrap w:val="0"/>
            <w:vAlign w:val="center"/>
          </w:tcPr>
          <w:p>
            <w:pPr>
              <w:jc w:val="center"/>
              <w:rPr>
                <w:rFonts w:ascii="Times New Roman" w:hAnsi="Times New Roman" w:eastAsia="宋体" w:cs="Times New Roman"/>
                <w:kern w:val="2"/>
                <w:sz w:val="22"/>
                <w:szCs w:val="24"/>
                <w:highlight w:val="none"/>
                <w:lang w:val="en-US" w:eastAsia="zh-CN" w:bidi="ar-SA"/>
              </w:rPr>
            </w:pPr>
            <w:r>
              <w:rPr>
                <w:rFonts w:hint="eastAsia" w:ascii="Times New Roman" w:hAnsi="Times New Roman" w:eastAsia="宋体" w:cs="Times New Roman"/>
                <w:kern w:val="2"/>
                <w:sz w:val="22"/>
                <w:szCs w:val="24"/>
                <w:highlight w:val="none"/>
                <w:lang w:val="en-US" w:eastAsia="zh-CN" w:bidi="ar-SA"/>
              </w:rPr>
              <w:t>100</w:t>
            </w:r>
          </w:p>
        </w:tc>
      </w:tr>
      <w:tr>
        <w:tblPrEx>
          <w:tblCellMar>
            <w:top w:w="0" w:type="dxa"/>
            <w:left w:w="108" w:type="dxa"/>
            <w:bottom w:w="0" w:type="dxa"/>
            <w:right w:w="108" w:type="dxa"/>
          </w:tblCellMar>
        </w:tblPrEx>
        <w:trPr>
          <w:trHeight w:val="340" w:hRule="atLeast"/>
          <w:jc w:val="center"/>
        </w:trPr>
        <w:tc>
          <w:tcPr>
            <w:tcW w:w="2500" w:type="pct"/>
            <w:tcBorders>
              <w:top w:val="single" w:color="auto" w:sz="4" w:space="0"/>
              <w:left w:val="single" w:color="auto" w:sz="4" w:space="0"/>
              <w:bottom w:val="single" w:color="auto" w:sz="4" w:space="0"/>
              <w:right w:val="single" w:color="auto" w:sz="4" w:space="0"/>
            </w:tcBorders>
            <w:noWrap w:val="0"/>
            <w:vAlign w:val="center"/>
          </w:tcPr>
          <w:p>
            <w:pPr>
              <w:jc w:val="center"/>
              <w:rPr>
                <w:rFonts w:ascii="Times New Roman" w:hAnsi="Times New Roman" w:eastAsia="宋体" w:cs="Times New Roman"/>
                <w:kern w:val="2"/>
                <w:sz w:val="22"/>
                <w:szCs w:val="24"/>
                <w:highlight w:val="none"/>
                <w:lang w:val="en-US" w:eastAsia="zh-CN" w:bidi="ar-SA"/>
              </w:rPr>
            </w:pPr>
            <w:r>
              <w:rPr>
                <w:rFonts w:hint="eastAsia" w:ascii="Times New Roman" w:hAnsi="宋体" w:eastAsia="宋体" w:cs="Times New Roman"/>
                <w:kern w:val="2"/>
                <w:sz w:val="22"/>
                <w:szCs w:val="24"/>
                <w:highlight w:val="none"/>
                <w:lang w:val="en-US" w:eastAsia="zh-CN" w:bidi="ar-SA"/>
              </w:rPr>
              <w:t>锌</w:t>
            </w:r>
          </w:p>
        </w:tc>
        <w:tc>
          <w:tcPr>
            <w:tcW w:w="2500" w:type="pct"/>
            <w:tcBorders>
              <w:top w:val="single" w:color="auto" w:sz="4" w:space="0"/>
              <w:left w:val="nil"/>
              <w:bottom w:val="single" w:color="auto" w:sz="4" w:space="0"/>
              <w:right w:val="single" w:color="auto" w:sz="4" w:space="0"/>
            </w:tcBorders>
            <w:noWrap w:val="0"/>
            <w:vAlign w:val="center"/>
          </w:tcPr>
          <w:p>
            <w:pPr>
              <w:jc w:val="center"/>
              <w:rPr>
                <w:rFonts w:ascii="Times New Roman" w:hAnsi="Times New Roman" w:eastAsia="宋体" w:cs="Times New Roman"/>
                <w:kern w:val="2"/>
                <w:sz w:val="22"/>
                <w:szCs w:val="24"/>
                <w:highlight w:val="none"/>
                <w:lang w:val="en-US" w:eastAsia="zh-CN" w:bidi="ar-SA"/>
              </w:rPr>
            </w:pPr>
            <w:r>
              <w:rPr>
                <w:rFonts w:hint="eastAsia" w:ascii="Times New Roman" w:hAnsi="Times New Roman" w:eastAsia="宋体" w:cs="Times New Roman"/>
                <w:kern w:val="2"/>
                <w:sz w:val="22"/>
                <w:szCs w:val="24"/>
                <w:highlight w:val="none"/>
                <w:lang w:val="en-US" w:eastAsia="zh-CN" w:bidi="ar-SA"/>
              </w:rPr>
              <w:t>0.1</w:t>
            </w:r>
          </w:p>
        </w:tc>
      </w:tr>
      <w:tr>
        <w:tblPrEx>
          <w:tblCellMar>
            <w:top w:w="0" w:type="dxa"/>
            <w:left w:w="108" w:type="dxa"/>
            <w:bottom w:w="0" w:type="dxa"/>
            <w:right w:w="108" w:type="dxa"/>
          </w:tblCellMar>
        </w:tblPrEx>
        <w:trPr>
          <w:trHeight w:val="340" w:hRule="atLeast"/>
          <w:jc w:val="center"/>
        </w:trPr>
        <w:tc>
          <w:tcPr>
            <w:tcW w:w="5000" w:type="pct"/>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ascii="Times New Roman" w:hAnsi="Times New Roman" w:eastAsia="宋体" w:cs="Times New Roman"/>
                <w:kern w:val="2"/>
                <w:sz w:val="22"/>
                <w:szCs w:val="24"/>
                <w:highlight w:val="none"/>
                <w:lang w:val="en-US" w:eastAsia="zh-CN" w:bidi="ar-SA"/>
              </w:rPr>
            </w:pPr>
            <w:r>
              <w:rPr>
                <w:rFonts w:hint="eastAsia" w:ascii="Times New Roman" w:hAnsi="宋体" w:eastAsia="宋体" w:cs="Times New Roman"/>
                <w:kern w:val="2"/>
                <w:sz w:val="22"/>
                <w:szCs w:val="24"/>
                <w:highlight w:val="none"/>
                <w:lang w:val="en-US" w:eastAsia="zh-CN" w:bidi="ar-SA"/>
              </w:rPr>
              <w:t>透析溶液中的电解质</w:t>
            </w:r>
          </w:p>
        </w:tc>
      </w:tr>
      <w:tr>
        <w:tblPrEx>
          <w:tblCellMar>
            <w:top w:w="0" w:type="dxa"/>
            <w:left w:w="108" w:type="dxa"/>
            <w:bottom w:w="0" w:type="dxa"/>
            <w:right w:w="108" w:type="dxa"/>
          </w:tblCellMar>
        </w:tblPrEx>
        <w:trPr>
          <w:trHeight w:val="340" w:hRule="atLeast"/>
          <w:jc w:val="center"/>
        </w:trPr>
        <w:tc>
          <w:tcPr>
            <w:tcW w:w="2500" w:type="pct"/>
            <w:tcBorders>
              <w:top w:val="single" w:color="auto" w:sz="4" w:space="0"/>
              <w:left w:val="single" w:color="auto" w:sz="4" w:space="0"/>
              <w:bottom w:val="single" w:color="auto" w:sz="4" w:space="0"/>
              <w:right w:val="single" w:color="auto" w:sz="4" w:space="0"/>
            </w:tcBorders>
            <w:noWrap w:val="0"/>
            <w:vAlign w:val="center"/>
          </w:tcPr>
          <w:p>
            <w:pPr>
              <w:jc w:val="center"/>
              <w:rPr>
                <w:rFonts w:ascii="Times New Roman" w:hAnsi="Times New Roman" w:eastAsia="宋体" w:cs="Times New Roman"/>
                <w:kern w:val="2"/>
                <w:sz w:val="22"/>
                <w:szCs w:val="24"/>
                <w:highlight w:val="none"/>
                <w:lang w:val="en-US" w:eastAsia="zh-CN" w:bidi="ar-SA"/>
              </w:rPr>
            </w:pPr>
            <w:r>
              <w:rPr>
                <w:rFonts w:hint="eastAsia" w:ascii="Times New Roman" w:hAnsi="宋体" w:eastAsia="宋体" w:cs="Times New Roman"/>
                <w:kern w:val="2"/>
                <w:sz w:val="22"/>
                <w:szCs w:val="24"/>
                <w:highlight w:val="none"/>
                <w:lang w:val="en-US" w:eastAsia="zh-CN" w:bidi="ar-SA"/>
              </w:rPr>
              <w:t>钙</w:t>
            </w:r>
          </w:p>
        </w:tc>
        <w:tc>
          <w:tcPr>
            <w:tcW w:w="2500" w:type="pct"/>
            <w:tcBorders>
              <w:top w:val="single" w:color="auto" w:sz="4" w:space="0"/>
              <w:left w:val="nil"/>
              <w:bottom w:val="single" w:color="auto" w:sz="4" w:space="0"/>
              <w:right w:val="single" w:color="auto" w:sz="4" w:space="0"/>
            </w:tcBorders>
            <w:noWrap w:val="0"/>
            <w:vAlign w:val="center"/>
          </w:tcPr>
          <w:p>
            <w:pPr>
              <w:jc w:val="center"/>
              <w:rPr>
                <w:rFonts w:ascii="Times New Roman" w:hAnsi="Times New Roman" w:eastAsia="宋体" w:cs="Times New Roman"/>
                <w:kern w:val="2"/>
                <w:sz w:val="22"/>
                <w:szCs w:val="24"/>
                <w:highlight w:val="none"/>
                <w:lang w:val="en-US" w:eastAsia="zh-CN" w:bidi="ar-SA"/>
              </w:rPr>
            </w:pPr>
            <w:r>
              <w:rPr>
                <w:rFonts w:hint="eastAsia" w:ascii="Times New Roman" w:hAnsi="Times New Roman" w:eastAsia="宋体" w:cs="Times New Roman"/>
                <w:kern w:val="2"/>
                <w:sz w:val="22"/>
                <w:szCs w:val="24"/>
                <w:highlight w:val="none"/>
                <w:lang w:val="en-US" w:eastAsia="zh-CN" w:bidi="ar-SA"/>
              </w:rPr>
              <w:t>2(0.05 mmo1/L)</w:t>
            </w:r>
          </w:p>
        </w:tc>
      </w:tr>
      <w:tr>
        <w:tblPrEx>
          <w:tblCellMar>
            <w:top w:w="0" w:type="dxa"/>
            <w:left w:w="108" w:type="dxa"/>
            <w:bottom w:w="0" w:type="dxa"/>
            <w:right w:w="108" w:type="dxa"/>
          </w:tblCellMar>
        </w:tblPrEx>
        <w:trPr>
          <w:trHeight w:val="340" w:hRule="atLeast"/>
          <w:jc w:val="center"/>
        </w:trPr>
        <w:tc>
          <w:tcPr>
            <w:tcW w:w="2500" w:type="pct"/>
            <w:tcBorders>
              <w:top w:val="single" w:color="auto" w:sz="4" w:space="0"/>
              <w:left w:val="single" w:color="auto" w:sz="4" w:space="0"/>
              <w:bottom w:val="single" w:color="auto" w:sz="4" w:space="0"/>
              <w:right w:val="single" w:color="auto" w:sz="4" w:space="0"/>
            </w:tcBorders>
            <w:noWrap w:val="0"/>
            <w:vAlign w:val="center"/>
          </w:tcPr>
          <w:p>
            <w:pPr>
              <w:jc w:val="center"/>
              <w:rPr>
                <w:rFonts w:ascii="Times New Roman" w:hAnsi="Times New Roman" w:eastAsia="宋体" w:cs="Times New Roman"/>
                <w:kern w:val="2"/>
                <w:sz w:val="22"/>
                <w:szCs w:val="24"/>
                <w:highlight w:val="none"/>
                <w:lang w:val="en-US" w:eastAsia="zh-CN" w:bidi="ar-SA"/>
              </w:rPr>
            </w:pPr>
            <w:r>
              <w:rPr>
                <w:rFonts w:hint="eastAsia" w:ascii="Times New Roman" w:hAnsi="宋体" w:eastAsia="宋体" w:cs="Times New Roman"/>
                <w:kern w:val="2"/>
                <w:sz w:val="22"/>
                <w:szCs w:val="24"/>
                <w:highlight w:val="none"/>
                <w:lang w:val="en-US" w:eastAsia="zh-CN" w:bidi="ar-SA"/>
              </w:rPr>
              <w:t>镁</w:t>
            </w:r>
          </w:p>
        </w:tc>
        <w:tc>
          <w:tcPr>
            <w:tcW w:w="2500" w:type="pct"/>
            <w:tcBorders>
              <w:top w:val="single" w:color="auto" w:sz="4" w:space="0"/>
              <w:left w:val="nil"/>
              <w:bottom w:val="single" w:color="auto" w:sz="4" w:space="0"/>
              <w:right w:val="single" w:color="auto" w:sz="4" w:space="0"/>
            </w:tcBorders>
            <w:noWrap w:val="0"/>
            <w:vAlign w:val="center"/>
          </w:tcPr>
          <w:p>
            <w:pPr>
              <w:jc w:val="center"/>
              <w:rPr>
                <w:rFonts w:ascii="Times New Roman" w:hAnsi="Times New Roman" w:eastAsia="宋体" w:cs="Times New Roman"/>
                <w:kern w:val="2"/>
                <w:sz w:val="22"/>
                <w:szCs w:val="24"/>
                <w:highlight w:val="none"/>
                <w:lang w:val="en-US" w:eastAsia="zh-CN" w:bidi="ar-SA"/>
              </w:rPr>
            </w:pPr>
            <w:r>
              <w:rPr>
                <w:rFonts w:hint="eastAsia" w:ascii="Times New Roman" w:hAnsi="Times New Roman" w:eastAsia="宋体" w:cs="Times New Roman"/>
                <w:kern w:val="2"/>
                <w:sz w:val="22"/>
                <w:szCs w:val="24"/>
                <w:highlight w:val="none"/>
                <w:lang w:val="en-US" w:eastAsia="zh-CN" w:bidi="ar-SA"/>
              </w:rPr>
              <w:t>4(0.15 mmo1/L)</w:t>
            </w:r>
          </w:p>
        </w:tc>
      </w:tr>
      <w:tr>
        <w:tblPrEx>
          <w:tblCellMar>
            <w:top w:w="0" w:type="dxa"/>
            <w:left w:w="108" w:type="dxa"/>
            <w:bottom w:w="0" w:type="dxa"/>
            <w:right w:w="108" w:type="dxa"/>
          </w:tblCellMar>
        </w:tblPrEx>
        <w:trPr>
          <w:trHeight w:val="340" w:hRule="atLeast"/>
          <w:jc w:val="center"/>
        </w:trPr>
        <w:tc>
          <w:tcPr>
            <w:tcW w:w="2500" w:type="pct"/>
            <w:tcBorders>
              <w:top w:val="single" w:color="auto" w:sz="4" w:space="0"/>
              <w:left w:val="single" w:color="auto" w:sz="4" w:space="0"/>
              <w:bottom w:val="single" w:color="auto" w:sz="4" w:space="0"/>
              <w:right w:val="single" w:color="auto" w:sz="4" w:space="0"/>
            </w:tcBorders>
            <w:noWrap w:val="0"/>
            <w:vAlign w:val="center"/>
          </w:tcPr>
          <w:p>
            <w:pPr>
              <w:jc w:val="center"/>
              <w:rPr>
                <w:rFonts w:ascii="Times New Roman" w:hAnsi="Times New Roman" w:eastAsia="宋体" w:cs="Times New Roman"/>
                <w:kern w:val="2"/>
                <w:sz w:val="22"/>
                <w:szCs w:val="24"/>
                <w:highlight w:val="none"/>
                <w:lang w:val="en-US" w:eastAsia="zh-CN" w:bidi="ar-SA"/>
              </w:rPr>
            </w:pPr>
            <w:r>
              <w:rPr>
                <w:rFonts w:hint="eastAsia" w:ascii="Times New Roman" w:hAnsi="宋体" w:eastAsia="宋体" w:cs="Times New Roman"/>
                <w:kern w:val="2"/>
                <w:sz w:val="22"/>
                <w:szCs w:val="24"/>
                <w:highlight w:val="none"/>
                <w:lang w:val="en-US" w:eastAsia="zh-CN" w:bidi="ar-SA"/>
              </w:rPr>
              <w:t>钾</w:t>
            </w:r>
          </w:p>
        </w:tc>
        <w:tc>
          <w:tcPr>
            <w:tcW w:w="2500" w:type="pct"/>
            <w:tcBorders>
              <w:top w:val="single" w:color="auto" w:sz="4" w:space="0"/>
              <w:left w:val="nil"/>
              <w:bottom w:val="single" w:color="auto" w:sz="4" w:space="0"/>
              <w:right w:val="single" w:color="auto" w:sz="4" w:space="0"/>
            </w:tcBorders>
            <w:noWrap w:val="0"/>
            <w:vAlign w:val="center"/>
          </w:tcPr>
          <w:p>
            <w:pPr>
              <w:jc w:val="center"/>
              <w:rPr>
                <w:rFonts w:ascii="Times New Roman" w:hAnsi="Times New Roman" w:eastAsia="宋体" w:cs="Times New Roman"/>
                <w:kern w:val="2"/>
                <w:sz w:val="22"/>
                <w:szCs w:val="24"/>
                <w:highlight w:val="none"/>
                <w:lang w:val="en-US" w:eastAsia="zh-CN" w:bidi="ar-SA"/>
              </w:rPr>
            </w:pPr>
            <w:r>
              <w:rPr>
                <w:rFonts w:hint="eastAsia" w:ascii="Times New Roman" w:hAnsi="Times New Roman" w:eastAsia="宋体" w:cs="Times New Roman"/>
                <w:kern w:val="2"/>
                <w:sz w:val="22"/>
                <w:szCs w:val="24"/>
                <w:highlight w:val="none"/>
                <w:lang w:val="en-US" w:eastAsia="zh-CN" w:bidi="ar-SA"/>
              </w:rPr>
              <w:t>8(0.2 mmo1/L)</w:t>
            </w:r>
          </w:p>
        </w:tc>
      </w:tr>
      <w:tr>
        <w:tblPrEx>
          <w:tblCellMar>
            <w:top w:w="0" w:type="dxa"/>
            <w:left w:w="108" w:type="dxa"/>
            <w:bottom w:w="0" w:type="dxa"/>
            <w:right w:w="108" w:type="dxa"/>
          </w:tblCellMar>
        </w:tblPrEx>
        <w:trPr>
          <w:trHeight w:val="340" w:hRule="atLeast"/>
          <w:jc w:val="center"/>
        </w:trPr>
        <w:tc>
          <w:tcPr>
            <w:tcW w:w="2500" w:type="pct"/>
            <w:tcBorders>
              <w:top w:val="single" w:color="auto" w:sz="4" w:space="0"/>
              <w:left w:val="single" w:color="auto" w:sz="4" w:space="0"/>
              <w:bottom w:val="single" w:color="auto" w:sz="4" w:space="0"/>
              <w:right w:val="single" w:color="auto" w:sz="4" w:space="0"/>
            </w:tcBorders>
            <w:noWrap w:val="0"/>
            <w:vAlign w:val="center"/>
          </w:tcPr>
          <w:p>
            <w:pPr>
              <w:jc w:val="center"/>
              <w:rPr>
                <w:rFonts w:ascii="Times New Roman" w:hAnsi="Times New Roman" w:eastAsia="宋体" w:cs="Times New Roman"/>
                <w:kern w:val="2"/>
                <w:sz w:val="22"/>
                <w:szCs w:val="24"/>
                <w:highlight w:val="none"/>
                <w:lang w:val="en-US" w:eastAsia="zh-CN" w:bidi="ar-SA"/>
              </w:rPr>
            </w:pPr>
            <w:r>
              <w:rPr>
                <w:rFonts w:hint="eastAsia" w:ascii="Times New Roman" w:hAnsi="宋体" w:eastAsia="宋体" w:cs="Times New Roman"/>
                <w:kern w:val="2"/>
                <w:sz w:val="22"/>
                <w:szCs w:val="24"/>
                <w:highlight w:val="none"/>
                <w:lang w:val="en-US" w:eastAsia="zh-CN" w:bidi="ar-SA"/>
              </w:rPr>
              <w:t>钠</w:t>
            </w:r>
          </w:p>
        </w:tc>
        <w:tc>
          <w:tcPr>
            <w:tcW w:w="2500" w:type="pct"/>
            <w:tcBorders>
              <w:top w:val="single" w:color="auto" w:sz="4" w:space="0"/>
              <w:left w:val="nil"/>
              <w:bottom w:val="single" w:color="auto" w:sz="4" w:space="0"/>
              <w:right w:val="single" w:color="auto" w:sz="4" w:space="0"/>
            </w:tcBorders>
            <w:noWrap w:val="0"/>
            <w:vAlign w:val="center"/>
          </w:tcPr>
          <w:p>
            <w:pPr>
              <w:jc w:val="center"/>
              <w:rPr>
                <w:rFonts w:ascii="Times New Roman" w:hAnsi="Times New Roman" w:eastAsia="宋体" w:cs="Times New Roman"/>
                <w:kern w:val="2"/>
                <w:sz w:val="22"/>
                <w:szCs w:val="24"/>
                <w:highlight w:val="none"/>
                <w:lang w:val="en-US" w:eastAsia="zh-CN" w:bidi="ar-SA"/>
              </w:rPr>
            </w:pPr>
            <w:r>
              <w:rPr>
                <w:rFonts w:hint="eastAsia" w:ascii="Times New Roman" w:hAnsi="Times New Roman" w:eastAsia="宋体" w:cs="Times New Roman"/>
                <w:kern w:val="2"/>
                <w:sz w:val="22"/>
                <w:szCs w:val="24"/>
                <w:highlight w:val="none"/>
                <w:lang w:val="en-US" w:eastAsia="zh-CN" w:bidi="ar-SA"/>
              </w:rPr>
              <w:t>70(3.0 mmo1/L)</w:t>
            </w:r>
          </w:p>
        </w:tc>
      </w:tr>
      <w:tr>
        <w:tblPrEx>
          <w:tblCellMar>
            <w:top w:w="0" w:type="dxa"/>
            <w:left w:w="108" w:type="dxa"/>
            <w:bottom w:w="0" w:type="dxa"/>
            <w:right w:w="108" w:type="dxa"/>
          </w:tblCellMar>
        </w:tblPrEx>
        <w:trPr>
          <w:trHeight w:val="340" w:hRule="atLeast"/>
          <w:jc w:val="center"/>
        </w:trPr>
        <w:tc>
          <w:tcPr>
            <w:tcW w:w="5000" w:type="pct"/>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ascii="Times New Roman" w:hAnsi="Times New Roman" w:eastAsia="宋体" w:cs="Times New Roman"/>
                <w:kern w:val="2"/>
                <w:sz w:val="22"/>
                <w:szCs w:val="24"/>
                <w:highlight w:val="none"/>
                <w:lang w:val="en-US" w:eastAsia="zh-CN" w:bidi="ar-SA"/>
              </w:rPr>
            </w:pPr>
            <w:r>
              <w:rPr>
                <w:rFonts w:ascii="Times New Roman" w:hAnsi="Times New Roman" w:eastAsia="宋体" w:cs="Cambria Math"/>
                <w:kern w:val="2"/>
                <w:sz w:val="22"/>
                <w:szCs w:val="24"/>
                <w:highlight w:val="none"/>
                <w:lang w:val="en-US" w:eastAsia="zh-CN" w:bidi="ar-SA"/>
              </w:rPr>
              <w:t>ᵃ</w:t>
            </w:r>
            <w:r>
              <w:rPr>
                <w:rFonts w:hint="eastAsia" w:ascii="Times New Roman" w:hAnsi="Times New Roman" w:eastAsia="宋体" w:cs="Calibri"/>
                <w:kern w:val="2"/>
                <w:sz w:val="22"/>
                <w:szCs w:val="24"/>
                <w:highlight w:val="none"/>
                <w:lang w:val="en-US" w:eastAsia="zh-CN" w:bidi="ar-SA"/>
              </w:rPr>
              <w:t> </w:t>
            </w:r>
            <w:r>
              <w:rPr>
                <w:rFonts w:hint="eastAsia" w:ascii="Times New Roman" w:hAnsi="宋体" w:eastAsia="宋体" w:cs="Times New Roman"/>
                <w:kern w:val="2"/>
                <w:sz w:val="22"/>
                <w:szCs w:val="24"/>
                <w:highlight w:val="none"/>
                <w:lang w:val="en-US" w:eastAsia="zh-CN" w:bidi="ar-SA"/>
              </w:rPr>
              <w:t>除非有其他注明。</w:t>
            </w:r>
          </w:p>
        </w:tc>
      </w:tr>
    </w:tbl>
    <w:p>
      <w:pPr>
        <w:ind w:firstLine="440"/>
        <w:rPr>
          <w:rFonts w:ascii="Times New Roman" w:hAnsi="Times New Roman" w:eastAsia="宋体" w:cs="Times New Roman"/>
          <w:kern w:val="2"/>
          <w:sz w:val="22"/>
          <w:szCs w:val="24"/>
          <w:highlight w:val="none"/>
          <w:lang w:val="en-US" w:eastAsia="zh-CN" w:bidi="ar-SA"/>
        </w:rPr>
      </w:pPr>
    </w:p>
    <w:p>
      <w:pPr>
        <w:ind w:firstLine="440"/>
        <w:rPr>
          <w:rFonts w:ascii="Times New Roman" w:hAnsi="Times New Roman" w:eastAsia="宋体" w:cs="Times New Roman"/>
          <w:kern w:val="2"/>
          <w:sz w:val="22"/>
          <w:szCs w:val="24"/>
          <w:highlight w:val="none"/>
          <w:lang w:val="en-US" w:eastAsia="zh-CN" w:bidi="ar-SA"/>
        </w:rPr>
      </w:pPr>
    </w:p>
    <w:p>
      <w:pPr>
        <w:ind w:firstLine="440"/>
        <w:rPr>
          <w:rFonts w:ascii="Times New Roman" w:hAnsi="Times New Roman" w:eastAsia="宋体" w:cs="Times New Roman"/>
          <w:kern w:val="2"/>
          <w:sz w:val="22"/>
          <w:szCs w:val="24"/>
          <w:highlight w:val="none"/>
          <w:lang w:val="en-US" w:eastAsia="zh-CN" w:bidi="ar-SA"/>
        </w:rPr>
      </w:pPr>
    </w:p>
    <w:p>
      <w:pPr>
        <w:ind w:firstLine="440"/>
        <w:rPr>
          <w:rFonts w:ascii="Times New Roman" w:hAnsi="Times New Roman" w:eastAsia="宋体" w:cs="Times New Roman"/>
          <w:kern w:val="2"/>
          <w:sz w:val="22"/>
          <w:szCs w:val="24"/>
          <w:highlight w:val="none"/>
          <w:lang w:val="en-US" w:eastAsia="zh-CN" w:bidi="ar-SA"/>
        </w:rPr>
      </w:pPr>
    </w:p>
    <w:p>
      <w:pPr>
        <w:ind w:firstLine="440"/>
        <w:rPr>
          <w:rFonts w:ascii="Times New Roman" w:hAnsi="Times New Roman" w:eastAsia="宋体" w:cs="Times New Roman"/>
          <w:kern w:val="2"/>
          <w:sz w:val="22"/>
          <w:szCs w:val="24"/>
          <w:highlight w:val="none"/>
          <w:lang w:val="en-US" w:eastAsia="zh-CN" w:bidi="ar-SA"/>
        </w:rPr>
      </w:pPr>
    </w:p>
    <w:p>
      <w:pPr>
        <w:ind w:firstLine="440"/>
        <w:rPr>
          <w:rFonts w:ascii="Times New Roman" w:hAnsi="Times New Roman" w:eastAsia="宋体" w:cs="Times New Roman"/>
          <w:kern w:val="2"/>
          <w:sz w:val="22"/>
          <w:szCs w:val="24"/>
          <w:highlight w:val="none"/>
          <w:lang w:val="en-US" w:eastAsia="zh-CN" w:bidi="ar-SA"/>
        </w:rPr>
      </w:pPr>
    </w:p>
    <w:p>
      <w:pPr>
        <w:ind w:firstLine="440"/>
        <w:rPr>
          <w:rFonts w:ascii="Times New Roman" w:hAnsi="Times New Roman" w:eastAsia="宋体" w:cs="Times New Roman"/>
          <w:kern w:val="2"/>
          <w:sz w:val="22"/>
          <w:szCs w:val="24"/>
          <w:highlight w:val="none"/>
          <w:lang w:val="en-US" w:eastAsia="zh-CN" w:bidi="ar-SA"/>
        </w:rPr>
      </w:pPr>
    </w:p>
    <w:p>
      <w:pPr>
        <w:ind w:firstLine="440"/>
        <w:rPr>
          <w:rFonts w:ascii="Times New Roman" w:hAnsi="Times New Roman" w:eastAsia="宋体" w:cs="Times New Roman"/>
          <w:kern w:val="2"/>
          <w:sz w:val="22"/>
          <w:szCs w:val="24"/>
          <w:highlight w:val="none"/>
          <w:lang w:val="en-US" w:eastAsia="zh-CN" w:bidi="ar-SA"/>
        </w:rPr>
      </w:pPr>
    </w:p>
    <w:p>
      <w:pPr>
        <w:ind w:firstLine="440"/>
        <w:rPr>
          <w:rFonts w:ascii="Times New Roman" w:hAnsi="Times New Roman" w:eastAsia="宋体" w:cs="Times New Roman"/>
          <w:kern w:val="2"/>
          <w:sz w:val="22"/>
          <w:szCs w:val="24"/>
          <w:highlight w:val="none"/>
          <w:lang w:val="en-US" w:eastAsia="zh-CN" w:bidi="ar-SA"/>
        </w:rPr>
      </w:pPr>
    </w:p>
    <w:p>
      <w:pPr>
        <w:ind w:firstLine="440"/>
        <w:rPr>
          <w:rFonts w:ascii="Times New Roman" w:hAnsi="Times New Roman" w:eastAsia="宋体" w:cs="Times New Roman"/>
          <w:kern w:val="2"/>
          <w:sz w:val="22"/>
          <w:szCs w:val="24"/>
          <w:highlight w:val="none"/>
          <w:lang w:val="en-US" w:eastAsia="zh-CN" w:bidi="ar-SA"/>
        </w:rPr>
      </w:pPr>
    </w:p>
    <w:p>
      <w:pPr>
        <w:ind w:firstLine="440"/>
        <w:rPr>
          <w:rFonts w:ascii="Times New Roman" w:hAnsi="Times New Roman" w:eastAsia="宋体" w:cs="Times New Roman"/>
          <w:kern w:val="2"/>
          <w:sz w:val="22"/>
          <w:szCs w:val="24"/>
          <w:highlight w:val="none"/>
          <w:lang w:val="en-US" w:eastAsia="zh-CN" w:bidi="ar-SA"/>
        </w:rPr>
      </w:pPr>
    </w:p>
    <w:p>
      <w:pPr>
        <w:ind w:firstLine="440"/>
        <w:rPr>
          <w:rFonts w:ascii="Times New Roman" w:hAnsi="Times New Roman" w:eastAsia="宋体" w:cs="Times New Roman"/>
          <w:kern w:val="2"/>
          <w:sz w:val="22"/>
          <w:szCs w:val="24"/>
          <w:highlight w:val="none"/>
          <w:lang w:val="en-US" w:eastAsia="zh-CN" w:bidi="ar-SA"/>
        </w:rPr>
      </w:pPr>
    </w:p>
    <w:p>
      <w:pPr>
        <w:ind w:firstLine="440"/>
        <w:rPr>
          <w:rFonts w:ascii="Times New Roman" w:hAnsi="Times New Roman" w:eastAsia="宋体" w:cs="Times New Roman"/>
          <w:kern w:val="2"/>
          <w:sz w:val="22"/>
          <w:szCs w:val="24"/>
          <w:highlight w:val="none"/>
          <w:lang w:val="en-US" w:eastAsia="zh-CN" w:bidi="ar-SA"/>
        </w:rPr>
      </w:pPr>
    </w:p>
    <w:p>
      <w:pPr>
        <w:ind w:firstLine="440"/>
        <w:rPr>
          <w:rFonts w:ascii="Times New Roman" w:hAnsi="Times New Roman" w:eastAsia="宋体" w:cs="Times New Roman"/>
          <w:kern w:val="2"/>
          <w:sz w:val="22"/>
          <w:szCs w:val="24"/>
          <w:highlight w:val="none"/>
          <w:lang w:val="en-US" w:eastAsia="zh-CN" w:bidi="ar-SA"/>
        </w:rPr>
      </w:pPr>
    </w:p>
    <w:p>
      <w:pPr>
        <w:ind w:firstLine="440"/>
        <w:rPr>
          <w:rFonts w:ascii="Times New Roman" w:hAnsi="Times New Roman" w:eastAsia="宋体" w:cs="Times New Roman"/>
          <w:kern w:val="2"/>
          <w:sz w:val="22"/>
          <w:szCs w:val="24"/>
          <w:highlight w:val="none"/>
          <w:lang w:val="en-US" w:eastAsia="zh-CN" w:bidi="ar-SA"/>
        </w:rPr>
      </w:pPr>
    </w:p>
    <w:p>
      <w:pPr>
        <w:rPr>
          <w:rFonts w:ascii="Times New Roman" w:hAnsi="Times New Roman" w:eastAsia="宋体" w:cs="Times New Roman"/>
          <w:kern w:val="2"/>
          <w:sz w:val="22"/>
          <w:szCs w:val="24"/>
          <w:highlight w:val="none"/>
          <w:lang w:val="en-US" w:eastAsia="zh-CN" w:bidi="ar-SA"/>
        </w:rPr>
      </w:pPr>
    </w:p>
    <w:p>
      <w:pPr>
        <w:ind w:firstLine="440"/>
        <w:rPr>
          <w:rFonts w:ascii="Times New Roman" w:hAnsi="Times New Roman" w:eastAsia="宋体" w:cs="Times New Roman"/>
          <w:kern w:val="2"/>
          <w:sz w:val="22"/>
          <w:szCs w:val="24"/>
          <w:highlight w:val="none"/>
          <w:lang w:val="en-US" w:eastAsia="zh-CN" w:bidi="ar-SA"/>
        </w:rPr>
      </w:pPr>
      <w:r>
        <w:rPr>
          <w:rFonts w:hint="eastAsia" w:ascii="Times New Roman" w:hAnsi="宋体" w:eastAsia="宋体" w:cs="Times New Roman"/>
          <w:kern w:val="2"/>
          <w:sz w:val="22"/>
          <w:szCs w:val="24"/>
          <w:highlight w:val="none"/>
          <w:lang w:val="en-US" w:eastAsia="zh-CN" w:bidi="ar-SA"/>
        </w:rPr>
        <w:t>表二、透析用水中微量元素的最大允许量</w:t>
      </w:r>
    </w:p>
    <w:tbl>
      <w:tblPr>
        <w:tblStyle w:val="32"/>
        <w:tblW w:w="5000" w:type="pct"/>
        <w:jc w:val="center"/>
        <w:tblLayout w:type="autofit"/>
        <w:tblCellMar>
          <w:top w:w="0" w:type="dxa"/>
          <w:left w:w="108" w:type="dxa"/>
          <w:bottom w:w="0" w:type="dxa"/>
          <w:right w:w="108" w:type="dxa"/>
        </w:tblCellMar>
      </w:tblPr>
      <w:tblGrid>
        <w:gridCol w:w="4842"/>
        <w:gridCol w:w="4842"/>
      </w:tblGrid>
      <w:tr>
        <w:tblPrEx>
          <w:tblCellMar>
            <w:top w:w="0" w:type="dxa"/>
            <w:left w:w="108" w:type="dxa"/>
            <w:bottom w:w="0" w:type="dxa"/>
            <w:right w:w="108" w:type="dxa"/>
          </w:tblCellMar>
        </w:tblPrEx>
        <w:trPr>
          <w:trHeight w:val="340" w:hRule="atLeast"/>
          <w:jc w:val="center"/>
        </w:trPr>
        <w:tc>
          <w:tcPr>
            <w:tcW w:w="2500" w:type="pct"/>
            <w:tcBorders>
              <w:top w:val="single" w:color="auto" w:sz="4" w:space="0"/>
              <w:left w:val="single" w:color="auto" w:sz="4" w:space="0"/>
              <w:bottom w:val="single" w:color="auto" w:sz="4" w:space="0"/>
              <w:right w:val="single" w:color="auto" w:sz="4" w:space="0"/>
            </w:tcBorders>
            <w:shd w:val="clear" w:color="auto" w:fill="92D050"/>
            <w:noWrap w:val="0"/>
            <w:vAlign w:val="top"/>
          </w:tcPr>
          <w:p>
            <w:pPr>
              <w:jc w:val="center"/>
              <w:rPr>
                <w:rFonts w:ascii="Times New Roman" w:hAnsi="Times New Roman" w:eastAsia="宋体" w:cs="Times New Roman"/>
                <w:kern w:val="2"/>
                <w:sz w:val="22"/>
                <w:szCs w:val="24"/>
                <w:highlight w:val="none"/>
                <w:lang w:val="en-US" w:eastAsia="zh-CN" w:bidi="ar-SA"/>
              </w:rPr>
            </w:pPr>
            <w:r>
              <w:rPr>
                <w:rFonts w:hint="eastAsia" w:ascii="Times New Roman" w:hAnsi="宋体" w:eastAsia="宋体" w:cs="Times New Roman"/>
                <w:kern w:val="2"/>
                <w:sz w:val="22"/>
                <w:szCs w:val="24"/>
                <w:highlight w:val="none"/>
                <w:lang w:val="en-US" w:eastAsia="zh-CN" w:bidi="ar-SA"/>
              </w:rPr>
              <w:t>污染物</w:t>
            </w:r>
          </w:p>
        </w:tc>
        <w:tc>
          <w:tcPr>
            <w:tcW w:w="2500" w:type="pct"/>
            <w:tcBorders>
              <w:top w:val="single" w:color="auto" w:sz="4" w:space="0"/>
              <w:left w:val="nil"/>
              <w:bottom w:val="single" w:color="auto" w:sz="4" w:space="0"/>
              <w:right w:val="single" w:color="auto" w:sz="4" w:space="0"/>
            </w:tcBorders>
            <w:shd w:val="clear" w:color="auto" w:fill="92D050"/>
            <w:noWrap w:val="0"/>
            <w:vAlign w:val="top"/>
          </w:tcPr>
          <w:p>
            <w:pPr>
              <w:jc w:val="center"/>
              <w:rPr>
                <w:rFonts w:ascii="Times New Roman" w:hAnsi="Times New Roman" w:eastAsia="宋体" w:cs="Times New Roman"/>
                <w:kern w:val="2"/>
                <w:sz w:val="22"/>
                <w:szCs w:val="24"/>
                <w:highlight w:val="none"/>
                <w:lang w:val="en-US" w:eastAsia="zh-CN" w:bidi="ar-SA"/>
              </w:rPr>
            </w:pPr>
            <w:r>
              <w:rPr>
                <w:rFonts w:hint="eastAsia" w:ascii="Times New Roman" w:hAnsi="宋体" w:eastAsia="宋体" w:cs="Times New Roman"/>
                <w:kern w:val="2"/>
                <w:sz w:val="22"/>
                <w:szCs w:val="24"/>
                <w:highlight w:val="none"/>
                <w:lang w:val="en-US" w:eastAsia="zh-CN" w:bidi="ar-SA"/>
              </w:rPr>
              <w:t>最高允许浓度</w:t>
            </w:r>
            <w:r>
              <w:rPr>
                <w:rFonts w:hint="eastAsia" w:ascii="Times New Roman" w:hAnsi="Times New Roman" w:eastAsia="宋体" w:cs="Times New Roman"/>
                <w:kern w:val="2"/>
                <w:sz w:val="22"/>
                <w:szCs w:val="24"/>
                <w:highlight w:val="none"/>
                <w:lang w:val="en-US" w:eastAsia="zh-CN" w:bidi="ar-SA"/>
              </w:rPr>
              <w:t>mg/L</w:t>
            </w:r>
          </w:p>
        </w:tc>
      </w:tr>
      <w:tr>
        <w:tblPrEx>
          <w:tblCellMar>
            <w:top w:w="0" w:type="dxa"/>
            <w:left w:w="108" w:type="dxa"/>
            <w:bottom w:w="0" w:type="dxa"/>
            <w:right w:w="108" w:type="dxa"/>
          </w:tblCellMar>
        </w:tblPrEx>
        <w:trPr>
          <w:trHeight w:val="340" w:hRule="atLeast"/>
          <w:jc w:val="center"/>
        </w:trPr>
        <w:tc>
          <w:tcPr>
            <w:tcW w:w="2500" w:type="pct"/>
            <w:tcBorders>
              <w:top w:val="single" w:color="auto" w:sz="4" w:space="0"/>
              <w:left w:val="single" w:color="auto" w:sz="4" w:space="0"/>
              <w:bottom w:val="single" w:color="auto" w:sz="4" w:space="0"/>
              <w:right w:val="single" w:color="auto" w:sz="4" w:space="0"/>
            </w:tcBorders>
            <w:noWrap w:val="0"/>
            <w:vAlign w:val="top"/>
          </w:tcPr>
          <w:p>
            <w:pPr>
              <w:jc w:val="center"/>
              <w:rPr>
                <w:rFonts w:ascii="Times New Roman" w:hAnsi="Times New Roman" w:eastAsia="宋体" w:cs="Times New Roman"/>
                <w:kern w:val="2"/>
                <w:sz w:val="22"/>
                <w:szCs w:val="24"/>
                <w:highlight w:val="none"/>
                <w:lang w:val="en-US" w:eastAsia="zh-CN" w:bidi="ar-SA"/>
              </w:rPr>
            </w:pPr>
            <w:r>
              <w:rPr>
                <w:rFonts w:hint="eastAsia" w:ascii="Times New Roman" w:hAnsi="宋体" w:eastAsia="宋体" w:cs="Times New Roman"/>
                <w:kern w:val="2"/>
                <w:sz w:val="22"/>
                <w:szCs w:val="24"/>
                <w:highlight w:val="none"/>
                <w:lang w:val="en-US" w:eastAsia="zh-CN" w:bidi="ar-SA"/>
              </w:rPr>
              <w:t>锑</w:t>
            </w:r>
          </w:p>
        </w:tc>
        <w:tc>
          <w:tcPr>
            <w:tcW w:w="2500" w:type="pct"/>
            <w:tcBorders>
              <w:top w:val="single" w:color="auto" w:sz="4" w:space="0"/>
              <w:left w:val="nil"/>
              <w:bottom w:val="single" w:color="auto" w:sz="4" w:space="0"/>
              <w:right w:val="single" w:color="auto" w:sz="4" w:space="0"/>
            </w:tcBorders>
            <w:noWrap w:val="0"/>
            <w:vAlign w:val="top"/>
          </w:tcPr>
          <w:p>
            <w:pPr>
              <w:jc w:val="center"/>
              <w:rPr>
                <w:rFonts w:ascii="Times New Roman" w:hAnsi="Times New Roman" w:eastAsia="宋体" w:cs="Times New Roman"/>
                <w:kern w:val="2"/>
                <w:sz w:val="22"/>
                <w:szCs w:val="24"/>
                <w:highlight w:val="none"/>
                <w:lang w:val="en-US" w:eastAsia="zh-CN" w:bidi="ar-SA"/>
              </w:rPr>
            </w:pPr>
            <w:r>
              <w:rPr>
                <w:rFonts w:hint="eastAsia" w:ascii="Times New Roman" w:hAnsi="Times New Roman" w:eastAsia="宋体" w:cs="Times New Roman"/>
                <w:kern w:val="2"/>
                <w:sz w:val="22"/>
                <w:szCs w:val="24"/>
                <w:highlight w:val="none"/>
                <w:lang w:val="en-US" w:eastAsia="zh-CN" w:bidi="ar-SA"/>
              </w:rPr>
              <w:t>0.006</w:t>
            </w:r>
          </w:p>
        </w:tc>
      </w:tr>
      <w:tr>
        <w:tblPrEx>
          <w:tblCellMar>
            <w:top w:w="0" w:type="dxa"/>
            <w:left w:w="108" w:type="dxa"/>
            <w:bottom w:w="0" w:type="dxa"/>
            <w:right w:w="108" w:type="dxa"/>
          </w:tblCellMar>
        </w:tblPrEx>
        <w:trPr>
          <w:trHeight w:val="340" w:hRule="atLeast"/>
          <w:jc w:val="center"/>
        </w:trPr>
        <w:tc>
          <w:tcPr>
            <w:tcW w:w="2500" w:type="pct"/>
            <w:tcBorders>
              <w:top w:val="single" w:color="auto" w:sz="4" w:space="0"/>
              <w:left w:val="single" w:color="auto" w:sz="4" w:space="0"/>
              <w:bottom w:val="single" w:color="auto" w:sz="4" w:space="0"/>
              <w:right w:val="single" w:color="auto" w:sz="4" w:space="0"/>
            </w:tcBorders>
            <w:noWrap w:val="0"/>
            <w:vAlign w:val="top"/>
          </w:tcPr>
          <w:p>
            <w:pPr>
              <w:jc w:val="center"/>
              <w:rPr>
                <w:rFonts w:ascii="Times New Roman" w:hAnsi="Times New Roman" w:eastAsia="宋体" w:cs="Times New Roman"/>
                <w:kern w:val="2"/>
                <w:sz w:val="22"/>
                <w:szCs w:val="24"/>
                <w:highlight w:val="none"/>
                <w:lang w:val="en-US" w:eastAsia="zh-CN" w:bidi="ar-SA"/>
              </w:rPr>
            </w:pPr>
            <w:r>
              <w:rPr>
                <w:rFonts w:hint="eastAsia" w:ascii="Times New Roman" w:hAnsi="宋体" w:eastAsia="宋体" w:cs="Arial"/>
                <w:kern w:val="2"/>
                <w:sz w:val="22"/>
                <w:szCs w:val="24"/>
                <w:highlight w:val="none"/>
                <w:shd w:val="clear" w:color="auto" w:fill="FFFFFF"/>
                <w:lang w:val="en-US" w:eastAsia="zh-CN" w:bidi="ar-SA"/>
              </w:rPr>
              <w:t>砷</w:t>
            </w:r>
          </w:p>
        </w:tc>
        <w:tc>
          <w:tcPr>
            <w:tcW w:w="2500" w:type="pct"/>
            <w:tcBorders>
              <w:top w:val="single" w:color="auto" w:sz="4" w:space="0"/>
              <w:left w:val="nil"/>
              <w:bottom w:val="single" w:color="auto" w:sz="4" w:space="0"/>
              <w:right w:val="single" w:color="auto" w:sz="4" w:space="0"/>
            </w:tcBorders>
            <w:noWrap w:val="0"/>
            <w:vAlign w:val="top"/>
          </w:tcPr>
          <w:p>
            <w:pPr>
              <w:jc w:val="center"/>
              <w:rPr>
                <w:rFonts w:ascii="Times New Roman" w:hAnsi="Times New Roman" w:eastAsia="宋体" w:cs="Times New Roman"/>
                <w:kern w:val="2"/>
                <w:sz w:val="22"/>
                <w:szCs w:val="24"/>
                <w:highlight w:val="none"/>
                <w:lang w:val="en-US" w:eastAsia="zh-CN" w:bidi="ar-SA"/>
              </w:rPr>
            </w:pPr>
            <w:r>
              <w:rPr>
                <w:rFonts w:hint="eastAsia" w:ascii="Times New Roman" w:hAnsi="Times New Roman" w:eastAsia="宋体" w:cs="Times New Roman"/>
                <w:kern w:val="2"/>
                <w:sz w:val="22"/>
                <w:szCs w:val="24"/>
                <w:highlight w:val="none"/>
                <w:lang w:val="en-US" w:eastAsia="zh-CN" w:bidi="ar-SA"/>
              </w:rPr>
              <w:t>0.005</w:t>
            </w:r>
          </w:p>
        </w:tc>
      </w:tr>
      <w:tr>
        <w:tblPrEx>
          <w:tblCellMar>
            <w:top w:w="0" w:type="dxa"/>
            <w:left w:w="108" w:type="dxa"/>
            <w:bottom w:w="0" w:type="dxa"/>
            <w:right w:w="108" w:type="dxa"/>
          </w:tblCellMar>
        </w:tblPrEx>
        <w:trPr>
          <w:trHeight w:val="340" w:hRule="atLeast"/>
          <w:jc w:val="center"/>
        </w:trPr>
        <w:tc>
          <w:tcPr>
            <w:tcW w:w="2500" w:type="pct"/>
            <w:tcBorders>
              <w:top w:val="single" w:color="auto" w:sz="4" w:space="0"/>
              <w:left w:val="single" w:color="auto" w:sz="4" w:space="0"/>
              <w:bottom w:val="single" w:color="auto" w:sz="4" w:space="0"/>
              <w:right w:val="single" w:color="auto" w:sz="4" w:space="0"/>
            </w:tcBorders>
            <w:noWrap w:val="0"/>
            <w:vAlign w:val="top"/>
          </w:tcPr>
          <w:p>
            <w:pPr>
              <w:jc w:val="center"/>
              <w:rPr>
                <w:rFonts w:ascii="Times New Roman" w:hAnsi="Times New Roman" w:eastAsia="宋体" w:cs="Times New Roman"/>
                <w:kern w:val="2"/>
                <w:sz w:val="22"/>
                <w:szCs w:val="24"/>
                <w:highlight w:val="none"/>
                <w:lang w:val="en-US" w:eastAsia="zh-CN" w:bidi="ar-SA"/>
              </w:rPr>
            </w:pPr>
            <w:r>
              <w:rPr>
                <w:rFonts w:hint="eastAsia" w:ascii="Times New Roman" w:hAnsi="宋体" w:eastAsia="宋体" w:cs="Times New Roman"/>
                <w:kern w:val="2"/>
                <w:sz w:val="22"/>
                <w:szCs w:val="24"/>
                <w:highlight w:val="none"/>
                <w:lang w:val="en-US" w:eastAsia="zh-CN" w:bidi="ar-SA"/>
              </w:rPr>
              <w:t>钡</w:t>
            </w:r>
          </w:p>
        </w:tc>
        <w:tc>
          <w:tcPr>
            <w:tcW w:w="2500" w:type="pct"/>
            <w:tcBorders>
              <w:top w:val="single" w:color="auto" w:sz="4" w:space="0"/>
              <w:left w:val="nil"/>
              <w:bottom w:val="single" w:color="auto" w:sz="4" w:space="0"/>
              <w:right w:val="single" w:color="auto" w:sz="4" w:space="0"/>
            </w:tcBorders>
            <w:noWrap w:val="0"/>
            <w:vAlign w:val="top"/>
          </w:tcPr>
          <w:p>
            <w:pPr>
              <w:jc w:val="center"/>
              <w:rPr>
                <w:rFonts w:ascii="Times New Roman" w:hAnsi="Times New Roman" w:eastAsia="宋体" w:cs="Times New Roman"/>
                <w:kern w:val="2"/>
                <w:sz w:val="22"/>
                <w:szCs w:val="24"/>
                <w:highlight w:val="none"/>
                <w:lang w:val="en-US" w:eastAsia="zh-CN" w:bidi="ar-SA"/>
              </w:rPr>
            </w:pPr>
            <w:r>
              <w:rPr>
                <w:rFonts w:hint="eastAsia" w:ascii="Times New Roman" w:hAnsi="Times New Roman" w:eastAsia="宋体" w:cs="Times New Roman"/>
                <w:kern w:val="2"/>
                <w:sz w:val="22"/>
                <w:szCs w:val="24"/>
                <w:highlight w:val="none"/>
                <w:lang w:val="en-US" w:eastAsia="zh-CN" w:bidi="ar-SA"/>
              </w:rPr>
              <w:t>0.1</w:t>
            </w:r>
          </w:p>
        </w:tc>
      </w:tr>
      <w:tr>
        <w:tblPrEx>
          <w:tblCellMar>
            <w:top w:w="0" w:type="dxa"/>
            <w:left w:w="108" w:type="dxa"/>
            <w:bottom w:w="0" w:type="dxa"/>
            <w:right w:w="108" w:type="dxa"/>
          </w:tblCellMar>
        </w:tblPrEx>
        <w:trPr>
          <w:trHeight w:val="340" w:hRule="atLeast"/>
          <w:jc w:val="center"/>
        </w:trPr>
        <w:tc>
          <w:tcPr>
            <w:tcW w:w="2500" w:type="pct"/>
            <w:tcBorders>
              <w:top w:val="single" w:color="auto" w:sz="4" w:space="0"/>
              <w:left w:val="single" w:color="auto" w:sz="4" w:space="0"/>
              <w:bottom w:val="single" w:color="auto" w:sz="4" w:space="0"/>
              <w:right w:val="single" w:color="auto" w:sz="4" w:space="0"/>
            </w:tcBorders>
            <w:noWrap w:val="0"/>
            <w:vAlign w:val="top"/>
          </w:tcPr>
          <w:p>
            <w:pPr>
              <w:jc w:val="center"/>
              <w:rPr>
                <w:rFonts w:ascii="Times New Roman" w:hAnsi="Times New Roman" w:eastAsia="宋体" w:cs="Times New Roman"/>
                <w:kern w:val="2"/>
                <w:sz w:val="22"/>
                <w:szCs w:val="24"/>
                <w:highlight w:val="none"/>
                <w:lang w:val="en-US" w:eastAsia="zh-CN" w:bidi="ar-SA"/>
              </w:rPr>
            </w:pPr>
            <w:r>
              <w:rPr>
                <w:rFonts w:hint="eastAsia" w:ascii="Times New Roman" w:hAnsi="宋体" w:eastAsia="宋体" w:cs="Times New Roman"/>
                <w:kern w:val="2"/>
                <w:sz w:val="22"/>
                <w:szCs w:val="24"/>
                <w:highlight w:val="none"/>
                <w:lang w:val="en-US" w:eastAsia="zh-CN" w:bidi="ar-SA"/>
              </w:rPr>
              <w:t>铍</w:t>
            </w:r>
          </w:p>
        </w:tc>
        <w:tc>
          <w:tcPr>
            <w:tcW w:w="2500" w:type="pct"/>
            <w:tcBorders>
              <w:top w:val="single" w:color="auto" w:sz="4" w:space="0"/>
              <w:left w:val="nil"/>
              <w:bottom w:val="single" w:color="auto" w:sz="4" w:space="0"/>
              <w:right w:val="single" w:color="auto" w:sz="4" w:space="0"/>
            </w:tcBorders>
            <w:noWrap w:val="0"/>
            <w:vAlign w:val="top"/>
          </w:tcPr>
          <w:p>
            <w:pPr>
              <w:jc w:val="center"/>
              <w:rPr>
                <w:rFonts w:ascii="Times New Roman" w:hAnsi="Times New Roman" w:eastAsia="宋体" w:cs="Times New Roman"/>
                <w:kern w:val="2"/>
                <w:sz w:val="22"/>
                <w:szCs w:val="24"/>
                <w:highlight w:val="none"/>
                <w:lang w:val="en-US" w:eastAsia="zh-CN" w:bidi="ar-SA"/>
              </w:rPr>
            </w:pPr>
            <w:r>
              <w:rPr>
                <w:rFonts w:hint="eastAsia" w:ascii="Times New Roman" w:hAnsi="Times New Roman" w:eastAsia="宋体" w:cs="Times New Roman"/>
                <w:kern w:val="2"/>
                <w:sz w:val="22"/>
                <w:szCs w:val="24"/>
                <w:highlight w:val="none"/>
                <w:lang w:val="en-US" w:eastAsia="zh-CN" w:bidi="ar-SA"/>
              </w:rPr>
              <w:t>0.0004</w:t>
            </w:r>
          </w:p>
        </w:tc>
      </w:tr>
      <w:tr>
        <w:tblPrEx>
          <w:tblCellMar>
            <w:top w:w="0" w:type="dxa"/>
            <w:left w:w="108" w:type="dxa"/>
            <w:bottom w:w="0" w:type="dxa"/>
            <w:right w:w="108" w:type="dxa"/>
          </w:tblCellMar>
        </w:tblPrEx>
        <w:trPr>
          <w:trHeight w:val="340" w:hRule="atLeast"/>
          <w:jc w:val="center"/>
        </w:trPr>
        <w:tc>
          <w:tcPr>
            <w:tcW w:w="2500" w:type="pct"/>
            <w:tcBorders>
              <w:top w:val="single" w:color="auto" w:sz="4" w:space="0"/>
              <w:left w:val="single" w:color="auto" w:sz="4" w:space="0"/>
              <w:bottom w:val="single" w:color="auto" w:sz="4" w:space="0"/>
              <w:right w:val="single" w:color="auto" w:sz="4" w:space="0"/>
            </w:tcBorders>
            <w:noWrap w:val="0"/>
            <w:vAlign w:val="top"/>
          </w:tcPr>
          <w:p>
            <w:pPr>
              <w:jc w:val="center"/>
              <w:rPr>
                <w:rFonts w:ascii="Times New Roman" w:hAnsi="Times New Roman" w:eastAsia="宋体" w:cs="Times New Roman"/>
                <w:kern w:val="2"/>
                <w:sz w:val="22"/>
                <w:szCs w:val="24"/>
                <w:highlight w:val="none"/>
                <w:lang w:val="en-US" w:eastAsia="zh-CN" w:bidi="ar-SA"/>
              </w:rPr>
            </w:pPr>
            <w:r>
              <w:rPr>
                <w:rFonts w:hint="eastAsia" w:ascii="Times New Roman" w:hAnsi="宋体" w:eastAsia="宋体" w:cs="Times New Roman"/>
                <w:kern w:val="2"/>
                <w:sz w:val="22"/>
                <w:szCs w:val="24"/>
                <w:highlight w:val="none"/>
                <w:lang w:val="en-US" w:eastAsia="zh-CN" w:bidi="ar-SA"/>
              </w:rPr>
              <w:t>镉</w:t>
            </w:r>
          </w:p>
        </w:tc>
        <w:tc>
          <w:tcPr>
            <w:tcW w:w="2500" w:type="pct"/>
            <w:tcBorders>
              <w:top w:val="single" w:color="auto" w:sz="4" w:space="0"/>
              <w:left w:val="nil"/>
              <w:bottom w:val="single" w:color="auto" w:sz="4" w:space="0"/>
              <w:right w:val="single" w:color="auto" w:sz="4" w:space="0"/>
            </w:tcBorders>
            <w:noWrap w:val="0"/>
            <w:vAlign w:val="top"/>
          </w:tcPr>
          <w:p>
            <w:pPr>
              <w:jc w:val="center"/>
              <w:rPr>
                <w:rFonts w:ascii="Times New Roman" w:hAnsi="Times New Roman" w:eastAsia="宋体" w:cs="Times New Roman"/>
                <w:kern w:val="2"/>
                <w:sz w:val="22"/>
                <w:szCs w:val="24"/>
                <w:highlight w:val="none"/>
                <w:lang w:val="en-US" w:eastAsia="zh-CN" w:bidi="ar-SA"/>
              </w:rPr>
            </w:pPr>
            <w:r>
              <w:rPr>
                <w:rFonts w:hint="eastAsia" w:ascii="Times New Roman" w:hAnsi="Times New Roman" w:eastAsia="宋体" w:cs="Times New Roman"/>
                <w:kern w:val="2"/>
                <w:sz w:val="22"/>
                <w:szCs w:val="24"/>
                <w:highlight w:val="none"/>
                <w:lang w:val="en-US" w:eastAsia="zh-CN" w:bidi="ar-SA"/>
              </w:rPr>
              <w:t>0.001</w:t>
            </w:r>
          </w:p>
        </w:tc>
      </w:tr>
      <w:tr>
        <w:tblPrEx>
          <w:tblCellMar>
            <w:top w:w="0" w:type="dxa"/>
            <w:left w:w="108" w:type="dxa"/>
            <w:bottom w:w="0" w:type="dxa"/>
            <w:right w:w="108" w:type="dxa"/>
          </w:tblCellMar>
        </w:tblPrEx>
        <w:trPr>
          <w:trHeight w:val="340" w:hRule="atLeast"/>
          <w:jc w:val="center"/>
        </w:trPr>
        <w:tc>
          <w:tcPr>
            <w:tcW w:w="2500" w:type="pct"/>
            <w:tcBorders>
              <w:top w:val="single" w:color="auto" w:sz="4" w:space="0"/>
              <w:left w:val="single" w:color="auto" w:sz="4" w:space="0"/>
              <w:bottom w:val="single" w:color="auto" w:sz="4" w:space="0"/>
              <w:right w:val="single" w:color="auto" w:sz="4" w:space="0"/>
            </w:tcBorders>
            <w:noWrap w:val="0"/>
            <w:vAlign w:val="top"/>
          </w:tcPr>
          <w:p>
            <w:pPr>
              <w:jc w:val="center"/>
              <w:rPr>
                <w:rFonts w:ascii="Times New Roman" w:hAnsi="Times New Roman" w:eastAsia="宋体" w:cs="Times New Roman"/>
                <w:kern w:val="2"/>
                <w:sz w:val="22"/>
                <w:szCs w:val="24"/>
                <w:highlight w:val="none"/>
                <w:lang w:val="en-US" w:eastAsia="zh-CN" w:bidi="ar-SA"/>
              </w:rPr>
            </w:pPr>
            <w:r>
              <w:rPr>
                <w:rFonts w:hint="eastAsia" w:ascii="Times New Roman" w:hAnsi="宋体" w:eastAsia="宋体" w:cs="Times New Roman"/>
                <w:kern w:val="2"/>
                <w:sz w:val="22"/>
                <w:szCs w:val="24"/>
                <w:highlight w:val="none"/>
                <w:lang w:val="en-US" w:eastAsia="zh-CN" w:bidi="ar-SA"/>
              </w:rPr>
              <w:t>铬</w:t>
            </w:r>
          </w:p>
        </w:tc>
        <w:tc>
          <w:tcPr>
            <w:tcW w:w="2500" w:type="pct"/>
            <w:tcBorders>
              <w:top w:val="single" w:color="auto" w:sz="4" w:space="0"/>
              <w:left w:val="nil"/>
              <w:bottom w:val="single" w:color="auto" w:sz="4" w:space="0"/>
              <w:right w:val="single" w:color="auto" w:sz="4" w:space="0"/>
            </w:tcBorders>
            <w:noWrap w:val="0"/>
            <w:vAlign w:val="top"/>
          </w:tcPr>
          <w:p>
            <w:pPr>
              <w:jc w:val="center"/>
              <w:rPr>
                <w:rFonts w:ascii="Times New Roman" w:hAnsi="Times New Roman" w:eastAsia="宋体" w:cs="Times New Roman"/>
                <w:kern w:val="2"/>
                <w:sz w:val="22"/>
                <w:szCs w:val="24"/>
                <w:highlight w:val="none"/>
                <w:lang w:val="en-US" w:eastAsia="zh-CN" w:bidi="ar-SA"/>
              </w:rPr>
            </w:pPr>
            <w:r>
              <w:rPr>
                <w:rFonts w:hint="eastAsia" w:ascii="Times New Roman" w:hAnsi="Times New Roman" w:eastAsia="宋体" w:cs="Times New Roman"/>
                <w:kern w:val="2"/>
                <w:sz w:val="22"/>
                <w:szCs w:val="24"/>
                <w:highlight w:val="none"/>
                <w:lang w:val="en-US" w:eastAsia="zh-CN" w:bidi="ar-SA"/>
              </w:rPr>
              <w:t>0.014</w:t>
            </w:r>
          </w:p>
        </w:tc>
      </w:tr>
      <w:tr>
        <w:tblPrEx>
          <w:tblCellMar>
            <w:top w:w="0" w:type="dxa"/>
            <w:left w:w="108" w:type="dxa"/>
            <w:bottom w:w="0" w:type="dxa"/>
            <w:right w:w="108" w:type="dxa"/>
          </w:tblCellMar>
        </w:tblPrEx>
        <w:trPr>
          <w:trHeight w:val="340" w:hRule="atLeast"/>
          <w:jc w:val="center"/>
        </w:trPr>
        <w:tc>
          <w:tcPr>
            <w:tcW w:w="2500" w:type="pct"/>
            <w:tcBorders>
              <w:top w:val="single" w:color="auto" w:sz="4" w:space="0"/>
              <w:left w:val="single" w:color="auto" w:sz="4" w:space="0"/>
              <w:bottom w:val="single" w:color="auto" w:sz="4" w:space="0"/>
              <w:right w:val="single" w:color="auto" w:sz="4" w:space="0"/>
            </w:tcBorders>
            <w:noWrap w:val="0"/>
            <w:vAlign w:val="top"/>
          </w:tcPr>
          <w:p>
            <w:pPr>
              <w:jc w:val="center"/>
              <w:rPr>
                <w:rFonts w:ascii="Times New Roman" w:hAnsi="Times New Roman" w:eastAsia="宋体" w:cs="Times New Roman"/>
                <w:kern w:val="2"/>
                <w:sz w:val="22"/>
                <w:szCs w:val="24"/>
                <w:highlight w:val="none"/>
                <w:lang w:val="en-US" w:eastAsia="zh-CN" w:bidi="ar-SA"/>
              </w:rPr>
            </w:pPr>
            <w:r>
              <w:rPr>
                <w:rFonts w:hint="eastAsia" w:ascii="Times New Roman" w:hAnsi="宋体" w:eastAsia="宋体" w:cs="Times New Roman"/>
                <w:kern w:val="2"/>
                <w:sz w:val="22"/>
                <w:szCs w:val="24"/>
                <w:highlight w:val="none"/>
                <w:lang w:val="en-US" w:eastAsia="zh-CN" w:bidi="ar-SA"/>
              </w:rPr>
              <w:t>汞</w:t>
            </w:r>
          </w:p>
        </w:tc>
        <w:tc>
          <w:tcPr>
            <w:tcW w:w="2500" w:type="pct"/>
            <w:tcBorders>
              <w:top w:val="single" w:color="auto" w:sz="4" w:space="0"/>
              <w:left w:val="nil"/>
              <w:bottom w:val="single" w:color="auto" w:sz="4" w:space="0"/>
              <w:right w:val="single" w:color="auto" w:sz="4" w:space="0"/>
            </w:tcBorders>
            <w:noWrap w:val="0"/>
            <w:vAlign w:val="top"/>
          </w:tcPr>
          <w:p>
            <w:pPr>
              <w:jc w:val="center"/>
              <w:rPr>
                <w:rFonts w:ascii="Times New Roman" w:hAnsi="Times New Roman" w:eastAsia="宋体" w:cs="Times New Roman"/>
                <w:kern w:val="2"/>
                <w:sz w:val="22"/>
                <w:szCs w:val="24"/>
                <w:highlight w:val="none"/>
                <w:lang w:val="en-US" w:eastAsia="zh-CN" w:bidi="ar-SA"/>
              </w:rPr>
            </w:pPr>
            <w:r>
              <w:rPr>
                <w:rFonts w:hint="eastAsia" w:ascii="Times New Roman" w:hAnsi="Times New Roman" w:eastAsia="宋体" w:cs="Times New Roman"/>
                <w:kern w:val="2"/>
                <w:sz w:val="22"/>
                <w:szCs w:val="24"/>
                <w:highlight w:val="none"/>
                <w:lang w:val="en-US" w:eastAsia="zh-CN" w:bidi="ar-SA"/>
              </w:rPr>
              <w:t>0.0002</w:t>
            </w:r>
          </w:p>
        </w:tc>
      </w:tr>
      <w:tr>
        <w:tblPrEx>
          <w:tblCellMar>
            <w:top w:w="0" w:type="dxa"/>
            <w:left w:w="108" w:type="dxa"/>
            <w:bottom w:w="0" w:type="dxa"/>
            <w:right w:w="108" w:type="dxa"/>
          </w:tblCellMar>
        </w:tblPrEx>
        <w:trPr>
          <w:trHeight w:val="340" w:hRule="atLeast"/>
          <w:jc w:val="center"/>
        </w:trPr>
        <w:tc>
          <w:tcPr>
            <w:tcW w:w="2500" w:type="pct"/>
            <w:tcBorders>
              <w:top w:val="single" w:color="auto" w:sz="4" w:space="0"/>
              <w:left w:val="single" w:color="auto" w:sz="4" w:space="0"/>
              <w:bottom w:val="single" w:color="auto" w:sz="4" w:space="0"/>
              <w:right w:val="single" w:color="auto" w:sz="4" w:space="0"/>
            </w:tcBorders>
            <w:noWrap w:val="0"/>
            <w:vAlign w:val="top"/>
          </w:tcPr>
          <w:p>
            <w:pPr>
              <w:jc w:val="center"/>
              <w:rPr>
                <w:rFonts w:ascii="Times New Roman" w:hAnsi="Times New Roman" w:eastAsia="宋体" w:cs="Times New Roman"/>
                <w:kern w:val="2"/>
                <w:sz w:val="22"/>
                <w:szCs w:val="24"/>
                <w:highlight w:val="none"/>
                <w:lang w:val="en-US" w:eastAsia="zh-CN" w:bidi="ar-SA"/>
              </w:rPr>
            </w:pPr>
            <w:r>
              <w:rPr>
                <w:rFonts w:hint="eastAsia" w:ascii="Times New Roman" w:hAnsi="宋体" w:eastAsia="宋体" w:cs="Times New Roman"/>
                <w:kern w:val="2"/>
                <w:sz w:val="22"/>
                <w:szCs w:val="24"/>
                <w:highlight w:val="none"/>
                <w:lang w:val="en-US" w:eastAsia="zh-CN" w:bidi="ar-SA"/>
              </w:rPr>
              <w:t>硒</w:t>
            </w:r>
          </w:p>
        </w:tc>
        <w:tc>
          <w:tcPr>
            <w:tcW w:w="2500" w:type="pct"/>
            <w:tcBorders>
              <w:top w:val="single" w:color="auto" w:sz="4" w:space="0"/>
              <w:left w:val="nil"/>
              <w:bottom w:val="single" w:color="auto" w:sz="4" w:space="0"/>
              <w:right w:val="single" w:color="auto" w:sz="4" w:space="0"/>
            </w:tcBorders>
            <w:noWrap w:val="0"/>
            <w:vAlign w:val="top"/>
          </w:tcPr>
          <w:p>
            <w:pPr>
              <w:jc w:val="center"/>
              <w:rPr>
                <w:rFonts w:ascii="Times New Roman" w:hAnsi="Times New Roman" w:eastAsia="宋体" w:cs="Times New Roman"/>
                <w:kern w:val="2"/>
                <w:sz w:val="22"/>
                <w:szCs w:val="24"/>
                <w:highlight w:val="none"/>
                <w:lang w:val="en-US" w:eastAsia="zh-CN" w:bidi="ar-SA"/>
              </w:rPr>
            </w:pPr>
            <w:r>
              <w:rPr>
                <w:rFonts w:hint="eastAsia" w:ascii="Times New Roman" w:hAnsi="Times New Roman" w:eastAsia="宋体" w:cs="Times New Roman"/>
                <w:kern w:val="2"/>
                <w:sz w:val="22"/>
                <w:szCs w:val="24"/>
                <w:highlight w:val="none"/>
                <w:lang w:val="en-US" w:eastAsia="zh-CN" w:bidi="ar-SA"/>
              </w:rPr>
              <w:t>0.09</w:t>
            </w:r>
          </w:p>
        </w:tc>
      </w:tr>
      <w:tr>
        <w:tblPrEx>
          <w:tblCellMar>
            <w:top w:w="0" w:type="dxa"/>
            <w:left w:w="108" w:type="dxa"/>
            <w:bottom w:w="0" w:type="dxa"/>
            <w:right w:w="108" w:type="dxa"/>
          </w:tblCellMar>
        </w:tblPrEx>
        <w:trPr>
          <w:trHeight w:val="340" w:hRule="atLeast"/>
          <w:jc w:val="center"/>
        </w:trPr>
        <w:tc>
          <w:tcPr>
            <w:tcW w:w="2500" w:type="pct"/>
            <w:tcBorders>
              <w:top w:val="single" w:color="auto" w:sz="4" w:space="0"/>
              <w:left w:val="single" w:color="auto" w:sz="4" w:space="0"/>
              <w:bottom w:val="single" w:color="auto" w:sz="4" w:space="0"/>
              <w:right w:val="single" w:color="auto" w:sz="4" w:space="0"/>
            </w:tcBorders>
            <w:noWrap w:val="0"/>
            <w:vAlign w:val="top"/>
          </w:tcPr>
          <w:p>
            <w:pPr>
              <w:jc w:val="center"/>
              <w:rPr>
                <w:rFonts w:ascii="Times New Roman" w:hAnsi="Times New Roman" w:eastAsia="宋体" w:cs="Times New Roman"/>
                <w:kern w:val="2"/>
                <w:sz w:val="22"/>
                <w:szCs w:val="24"/>
                <w:highlight w:val="none"/>
                <w:lang w:val="en-US" w:eastAsia="zh-CN" w:bidi="ar-SA"/>
              </w:rPr>
            </w:pPr>
            <w:r>
              <w:rPr>
                <w:rFonts w:hint="eastAsia" w:ascii="Times New Roman" w:hAnsi="宋体" w:eastAsia="宋体" w:cs="Times New Roman"/>
                <w:kern w:val="2"/>
                <w:sz w:val="22"/>
                <w:szCs w:val="24"/>
                <w:highlight w:val="none"/>
                <w:lang w:val="en-US" w:eastAsia="zh-CN" w:bidi="ar-SA"/>
              </w:rPr>
              <w:t>银</w:t>
            </w:r>
          </w:p>
        </w:tc>
        <w:tc>
          <w:tcPr>
            <w:tcW w:w="2500" w:type="pct"/>
            <w:tcBorders>
              <w:top w:val="single" w:color="auto" w:sz="4" w:space="0"/>
              <w:left w:val="nil"/>
              <w:bottom w:val="single" w:color="auto" w:sz="4" w:space="0"/>
              <w:right w:val="single" w:color="auto" w:sz="4" w:space="0"/>
            </w:tcBorders>
            <w:noWrap w:val="0"/>
            <w:vAlign w:val="top"/>
          </w:tcPr>
          <w:p>
            <w:pPr>
              <w:jc w:val="center"/>
              <w:rPr>
                <w:rFonts w:ascii="Times New Roman" w:hAnsi="Times New Roman" w:eastAsia="宋体" w:cs="Times New Roman"/>
                <w:kern w:val="2"/>
                <w:sz w:val="22"/>
                <w:szCs w:val="24"/>
                <w:highlight w:val="none"/>
                <w:lang w:val="en-US" w:eastAsia="zh-CN" w:bidi="ar-SA"/>
              </w:rPr>
            </w:pPr>
            <w:r>
              <w:rPr>
                <w:rFonts w:hint="eastAsia" w:ascii="Times New Roman" w:hAnsi="Times New Roman" w:eastAsia="宋体" w:cs="Times New Roman"/>
                <w:kern w:val="2"/>
                <w:sz w:val="22"/>
                <w:szCs w:val="24"/>
                <w:highlight w:val="none"/>
                <w:lang w:val="en-US" w:eastAsia="zh-CN" w:bidi="ar-SA"/>
              </w:rPr>
              <w:t>0.005</w:t>
            </w:r>
          </w:p>
        </w:tc>
      </w:tr>
      <w:tr>
        <w:tblPrEx>
          <w:tblCellMar>
            <w:top w:w="0" w:type="dxa"/>
            <w:left w:w="108" w:type="dxa"/>
            <w:bottom w:w="0" w:type="dxa"/>
            <w:right w:w="108" w:type="dxa"/>
          </w:tblCellMar>
        </w:tblPrEx>
        <w:trPr>
          <w:trHeight w:val="340" w:hRule="atLeast"/>
          <w:jc w:val="center"/>
        </w:trPr>
        <w:tc>
          <w:tcPr>
            <w:tcW w:w="2500" w:type="pct"/>
            <w:tcBorders>
              <w:top w:val="single" w:color="auto" w:sz="4" w:space="0"/>
              <w:left w:val="single" w:color="auto" w:sz="4" w:space="0"/>
              <w:bottom w:val="single" w:color="auto" w:sz="4" w:space="0"/>
              <w:right w:val="single" w:color="auto" w:sz="4" w:space="0"/>
            </w:tcBorders>
            <w:noWrap w:val="0"/>
            <w:vAlign w:val="top"/>
          </w:tcPr>
          <w:p>
            <w:pPr>
              <w:jc w:val="center"/>
              <w:rPr>
                <w:rFonts w:ascii="Times New Roman" w:hAnsi="Times New Roman" w:eastAsia="宋体" w:cs="Times New Roman"/>
                <w:kern w:val="2"/>
                <w:sz w:val="22"/>
                <w:szCs w:val="24"/>
                <w:highlight w:val="none"/>
                <w:lang w:val="en-US" w:eastAsia="zh-CN" w:bidi="ar-SA"/>
              </w:rPr>
            </w:pPr>
            <w:r>
              <w:rPr>
                <w:rFonts w:hint="eastAsia" w:ascii="Times New Roman" w:hAnsi="宋体" w:eastAsia="宋体" w:cs="Times New Roman"/>
                <w:kern w:val="2"/>
                <w:sz w:val="22"/>
                <w:szCs w:val="24"/>
                <w:highlight w:val="none"/>
                <w:lang w:val="en-US" w:eastAsia="zh-CN" w:bidi="ar-SA"/>
              </w:rPr>
              <w:t>铊</w:t>
            </w:r>
          </w:p>
        </w:tc>
        <w:tc>
          <w:tcPr>
            <w:tcW w:w="2500" w:type="pct"/>
            <w:tcBorders>
              <w:top w:val="single" w:color="auto" w:sz="4" w:space="0"/>
              <w:left w:val="nil"/>
              <w:bottom w:val="single" w:color="auto" w:sz="4" w:space="0"/>
              <w:right w:val="single" w:color="auto" w:sz="4" w:space="0"/>
            </w:tcBorders>
            <w:noWrap w:val="0"/>
            <w:vAlign w:val="top"/>
          </w:tcPr>
          <w:p>
            <w:pPr>
              <w:jc w:val="center"/>
              <w:rPr>
                <w:rFonts w:ascii="Times New Roman" w:hAnsi="Times New Roman" w:eastAsia="宋体" w:cs="Times New Roman"/>
                <w:kern w:val="2"/>
                <w:sz w:val="22"/>
                <w:szCs w:val="24"/>
                <w:highlight w:val="none"/>
                <w:lang w:val="en-US" w:eastAsia="zh-CN" w:bidi="ar-SA"/>
              </w:rPr>
            </w:pPr>
            <w:r>
              <w:rPr>
                <w:rFonts w:hint="eastAsia" w:ascii="Times New Roman" w:hAnsi="Times New Roman" w:eastAsia="宋体" w:cs="Times New Roman"/>
                <w:kern w:val="2"/>
                <w:sz w:val="22"/>
                <w:szCs w:val="24"/>
                <w:highlight w:val="none"/>
                <w:lang w:val="en-US" w:eastAsia="zh-CN" w:bidi="ar-SA"/>
              </w:rPr>
              <w:t>0.002</w:t>
            </w:r>
          </w:p>
        </w:tc>
      </w:tr>
    </w:tbl>
    <w:p>
      <w:pPr>
        <w:rPr>
          <w:rFonts w:ascii="Times New Roman" w:hAnsi="Times New Roman" w:eastAsia="宋体" w:cs="Times New Roman"/>
          <w:kern w:val="2"/>
          <w:sz w:val="21"/>
          <w:szCs w:val="22"/>
          <w:highlight w:val="none"/>
          <w:lang w:val="en-US" w:eastAsia="zh-CN" w:bidi="ar-SA"/>
        </w:rPr>
      </w:pPr>
    </w:p>
    <w:p>
      <w:pPr>
        <w:widowControl w:val="0"/>
        <w:numPr>
          <w:ilvl w:val="0"/>
          <w:numId w:val="3"/>
        </w:numPr>
        <w:wordWrap w:val="0"/>
        <w:adjustRightInd w:val="0"/>
        <w:snapToGrid w:val="0"/>
        <w:jc w:val="left"/>
        <w:outlineLvl w:val="2"/>
        <w:rPr>
          <w:rFonts w:ascii="Times New Roman" w:hAnsi="Times New Roman" w:eastAsia="宋体" w:cs="Times New Roman"/>
          <w:b/>
          <w:snapToGrid w:val="0"/>
          <w:kern w:val="2"/>
          <w:sz w:val="24"/>
          <w:szCs w:val="18"/>
          <w:highlight w:val="none"/>
          <w:lang w:val="en-US" w:eastAsia="zh-CN" w:bidi="ar-SA"/>
        </w:rPr>
      </w:pPr>
      <w:r>
        <w:rPr>
          <w:rFonts w:hint="eastAsia" w:ascii="Times New Roman" w:hAnsi="Times New Roman" w:eastAsia="宋体" w:cs="Times New Roman"/>
          <w:b/>
          <w:snapToGrid w:val="0"/>
          <w:kern w:val="2"/>
          <w:sz w:val="24"/>
          <w:szCs w:val="18"/>
          <w:highlight w:val="none"/>
          <w:lang w:val="en-US" w:eastAsia="zh-CN" w:bidi="ar-SA"/>
        </w:rPr>
        <w:t>检验用水标准（分析实验室用水规格和试验方法</w:t>
      </w:r>
      <w:r>
        <w:rPr>
          <w:rFonts w:ascii="Times New Roman" w:hAnsi="Times New Roman" w:eastAsia="宋体" w:cs="Times New Roman"/>
          <w:b/>
          <w:snapToGrid w:val="0"/>
          <w:kern w:val="2"/>
          <w:sz w:val="24"/>
          <w:szCs w:val="18"/>
          <w:highlight w:val="none"/>
          <w:lang w:val="en-US" w:eastAsia="zh-CN" w:bidi="ar-SA"/>
        </w:rPr>
        <w:t>GB/T6682-2008</w:t>
      </w:r>
      <w:r>
        <w:rPr>
          <w:rFonts w:hint="eastAsia" w:ascii="Times New Roman" w:hAnsi="Times New Roman" w:eastAsia="宋体" w:cs="Times New Roman"/>
          <w:b/>
          <w:snapToGrid w:val="0"/>
          <w:kern w:val="2"/>
          <w:sz w:val="24"/>
          <w:szCs w:val="18"/>
          <w:highlight w:val="none"/>
          <w:lang w:val="en-US" w:eastAsia="zh-CN" w:bidi="ar-SA"/>
        </w:rPr>
        <w:t>）</w:t>
      </w:r>
    </w:p>
    <w:tbl>
      <w:tblPr>
        <w:tblStyle w:val="32"/>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409"/>
        <w:gridCol w:w="2628"/>
        <w:gridCol w:w="16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150" w:type="pct"/>
            <w:gridSpan w:val="2"/>
            <w:shd w:val="clear" w:color="auto" w:fill="92D050"/>
            <w:noWrap w:val="0"/>
            <w:vAlign w:val="center"/>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val="0"/>
                <w:kern w:val="0"/>
                <w:sz w:val="22"/>
                <w:szCs w:val="22"/>
                <w:highlight w:val="none"/>
                <w:lang w:val="en-US" w:eastAsia="zh-CN" w:bidi="ar-SA"/>
              </w:rPr>
            </w:pPr>
            <w:r>
              <w:rPr>
                <w:rFonts w:ascii="Times New Roman" w:hAnsi="Times New Roman" w:eastAsia="宋体" w:cs="Times New Roman"/>
                <w:snapToGrid w:val="0"/>
                <w:kern w:val="0"/>
                <w:sz w:val="22"/>
                <w:szCs w:val="22"/>
                <w:highlight w:val="none"/>
                <w:lang w:val="en-US" w:eastAsia="zh-CN" w:bidi="ar-SA"/>
              </w:rPr>
              <w:t>指标名称</w:t>
            </w:r>
          </w:p>
        </w:tc>
        <w:tc>
          <w:tcPr>
            <w:tcW w:w="850" w:type="pct"/>
            <w:shd w:val="clear" w:color="auto" w:fill="92D050"/>
            <w:noWrap w:val="0"/>
            <w:vAlign w:val="center"/>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val="0"/>
                <w:kern w:val="0"/>
                <w:sz w:val="22"/>
                <w:szCs w:val="22"/>
                <w:highlight w:val="none"/>
                <w:lang w:val="en-US" w:eastAsia="zh-CN" w:bidi="ar-SA"/>
              </w:rPr>
            </w:pPr>
            <w:r>
              <w:rPr>
                <w:rFonts w:ascii="Times New Roman" w:hAnsi="Times New Roman" w:eastAsia="宋体" w:cs="Times New Roman"/>
                <w:snapToGrid w:val="0"/>
                <w:kern w:val="0"/>
                <w:sz w:val="22"/>
                <w:szCs w:val="22"/>
                <w:highlight w:val="none"/>
                <w:lang w:val="en-US" w:eastAsia="zh-CN" w:bidi="ar-SA"/>
              </w:rPr>
              <w:t>一级水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150" w:type="pct"/>
            <w:gridSpan w:val="2"/>
            <w:noWrap w:val="0"/>
            <w:vAlign w:val="center"/>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val="0"/>
                <w:kern w:val="0"/>
                <w:sz w:val="22"/>
                <w:szCs w:val="22"/>
                <w:highlight w:val="none"/>
                <w:lang w:val="en-US" w:eastAsia="zh-CN" w:bidi="ar-SA"/>
              </w:rPr>
            </w:pPr>
            <w:r>
              <w:rPr>
                <w:rFonts w:ascii="Times New Roman" w:hAnsi="Times New Roman" w:eastAsia="宋体" w:cs="Times New Roman"/>
                <w:snapToGrid w:val="0"/>
                <w:kern w:val="0"/>
                <w:sz w:val="22"/>
                <w:szCs w:val="22"/>
                <w:highlight w:val="none"/>
                <w:lang w:val="en-US" w:eastAsia="zh-CN" w:bidi="ar-SA"/>
              </w:rPr>
              <w:t>PH值范围（25</w:t>
            </w:r>
            <w:r>
              <w:rPr>
                <w:rFonts w:hint="eastAsia" w:ascii="Times New Roman" w:hAnsi="Times New Roman" w:eastAsia="宋体" w:cs="Times New Roman"/>
                <w:snapToGrid w:val="0"/>
                <w:kern w:val="0"/>
                <w:sz w:val="22"/>
                <w:szCs w:val="22"/>
                <w:highlight w:val="none"/>
                <w:lang w:val="en-US" w:eastAsia="zh-CN" w:bidi="ar-SA"/>
              </w:rPr>
              <w:t>℃</w:t>
            </w:r>
            <w:r>
              <w:rPr>
                <w:rFonts w:ascii="Times New Roman" w:hAnsi="Times New Roman" w:eastAsia="宋体" w:cs="Times New Roman"/>
                <w:snapToGrid w:val="0"/>
                <w:kern w:val="0"/>
                <w:sz w:val="22"/>
                <w:szCs w:val="22"/>
                <w:highlight w:val="none"/>
                <w:lang w:val="en-US" w:eastAsia="zh-CN" w:bidi="ar-SA"/>
              </w:rPr>
              <w:t>）</w:t>
            </w:r>
          </w:p>
        </w:tc>
        <w:tc>
          <w:tcPr>
            <w:tcW w:w="850" w:type="pct"/>
            <w:noWrap w:val="0"/>
            <w:vAlign w:val="center"/>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val="0"/>
                <w:kern w:val="0"/>
                <w:sz w:val="22"/>
                <w:szCs w:val="22"/>
                <w:highlight w:val="none"/>
                <w:lang w:val="en-US" w:eastAsia="zh-CN" w:bidi="ar-SA"/>
              </w:rPr>
            </w:pPr>
            <w:r>
              <w:rPr>
                <w:rFonts w:ascii="Times New Roman" w:hAnsi="Times New Roman" w:eastAsia="宋体" w:cs="Times New Roman"/>
                <w:snapToGrid w:val="0"/>
                <w:kern w:val="0"/>
                <w:sz w:val="22"/>
                <w:szCs w:val="22"/>
                <w:highlight w:val="none"/>
                <w:lang w:val="en-US" w:eastAsia="zh-CN" w:bidi="ar-S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2793" w:type="pct"/>
            <w:vMerge w:val="restart"/>
            <w:noWrap w:val="0"/>
            <w:vAlign w:val="center"/>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val="0"/>
                <w:kern w:val="0"/>
                <w:sz w:val="22"/>
                <w:szCs w:val="22"/>
                <w:highlight w:val="none"/>
                <w:lang w:val="en-US" w:eastAsia="zh-CN" w:bidi="ar-SA"/>
              </w:rPr>
            </w:pPr>
            <w:r>
              <w:rPr>
                <w:rFonts w:ascii="Times New Roman" w:hAnsi="Times New Roman" w:eastAsia="宋体" w:cs="Times New Roman"/>
                <w:snapToGrid w:val="0"/>
                <w:kern w:val="0"/>
                <w:sz w:val="22"/>
                <w:szCs w:val="22"/>
                <w:highlight w:val="none"/>
                <w:lang w:val="en-US" w:eastAsia="zh-CN" w:bidi="ar-SA"/>
              </w:rPr>
              <w:t>电导率（25</w:t>
            </w:r>
            <w:r>
              <w:rPr>
                <w:rFonts w:hint="eastAsia" w:ascii="Times New Roman" w:hAnsi="Times New Roman" w:eastAsia="宋体" w:cs="Times New Roman"/>
                <w:snapToGrid w:val="0"/>
                <w:kern w:val="0"/>
                <w:sz w:val="22"/>
                <w:szCs w:val="22"/>
                <w:highlight w:val="none"/>
                <w:lang w:val="en-US" w:eastAsia="zh-CN" w:bidi="ar-SA"/>
              </w:rPr>
              <w:t>℃</w:t>
            </w:r>
            <w:r>
              <w:rPr>
                <w:rFonts w:ascii="Times New Roman" w:hAnsi="Times New Roman" w:eastAsia="宋体" w:cs="Times New Roman"/>
                <w:snapToGrid w:val="0"/>
                <w:kern w:val="0"/>
                <w:sz w:val="22"/>
                <w:szCs w:val="22"/>
                <w:highlight w:val="none"/>
                <w:lang w:val="en-US" w:eastAsia="zh-CN" w:bidi="ar-SA"/>
              </w:rPr>
              <w:t>）</w:t>
            </w:r>
          </w:p>
        </w:tc>
        <w:tc>
          <w:tcPr>
            <w:tcW w:w="1357" w:type="pct"/>
            <w:noWrap w:val="0"/>
            <w:vAlign w:val="center"/>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val="0"/>
                <w:kern w:val="0"/>
                <w:sz w:val="22"/>
                <w:szCs w:val="22"/>
                <w:highlight w:val="none"/>
                <w:lang w:val="en-US" w:eastAsia="zh-CN" w:bidi="ar-SA"/>
              </w:rPr>
            </w:pPr>
            <w:r>
              <w:rPr>
                <w:rFonts w:ascii="Times New Roman" w:hAnsi="Times New Roman" w:eastAsia="宋体" w:cs="Times New Roman"/>
                <w:snapToGrid w:val="0"/>
                <w:kern w:val="0"/>
                <w:sz w:val="22"/>
                <w:szCs w:val="22"/>
                <w:highlight w:val="none"/>
                <w:lang w:val="en-US" w:eastAsia="zh-CN" w:bidi="ar-SA"/>
              </w:rPr>
              <w:t>ms/m</w:t>
            </w:r>
            <w:r>
              <w:rPr>
                <w:rFonts w:hint="eastAsia" w:ascii="Times New Roman" w:hAnsi="Times New Roman" w:eastAsia="宋体" w:cs="Times New Roman"/>
                <w:snapToGrid w:val="0"/>
                <w:kern w:val="0"/>
                <w:sz w:val="22"/>
                <w:szCs w:val="22"/>
                <w:highlight w:val="none"/>
                <w:lang w:val="en-US" w:eastAsia="zh-CN" w:bidi="ar-SA"/>
              </w:rPr>
              <w:t>≤</w:t>
            </w:r>
          </w:p>
        </w:tc>
        <w:tc>
          <w:tcPr>
            <w:tcW w:w="850" w:type="pct"/>
            <w:noWrap w:val="0"/>
            <w:vAlign w:val="center"/>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val="0"/>
                <w:kern w:val="0"/>
                <w:sz w:val="22"/>
                <w:szCs w:val="22"/>
                <w:highlight w:val="none"/>
                <w:lang w:val="en-US" w:eastAsia="zh-CN" w:bidi="ar-SA"/>
              </w:rPr>
            </w:pPr>
            <w:r>
              <w:rPr>
                <w:rFonts w:ascii="Times New Roman" w:hAnsi="Times New Roman" w:eastAsia="宋体" w:cs="Times New Roman"/>
                <w:snapToGrid w:val="0"/>
                <w:kern w:val="0"/>
                <w:sz w:val="22"/>
                <w:szCs w:val="22"/>
                <w:highlight w:val="none"/>
                <w:lang w:val="en-US" w:eastAsia="zh-CN" w:bidi="ar-SA"/>
              </w:rPr>
              <w:t>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2793" w:type="pct"/>
            <w:vMerge w:val="continue"/>
            <w:noWrap w:val="0"/>
            <w:vAlign w:val="center"/>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val="0"/>
                <w:kern w:val="0"/>
                <w:sz w:val="22"/>
                <w:szCs w:val="22"/>
                <w:highlight w:val="none"/>
                <w:lang w:val="en-US" w:eastAsia="zh-CN" w:bidi="ar-SA"/>
              </w:rPr>
            </w:pPr>
          </w:p>
        </w:tc>
        <w:tc>
          <w:tcPr>
            <w:tcW w:w="1357" w:type="pct"/>
            <w:noWrap w:val="0"/>
            <w:vAlign w:val="center"/>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val="0"/>
                <w:kern w:val="0"/>
                <w:sz w:val="22"/>
                <w:szCs w:val="22"/>
                <w:highlight w:val="none"/>
                <w:lang w:val="en-US" w:eastAsia="zh-CN" w:bidi="ar-SA"/>
              </w:rPr>
            </w:pPr>
            <w:r>
              <w:rPr>
                <w:rFonts w:ascii="Times New Roman" w:hAnsi="Times New Roman" w:eastAsia="宋体" w:cs="Times New Roman"/>
                <w:snapToGrid w:val="0"/>
                <w:kern w:val="0"/>
                <w:sz w:val="22"/>
                <w:szCs w:val="22"/>
                <w:highlight w:val="none"/>
                <w:lang w:val="en-US" w:eastAsia="zh-CN" w:bidi="ar-SA"/>
              </w:rPr>
              <w:t>us/cm</w:t>
            </w:r>
            <w:r>
              <w:rPr>
                <w:rFonts w:hint="eastAsia" w:ascii="Times New Roman" w:hAnsi="Times New Roman" w:eastAsia="宋体" w:cs="Times New Roman"/>
                <w:snapToGrid w:val="0"/>
                <w:kern w:val="0"/>
                <w:sz w:val="22"/>
                <w:szCs w:val="22"/>
                <w:highlight w:val="none"/>
                <w:lang w:val="en-US" w:eastAsia="zh-CN" w:bidi="ar-SA"/>
              </w:rPr>
              <w:t>≤</w:t>
            </w:r>
          </w:p>
        </w:tc>
        <w:tc>
          <w:tcPr>
            <w:tcW w:w="850" w:type="pct"/>
            <w:noWrap w:val="0"/>
            <w:vAlign w:val="center"/>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val="0"/>
                <w:kern w:val="0"/>
                <w:sz w:val="22"/>
                <w:szCs w:val="22"/>
                <w:highlight w:val="none"/>
                <w:lang w:val="en-US" w:eastAsia="zh-CN" w:bidi="ar-SA"/>
              </w:rPr>
            </w:pPr>
            <w:r>
              <w:rPr>
                <w:rFonts w:ascii="Times New Roman" w:hAnsi="Times New Roman" w:eastAsia="宋体" w:cs="Times New Roman"/>
                <w:snapToGrid w:val="0"/>
                <w:kern w:val="0"/>
                <w:sz w:val="22"/>
                <w:szCs w:val="22"/>
                <w:highlight w:val="none"/>
                <w:lang w:val="en-US" w:eastAsia="zh-CN" w:bidi="ar-SA"/>
              </w:rPr>
              <w:t>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150" w:type="pct"/>
            <w:gridSpan w:val="2"/>
            <w:noWrap w:val="0"/>
            <w:vAlign w:val="center"/>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val="0"/>
                <w:kern w:val="0"/>
                <w:sz w:val="22"/>
                <w:szCs w:val="22"/>
                <w:highlight w:val="none"/>
                <w:lang w:val="en-US" w:eastAsia="zh-CN" w:bidi="ar-SA"/>
              </w:rPr>
            </w:pPr>
            <w:r>
              <w:rPr>
                <w:rFonts w:ascii="Times New Roman" w:hAnsi="Times New Roman" w:eastAsia="宋体" w:cs="Times New Roman"/>
                <w:snapToGrid w:val="0"/>
                <w:kern w:val="0"/>
                <w:sz w:val="22"/>
                <w:szCs w:val="22"/>
                <w:highlight w:val="none"/>
                <w:lang w:val="en-US" w:eastAsia="zh-CN" w:bidi="ar-SA"/>
              </w:rPr>
              <w:t>比电阻MΩ.cm</w:t>
            </w:r>
            <w:r>
              <w:rPr>
                <w:rFonts w:hint="eastAsia" w:ascii="Times New Roman" w:hAnsi="Times New Roman" w:eastAsia="宋体" w:cs="Times New Roman"/>
                <w:snapToGrid w:val="0"/>
                <w:kern w:val="0"/>
                <w:sz w:val="22"/>
                <w:szCs w:val="22"/>
                <w:highlight w:val="none"/>
                <w:lang w:val="en-US" w:eastAsia="zh-CN" w:bidi="ar-SA"/>
              </w:rPr>
              <w:t>@</w:t>
            </w:r>
            <w:r>
              <w:rPr>
                <w:rFonts w:ascii="Times New Roman" w:hAnsi="Times New Roman" w:eastAsia="宋体" w:cs="Times New Roman"/>
                <w:snapToGrid w:val="0"/>
                <w:kern w:val="0"/>
                <w:sz w:val="22"/>
                <w:szCs w:val="22"/>
                <w:highlight w:val="none"/>
                <w:lang w:val="en-US" w:eastAsia="zh-CN" w:bidi="ar-SA"/>
              </w:rPr>
              <w:t>25</w:t>
            </w:r>
            <w:r>
              <w:rPr>
                <w:rFonts w:hint="eastAsia" w:ascii="Times New Roman" w:hAnsi="Times New Roman" w:eastAsia="宋体" w:cs="Times New Roman"/>
                <w:snapToGrid w:val="0"/>
                <w:kern w:val="0"/>
                <w:sz w:val="22"/>
                <w:szCs w:val="22"/>
                <w:highlight w:val="none"/>
                <w:lang w:val="en-US" w:eastAsia="zh-CN" w:bidi="ar-SA"/>
              </w:rPr>
              <w:t>℃＞</w:t>
            </w:r>
          </w:p>
        </w:tc>
        <w:tc>
          <w:tcPr>
            <w:tcW w:w="850" w:type="pct"/>
            <w:noWrap w:val="0"/>
            <w:vAlign w:val="center"/>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val="0"/>
                <w:kern w:val="0"/>
                <w:sz w:val="22"/>
                <w:szCs w:val="22"/>
                <w:highlight w:val="none"/>
                <w:lang w:val="en-US" w:eastAsia="zh-CN" w:bidi="ar-SA"/>
              </w:rPr>
            </w:pPr>
            <w:r>
              <w:rPr>
                <w:rFonts w:ascii="Times New Roman" w:hAnsi="Times New Roman" w:eastAsia="宋体" w:cs="Times New Roman"/>
                <w:snapToGrid w:val="0"/>
                <w:kern w:val="0"/>
                <w:sz w:val="22"/>
                <w:szCs w:val="22"/>
                <w:highlight w:val="none"/>
                <w:lang w:val="en-US" w:eastAsia="zh-CN" w:bidi="ar-SA"/>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150" w:type="pct"/>
            <w:gridSpan w:val="2"/>
            <w:noWrap w:val="0"/>
            <w:vAlign w:val="center"/>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val="0"/>
                <w:kern w:val="0"/>
                <w:sz w:val="22"/>
                <w:szCs w:val="22"/>
                <w:highlight w:val="none"/>
                <w:lang w:val="en-US" w:eastAsia="zh-CN" w:bidi="ar-SA"/>
              </w:rPr>
            </w:pPr>
            <w:r>
              <w:rPr>
                <w:rFonts w:ascii="Times New Roman" w:hAnsi="Times New Roman" w:eastAsia="宋体" w:cs="Times New Roman"/>
                <w:snapToGrid w:val="0"/>
                <w:kern w:val="0"/>
                <w:sz w:val="22"/>
                <w:szCs w:val="22"/>
                <w:highlight w:val="none"/>
                <w:lang w:val="en-US" w:eastAsia="zh-CN" w:bidi="ar-SA"/>
              </w:rPr>
              <w:t>可氧化物</w:t>
            </w:r>
            <w:r>
              <w:rPr>
                <w:rFonts w:hint="eastAsia" w:ascii="Times New Roman" w:hAnsi="Times New Roman" w:eastAsia="宋体" w:cs="Times New Roman"/>
                <w:snapToGrid w:val="0"/>
                <w:kern w:val="0"/>
                <w:sz w:val="22"/>
                <w:szCs w:val="22"/>
                <w:highlight w:val="none"/>
                <w:lang w:val="en-US" w:eastAsia="zh-CN" w:bidi="ar-SA"/>
              </w:rPr>
              <w:t>质含量</w:t>
            </w:r>
            <w:r>
              <w:rPr>
                <w:rFonts w:ascii="Times New Roman" w:hAnsi="Times New Roman" w:eastAsia="宋体" w:cs="Times New Roman"/>
                <w:snapToGrid w:val="0"/>
                <w:kern w:val="0"/>
                <w:sz w:val="22"/>
                <w:szCs w:val="22"/>
                <w:highlight w:val="none"/>
                <w:lang w:val="en-US" w:eastAsia="zh-CN" w:bidi="ar-SA"/>
              </w:rPr>
              <w:t>[以O计]mg/L</w:t>
            </w:r>
          </w:p>
        </w:tc>
        <w:tc>
          <w:tcPr>
            <w:tcW w:w="850" w:type="pct"/>
            <w:noWrap w:val="0"/>
            <w:vAlign w:val="center"/>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val="0"/>
                <w:kern w:val="0"/>
                <w:sz w:val="22"/>
                <w:szCs w:val="22"/>
                <w:highlight w:val="none"/>
                <w:lang w:val="en-US" w:eastAsia="zh-CN" w:bidi="ar-SA"/>
              </w:rPr>
            </w:pPr>
            <w:r>
              <w:rPr>
                <w:rFonts w:ascii="Times New Roman" w:hAnsi="Times New Roman" w:eastAsia="宋体" w:cs="Times New Roman"/>
                <w:snapToGrid w:val="0"/>
                <w:kern w:val="0"/>
                <w:sz w:val="22"/>
                <w:szCs w:val="22"/>
                <w:highlight w:val="none"/>
                <w:lang w:val="en-US" w:eastAsia="zh-CN" w:bidi="ar-S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150" w:type="pct"/>
            <w:gridSpan w:val="2"/>
            <w:noWrap w:val="0"/>
            <w:vAlign w:val="center"/>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val="0"/>
                <w:kern w:val="0"/>
                <w:sz w:val="22"/>
                <w:szCs w:val="22"/>
                <w:highlight w:val="none"/>
                <w:lang w:val="en-US" w:eastAsia="zh-CN" w:bidi="ar-SA"/>
              </w:rPr>
            </w:pPr>
            <w:r>
              <w:rPr>
                <w:rFonts w:ascii="Times New Roman" w:hAnsi="Times New Roman" w:eastAsia="宋体" w:cs="Times New Roman"/>
                <w:snapToGrid w:val="0"/>
                <w:kern w:val="0"/>
                <w:sz w:val="22"/>
                <w:szCs w:val="22"/>
                <w:highlight w:val="none"/>
                <w:lang w:val="en-US" w:eastAsia="zh-CN" w:bidi="ar-SA"/>
              </w:rPr>
              <w:t>吸光度（254nm</w:t>
            </w:r>
            <w:r>
              <w:rPr>
                <w:rFonts w:hint="eastAsia" w:ascii="Times New Roman" w:hAnsi="Times New Roman" w:eastAsia="宋体" w:cs="Times New Roman"/>
                <w:snapToGrid w:val="0"/>
                <w:kern w:val="0"/>
                <w:sz w:val="22"/>
                <w:szCs w:val="22"/>
                <w:highlight w:val="none"/>
                <w:lang w:val="en-US" w:eastAsia="zh-CN" w:bidi="ar-SA"/>
              </w:rPr>
              <w:t>，</w:t>
            </w:r>
            <w:r>
              <w:rPr>
                <w:rFonts w:ascii="Times New Roman" w:hAnsi="Times New Roman" w:eastAsia="宋体" w:cs="Times New Roman"/>
                <w:snapToGrid w:val="0"/>
                <w:kern w:val="0"/>
                <w:sz w:val="22"/>
                <w:szCs w:val="22"/>
                <w:highlight w:val="none"/>
                <w:lang w:val="en-US" w:eastAsia="zh-CN" w:bidi="ar-SA"/>
              </w:rPr>
              <w:t>1cm光程）</w:t>
            </w:r>
          </w:p>
        </w:tc>
        <w:tc>
          <w:tcPr>
            <w:tcW w:w="850" w:type="pct"/>
            <w:noWrap w:val="0"/>
            <w:vAlign w:val="center"/>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w:t>
            </w:r>
            <w:r>
              <w:rPr>
                <w:rFonts w:ascii="Times New Roman" w:hAnsi="Times New Roman" w:eastAsia="宋体" w:cs="Times New Roman"/>
                <w:snapToGrid w:val="0"/>
                <w:kern w:val="0"/>
                <w:sz w:val="22"/>
                <w:szCs w:val="22"/>
                <w:highlight w:val="none"/>
                <w:lang w:val="en-US" w:eastAsia="zh-CN" w:bidi="ar-SA"/>
              </w:rPr>
              <w:t>0.001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150" w:type="pct"/>
            <w:gridSpan w:val="2"/>
            <w:noWrap w:val="0"/>
            <w:vAlign w:val="center"/>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val="0"/>
                <w:kern w:val="0"/>
                <w:sz w:val="22"/>
                <w:szCs w:val="22"/>
                <w:highlight w:val="none"/>
                <w:lang w:val="en-US" w:eastAsia="zh-CN" w:bidi="ar-SA"/>
              </w:rPr>
            </w:pPr>
            <w:r>
              <w:rPr>
                <w:rFonts w:ascii="Times New Roman" w:hAnsi="Times New Roman" w:eastAsia="宋体" w:cs="Times New Roman"/>
                <w:snapToGrid w:val="0"/>
                <w:kern w:val="0"/>
                <w:sz w:val="22"/>
                <w:szCs w:val="22"/>
                <w:highlight w:val="none"/>
                <w:lang w:val="en-US" w:eastAsia="zh-CN" w:bidi="ar-SA"/>
              </w:rPr>
              <w:t>可溶性硅（以二氧化硅计）含量（mg/L）</w:t>
            </w:r>
          </w:p>
        </w:tc>
        <w:tc>
          <w:tcPr>
            <w:tcW w:w="850" w:type="pct"/>
            <w:noWrap w:val="0"/>
            <w:vAlign w:val="center"/>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w:t>
            </w:r>
            <w:r>
              <w:rPr>
                <w:rFonts w:ascii="Times New Roman" w:hAnsi="Times New Roman" w:eastAsia="宋体" w:cs="Times New Roman"/>
                <w:snapToGrid w:val="0"/>
                <w:kern w:val="0"/>
                <w:sz w:val="22"/>
                <w:szCs w:val="22"/>
                <w:highlight w:val="none"/>
                <w:lang w:val="en-US" w:eastAsia="zh-CN" w:bidi="ar-SA"/>
              </w:rPr>
              <w:t>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150" w:type="pct"/>
            <w:gridSpan w:val="2"/>
            <w:noWrap w:val="0"/>
            <w:vAlign w:val="center"/>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val="0"/>
                <w:kern w:val="0"/>
                <w:sz w:val="22"/>
                <w:szCs w:val="22"/>
                <w:highlight w:val="none"/>
                <w:lang w:val="en-US" w:eastAsia="zh-CN" w:bidi="ar-SA"/>
              </w:rPr>
            </w:pPr>
            <w:r>
              <w:rPr>
                <w:rFonts w:ascii="Times New Roman" w:hAnsi="Times New Roman" w:eastAsia="宋体" w:cs="Times New Roman"/>
                <w:snapToGrid w:val="0"/>
                <w:kern w:val="0"/>
                <w:sz w:val="22"/>
                <w:szCs w:val="22"/>
                <w:highlight w:val="none"/>
                <w:lang w:val="en-US" w:eastAsia="zh-CN" w:bidi="ar-SA"/>
              </w:rPr>
              <w:t>蒸发残渣</w:t>
            </w:r>
            <w:r>
              <w:rPr>
                <w:rFonts w:hint="eastAsia" w:ascii="Times New Roman" w:hAnsi="Times New Roman" w:eastAsia="宋体" w:cs="Times New Roman"/>
                <w:snapToGrid w:val="0"/>
                <w:kern w:val="0"/>
                <w:sz w:val="22"/>
                <w:szCs w:val="22"/>
                <w:highlight w:val="none"/>
                <w:lang w:val="en-US" w:eastAsia="zh-CN" w:bidi="ar-SA"/>
              </w:rPr>
              <w:t>（105℃±2℃）含量</w:t>
            </w:r>
            <w:r>
              <w:rPr>
                <w:rFonts w:ascii="Times New Roman" w:hAnsi="Times New Roman" w:eastAsia="宋体" w:cs="Times New Roman"/>
                <w:snapToGrid w:val="0"/>
                <w:kern w:val="0"/>
                <w:sz w:val="22"/>
                <w:szCs w:val="22"/>
                <w:highlight w:val="none"/>
                <w:lang w:val="en-US" w:eastAsia="zh-CN" w:bidi="ar-SA"/>
              </w:rPr>
              <w:t>（mg/L）</w:t>
            </w:r>
          </w:p>
        </w:tc>
        <w:tc>
          <w:tcPr>
            <w:tcW w:w="850" w:type="pct"/>
            <w:noWrap w:val="0"/>
            <w:vAlign w:val="center"/>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val="0"/>
                <w:kern w:val="0"/>
                <w:sz w:val="22"/>
                <w:szCs w:val="22"/>
                <w:highlight w:val="none"/>
                <w:lang w:val="en-US" w:eastAsia="zh-CN" w:bidi="ar-SA"/>
              </w:rPr>
            </w:pPr>
            <w:r>
              <w:rPr>
                <w:rFonts w:ascii="Times New Roman" w:hAnsi="Times New Roman" w:eastAsia="宋体" w:cs="Times New Roman"/>
                <w:snapToGrid w:val="0"/>
                <w:kern w:val="0"/>
                <w:sz w:val="22"/>
                <w:szCs w:val="22"/>
                <w:highlight w:val="none"/>
                <w:lang w:val="en-US" w:eastAsia="zh-CN" w:bidi="ar-SA"/>
              </w:rPr>
              <w:t>-</w:t>
            </w:r>
          </w:p>
        </w:tc>
      </w:tr>
    </w:tbl>
    <w:p>
      <w:pPr>
        <w:spacing w:before="312" w:after="312"/>
        <w:ind w:firstLine="480"/>
        <w:rPr>
          <w:rFonts w:ascii="Times New Roman" w:hAnsi="Times New Roman" w:eastAsia="宋体" w:cs="Times New Roman"/>
          <w:kern w:val="2"/>
          <w:sz w:val="21"/>
          <w:szCs w:val="22"/>
          <w:highlight w:val="none"/>
          <w:lang w:val="en-US" w:eastAsia="zh-CN" w:bidi="ar-SA"/>
        </w:rPr>
      </w:pPr>
    </w:p>
    <w:p>
      <w:pPr>
        <w:widowControl w:val="0"/>
        <w:numPr>
          <w:ilvl w:val="0"/>
          <w:numId w:val="3"/>
        </w:numPr>
        <w:wordWrap w:val="0"/>
        <w:adjustRightInd w:val="0"/>
        <w:snapToGrid w:val="0"/>
        <w:jc w:val="left"/>
        <w:outlineLvl w:val="2"/>
        <w:rPr>
          <w:rFonts w:ascii="Times New Roman" w:hAnsi="Times New Roman" w:eastAsia="宋体" w:cs="Times New Roman"/>
          <w:b/>
          <w:snapToGrid w:val="0"/>
          <w:kern w:val="2"/>
          <w:sz w:val="24"/>
          <w:szCs w:val="18"/>
          <w:highlight w:val="none"/>
          <w:lang w:val="en-US" w:eastAsia="zh-CN" w:bidi="ar-SA"/>
        </w:rPr>
      </w:pPr>
      <w:r>
        <w:rPr>
          <w:rFonts w:hint="eastAsia" w:ascii="Times New Roman" w:hAnsi="Times New Roman" w:eastAsia="宋体" w:cs="Times New Roman"/>
          <w:b/>
          <w:snapToGrid w:val="0"/>
          <w:kern w:val="2"/>
          <w:sz w:val="24"/>
          <w:szCs w:val="18"/>
          <w:highlight w:val="none"/>
          <w:lang w:val="en-US" w:eastAsia="zh-CN" w:bidi="ar-SA"/>
        </w:rPr>
        <w:t>清洗用水标准（WS 310-2016）</w:t>
      </w:r>
    </w:p>
    <w:p>
      <w:pPr>
        <w:spacing w:line="360" w:lineRule="auto"/>
        <w:ind w:firstLine="420" w:firstLineChars="200"/>
        <w:rPr>
          <w:rFonts w:ascii="Times New Roman" w:hAnsi="Times New Roman" w:eastAsia="宋体" w:cs="Times New Roman"/>
          <w:kern w:val="2"/>
          <w:sz w:val="21"/>
          <w:szCs w:val="22"/>
          <w:highlight w:val="none"/>
          <w:lang w:val="en-US" w:eastAsia="zh-CN" w:bidi="ar-SA"/>
        </w:rPr>
      </w:pPr>
      <w:r>
        <w:rPr>
          <w:rFonts w:hint="eastAsia" w:ascii="Times New Roman" w:hAnsi="Calibri" w:eastAsia="宋体" w:cs="Times New Roman"/>
          <w:kern w:val="2"/>
          <w:sz w:val="21"/>
          <w:szCs w:val="22"/>
          <w:highlight w:val="none"/>
          <w:lang w:val="en-US" w:eastAsia="zh-CN" w:bidi="ar-SA"/>
        </w:rPr>
        <w:t>终末漂洗用水的电导率应</w:t>
      </w:r>
      <w:r>
        <w:rPr>
          <w:rFonts w:hint="eastAsia" w:ascii="Times New Roman" w:hAnsi="Times New Roman" w:eastAsia="宋体" w:cs="Times New Roman"/>
          <w:kern w:val="2"/>
          <w:sz w:val="21"/>
          <w:szCs w:val="22"/>
          <w:highlight w:val="none"/>
          <w:lang w:val="en-US" w:eastAsia="zh-CN" w:bidi="ar-SA"/>
        </w:rPr>
        <w:t>≤15</w:t>
      </w:r>
      <w:r>
        <w:rPr>
          <w:rFonts w:ascii="Times New Roman" w:hAnsi="Times New Roman" w:eastAsia="宋体" w:cs="Times New Roman"/>
          <w:kern w:val="2"/>
          <w:sz w:val="21"/>
          <w:szCs w:val="22"/>
          <w:highlight w:val="none"/>
          <w:lang w:val="en-US" w:eastAsia="zh-CN" w:bidi="ar-SA"/>
        </w:rPr>
        <w:t>us/cm</w:t>
      </w:r>
      <w:r>
        <w:rPr>
          <w:rFonts w:hint="eastAsia" w:ascii="Times New Roman" w:hAnsi="Calibri" w:eastAsia="宋体" w:cs="Times New Roman"/>
          <w:kern w:val="2"/>
          <w:sz w:val="21"/>
          <w:szCs w:val="22"/>
          <w:highlight w:val="none"/>
          <w:lang w:val="en-US" w:eastAsia="zh-CN" w:bidi="ar-SA"/>
        </w:rPr>
        <w:t>（</w:t>
      </w:r>
      <w:r>
        <w:rPr>
          <w:rFonts w:hint="eastAsia" w:ascii="Times New Roman" w:hAnsi="Times New Roman" w:eastAsia="宋体" w:cs="Times New Roman"/>
          <w:kern w:val="2"/>
          <w:sz w:val="21"/>
          <w:szCs w:val="22"/>
          <w:highlight w:val="none"/>
          <w:lang w:val="en-US" w:eastAsia="zh-CN" w:bidi="ar-SA"/>
        </w:rPr>
        <w:t>25</w:t>
      </w:r>
      <w:r>
        <w:rPr>
          <w:rFonts w:hint="eastAsia" w:ascii="Times New Roman" w:hAnsi="Calibri" w:eastAsia="宋体" w:cs="Times New Roman"/>
          <w:kern w:val="2"/>
          <w:sz w:val="21"/>
          <w:szCs w:val="22"/>
          <w:highlight w:val="none"/>
          <w:lang w:val="en-US" w:eastAsia="zh-CN" w:bidi="ar-SA"/>
        </w:rPr>
        <w:t>℃）</w:t>
      </w:r>
    </w:p>
    <w:p>
      <w:pPr>
        <w:spacing w:line="360" w:lineRule="auto"/>
        <w:jc w:val="center"/>
        <w:rPr>
          <w:rFonts w:ascii="Times New Roman" w:hAnsi="Times New Roman" w:eastAsia="宋体" w:cs="Times New Roman"/>
          <w:kern w:val="2"/>
          <w:sz w:val="21"/>
          <w:szCs w:val="22"/>
          <w:highlight w:val="none"/>
          <w:lang w:val="en-US" w:eastAsia="zh-CN" w:bidi="ar-SA"/>
        </w:rPr>
      </w:pPr>
      <w:r>
        <w:rPr>
          <w:rFonts w:hint="eastAsia" w:ascii="Times New Roman" w:hAnsi="Calibri" w:eastAsia="宋体" w:cs="Times New Roman"/>
          <w:kern w:val="2"/>
          <w:sz w:val="21"/>
          <w:szCs w:val="22"/>
          <w:highlight w:val="none"/>
          <w:lang w:val="en-US" w:eastAsia="zh-CN" w:bidi="ar-SA"/>
        </w:rPr>
        <w:t>压力蒸汽灭菌器供给水的质量指标</w:t>
      </w:r>
    </w:p>
    <w:tbl>
      <w:tblPr>
        <w:tblStyle w:val="32"/>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129"/>
        <w:gridCol w:w="45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648" w:type="pct"/>
            <w:shd w:val="clear" w:color="auto" w:fill="92D050"/>
            <w:noWrap w:val="0"/>
            <w:vAlign w:val="center"/>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指标名称</w:t>
            </w:r>
          </w:p>
        </w:tc>
        <w:tc>
          <w:tcPr>
            <w:tcW w:w="2352" w:type="pct"/>
            <w:shd w:val="clear" w:color="auto" w:fill="92D050"/>
            <w:noWrap w:val="0"/>
            <w:vAlign w:val="center"/>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给水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648" w:type="pct"/>
            <w:noWrap w:val="0"/>
            <w:vAlign w:val="center"/>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蒸汽残留</w:t>
            </w:r>
          </w:p>
        </w:tc>
        <w:tc>
          <w:tcPr>
            <w:tcW w:w="2352" w:type="pct"/>
            <w:noWrap w:val="0"/>
            <w:vAlign w:val="center"/>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 xml:space="preserve">≤10 mg/L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648" w:type="pct"/>
            <w:noWrap w:val="0"/>
            <w:vAlign w:val="center"/>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二氧化硅，</w:t>
            </w:r>
            <w:r>
              <w:rPr>
                <w:rFonts w:ascii="Times New Roman" w:hAnsi="Times New Roman" w:eastAsia="宋体" w:cs="Times New Roman"/>
                <w:snapToGrid w:val="0"/>
                <w:kern w:val="0"/>
                <w:sz w:val="22"/>
                <w:szCs w:val="22"/>
                <w:highlight w:val="none"/>
                <w:lang w:val="en-US" w:eastAsia="zh-CN" w:bidi="ar-SA"/>
              </w:rPr>
              <w:t>Si</w:t>
            </w:r>
            <w:r>
              <w:rPr>
                <w:rFonts w:hint="eastAsia" w:ascii="Times New Roman" w:hAnsi="Times New Roman" w:eastAsia="宋体" w:cs="Times New Roman"/>
                <w:snapToGrid w:val="0"/>
                <w:kern w:val="0"/>
                <w:sz w:val="22"/>
                <w:szCs w:val="22"/>
                <w:highlight w:val="none"/>
                <w:lang w:val="en-US" w:eastAsia="zh-CN" w:bidi="ar-SA"/>
              </w:rPr>
              <w:t>O2</w:t>
            </w:r>
          </w:p>
        </w:tc>
        <w:tc>
          <w:tcPr>
            <w:tcW w:w="2352" w:type="pct"/>
            <w:noWrap w:val="0"/>
            <w:vAlign w:val="center"/>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≤1 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648" w:type="pct"/>
            <w:noWrap w:val="0"/>
            <w:vAlign w:val="center"/>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铁</w:t>
            </w:r>
          </w:p>
        </w:tc>
        <w:tc>
          <w:tcPr>
            <w:tcW w:w="2352" w:type="pct"/>
            <w:noWrap w:val="0"/>
            <w:vAlign w:val="center"/>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≤0.2 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648"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镉</w:t>
            </w:r>
          </w:p>
        </w:tc>
        <w:tc>
          <w:tcPr>
            <w:tcW w:w="2352"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w:t>
            </w:r>
            <w:r>
              <w:rPr>
                <w:rFonts w:ascii="Times New Roman" w:hAnsi="Times New Roman" w:eastAsia="宋体" w:cs="Times New Roman"/>
                <w:color w:val="000000"/>
                <w:kern w:val="0"/>
                <w:sz w:val="22"/>
                <w:szCs w:val="22"/>
                <w:highlight w:val="none"/>
                <w:lang w:val="en-US" w:eastAsia="zh-CN" w:bidi="ar-SA"/>
              </w:rPr>
              <w:t>0.</w:t>
            </w:r>
            <w:r>
              <w:rPr>
                <w:rFonts w:hint="eastAsia" w:ascii="Times New Roman" w:hAnsi="Times New Roman" w:eastAsia="宋体" w:cs="Times New Roman"/>
                <w:color w:val="000000"/>
                <w:kern w:val="0"/>
                <w:sz w:val="22"/>
                <w:szCs w:val="22"/>
                <w:highlight w:val="none"/>
                <w:lang w:val="en-US" w:eastAsia="zh-CN" w:bidi="ar-SA"/>
              </w:rPr>
              <w:t>005</w:t>
            </w:r>
            <w:r>
              <w:rPr>
                <w:rFonts w:ascii="Times New Roman" w:hAnsi="Times New Roman" w:eastAsia="宋体" w:cs="Times New Roman"/>
                <w:color w:val="000000"/>
                <w:kern w:val="0"/>
                <w:sz w:val="22"/>
                <w:szCs w:val="22"/>
                <w:highlight w:val="none"/>
                <w:lang w:val="en-US" w:eastAsia="zh-CN" w:bidi="ar-SA"/>
              </w:rPr>
              <w:t>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648"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宋体" w:eastAsia="宋体" w:cs="宋体"/>
                <w:color w:val="000000"/>
                <w:kern w:val="0"/>
                <w:sz w:val="22"/>
                <w:szCs w:val="22"/>
                <w:highlight w:val="none"/>
                <w:lang w:val="en-US" w:eastAsia="zh-CN" w:bidi="ar-SA"/>
              </w:rPr>
              <w:t>铅</w:t>
            </w:r>
          </w:p>
        </w:tc>
        <w:tc>
          <w:tcPr>
            <w:tcW w:w="2352"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w:t>
            </w:r>
            <w:r>
              <w:rPr>
                <w:rFonts w:ascii="Times New Roman" w:hAnsi="Times New Roman" w:eastAsia="宋体" w:cs="Times New Roman"/>
                <w:color w:val="000000"/>
                <w:kern w:val="0"/>
                <w:sz w:val="22"/>
                <w:szCs w:val="22"/>
                <w:highlight w:val="none"/>
                <w:lang w:val="en-US" w:eastAsia="zh-CN" w:bidi="ar-SA"/>
              </w:rPr>
              <w:t>0.05 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648" w:type="pct"/>
            <w:noWrap w:val="0"/>
            <w:vAlign w:val="center"/>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除了铁、镉、铅以外的其他重金属</w:t>
            </w:r>
          </w:p>
        </w:tc>
        <w:tc>
          <w:tcPr>
            <w:tcW w:w="2352" w:type="pct"/>
            <w:noWrap w:val="0"/>
            <w:vAlign w:val="center"/>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≤0.1 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648" w:type="pct"/>
            <w:noWrap w:val="0"/>
            <w:vAlign w:val="center"/>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氯化物</w:t>
            </w:r>
            <w:r>
              <w:rPr>
                <w:rFonts w:ascii="Times New Roman" w:hAnsi="Times New Roman" w:eastAsia="宋体" w:cs="Times New Roman"/>
                <w:snapToGrid w:val="0"/>
                <w:kern w:val="0"/>
                <w:sz w:val="22"/>
                <w:szCs w:val="22"/>
                <w:highlight w:val="none"/>
                <w:lang w:val="en-US" w:eastAsia="zh-CN" w:bidi="ar-SA"/>
              </w:rPr>
              <w:t>（Cl</w:t>
            </w:r>
            <w:r>
              <w:rPr>
                <w:rFonts w:hint="eastAsia" w:ascii="Times New Roman" w:hAnsi="Times New Roman" w:eastAsia="宋体" w:cs="Times New Roman"/>
                <w:snapToGrid w:val="0"/>
                <w:kern w:val="0"/>
                <w:sz w:val="22"/>
                <w:szCs w:val="22"/>
                <w:highlight w:val="none"/>
                <w:vertAlign w:val="superscript"/>
                <w:lang w:val="en-US" w:eastAsia="zh-CN" w:bidi="ar-SA"/>
              </w:rPr>
              <w:t>-</w:t>
            </w:r>
            <w:r>
              <w:rPr>
                <w:rFonts w:ascii="Times New Roman" w:hAnsi="Times New Roman" w:eastAsia="宋体" w:cs="Times New Roman"/>
                <w:snapToGrid w:val="0"/>
                <w:kern w:val="0"/>
                <w:sz w:val="22"/>
                <w:szCs w:val="22"/>
                <w:highlight w:val="none"/>
                <w:lang w:val="en-US" w:eastAsia="zh-CN" w:bidi="ar-SA"/>
              </w:rPr>
              <w:t>）</w:t>
            </w:r>
          </w:p>
        </w:tc>
        <w:tc>
          <w:tcPr>
            <w:tcW w:w="2352" w:type="pct"/>
            <w:noWrap w:val="0"/>
            <w:vAlign w:val="center"/>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≤2 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648" w:type="pct"/>
            <w:noWrap w:val="0"/>
            <w:vAlign w:val="center"/>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磷酸盐（P</w:t>
            </w:r>
            <w:r>
              <w:rPr>
                <w:rFonts w:hint="eastAsia" w:ascii="Times New Roman" w:hAnsi="Times New Roman" w:eastAsia="宋体" w:cs="Times New Roman"/>
                <w:snapToGrid w:val="0"/>
                <w:kern w:val="0"/>
                <w:sz w:val="22"/>
                <w:szCs w:val="22"/>
                <w:highlight w:val="none"/>
                <w:vertAlign w:val="subscript"/>
                <w:lang w:val="en-US" w:eastAsia="zh-CN" w:bidi="ar-SA"/>
              </w:rPr>
              <w:t>2</w:t>
            </w:r>
            <w:r>
              <w:rPr>
                <w:rFonts w:hint="eastAsia" w:ascii="Times New Roman" w:hAnsi="Times New Roman" w:eastAsia="宋体" w:cs="Times New Roman"/>
                <w:snapToGrid w:val="0"/>
                <w:kern w:val="0"/>
                <w:sz w:val="22"/>
                <w:szCs w:val="22"/>
                <w:highlight w:val="none"/>
                <w:lang w:val="en-US" w:eastAsia="zh-CN" w:bidi="ar-SA"/>
              </w:rPr>
              <w:t>O</w:t>
            </w:r>
            <w:r>
              <w:rPr>
                <w:rFonts w:hint="eastAsia" w:ascii="Times New Roman" w:hAnsi="Times New Roman" w:eastAsia="宋体" w:cs="Times New Roman"/>
                <w:snapToGrid w:val="0"/>
                <w:kern w:val="0"/>
                <w:sz w:val="22"/>
                <w:szCs w:val="22"/>
                <w:highlight w:val="none"/>
                <w:vertAlign w:val="subscript"/>
                <w:lang w:val="en-US" w:eastAsia="zh-CN" w:bidi="ar-SA"/>
              </w:rPr>
              <w:t>5</w:t>
            </w:r>
            <w:r>
              <w:rPr>
                <w:rFonts w:hint="eastAsia" w:ascii="Times New Roman" w:hAnsi="Times New Roman" w:eastAsia="宋体" w:cs="Times New Roman"/>
                <w:snapToGrid w:val="0"/>
                <w:kern w:val="0"/>
                <w:sz w:val="22"/>
                <w:szCs w:val="22"/>
                <w:highlight w:val="none"/>
                <w:lang w:val="en-US" w:eastAsia="zh-CN" w:bidi="ar-SA"/>
              </w:rPr>
              <w:t>）</w:t>
            </w:r>
          </w:p>
        </w:tc>
        <w:tc>
          <w:tcPr>
            <w:tcW w:w="2352" w:type="pct"/>
            <w:noWrap w:val="0"/>
            <w:vAlign w:val="center"/>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≤0.5 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648" w:type="pct"/>
            <w:noWrap w:val="0"/>
            <w:vAlign w:val="center"/>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电导率（25℃）</w:t>
            </w:r>
          </w:p>
        </w:tc>
        <w:tc>
          <w:tcPr>
            <w:tcW w:w="2352" w:type="pct"/>
            <w:noWrap w:val="0"/>
            <w:vAlign w:val="center"/>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≤5</w:t>
            </w:r>
            <w:r>
              <w:rPr>
                <w:rFonts w:ascii="Times New Roman" w:hAnsi="Times New Roman" w:eastAsia="宋体" w:cs="Times New Roman"/>
                <w:snapToGrid w:val="0"/>
                <w:kern w:val="0"/>
                <w:sz w:val="22"/>
                <w:szCs w:val="22"/>
                <w:highlight w:val="none"/>
                <w:lang w:val="en-US" w:eastAsia="zh-CN" w:bidi="ar-SA"/>
              </w:rPr>
              <w:t>us/cm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648" w:type="pct"/>
            <w:noWrap w:val="0"/>
            <w:vAlign w:val="center"/>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PH</w:t>
            </w:r>
          </w:p>
        </w:tc>
        <w:tc>
          <w:tcPr>
            <w:tcW w:w="2352" w:type="pct"/>
            <w:noWrap w:val="0"/>
            <w:vAlign w:val="center"/>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5.0-7.5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648" w:type="pct"/>
            <w:noWrap w:val="0"/>
            <w:vAlign w:val="center"/>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外观</w:t>
            </w:r>
          </w:p>
        </w:tc>
        <w:tc>
          <w:tcPr>
            <w:tcW w:w="2352" w:type="pct"/>
            <w:noWrap w:val="0"/>
            <w:vAlign w:val="center"/>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无色、洁净、无沉淀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648" w:type="pct"/>
            <w:noWrap w:val="0"/>
            <w:vAlign w:val="center"/>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硬度（碱性金属离子的总量）</w:t>
            </w:r>
          </w:p>
        </w:tc>
        <w:tc>
          <w:tcPr>
            <w:tcW w:w="2352" w:type="pct"/>
            <w:noWrap w:val="0"/>
            <w:vAlign w:val="center"/>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≤0.02 mmol/L</w:t>
            </w:r>
          </w:p>
        </w:tc>
      </w:tr>
    </w:tbl>
    <w:p>
      <w:pPr>
        <w:spacing w:line="360" w:lineRule="auto"/>
        <w:ind w:firstLine="420" w:firstLineChars="200"/>
        <w:rPr>
          <w:rFonts w:ascii="Times New Roman" w:hAnsi="Times New Roman" w:eastAsia="宋体" w:cs="Times New Roman"/>
          <w:color w:val="000000"/>
          <w:kern w:val="0"/>
          <w:sz w:val="22"/>
          <w:szCs w:val="22"/>
          <w:highlight w:val="none"/>
          <w:lang w:val="en-US" w:eastAsia="zh-CN" w:bidi="ar-SA"/>
        </w:rPr>
      </w:pPr>
      <w:r>
        <w:rPr>
          <w:rFonts w:hint="eastAsia" w:ascii="Times New Roman" w:hAnsi="Calibri" w:eastAsia="宋体" w:cs="Times New Roman"/>
          <w:kern w:val="2"/>
          <w:sz w:val="21"/>
          <w:szCs w:val="22"/>
          <w:highlight w:val="none"/>
          <w:lang w:val="en-US" w:eastAsia="zh-CN" w:bidi="ar-SA"/>
        </w:rPr>
        <w:t>注：软式内镜清洗用水标准在满足上述表格标准的同时需满足：细菌</w:t>
      </w:r>
      <w:r>
        <w:rPr>
          <w:rFonts w:hint="eastAsia" w:ascii="Times New Roman" w:hAnsi="Times New Roman" w:eastAsia="宋体" w:cs="宋体"/>
          <w:color w:val="000000"/>
          <w:kern w:val="0"/>
          <w:sz w:val="22"/>
          <w:szCs w:val="22"/>
          <w:highlight w:val="none"/>
          <w:lang w:val="en-US" w:eastAsia="zh-CN" w:bidi="ar-SA"/>
        </w:rPr>
        <w:t>Bacteria Count≤</w:t>
      </w:r>
      <w:r>
        <w:rPr>
          <w:rFonts w:hint="eastAsia" w:ascii="Times New Roman" w:hAnsi="Times New Roman" w:eastAsia="宋体" w:cs="Times New Roman"/>
          <w:color w:val="000000"/>
          <w:kern w:val="0"/>
          <w:sz w:val="22"/>
          <w:szCs w:val="22"/>
          <w:highlight w:val="none"/>
          <w:lang w:val="en-US" w:eastAsia="zh-CN" w:bidi="ar-SA"/>
        </w:rPr>
        <w:t>10cfu</w:t>
      </w:r>
      <w:r>
        <w:rPr>
          <w:rFonts w:ascii="Times New Roman" w:hAnsi="Times New Roman" w:eastAsia="宋体" w:cs="Times New Roman"/>
          <w:color w:val="000000"/>
          <w:kern w:val="0"/>
          <w:sz w:val="22"/>
          <w:szCs w:val="22"/>
          <w:highlight w:val="none"/>
          <w:lang w:val="en-US" w:eastAsia="zh-CN" w:bidi="ar-SA"/>
        </w:rPr>
        <w:t>/</w:t>
      </w:r>
      <w:r>
        <w:rPr>
          <w:rFonts w:hint="eastAsia" w:ascii="Times New Roman" w:hAnsi="Times New Roman" w:eastAsia="宋体" w:cs="Times New Roman"/>
          <w:color w:val="000000"/>
          <w:kern w:val="0"/>
          <w:sz w:val="22"/>
          <w:szCs w:val="22"/>
          <w:highlight w:val="none"/>
          <w:lang w:val="en-US" w:eastAsia="zh-CN" w:bidi="ar-SA"/>
        </w:rPr>
        <w:t>100mL</w:t>
      </w:r>
    </w:p>
    <w:p>
      <w:pPr>
        <w:ind w:firstLine="420" w:firstLineChars="200"/>
        <w:rPr>
          <w:rFonts w:ascii="Times New Roman" w:hAnsi="Times New Roman" w:eastAsia="宋体" w:cs="Times New Roman"/>
          <w:kern w:val="2"/>
          <w:sz w:val="21"/>
          <w:szCs w:val="22"/>
          <w:highlight w:val="none"/>
          <w:lang w:val="en-US" w:eastAsia="zh-CN" w:bidi="ar-SA"/>
        </w:rPr>
      </w:pPr>
    </w:p>
    <w:p>
      <w:pPr>
        <w:widowControl w:val="0"/>
        <w:numPr>
          <w:ilvl w:val="0"/>
          <w:numId w:val="3"/>
        </w:numPr>
        <w:wordWrap w:val="0"/>
        <w:adjustRightInd w:val="0"/>
        <w:snapToGrid w:val="0"/>
        <w:jc w:val="left"/>
        <w:outlineLvl w:val="2"/>
        <w:rPr>
          <w:rFonts w:ascii="Times New Roman" w:hAnsi="Times New Roman" w:eastAsia="宋体" w:cs="Times New Roman"/>
          <w:b/>
          <w:snapToGrid w:val="0"/>
          <w:kern w:val="2"/>
          <w:sz w:val="24"/>
          <w:szCs w:val="18"/>
          <w:highlight w:val="none"/>
          <w:lang w:val="en-US" w:eastAsia="zh-CN" w:bidi="ar-SA"/>
        </w:rPr>
      </w:pPr>
      <w:r>
        <w:rPr>
          <w:rFonts w:hint="eastAsia" w:ascii="Times New Roman" w:hAnsi="Times New Roman" w:eastAsia="宋体" w:cs="Times New Roman"/>
          <w:b/>
          <w:snapToGrid w:val="0"/>
          <w:kern w:val="2"/>
          <w:sz w:val="24"/>
          <w:szCs w:val="18"/>
          <w:highlight w:val="none"/>
          <w:lang w:val="en-US" w:eastAsia="zh-CN" w:bidi="ar-SA"/>
        </w:rPr>
        <w:t>冲洗用水标准</w:t>
      </w:r>
    </w:p>
    <w:tbl>
      <w:tblPr>
        <w:tblStyle w:val="32"/>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284"/>
        <w:gridCol w:w="44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2728" w:type="pct"/>
            <w:tcBorders>
              <w:top w:val="single" w:color="auto" w:sz="4" w:space="0"/>
              <w:left w:val="single" w:color="auto" w:sz="4" w:space="0"/>
              <w:bottom w:val="single" w:color="auto" w:sz="4" w:space="0"/>
              <w:right w:val="single" w:color="auto" w:sz="4" w:space="0"/>
            </w:tcBorders>
            <w:shd w:val="clear" w:color="auto" w:fill="92D050"/>
            <w:noWrap w:val="0"/>
            <w:vAlign w:val="center"/>
          </w:tcPr>
          <w:p>
            <w:pPr>
              <w:widowControl w:val="0"/>
              <w:wordWrap w:val="0"/>
              <w:adjustRightInd w:val="0"/>
              <w:snapToGrid w:val="0"/>
              <w:spacing w:before="78" w:beforeLines="25" w:after="78" w:afterLines="2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项目</w:t>
            </w:r>
          </w:p>
        </w:tc>
        <w:tc>
          <w:tcPr>
            <w:tcW w:w="2272" w:type="pct"/>
            <w:tcBorders>
              <w:top w:val="single" w:color="auto" w:sz="4" w:space="0"/>
              <w:left w:val="single" w:color="auto" w:sz="4" w:space="0"/>
              <w:bottom w:val="single" w:color="auto" w:sz="4" w:space="0"/>
              <w:right w:val="single" w:color="auto" w:sz="4" w:space="0"/>
            </w:tcBorders>
            <w:shd w:val="clear" w:color="auto" w:fill="92D050"/>
            <w:noWrap w:val="0"/>
            <w:vAlign w:val="center"/>
          </w:tcPr>
          <w:p>
            <w:pPr>
              <w:widowControl w:val="0"/>
              <w:wordWrap w:val="0"/>
              <w:adjustRightInd w:val="0"/>
              <w:snapToGrid w:val="0"/>
              <w:spacing w:before="78" w:beforeLines="25" w:after="78" w:afterLines="2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标准值（mg/L）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2728" w:type="pct"/>
            <w:tcBorders>
              <w:top w:val="single" w:color="auto" w:sz="4" w:space="0"/>
              <w:left w:val="single" w:color="auto" w:sz="4" w:space="0"/>
              <w:bottom w:val="single" w:color="auto" w:sz="4" w:space="0"/>
              <w:right w:val="single" w:color="auto" w:sz="4" w:space="0"/>
            </w:tcBorders>
            <w:noWrap w:val="0"/>
            <w:vAlign w:val="center"/>
          </w:tcPr>
          <w:p>
            <w:pPr>
              <w:widowControl w:val="0"/>
              <w:wordWrap w:val="0"/>
              <w:adjustRightInd w:val="0"/>
              <w:snapToGrid w:val="0"/>
              <w:spacing w:before="78" w:beforeLines="25" w:after="78" w:afterLines="2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铁Iron</w:t>
            </w:r>
          </w:p>
        </w:tc>
        <w:tc>
          <w:tcPr>
            <w:tcW w:w="2272" w:type="pct"/>
            <w:tcBorders>
              <w:top w:val="single" w:color="auto" w:sz="4" w:space="0"/>
              <w:left w:val="single" w:color="auto" w:sz="4" w:space="0"/>
              <w:bottom w:val="single" w:color="auto" w:sz="4" w:space="0"/>
              <w:right w:val="single" w:color="auto" w:sz="4" w:space="0"/>
            </w:tcBorders>
            <w:noWrap w:val="0"/>
            <w:vAlign w:val="center"/>
          </w:tcPr>
          <w:p>
            <w:pPr>
              <w:widowControl w:val="0"/>
              <w:wordWrap w:val="0"/>
              <w:adjustRightInd w:val="0"/>
              <w:snapToGrid w:val="0"/>
              <w:spacing w:before="78" w:beforeLines="25" w:after="78" w:afterLines="2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≤0.30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2728" w:type="pct"/>
            <w:tcBorders>
              <w:top w:val="single" w:color="auto" w:sz="4" w:space="0"/>
              <w:left w:val="single" w:color="auto" w:sz="4" w:space="0"/>
              <w:bottom w:val="single" w:color="auto" w:sz="4" w:space="0"/>
              <w:right w:val="single" w:color="auto" w:sz="4" w:space="0"/>
            </w:tcBorders>
            <w:noWrap w:val="0"/>
            <w:vAlign w:val="center"/>
          </w:tcPr>
          <w:p>
            <w:pPr>
              <w:widowControl w:val="0"/>
              <w:wordWrap w:val="0"/>
              <w:adjustRightInd w:val="0"/>
              <w:snapToGrid w:val="0"/>
              <w:spacing w:before="78" w:beforeLines="25" w:after="78" w:afterLines="2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锰Manganse</w:t>
            </w:r>
          </w:p>
        </w:tc>
        <w:tc>
          <w:tcPr>
            <w:tcW w:w="2272" w:type="pct"/>
            <w:tcBorders>
              <w:top w:val="single" w:color="auto" w:sz="4" w:space="0"/>
              <w:left w:val="single" w:color="auto" w:sz="4" w:space="0"/>
              <w:bottom w:val="single" w:color="auto" w:sz="4" w:space="0"/>
              <w:right w:val="single" w:color="auto" w:sz="4" w:space="0"/>
            </w:tcBorders>
            <w:noWrap w:val="0"/>
            <w:vAlign w:val="center"/>
          </w:tcPr>
          <w:p>
            <w:pPr>
              <w:widowControl w:val="0"/>
              <w:wordWrap w:val="0"/>
              <w:adjustRightInd w:val="0"/>
              <w:snapToGrid w:val="0"/>
              <w:spacing w:before="78" w:beforeLines="25" w:after="78" w:afterLines="2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2728" w:type="pct"/>
            <w:tcBorders>
              <w:top w:val="single" w:color="auto" w:sz="4" w:space="0"/>
              <w:left w:val="single" w:color="auto" w:sz="4" w:space="0"/>
              <w:bottom w:val="single" w:color="auto" w:sz="4" w:space="0"/>
              <w:right w:val="single" w:color="auto" w:sz="4" w:space="0"/>
            </w:tcBorders>
            <w:noWrap w:val="0"/>
            <w:vAlign w:val="center"/>
          </w:tcPr>
          <w:p>
            <w:pPr>
              <w:widowControl w:val="0"/>
              <w:wordWrap w:val="0"/>
              <w:adjustRightInd w:val="0"/>
              <w:snapToGrid w:val="0"/>
              <w:spacing w:before="78" w:beforeLines="25" w:after="78" w:afterLines="2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铜Copper</w:t>
            </w:r>
          </w:p>
        </w:tc>
        <w:tc>
          <w:tcPr>
            <w:tcW w:w="2272" w:type="pct"/>
            <w:tcBorders>
              <w:top w:val="single" w:color="auto" w:sz="4" w:space="0"/>
              <w:left w:val="single" w:color="auto" w:sz="4" w:space="0"/>
              <w:bottom w:val="single" w:color="auto" w:sz="4" w:space="0"/>
              <w:right w:val="single" w:color="auto" w:sz="4" w:space="0"/>
            </w:tcBorders>
            <w:noWrap w:val="0"/>
            <w:vAlign w:val="center"/>
          </w:tcPr>
          <w:p>
            <w:pPr>
              <w:widowControl w:val="0"/>
              <w:wordWrap w:val="0"/>
              <w:adjustRightInd w:val="0"/>
              <w:snapToGrid w:val="0"/>
              <w:spacing w:before="78" w:beforeLines="25" w:after="78" w:afterLines="2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2728" w:type="pct"/>
            <w:tcBorders>
              <w:top w:val="single" w:color="auto" w:sz="4" w:space="0"/>
              <w:left w:val="single" w:color="auto" w:sz="4" w:space="0"/>
              <w:bottom w:val="single" w:color="auto" w:sz="4" w:space="0"/>
              <w:right w:val="single" w:color="auto" w:sz="4" w:space="0"/>
            </w:tcBorders>
            <w:noWrap w:val="0"/>
            <w:vAlign w:val="center"/>
          </w:tcPr>
          <w:p>
            <w:pPr>
              <w:widowControl w:val="0"/>
              <w:wordWrap w:val="0"/>
              <w:adjustRightInd w:val="0"/>
              <w:snapToGrid w:val="0"/>
              <w:spacing w:before="78" w:beforeLines="25" w:after="78" w:afterLines="2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锌Zine</w:t>
            </w:r>
          </w:p>
        </w:tc>
        <w:tc>
          <w:tcPr>
            <w:tcW w:w="2272" w:type="pct"/>
            <w:tcBorders>
              <w:top w:val="single" w:color="auto" w:sz="4" w:space="0"/>
              <w:left w:val="single" w:color="auto" w:sz="4" w:space="0"/>
              <w:bottom w:val="single" w:color="auto" w:sz="4" w:space="0"/>
              <w:right w:val="single" w:color="auto" w:sz="4" w:space="0"/>
            </w:tcBorders>
            <w:noWrap w:val="0"/>
            <w:vAlign w:val="center"/>
          </w:tcPr>
          <w:p>
            <w:pPr>
              <w:widowControl w:val="0"/>
              <w:wordWrap w:val="0"/>
              <w:adjustRightInd w:val="0"/>
              <w:snapToGrid w:val="0"/>
              <w:spacing w:before="78" w:beforeLines="25" w:after="78" w:afterLines="2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2728" w:type="pct"/>
            <w:tcBorders>
              <w:top w:val="single" w:color="auto" w:sz="4" w:space="0"/>
              <w:left w:val="single" w:color="auto" w:sz="4" w:space="0"/>
              <w:bottom w:val="single" w:color="auto" w:sz="4" w:space="0"/>
              <w:right w:val="single" w:color="auto" w:sz="4" w:space="0"/>
            </w:tcBorders>
            <w:noWrap w:val="0"/>
            <w:vAlign w:val="center"/>
          </w:tcPr>
          <w:p>
            <w:pPr>
              <w:widowControl w:val="0"/>
              <w:wordWrap w:val="0"/>
              <w:adjustRightInd w:val="0"/>
              <w:snapToGrid w:val="0"/>
              <w:spacing w:before="78" w:beforeLines="25" w:after="78" w:afterLines="2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阴离子成分洗涤剂</w:t>
            </w:r>
          </w:p>
          <w:p>
            <w:pPr>
              <w:widowControl w:val="0"/>
              <w:wordWrap w:val="0"/>
              <w:adjustRightInd w:val="0"/>
              <w:snapToGrid w:val="0"/>
              <w:spacing w:before="78" w:beforeLines="25" w:after="78" w:afterLines="2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Foamig Agents Foamig Agents</w:t>
            </w:r>
          </w:p>
        </w:tc>
        <w:tc>
          <w:tcPr>
            <w:tcW w:w="2272" w:type="pct"/>
            <w:tcBorders>
              <w:top w:val="single" w:color="auto" w:sz="4" w:space="0"/>
              <w:left w:val="single" w:color="auto" w:sz="4" w:space="0"/>
              <w:bottom w:val="single" w:color="auto" w:sz="4" w:space="0"/>
              <w:right w:val="single" w:color="auto" w:sz="4" w:space="0"/>
            </w:tcBorders>
            <w:noWrap w:val="0"/>
            <w:vAlign w:val="center"/>
          </w:tcPr>
          <w:p>
            <w:pPr>
              <w:widowControl w:val="0"/>
              <w:wordWrap w:val="0"/>
              <w:adjustRightInd w:val="0"/>
              <w:snapToGrid w:val="0"/>
              <w:spacing w:before="78" w:beforeLines="25" w:after="78" w:afterLines="2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2728" w:type="pct"/>
            <w:tcBorders>
              <w:top w:val="single" w:color="auto" w:sz="4" w:space="0"/>
              <w:left w:val="single" w:color="auto" w:sz="4" w:space="0"/>
              <w:bottom w:val="single" w:color="auto" w:sz="4" w:space="0"/>
              <w:right w:val="single" w:color="auto" w:sz="4" w:space="0"/>
            </w:tcBorders>
            <w:noWrap w:val="0"/>
            <w:vAlign w:val="center"/>
          </w:tcPr>
          <w:p>
            <w:pPr>
              <w:widowControl w:val="0"/>
              <w:wordWrap w:val="0"/>
              <w:adjustRightInd w:val="0"/>
              <w:snapToGrid w:val="0"/>
              <w:spacing w:before="78" w:beforeLines="25" w:after="78" w:afterLines="2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氟化物Fluoride</w:t>
            </w:r>
          </w:p>
        </w:tc>
        <w:tc>
          <w:tcPr>
            <w:tcW w:w="2272" w:type="pct"/>
            <w:tcBorders>
              <w:top w:val="single" w:color="auto" w:sz="4" w:space="0"/>
              <w:left w:val="single" w:color="auto" w:sz="4" w:space="0"/>
              <w:bottom w:val="single" w:color="auto" w:sz="4" w:space="0"/>
              <w:right w:val="single" w:color="auto" w:sz="4" w:space="0"/>
            </w:tcBorders>
            <w:noWrap w:val="0"/>
            <w:vAlign w:val="center"/>
          </w:tcPr>
          <w:p>
            <w:pPr>
              <w:widowControl w:val="0"/>
              <w:wordWrap w:val="0"/>
              <w:adjustRightInd w:val="0"/>
              <w:snapToGrid w:val="0"/>
              <w:spacing w:before="78" w:beforeLines="25" w:after="78" w:afterLines="2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2728" w:type="pct"/>
            <w:tcBorders>
              <w:top w:val="single" w:color="auto" w:sz="4" w:space="0"/>
              <w:left w:val="single" w:color="auto" w:sz="4" w:space="0"/>
              <w:bottom w:val="single" w:color="auto" w:sz="4" w:space="0"/>
              <w:right w:val="single" w:color="auto" w:sz="4" w:space="0"/>
            </w:tcBorders>
            <w:noWrap w:val="0"/>
            <w:vAlign w:val="center"/>
          </w:tcPr>
          <w:p>
            <w:pPr>
              <w:widowControl w:val="0"/>
              <w:wordWrap w:val="0"/>
              <w:adjustRightInd w:val="0"/>
              <w:snapToGrid w:val="0"/>
              <w:spacing w:before="78" w:beforeLines="25" w:after="78" w:afterLines="2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砷Arsenie</w:t>
            </w:r>
          </w:p>
        </w:tc>
        <w:tc>
          <w:tcPr>
            <w:tcW w:w="2272" w:type="pct"/>
            <w:tcBorders>
              <w:top w:val="single" w:color="auto" w:sz="4" w:space="0"/>
              <w:left w:val="single" w:color="auto" w:sz="4" w:space="0"/>
              <w:bottom w:val="single" w:color="auto" w:sz="4" w:space="0"/>
              <w:right w:val="single" w:color="auto" w:sz="4" w:space="0"/>
            </w:tcBorders>
            <w:noWrap w:val="0"/>
            <w:vAlign w:val="center"/>
          </w:tcPr>
          <w:p>
            <w:pPr>
              <w:widowControl w:val="0"/>
              <w:wordWrap w:val="0"/>
              <w:adjustRightInd w:val="0"/>
              <w:snapToGrid w:val="0"/>
              <w:spacing w:before="78" w:beforeLines="25" w:after="78" w:afterLines="2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≤0.04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2728" w:type="pct"/>
            <w:tcBorders>
              <w:top w:val="single" w:color="auto" w:sz="4" w:space="0"/>
              <w:left w:val="single" w:color="auto" w:sz="4" w:space="0"/>
              <w:bottom w:val="single" w:color="auto" w:sz="4" w:space="0"/>
              <w:right w:val="single" w:color="auto" w:sz="4" w:space="0"/>
            </w:tcBorders>
            <w:noWrap w:val="0"/>
            <w:vAlign w:val="center"/>
          </w:tcPr>
          <w:p>
            <w:pPr>
              <w:widowControl w:val="0"/>
              <w:wordWrap w:val="0"/>
              <w:adjustRightInd w:val="0"/>
              <w:snapToGrid w:val="0"/>
              <w:spacing w:before="78" w:beforeLines="25" w:after="78" w:afterLines="2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硒Selenium</w:t>
            </w:r>
          </w:p>
        </w:tc>
        <w:tc>
          <w:tcPr>
            <w:tcW w:w="2272" w:type="pct"/>
            <w:tcBorders>
              <w:top w:val="single" w:color="auto" w:sz="4" w:space="0"/>
              <w:left w:val="single" w:color="auto" w:sz="4" w:space="0"/>
              <w:bottom w:val="single" w:color="auto" w:sz="4" w:space="0"/>
              <w:right w:val="single" w:color="auto" w:sz="4" w:space="0"/>
            </w:tcBorders>
            <w:noWrap w:val="0"/>
            <w:vAlign w:val="center"/>
          </w:tcPr>
          <w:p>
            <w:pPr>
              <w:widowControl w:val="0"/>
              <w:wordWrap w:val="0"/>
              <w:adjustRightInd w:val="0"/>
              <w:snapToGrid w:val="0"/>
              <w:spacing w:before="78" w:beforeLines="25" w:after="78" w:afterLines="2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2728" w:type="pct"/>
            <w:tcBorders>
              <w:top w:val="single" w:color="auto" w:sz="4" w:space="0"/>
              <w:left w:val="single" w:color="auto" w:sz="4" w:space="0"/>
              <w:bottom w:val="single" w:color="auto" w:sz="4" w:space="0"/>
              <w:right w:val="single" w:color="auto" w:sz="4" w:space="0"/>
            </w:tcBorders>
            <w:noWrap w:val="0"/>
            <w:vAlign w:val="center"/>
          </w:tcPr>
          <w:p>
            <w:pPr>
              <w:widowControl w:val="0"/>
              <w:wordWrap w:val="0"/>
              <w:adjustRightInd w:val="0"/>
              <w:snapToGrid w:val="0"/>
              <w:spacing w:before="78" w:beforeLines="25" w:after="78" w:afterLines="2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汞Mercury</w:t>
            </w:r>
          </w:p>
        </w:tc>
        <w:tc>
          <w:tcPr>
            <w:tcW w:w="2272" w:type="pct"/>
            <w:tcBorders>
              <w:top w:val="single" w:color="auto" w:sz="4" w:space="0"/>
              <w:left w:val="single" w:color="auto" w:sz="4" w:space="0"/>
              <w:bottom w:val="single" w:color="auto" w:sz="4" w:space="0"/>
              <w:right w:val="single" w:color="auto" w:sz="4" w:space="0"/>
            </w:tcBorders>
            <w:noWrap w:val="0"/>
            <w:vAlign w:val="center"/>
          </w:tcPr>
          <w:p>
            <w:pPr>
              <w:widowControl w:val="0"/>
              <w:wordWrap w:val="0"/>
              <w:adjustRightInd w:val="0"/>
              <w:snapToGrid w:val="0"/>
              <w:spacing w:before="78" w:beforeLines="25" w:after="78" w:afterLines="2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≤0.002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2728" w:type="pct"/>
            <w:tcBorders>
              <w:top w:val="single" w:color="auto" w:sz="4" w:space="0"/>
              <w:left w:val="single" w:color="auto" w:sz="4" w:space="0"/>
              <w:bottom w:val="single" w:color="auto" w:sz="4" w:space="0"/>
              <w:right w:val="single" w:color="auto" w:sz="4" w:space="0"/>
            </w:tcBorders>
            <w:noWrap w:val="0"/>
            <w:vAlign w:val="center"/>
          </w:tcPr>
          <w:p>
            <w:pPr>
              <w:widowControl w:val="0"/>
              <w:wordWrap w:val="0"/>
              <w:adjustRightInd w:val="0"/>
              <w:snapToGrid w:val="0"/>
              <w:spacing w:before="78" w:beforeLines="25" w:after="78" w:afterLines="2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铬Chromium</w:t>
            </w:r>
          </w:p>
        </w:tc>
        <w:tc>
          <w:tcPr>
            <w:tcW w:w="2272" w:type="pct"/>
            <w:tcBorders>
              <w:top w:val="single" w:color="auto" w:sz="4" w:space="0"/>
              <w:left w:val="single" w:color="auto" w:sz="4" w:space="0"/>
              <w:bottom w:val="single" w:color="auto" w:sz="4" w:space="0"/>
              <w:right w:val="single" w:color="auto" w:sz="4" w:space="0"/>
            </w:tcBorders>
            <w:noWrap w:val="0"/>
            <w:vAlign w:val="center"/>
          </w:tcPr>
          <w:p>
            <w:pPr>
              <w:widowControl w:val="0"/>
              <w:wordWrap w:val="0"/>
              <w:adjustRightInd w:val="0"/>
              <w:snapToGrid w:val="0"/>
              <w:spacing w:before="78" w:beforeLines="25" w:after="78" w:afterLines="2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≤0.005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2728" w:type="pct"/>
            <w:tcBorders>
              <w:top w:val="single" w:color="auto" w:sz="4" w:space="0"/>
              <w:left w:val="single" w:color="auto" w:sz="4" w:space="0"/>
              <w:bottom w:val="single" w:color="auto" w:sz="4" w:space="0"/>
              <w:right w:val="single" w:color="auto" w:sz="4" w:space="0"/>
            </w:tcBorders>
            <w:noWrap w:val="0"/>
            <w:vAlign w:val="center"/>
          </w:tcPr>
          <w:p>
            <w:pPr>
              <w:widowControl w:val="0"/>
              <w:wordWrap w:val="0"/>
              <w:adjustRightInd w:val="0"/>
              <w:snapToGrid w:val="0"/>
              <w:spacing w:before="78" w:beforeLines="25" w:after="78" w:afterLines="2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镉Cadmium</w:t>
            </w:r>
          </w:p>
        </w:tc>
        <w:tc>
          <w:tcPr>
            <w:tcW w:w="2272" w:type="pct"/>
            <w:tcBorders>
              <w:top w:val="single" w:color="auto" w:sz="4" w:space="0"/>
              <w:left w:val="single" w:color="auto" w:sz="4" w:space="0"/>
              <w:bottom w:val="single" w:color="auto" w:sz="4" w:space="0"/>
              <w:right w:val="single" w:color="auto" w:sz="4" w:space="0"/>
            </w:tcBorders>
            <w:noWrap w:val="0"/>
            <w:vAlign w:val="center"/>
          </w:tcPr>
          <w:p>
            <w:pPr>
              <w:widowControl w:val="0"/>
              <w:wordWrap w:val="0"/>
              <w:adjustRightInd w:val="0"/>
              <w:snapToGrid w:val="0"/>
              <w:spacing w:before="78" w:beforeLines="25" w:after="78" w:afterLines="2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2728" w:type="pct"/>
            <w:tcBorders>
              <w:top w:val="single" w:color="auto" w:sz="4" w:space="0"/>
              <w:left w:val="single" w:color="auto" w:sz="4" w:space="0"/>
              <w:bottom w:val="single" w:color="auto" w:sz="4" w:space="0"/>
              <w:right w:val="single" w:color="auto" w:sz="4" w:space="0"/>
            </w:tcBorders>
            <w:noWrap w:val="0"/>
            <w:vAlign w:val="center"/>
          </w:tcPr>
          <w:p>
            <w:pPr>
              <w:widowControl w:val="0"/>
              <w:wordWrap w:val="0"/>
              <w:adjustRightInd w:val="0"/>
              <w:snapToGrid w:val="0"/>
              <w:spacing w:before="78" w:beforeLines="25" w:after="78" w:afterLines="2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铅Lead</w:t>
            </w:r>
          </w:p>
        </w:tc>
        <w:tc>
          <w:tcPr>
            <w:tcW w:w="2272" w:type="pct"/>
            <w:tcBorders>
              <w:top w:val="single" w:color="auto" w:sz="4" w:space="0"/>
              <w:left w:val="single" w:color="auto" w:sz="4" w:space="0"/>
              <w:bottom w:val="single" w:color="auto" w:sz="4" w:space="0"/>
              <w:right w:val="single" w:color="auto" w:sz="4" w:space="0"/>
            </w:tcBorders>
            <w:noWrap w:val="0"/>
            <w:vAlign w:val="center"/>
          </w:tcPr>
          <w:p>
            <w:pPr>
              <w:widowControl w:val="0"/>
              <w:wordWrap w:val="0"/>
              <w:adjustRightInd w:val="0"/>
              <w:snapToGrid w:val="0"/>
              <w:spacing w:before="78" w:beforeLines="25" w:after="78" w:afterLines="2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2728" w:type="pct"/>
            <w:tcBorders>
              <w:top w:val="single" w:color="auto" w:sz="4" w:space="0"/>
              <w:left w:val="single" w:color="auto" w:sz="4" w:space="0"/>
              <w:bottom w:val="single" w:color="auto" w:sz="4" w:space="0"/>
              <w:right w:val="single" w:color="auto" w:sz="4" w:space="0"/>
            </w:tcBorders>
            <w:noWrap w:val="0"/>
            <w:vAlign w:val="center"/>
          </w:tcPr>
          <w:p>
            <w:pPr>
              <w:widowControl w:val="0"/>
              <w:wordWrap w:val="0"/>
              <w:adjustRightInd w:val="0"/>
              <w:snapToGrid w:val="0"/>
              <w:spacing w:before="78" w:beforeLines="25" w:after="78" w:afterLines="2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细菌Bacteria Count</w:t>
            </w:r>
          </w:p>
        </w:tc>
        <w:tc>
          <w:tcPr>
            <w:tcW w:w="2272" w:type="pct"/>
            <w:tcBorders>
              <w:top w:val="single" w:color="auto" w:sz="4" w:space="0"/>
              <w:left w:val="single" w:color="auto" w:sz="4" w:space="0"/>
              <w:bottom w:val="single" w:color="auto" w:sz="4" w:space="0"/>
              <w:right w:val="single" w:color="auto" w:sz="4" w:space="0"/>
            </w:tcBorders>
            <w:noWrap w:val="0"/>
            <w:vAlign w:val="center"/>
          </w:tcPr>
          <w:p>
            <w:pPr>
              <w:widowControl w:val="0"/>
              <w:wordWrap w:val="0"/>
              <w:adjustRightInd w:val="0"/>
              <w:snapToGrid w:val="0"/>
              <w:spacing w:before="78" w:beforeLines="25" w:after="78" w:afterLines="2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≤20cfu/mL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2728" w:type="pct"/>
            <w:tcBorders>
              <w:top w:val="single" w:color="auto" w:sz="4" w:space="0"/>
              <w:left w:val="single" w:color="auto" w:sz="4" w:space="0"/>
              <w:bottom w:val="single" w:color="auto" w:sz="4" w:space="0"/>
              <w:right w:val="single" w:color="auto" w:sz="4" w:space="0"/>
            </w:tcBorders>
            <w:noWrap w:val="0"/>
            <w:vAlign w:val="center"/>
          </w:tcPr>
          <w:p>
            <w:pPr>
              <w:widowControl w:val="0"/>
              <w:wordWrap w:val="0"/>
              <w:adjustRightInd w:val="0"/>
              <w:snapToGrid w:val="0"/>
              <w:spacing w:before="78" w:beforeLines="25" w:after="78" w:afterLines="2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总固体含量</w:t>
            </w:r>
          </w:p>
          <w:p>
            <w:pPr>
              <w:widowControl w:val="0"/>
              <w:wordWrap w:val="0"/>
              <w:adjustRightInd w:val="0"/>
              <w:snapToGrid w:val="0"/>
              <w:spacing w:before="78" w:beforeLines="25" w:after="78" w:afterLines="2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Total Dissolved</w:t>
            </w:r>
          </w:p>
        </w:tc>
        <w:tc>
          <w:tcPr>
            <w:tcW w:w="2272" w:type="pct"/>
            <w:tcBorders>
              <w:top w:val="single" w:color="auto" w:sz="4" w:space="0"/>
              <w:left w:val="single" w:color="auto" w:sz="4" w:space="0"/>
              <w:bottom w:val="single" w:color="auto" w:sz="4" w:space="0"/>
              <w:right w:val="single" w:color="auto" w:sz="4" w:space="0"/>
            </w:tcBorders>
            <w:noWrap w:val="0"/>
            <w:vAlign w:val="center"/>
          </w:tcPr>
          <w:p>
            <w:pPr>
              <w:widowControl w:val="0"/>
              <w:wordWrap w:val="0"/>
              <w:adjustRightInd w:val="0"/>
              <w:snapToGrid w:val="0"/>
              <w:spacing w:before="78" w:beforeLines="25" w:after="78" w:afterLines="25"/>
              <w:jc w:val="center"/>
              <w:textAlignment w:val="center"/>
              <w:rPr>
                <w:rFonts w:ascii="Times New Roman" w:hAnsi="Times New Roman" w:eastAsia="宋体" w:cs="Times New Roman"/>
                <w:snapToGrid w:val="0"/>
                <w:kern w:val="0"/>
                <w:sz w:val="22"/>
                <w:szCs w:val="22"/>
                <w:highlight w:val="none"/>
                <w:lang w:val="en-US" w:eastAsia="zh-CN" w:bidi="ar-SA"/>
              </w:rPr>
            </w:pPr>
            <w:r>
              <w:rPr>
                <w:rFonts w:hint="eastAsia" w:ascii="Times New Roman" w:hAnsi="Times New Roman" w:eastAsia="宋体" w:cs="Times New Roman"/>
                <w:snapToGrid w:val="0"/>
                <w:kern w:val="0"/>
                <w:sz w:val="22"/>
                <w:szCs w:val="22"/>
                <w:highlight w:val="none"/>
                <w:lang w:val="en-US" w:eastAsia="zh-CN" w:bidi="ar-SA"/>
              </w:rPr>
              <w:t>≤500</w:t>
            </w:r>
          </w:p>
        </w:tc>
      </w:tr>
    </w:tbl>
    <w:p>
      <w:pPr>
        <w:widowControl/>
        <w:spacing w:before="312" w:after="312"/>
        <w:ind w:firstLine="420"/>
        <w:rPr>
          <w:rFonts w:ascii="Times New Roman" w:hAnsi="Times New Roman" w:eastAsia="宋体" w:cs="Times New Roman"/>
          <w:kern w:val="2"/>
          <w:sz w:val="21"/>
          <w:szCs w:val="18"/>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注：国内无冲洗用水标准，本项目参考美国标准。</w:t>
      </w:r>
      <w:r>
        <w:rPr>
          <w:rFonts w:ascii="Times New Roman" w:hAnsi="Times New Roman" w:eastAsia="宋体" w:cs="Times New Roman"/>
          <w:kern w:val="2"/>
          <w:sz w:val="21"/>
          <w:szCs w:val="22"/>
          <w:highlight w:val="none"/>
          <w:lang w:val="en-US" w:eastAsia="zh-CN" w:bidi="ar-SA"/>
        </w:rPr>
        <w:br w:type="page"/>
      </w:r>
    </w:p>
    <w:p>
      <w:pPr>
        <w:widowControl w:val="0"/>
        <w:numPr>
          <w:ilvl w:val="0"/>
          <w:numId w:val="3"/>
        </w:numPr>
        <w:wordWrap w:val="0"/>
        <w:adjustRightInd w:val="0"/>
        <w:snapToGrid w:val="0"/>
        <w:jc w:val="left"/>
        <w:outlineLvl w:val="2"/>
        <w:rPr>
          <w:rFonts w:ascii="Times New Roman" w:hAnsi="Times New Roman" w:eastAsia="宋体" w:cs="Times New Roman"/>
          <w:b/>
          <w:snapToGrid w:val="0"/>
          <w:kern w:val="2"/>
          <w:sz w:val="24"/>
          <w:szCs w:val="18"/>
          <w:highlight w:val="none"/>
          <w:lang w:val="en-US" w:eastAsia="zh-CN" w:bidi="ar-SA"/>
        </w:rPr>
      </w:pPr>
      <w:r>
        <w:rPr>
          <w:rFonts w:hint="eastAsia" w:ascii="Times New Roman" w:hAnsi="Times New Roman" w:eastAsia="宋体" w:cs="Times New Roman"/>
          <w:b/>
          <w:snapToGrid w:val="0"/>
          <w:kern w:val="2"/>
          <w:sz w:val="24"/>
          <w:szCs w:val="18"/>
          <w:highlight w:val="none"/>
          <w:lang w:val="en-US" w:eastAsia="zh-CN" w:bidi="ar-SA"/>
        </w:rPr>
        <w:t>饮用纯水标准(饮用净水水质标准CJ94-2005)</w:t>
      </w:r>
    </w:p>
    <w:tbl>
      <w:tblPr>
        <w:tblStyle w:val="32"/>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39"/>
        <w:gridCol w:w="4073"/>
        <w:gridCol w:w="39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2948" w:type="pct"/>
            <w:gridSpan w:val="2"/>
            <w:shd w:val="clear" w:color="auto" w:fill="92D050"/>
            <w:noWrap w:val="0"/>
            <w:vAlign w:val="center"/>
          </w:tcPr>
          <w:p>
            <w:pPr>
              <w:widowControl/>
              <w:ind w:firstLine="440"/>
              <w:jc w:val="center"/>
              <w:rPr>
                <w:rFonts w:ascii="Times New Roman" w:hAnsi="Times New Roman" w:eastAsia="宋体" w:cs="宋体"/>
                <w:kern w:val="2"/>
                <w:sz w:val="22"/>
                <w:szCs w:val="22"/>
                <w:highlight w:val="none"/>
                <w:lang w:val="en-US" w:eastAsia="zh-CN" w:bidi="ar-SA"/>
              </w:rPr>
            </w:pPr>
            <w:r>
              <w:rPr>
                <w:rFonts w:hint="eastAsia" w:ascii="Times New Roman" w:hAnsi="宋体" w:eastAsia="宋体" w:cs="宋体"/>
                <w:kern w:val="2"/>
                <w:sz w:val="22"/>
                <w:szCs w:val="22"/>
                <w:highlight w:val="none"/>
                <w:lang w:val="en-US" w:eastAsia="zh-CN" w:bidi="ar-SA"/>
              </w:rPr>
              <w:t>项目</w:t>
            </w:r>
          </w:p>
        </w:tc>
        <w:tc>
          <w:tcPr>
            <w:tcW w:w="2052" w:type="pct"/>
            <w:shd w:val="clear" w:color="auto" w:fill="92D050"/>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宋体" w:eastAsia="宋体" w:cs="宋体"/>
                <w:kern w:val="2"/>
                <w:sz w:val="22"/>
                <w:szCs w:val="22"/>
                <w:highlight w:val="none"/>
                <w:lang w:val="en-US" w:eastAsia="zh-CN" w:bidi="ar-SA"/>
              </w:rPr>
              <w:t>限值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846" w:type="pct"/>
            <w:vMerge w:val="restar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宋体" w:eastAsia="宋体" w:cs="宋体"/>
                <w:kern w:val="2"/>
                <w:sz w:val="22"/>
                <w:szCs w:val="22"/>
                <w:highlight w:val="none"/>
                <w:lang w:val="en-US" w:eastAsia="zh-CN" w:bidi="ar-SA"/>
              </w:rPr>
              <w:t>感官性状</w:t>
            </w:r>
          </w:p>
        </w:tc>
        <w:tc>
          <w:tcPr>
            <w:tcW w:w="2103"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宋体" w:eastAsia="宋体" w:cs="宋体"/>
                <w:kern w:val="2"/>
                <w:sz w:val="22"/>
                <w:szCs w:val="22"/>
                <w:highlight w:val="none"/>
                <w:lang w:val="en-US" w:eastAsia="zh-CN" w:bidi="ar-SA"/>
              </w:rPr>
              <w:t>色</w:t>
            </w:r>
          </w:p>
        </w:tc>
        <w:tc>
          <w:tcPr>
            <w:tcW w:w="2052"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Times New Roman" w:eastAsia="宋体" w:cs="宋体"/>
                <w:kern w:val="2"/>
                <w:sz w:val="22"/>
                <w:szCs w:val="22"/>
                <w:highlight w:val="none"/>
                <w:lang w:val="en-US" w:eastAsia="zh-CN" w:bidi="ar-SA"/>
              </w:rPr>
              <w:t>5</w:t>
            </w:r>
            <w:r>
              <w:rPr>
                <w:rFonts w:hint="eastAsia" w:ascii="Times New Roman" w:hAnsi="宋体" w:eastAsia="宋体" w:cs="宋体"/>
                <w:kern w:val="2"/>
                <w:sz w:val="22"/>
                <w:szCs w:val="22"/>
                <w:highlight w:val="none"/>
                <w:lang w:val="en-US" w:eastAsia="zh-CN" w:bidi="ar-SA"/>
              </w:rPr>
              <w:t>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846" w:type="pct"/>
            <w:vMerge w:val="continue"/>
            <w:noWrap w:val="0"/>
            <w:vAlign w:val="center"/>
          </w:tcPr>
          <w:p>
            <w:pPr>
              <w:widowControl/>
              <w:rPr>
                <w:rFonts w:ascii="Times New Roman" w:hAnsi="Times New Roman" w:eastAsia="宋体" w:cs="宋体"/>
                <w:kern w:val="2"/>
                <w:sz w:val="22"/>
                <w:szCs w:val="22"/>
                <w:highlight w:val="none"/>
                <w:lang w:val="en-US" w:eastAsia="zh-CN" w:bidi="ar-SA"/>
              </w:rPr>
            </w:pPr>
          </w:p>
        </w:tc>
        <w:tc>
          <w:tcPr>
            <w:tcW w:w="2103"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宋体" w:eastAsia="宋体" w:cs="宋体"/>
                <w:kern w:val="2"/>
                <w:sz w:val="22"/>
                <w:szCs w:val="22"/>
                <w:highlight w:val="none"/>
                <w:lang w:val="en-US" w:eastAsia="zh-CN" w:bidi="ar-SA"/>
              </w:rPr>
              <w:t>浑浊度</w:t>
            </w:r>
          </w:p>
        </w:tc>
        <w:tc>
          <w:tcPr>
            <w:tcW w:w="2052"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Times New Roman" w:eastAsia="宋体" w:cs="宋体"/>
                <w:kern w:val="2"/>
                <w:sz w:val="22"/>
                <w:szCs w:val="22"/>
                <w:highlight w:val="none"/>
                <w:lang w:val="en-US" w:eastAsia="zh-CN" w:bidi="ar-SA"/>
              </w:rPr>
              <w:t>0.5NTU</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846" w:type="pct"/>
            <w:vMerge w:val="continue"/>
            <w:noWrap w:val="0"/>
            <w:vAlign w:val="center"/>
          </w:tcPr>
          <w:p>
            <w:pPr>
              <w:widowControl/>
              <w:rPr>
                <w:rFonts w:ascii="Times New Roman" w:hAnsi="Times New Roman" w:eastAsia="宋体" w:cs="宋体"/>
                <w:kern w:val="2"/>
                <w:sz w:val="22"/>
                <w:szCs w:val="22"/>
                <w:highlight w:val="none"/>
                <w:lang w:val="en-US" w:eastAsia="zh-CN" w:bidi="ar-SA"/>
              </w:rPr>
            </w:pPr>
          </w:p>
        </w:tc>
        <w:tc>
          <w:tcPr>
            <w:tcW w:w="2103"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宋体" w:eastAsia="宋体" w:cs="宋体"/>
                <w:kern w:val="2"/>
                <w:sz w:val="22"/>
                <w:szCs w:val="22"/>
                <w:highlight w:val="none"/>
                <w:lang w:val="en-US" w:eastAsia="zh-CN" w:bidi="ar-SA"/>
              </w:rPr>
              <w:t>臭和味</w:t>
            </w:r>
          </w:p>
        </w:tc>
        <w:tc>
          <w:tcPr>
            <w:tcW w:w="2052"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宋体" w:eastAsia="宋体" w:cs="宋体"/>
                <w:kern w:val="2"/>
                <w:sz w:val="22"/>
                <w:szCs w:val="22"/>
                <w:highlight w:val="none"/>
                <w:lang w:val="en-US" w:eastAsia="zh-CN" w:bidi="ar-SA"/>
              </w:rPr>
              <w:t>无异臭异味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846" w:type="pct"/>
            <w:vMerge w:val="continue"/>
            <w:noWrap w:val="0"/>
            <w:vAlign w:val="center"/>
          </w:tcPr>
          <w:p>
            <w:pPr>
              <w:widowControl/>
              <w:rPr>
                <w:rFonts w:ascii="Times New Roman" w:hAnsi="Times New Roman" w:eastAsia="宋体" w:cs="宋体"/>
                <w:kern w:val="2"/>
                <w:sz w:val="22"/>
                <w:szCs w:val="22"/>
                <w:highlight w:val="none"/>
                <w:lang w:val="en-US" w:eastAsia="zh-CN" w:bidi="ar-SA"/>
              </w:rPr>
            </w:pPr>
          </w:p>
        </w:tc>
        <w:tc>
          <w:tcPr>
            <w:tcW w:w="2103"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宋体" w:eastAsia="宋体" w:cs="宋体"/>
                <w:kern w:val="2"/>
                <w:sz w:val="22"/>
                <w:szCs w:val="22"/>
                <w:highlight w:val="none"/>
                <w:lang w:val="en-US" w:eastAsia="zh-CN" w:bidi="ar-SA"/>
              </w:rPr>
              <w:t>肉眼可见物</w:t>
            </w:r>
          </w:p>
        </w:tc>
        <w:tc>
          <w:tcPr>
            <w:tcW w:w="2052"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宋体" w:eastAsia="宋体" w:cs="宋体"/>
                <w:kern w:val="2"/>
                <w:sz w:val="22"/>
                <w:szCs w:val="22"/>
                <w:highlight w:val="none"/>
                <w:lang w:val="en-US" w:eastAsia="zh-CN" w:bidi="ar-SA"/>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846" w:type="pct"/>
            <w:vMerge w:val="restar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宋体" w:eastAsia="宋体" w:cs="宋体"/>
                <w:kern w:val="2"/>
                <w:sz w:val="22"/>
                <w:szCs w:val="22"/>
                <w:highlight w:val="none"/>
                <w:lang w:val="en-US" w:eastAsia="zh-CN" w:bidi="ar-SA"/>
              </w:rPr>
              <w:t>一般化学指标</w:t>
            </w:r>
          </w:p>
        </w:tc>
        <w:tc>
          <w:tcPr>
            <w:tcW w:w="2103"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Times New Roman" w:eastAsia="宋体" w:cs="宋体"/>
                <w:kern w:val="2"/>
                <w:sz w:val="22"/>
                <w:szCs w:val="22"/>
                <w:highlight w:val="none"/>
                <w:lang w:val="en-US" w:eastAsia="zh-CN" w:bidi="ar-SA"/>
              </w:rPr>
              <w:t>PH</w:t>
            </w:r>
          </w:p>
        </w:tc>
        <w:tc>
          <w:tcPr>
            <w:tcW w:w="2052"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Times New Roman" w:eastAsia="宋体" w:cs="宋体"/>
                <w:kern w:val="2"/>
                <w:sz w:val="22"/>
                <w:szCs w:val="22"/>
                <w:highlight w:val="none"/>
                <w:lang w:val="en-US" w:eastAsia="zh-CN" w:bidi="ar-SA"/>
              </w:rPr>
              <w:t>6.0-8.5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846" w:type="pct"/>
            <w:vMerge w:val="continue"/>
            <w:noWrap w:val="0"/>
            <w:vAlign w:val="center"/>
          </w:tcPr>
          <w:p>
            <w:pPr>
              <w:widowControl/>
              <w:rPr>
                <w:rFonts w:ascii="Times New Roman" w:hAnsi="Times New Roman" w:eastAsia="宋体" w:cs="宋体"/>
                <w:kern w:val="2"/>
                <w:sz w:val="22"/>
                <w:szCs w:val="22"/>
                <w:highlight w:val="none"/>
                <w:lang w:val="en-US" w:eastAsia="zh-CN" w:bidi="ar-SA"/>
              </w:rPr>
            </w:pPr>
          </w:p>
        </w:tc>
        <w:tc>
          <w:tcPr>
            <w:tcW w:w="2103"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宋体" w:eastAsia="宋体" w:cs="宋体"/>
                <w:kern w:val="2"/>
                <w:sz w:val="22"/>
                <w:szCs w:val="22"/>
                <w:highlight w:val="none"/>
                <w:lang w:val="en-US" w:eastAsia="zh-CN" w:bidi="ar-SA"/>
              </w:rPr>
              <w:t>总硬度（以</w:t>
            </w:r>
            <w:r>
              <w:rPr>
                <w:rFonts w:hint="eastAsia" w:ascii="Times New Roman" w:hAnsi="Times New Roman" w:eastAsia="宋体" w:cs="宋体"/>
                <w:kern w:val="2"/>
                <w:sz w:val="22"/>
                <w:szCs w:val="22"/>
                <w:highlight w:val="none"/>
                <w:lang w:val="en-US" w:eastAsia="zh-CN" w:bidi="ar-SA"/>
              </w:rPr>
              <w:t>CaCO</w:t>
            </w:r>
            <w:r>
              <w:rPr>
                <w:rFonts w:hint="eastAsia" w:ascii="Times New Roman" w:hAnsi="Times New Roman" w:eastAsia="宋体" w:cs="宋体"/>
                <w:kern w:val="2"/>
                <w:sz w:val="22"/>
                <w:szCs w:val="22"/>
                <w:highlight w:val="none"/>
                <w:vertAlign w:val="subscript"/>
                <w:lang w:val="en-US" w:eastAsia="zh-CN" w:bidi="ar-SA"/>
              </w:rPr>
              <w:t>3</w:t>
            </w:r>
            <w:r>
              <w:rPr>
                <w:rFonts w:hint="eastAsia" w:ascii="Times New Roman" w:hAnsi="宋体" w:eastAsia="宋体" w:cs="宋体"/>
                <w:kern w:val="2"/>
                <w:sz w:val="22"/>
                <w:szCs w:val="22"/>
                <w:highlight w:val="none"/>
                <w:lang w:val="en-US" w:eastAsia="zh-CN" w:bidi="ar-SA"/>
              </w:rPr>
              <w:t>计）</w:t>
            </w:r>
          </w:p>
        </w:tc>
        <w:tc>
          <w:tcPr>
            <w:tcW w:w="2052"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Times New Roman" w:eastAsia="宋体" w:cs="宋体"/>
                <w:kern w:val="2"/>
                <w:sz w:val="22"/>
                <w:szCs w:val="22"/>
                <w:highlight w:val="none"/>
                <w:lang w:val="en-US" w:eastAsia="zh-CN" w:bidi="ar-SA"/>
              </w:rPr>
              <w:t>300mg/L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846" w:type="pct"/>
            <w:vMerge w:val="continue"/>
            <w:noWrap w:val="0"/>
            <w:vAlign w:val="center"/>
          </w:tcPr>
          <w:p>
            <w:pPr>
              <w:widowControl/>
              <w:rPr>
                <w:rFonts w:ascii="Times New Roman" w:hAnsi="Times New Roman" w:eastAsia="宋体" w:cs="宋体"/>
                <w:kern w:val="2"/>
                <w:sz w:val="22"/>
                <w:szCs w:val="22"/>
                <w:highlight w:val="none"/>
                <w:lang w:val="en-US" w:eastAsia="zh-CN" w:bidi="ar-SA"/>
              </w:rPr>
            </w:pPr>
          </w:p>
        </w:tc>
        <w:tc>
          <w:tcPr>
            <w:tcW w:w="2103"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宋体" w:eastAsia="宋体" w:cs="宋体"/>
                <w:kern w:val="2"/>
                <w:sz w:val="22"/>
                <w:szCs w:val="22"/>
                <w:highlight w:val="none"/>
                <w:lang w:val="en-US" w:eastAsia="zh-CN" w:bidi="ar-SA"/>
              </w:rPr>
              <w:t>铁</w:t>
            </w:r>
          </w:p>
        </w:tc>
        <w:tc>
          <w:tcPr>
            <w:tcW w:w="2052"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Times New Roman" w:eastAsia="宋体" w:cs="宋体"/>
                <w:kern w:val="2"/>
                <w:sz w:val="22"/>
                <w:szCs w:val="22"/>
                <w:highlight w:val="none"/>
                <w:lang w:val="en-US" w:eastAsia="zh-CN" w:bidi="ar-SA"/>
              </w:rPr>
              <w:t>0.20mg/L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846" w:type="pct"/>
            <w:vMerge w:val="continue"/>
            <w:noWrap w:val="0"/>
            <w:vAlign w:val="center"/>
          </w:tcPr>
          <w:p>
            <w:pPr>
              <w:widowControl/>
              <w:rPr>
                <w:rFonts w:ascii="Times New Roman" w:hAnsi="Times New Roman" w:eastAsia="宋体" w:cs="宋体"/>
                <w:kern w:val="2"/>
                <w:sz w:val="22"/>
                <w:szCs w:val="22"/>
                <w:highlight w:val="none"/>
                <w:lang w:val="en-US" w:eastAsia="zh-CN" w:bidi="ar-SA"/>
              </w:rPr>
            </w:pPr>
          </w:p>
        </w:tc>
        <w:tc>
          <w:tcPr>
            <w:tcW w:w="2103"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宋体" w:eastAsia="宋体" w:cs="宋体"/>
                <w:kern w:val="2"/>
                <w:sz w:val="22"/>
                <w:szCs w:val="22"/>
                <w:highlight w:val="none"/>
                <w:lang w:val="en-US" w:eastAsia="zh-CN" w:bidi="ar-SA"/>
              </w:rPr>
              <w:t>锰</w:t>
            </w:r>
          </w:p>
        </w:tc>
        <w:tc>
          <w:tcPr>
            <w:tcW w:w="2052"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Times New Roman" w:eastAsia="宋体" w:cs="宋体"/>
                <w:kern w:val="2"/>
                <w:sz w:val="22"/>
                <w:szCs w:val="22"/>
                <w:highlight w:val="none"/>
                <w:lang w:val="en-US" w:eastAsia="zh-CN" w:bidi="ar-SA"/>
              </w:rPr>
              <w:t>0.05mg/L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846" w:type="pct"/>
            <w:vMerge w:val="continue"/>
            <w:noWrap w:val="0"/>
            <w:vAlign w:val="center"/>
          </w:tcPr>
          <w:p>
            <w:pPr>
              <w:widowControl/>
              <w:rPr>
                <w:rFonts w:ascii="Times New Roman" w:hAnsi="Times New Roman" w:eastAsia="宋体" w:cs="宋体"/>
                <w:kern w:val="2"/>
                <w:sz w:val="22"/>
                <w:szCs w:val="22"/>
                <w:highlight w:val="none"/>
                <w:lang w:val="en-US" w:eastAsia="zh-CN" w:bidi="ar-SA"/>
              </w:rPr>
            </w:pPr>
          </w:p>
        </w:tc>
        <w:tc>
          <w:tcPr>
            <w:tcW w:w="2103"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宋体" w:eastAsia="宋体" w:cs="宋体"/>
                <w:kern w:val="2"/>
                <w:sz w:val="22"/>
                <w:szCs w:val="22"/>
                <w:highlight w:val="none"/>
                <w:lang w:val="en-US" w:eastAsia="zh-CN" w:bidi="ar-SA"/>
              </w:rPr>
              <w:t>铜</w:t>
            </w:r>
          </w:p>
        </w:tc>
        <w:tc>
          <w:tcPr>
            <w:tcW w:w="2052"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Times New Roman" w:eastAsia="宋体" w:cs="宋体"/>
                <w:kern w:val="2"/>
                <w:sz w:val="22"/>
                <w:szCs w:val="22"/>
                <w:highlight w:val="none"/>
                <w:lang w:val="en-US" w:eastAsia="zh-CN" w:bidi="ar-SA"/>
              </w:rPr>
              <w:t>1.0mg/L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846" w:type="pct"/>
            <w:vMerge w:val="continue"/>
            <w:noWrap w:val="0"/>
            <w:vAlign w:val="center"/>
          </w:tcPr>
          <w:p>
            <w:pPr>
              <w:widowControl/>
              <w:rPr>
                <w:rFonts w:ascii="Times New Roman" w:hAnsi="Times New Roman" w:eastAsia="宋体" w:cs="宋体"/>
                <w:kern w:val="2"/>
                <w:sz w:val="22"/>
                <w:szCs w:val="22"/>
                <w:highlight w:val="none"/>
                <w:lang w:val="en-US" w:eastAsia="zh-CN" w:bidi="ar-SA"/>
              </w:rPr>
            </w:pPr>
          </w:p>
        </w:tc>
        <w:tc>
          <w:tcPr>
            <w:tcW w:w="2103"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宋体" w:eastAsia="宋体" w:cs="宋体"/>
                <w:kern w:val="2"/>
                <w:sz w:val="22"/>
                <w:szCs w:val="22"/>
                <w:highlight w:val="none"/>
                <w:lang w:val="en-US" w:eastAsia="zh-CN" w:bidi="ar-SA"/>
              </w:rPr>
              <w:t>锌</w:t>
            </w:r>
          </w:p>
        </w:tc>
        <w:tc>
          <w:tcPr>
            <w:tcW w:w="2052"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Times New Roman" w:eastAsia="宋体" w:cs="宋体"/>
                <w:kern w:val="2"/>
                <w:sz w:val="22"/>
                <w:szCs w:val="22"/>
                <w:highlight w:val="none"/>
                <w:lang w:val="en-US" w:eastAsia="zh-CN" w:bidi="ar-SA"/>
              </w:rPr>
              <w:t>1.0mg/L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846" w:type="pct"/>
            <w:vMerge w:val="continue"/>
            <w:noWrap w:val="0"/>
            <w:vAlign w:val="center"/>
          </w:tcPr>
          <w:p>
            <w:pPr>
              <w:widowControl/>
              <w:rPr>
                <w:rFonts w:ascii="Times New Roman" w:hAnsi="Times New Roman" w:eastAsia="宋体" w:cs="宋体"/>
                <w:kern w:val="2"/>
                <w:sz w:val="22"/>
                <w:szCs w:val="22"/>
                <w:highlight w:val="none"/>
                <w:lang w:val="en-US" w:eastAsia="zh-CN" w:bidi="ar-SA"/>
              </w:rPr>
            </w:pPr>
          </w:p>
        </w:tc>
        <w:tc>
          <w:tcPr>
            <w:tcW w:w="2103"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宋体" w:eastAsia="宋体" w:cs="宋体"/>
                <w:kern w:val="2"/>
                <w:sz w:val="22"/>
                <w:szCs w:val="22"/>
                <w:highlight w:val="none"/>
                <w:lang w:val="en-US" w:eastAsia="zh-CN" w:bidi="ar-SA"/>
              </w:rPr>
              <w:t>铝</w:t>
            </w:r>
          </w:p>
        </w:tc>
        <w:tc>
          <w:tcPr>
            <w:tcW w:w="2052"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Times New Roman" w:eastAsia="宋体" w:cs="宋体"/>
                <w:kern w:val="2"/>
                <w:sz w:val="22"/>
                <w:szCs w:val="22"/>
                <w:highlight w:val="none"/>
                <w:lang w:val="en-US" w:eastAsia="zh-CN" w:bidi="ar-SA"/>
              </w:rPr>
              <w:t>0.20mg/L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846" w:type="pct"/>
            <w:vMerge w:val="continue"/>
            <w:noWrap w:val="0"/>
            <w:vAlign w:val="center"/>
          </w:tcPr>
          <w:p>
            <w:pPr>
              <w:widowControl/>
              <w:rPr>
                <w:rFonts w:ascii="Times New Roman" w:hAnsi="Times New Roman" w:eastAsia="宋体" w:cs="宋体"/>
                <w:kern w:val="2"/>
                <w:sz w:val="22"/>
                <w:szCs w:val="22"/>
                <w:highlight w:val="none"/>
                <w:lang w:val="en-US" w:eastAsia="zh-CN" w:bidi="ar-SA"/>
              </w:rPr>
            </w:pPr>
          </w:p>
        </w:tc>
        <w:tc>
          <w:tcPr>
            <w:tcW w:w="2103"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宋体" w:eastAsia="宋体" w:cs="宋体"/>
                <w:kern w:val="2"/>
                <w:sz w:val="22"/>
                <w:szCs w:val="22"/>
                <w:highlight w:val="none"/>
                <w:lang w:val="en-US" w:eastAsia="zh-CN" w:bidi="ar-SA"/>
              </w:rPr>
              <w:t>挥发性酚类（以苯酚计）</w:t>
            </w:r>
          </w:p>
        </w:tc>
        <w:tc>
          <w:tcPr>
            <w:tcW w:w="2052"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Times New Roman" w:eastAsia="宋体" w:cs="宋体"/>
                <w:kern w:val="2"/>
                <w:sz w:val="22"/>
                <w:szCs w:val="22"/>
                <w:highlight w:val="none"/>
                <w:lang w:val="en-US" w:eastAsia="zh-CN" w:bidi="ar-SA"/>
              </w:rPr>
              <w:t>0.002mg/L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846" w:type="pct"/>
            <w:vMerge w:val="continue"/>
            <w:noWrap w:val="0"/>
            <w:vAlign w:val="center"/>
          </w:tcPr>
          <w:p>
            <w:pPr>
              <w:widowControl/>
              <w:rPr>
                <w:rFonts w:ascii="Times New Roman" w:hAnsi="Times New Roman" w:eastAsia="宋体" w:cs="宋体"/>
                <w:kern w:val="2"/>
                <w:sz w:val="22"/>
                <w:szCs w:val="22"/>
                <w:highlight w:val="none"/>
                <w:lang w:val="en-US" w:eastAsia="zh-CN" w:bidi="ar-SA"/>
              </w:rPr>
            </w:pPr>
          </w:p>
        </w:tc>
        <w:tc>
          <w:tcPr>
            <w:tcW w:w="2103"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宋体" w:eastAsia="宋体" w:cs="宋体"/>
                <w:kern w:val="2"/>
                <w:sz w:val="22"/>
                <w:szCs w:val="22"/>
                <w:highlight w:val="none"/>
                <w:lang w:val="en-US" w:eastAsia="zh-CN" w:bidi="ar-SA"/>
              </w:rPr>
              <w:t>阴离子合成洗涤剂</w:t>
            </w:r>
          </w:p>
        </w:tc>
        <w:tc>
          <w:tcPr>
            <w:tcW w:w="2052"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Times New Roman" w:eastAsia="宋体" w:cs="宋体"/>
                <w:kern w:val="2"/>
                <w:sz w:val="22"/>
                <w:szCs w:val="22"/>
                <w:highlight w:val="none"/>
                <w:lang w:val="en-US" w:eastAsia="zh-CN" w:bidi="ar-SA"/>
              </w:rPr>
              <w:t>0.20mg/L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846" w:type="pct"/>
            <w:vMerge w:val="continue"/>
            <w:noWrap w:val="0"/>
            <w:vAlign w:val="center"/>
          </w:tcPr>
          <w:p>
            <w:pPr>
              <w:widowControl/>
              <w:rPr>
                <w:rFonts w:ascii="Times New Roman" w:hAnsi="Times New Roman" w:eastAsia="宋体" w:cs="宋体"/>
                <w:kern w:val="2"/>
                <w:sz w:val="22"/>
                <w:szCs w:val="22"/>
                <w:highlight w:val="none"/>
                <w:lang w:val="en-US" w:eastAsia="zh-CN" w:bidi="ar-SA"/>
              </w:rPr>
            </w:pPr>
          </w:p>
        </w:tc>
        <w:tc>
          <w:tcPr>
            <w:tcW w:w="2103"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宋体" w:eastAsia="宋体" w:cs="宋体"/>
                <w:kern w:val="2"/>
                <w:sz w:val="22"/>
                <w:szCs w:val="22"/>
                <w:highlight w:val="none"/>
                <w:lang w:val="en-US" w:eastAsia="zh-CN" w:bidi="ar-SA"/>
              </w:rPr>
              <w:t>硫酸盐</w:t>
            </w:r>
          </w:p>
        </w:tc>
        <w:tc>
          <w:tcPr>
            <w:tcW w:w="2052"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Times New Roman" w:eastAsia="宋体" w:cs="宋体"/>
                <w:kern w:val="2"/>
                <w:sz w:val="22"/>
                <w:szCs w:val="22"/>
                <w:highlight w:val="none"/>
                <w:lang w:val="en-US" w:eastAsia="zh-CN" w:bidi="ar-SA"/>
              </w:rPr>
              <w:t>100mg/L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846" w:type="pct"/>
            <w:vMerge w:val="continue"/>
            <w:noWrap w:val="0"/>
            <w:vAlign w:val="center"/>
          </w:tcPr>
          <w:p>
            <w:pPr>
              <w:widowControl/>
              <w:rPr>
                <w:rFonts w:ascii="Times New Roman" w:hAnsi="Times New Roman" w:eastAsia="宋体" w:cs="宋体"/>
                <w:kern w:val="2"/>
                <w:sz w:val="22"/>
                <w:szCs w:val="22"/>
                <w:highlight w:val="none"/>
                <w:lang w:val="en-US" w:eastAsia="zh-CN" w:bidi="ar-SA"/>
              </w:rPr>
            </w:pPr>
          </w:p>
        </w:tc>
        <w:tc>
          <w:tcPr>
            <w:tcW w:w="2103"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宋体" w:eastAsia="宋体" w:cs="宋体"/>
                <w:kern w:val="2"/>
                <w:sz w:val="22"/>
                <w:szCs w:val="22"/>
                <w:highlight w:val="none"/>
                <w:lang w:val="en-US" w:eastAsia="zh-CN" w:bidi="ar-SA"/>
              </w:rPr>
              <w:t>氯化物</w:t>
            </w:r>
          </w:p>
        </w:tc>
        <w:tc>
          <w:tcPr>
            <w:tcW w:w="2052"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Times New Roman" w:eastAsia="宋体" w:cs="宋体"/>
                <w:kern w:val="2"/>
                <w:sz w:val="22"/>
                <w:szCs w:val="22"/>
                <w:highlight w:val="none"/>
                <w:lang w:val="en-US" w:eastAsia="zh-CN" w:bidi="ar-SA"/>
              </w:rPr>
              <w:t>100mg/L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846" w:type="pct"/>
            <w:vMerge w:val="continue"/>
            <w:noWrap w:val="0"/>
            <w:vAlign w:val="center"/>
          </w:tcPr>
          <w:p>
            <w:pPr>
              <w:widowControl/>
              <w:rPr>
                <w:rFonts w:ascii="Times New Roman" w:hAnsi="Times New Roman" w:eastAsia="宋体" w:cs="宋体"/>
                <w:kern w:val="2"/>
                <w:sz w:val="22"/>
                <w:szCs w:val="22"/>
                <w:highlight w:val="none"/>
                <w:lang w:val="en-US" w:eastAsia="zh-CN" w:bidi="ar-SA"/>
              </w:rPr>
            </w:pPr>
          </w:p>
        </w:tc>
        <w:tc>
          <w:tcPr>
            <w:tcW w:w="2103"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宋体" w:eastAsia="宋体" w:cs="宋体"/>
                <w:kern w:val="2"/>
                <w:sz w:val="22"/>
                <w:szCs w:val="22"/>
                <w:highlight w:val="none"/>
                <w:lang w:val="en-US" w:eastAsia="zh-CN" w:bidi="ar-SA"/>
              </w:rPr>
              <w:t>溶解性总固体</w:t>
            </w:r>
          </w:p>
        </w:tc>
        <w:tc>
          <w:tcPr>
            <w:tcW w:w="2052"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Times New Roman" w:eastAsia="宋体" w:cs="宋体"/>
                <w:kern w:val="2"/>
                <w:sz w:val="22"/>
                <w:szCs w:val="22"/>
                <w:highlight w:val="none"/>
                <w:lang w:val="en-US" w:eastAsia="zh-CN" w:bidi="ar-SA"/>
              </w:rPr>
              <w:t>500mg/L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846" w:type="pct"/>
            <w:vMerge w:val="continue"/>
            <w:noWrap w:val="0"/>
            <w:vAlign w:val="center"/>
          </w:tcPr>
          <w:p>
            <w:pPr>
              <w:widowControl/>
              <w:rPr>
                <w:rFonts w:ascii="Times New Roman" w:hAnsi="Times New Roman" w:eastAsia="宋体" w:cs="宋体"/>
                <w:kern w:val="2"/>
                <w:sz w:val="22"/>
                <w:szCs w:val="22"/>
                <w:highlight w:val="none"/>
                <w:lang w:val="en-US" w:eastAsia="zh-CN" w:bidi="ar-SA"/>
              </w:rPr>
            </w:pPr>
          </w:p>
        </w:tc>
        <w:tc>
          <w:tcPr>
            <w:tcW w:w="2103"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宋体" w:eastAsia="宋体" w:cs="宋体"/>
                <w:kern w:val="2"/>
                <w:sz w:val="22"/>
                <w:szCs w:val="22"/>
                <w:highlight w:val="none"/>
                <w:lang w:val="en-US" w:eastAsia="zh-CN" w:bidi="ar-SA"/>
              </w:rPr>
              <w:t>耗氧量（</w:t>
            </w:r>
            <w:r>
              <w:rPr>
                <w:rFonts w:hint="eastAsia" w:ascii="Times New Roman" w:hAnsi="Times New Roman" w:eastAsia="宋体" w:cs="宋体"/>
                <w:kern w:val="2"/>
                <w:sz w:val="22"/>
                <w:szCs w:val="22"/>
                <w:highlight w:val="none"/>
                <w:lang w:val="en-US" w:eastAsia="zh-CN" w:bidi="ar-SA"/>
              </w:rPr>
              <w:t>COD</w:t>
            </w:r>
            <w:r>
              <w:rPr>
                <w:rFonts w:hint="eastAsia" w:ascii="Times New Roman" w:hAnsi="Times New Roman" w:eastAsia="宋体" w:cs="宋体"/>
                <w:kern w:val="2"/>
                <w:sz w:val="22"/>
                <w:szCs w:val="22"/>
                <w:highlight w:val="none"/>
                <w:vertAlign w:val="subscript"/>
                <w:lang w:val="en-US" w:eastAsia="zh-CN" w:bidi="ar-SA"/>
              </w:rPr>
              <w:t>Mn</w:t>
            </w:r>
            <w:r>
              <w:rPr>
                <w:rFonts w:hint="eastAsia" w:ascii="Times New Roman" w:hAnsi="宋体" w:eastAsia="宋体" w:cs="宋体"/>
                <w:kern w:val="2"/>
                <w:sz w:val="22"/>
                <w:szCs w:val="22"/>
                <w:highlight w:val="none"/>
                <w:lang w:val="en-US" w:eastAsia="zh-CN" w:bidi="ar-SA"/>
              </w:rPr>
              <w:t>，以</w:t>
            </w:r>
            <w:r>
              <w:rPr>
                <w:rFonts w:hint="eastAsia" w:ascii="Times New Roman" w:hAnsi="Times New Roman" w:eastAsia="宋体" w:cs="宋体"/>
                <w:kern w:val="2"/>
                <w:sz w:val="22"/>
                <w:szCs w:val="22"/>
                <w:highlight w:val="none"/>
                <w:lang w:val="en-US" w:eastAsia="zh-CN" w:bidi="ar-SA"/>
              </w:rPr>
              <w:t>O</w:t>
            </w:r>
            <w:r>
              <w:rPr>
                <w:rFonts w:hint="eastAsia" w:ascii="Times New Roman" w:hAnsi="Times New Roman" w:eastAsia="宋体" w:cs="宋体"/>
                <w:kern w:val="2"/>
                <w:sz w:val="22"/>
                <w:szCs w:val="22"/>
                <w:highlight w:val="none"/>
                <w:vertAlign w:val="subscript"/>
                <w:lang w:val="en-US" w:eastAsia="zh-CN" w:bidi="ar-SA"/>
              </w:rPr>
              <w:t>2</w:t>
            </w:r>
            <w:r>
              <w:rPr>
                <w:rFonts w:hint="eastAsia" w:ascii="Times New Roman" w:hAnsi="宋体" w:eastAsia="宋体" w:cs="宋体"/>
                <w:kern w:val="2"/>
                <w:sz w:val="22"/>
                <w:szCs w:val="22"/>
                <w:highlight w:val="none"/>
                <w:lang w:val="en-US" w:eastAsia="zh-CN" w:bidi="ar-SA"/>
              </w:rPr>
              <w:t>计）</w:t>
            </w:r>
          </w:p>
        </w:tc>
        <w:tc>
          <w:tcPr>
            <w:tcW w:w="2052"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Times New Roman" w:eastAsia="宋体" w:cs="宋体"/>
                <w:kern w:val="2"/>
                <w:sz w:val="22"/>
                <w:szCs w:val="22"/>
                <w:highlight w:val="none"/>
                <w:lang w:val="en-US" w:eastAsia="zh-CN" w:bidi="ar-SA"/>
              </w:rPr>
              <w:t>2.0mg/L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846" w:type="pct"/>
            <w:vMerge w:val="restar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宋体" w:eastAsia="宋体" w:cs="宋体"/>
                <w:kern w:val="2"/>
                <w:sz w:val="22"/>
                <w:szCs w:val="22"/>
                <w:highlight w:val="none"/>
                <w:lang w:val="en-US" w:eastAsia="zh-CN" w:bidi="ar-SA"/>
              </w:rPr>
              <w:t>毒理学指标</w:t>
            </w:r>
          </w:p>
        </w:tc>
        <w:tc>
          <w:tcPr>
            <w:tcW w:w="2103"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宋体" w:eastAsia="宋体" w:cs="宋体"/>
                <w:kern w:val="2"/>
                <w:sz w:val="22"/>
                <w:szCs w:val="22"/>
                <w:highlight w:val="none"/>
                <w:lang w:val="en-US" w:eastAsia="zh-CN" w:bidi="ar-SA"/>
              </w:rPr>
              <w:t>氟化物</w:t>
            </w:r>
          </w:p>
        </w:tc>
        <w:tc>
          <w:tcPr>
            <w:tcW w:w="2052"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Times New Roman" w:eastAsia="宋体" w:cs="宋体"/>
                <w:kern w:val="2"/>
                <w:sz w:val="22"/>
                <w:szCs w:val="22"/>
                <w:highlight w:val="none"/>
                <w:lang w:val="en-US" w:eastAsia="zh-CN" w:bidi="ar-SA"/>
              </w:rPr>
              <w:t>1.0mg/L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846" w:type="pct"/>
            <w:vMerge w:val="continue"/>
            <w:noWrap w:val="0"/>
            <w:vAlign w:val="center"/>
          </w:tcPr>
          <w:p>
            <w:pPr>
              <w:widowControl/>
              <w:rPr>
                <w:rFonts w:ascii="Times New Roman" w:hAnsi="Times New Roman" w:eastAsia="宋体" w:cs="宋体"/>
                <w:kern w:val="2"/>
                <w:sz w:val="22"/>
                <w:szCs w:val="22"/>
                <w:highlight w:val="none"/>
                <w:lang w:val="en-US" w:eastAsia="zh-CN" w:bidi="ar-SA"/>
              </w:rPr>
            </w:pPr>
          </w:p>
        </w:tc>
        <w:tc>
          <w:tcPr>
            <w:tcW w:w="2103"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宋体" w:eastAsia="宋体" w:cs="宋体"/>
                <w:kern w:val="2"/>
                <w:sz w:val="22"/>
                <w:szCs w:val="22"/>
                <w:highlight w:val="none"/>
                <w:lang w:val="en-US" w:eastAsia="zh-CN" w:bidi="ar-SA"/>
              </w:rPr>
              <w:t>硝酸盐氮（以</w:t>
            </w:r>
            <w:r>
              <w:rPr>
                <w:rFonts w:hint="eastAsia" w:ascii="Times New Roman" w:hAnsi="Times New Roman" w:eastAsia="宋体" w:cs="宋体"/>
                <w:kern w:val="2"/>
                <w:sz w:val="22"/>
                <w:szCs w:val="22"/>
                <w:highlight w:val="none"/>
                <w:lang w:val="en-US" w:eastAsia="zh-CN" w:bidi="ar-SA"/>
              </w:rPr>
              <w:t>N</w:t>
            </w:r>
            <w:r>
              <w:rPr>
                <w:rFonts w:hint="eastAsia" w:ascii="Times New Roman" w:hAnsi="宋体" w:eastAsia="宋体" w:cs="宋体"/>
                <w:kern w:val="2"/>
                <w:sz w:val="22"/>
                <w:szCs w:val="22"/>
                <w:highlight w:val="none"/>
                <w:lang w:val="en-US" w:eastAsia="zh-CN" w:bidi="ar-SA"/>
              </w:rPr>
              <w:t>计）</w:t>
            </w:r>
          </w:p>
        </w:tc>
        <w:tc>
          <w:tcPr>
            <w:tcW w:w="2052"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Times New Roman" w:eastAsia="宋体" w:cs="宋体"/>
                <w:kern w:val="2"/>
                <w:sz w:val="22"/>
                <w:szCs w:val="22"/>
                <w:highlight w:val="none"/>
                <w:lang w:val="en-US" w:eastAsia="zh-CN" w:bidi="ar-SA"/>
              </w:rPr>
              <w:t>10mg/L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846" w:type="pct"/>
            <w:vMerge w:val="continue"/>
            <w:noWrap w:val="0"/>
            <w:vAlign w:val="center"/>
          </w:tcPr>
          <w:p>
            <w:pPr>
              <w:widowControl/>
              <w:rPr>
                <w:rFonts w:ascii="Times New Roman" w:hAnsi="Times New Roman" w:eastAsia="宋体" w:cs="宋体"/>
                <w:kern w:val="2"/>
                <w:sz w:val="22"/>
                <w:szCs w:val="22"/>
                <w:highlight w:val="none"/>
                <w:lang w:val="en-US" w:eastAsia="zh-CN" w:bidi="ar-SA"/>
              </w:rPr>
            </w:pPr>
          </w:p>
        </w:tc>
        <w:tc>
          <w:tcPr>
            <w:tcW w:w="2103"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宋体" w:eastAsia="宋体" w:cs="宋体"/>
                <w:kern w:val="2"/>
                <w:sz w:val="22"/>
                <w:szCs w:val="22"/>
                <w:highlight w:val="none"/>
                <w:lang w:val="en-US" w:eastAsia="zh-CN" w:bidi="ar-SA"/>
              </w:rPr>
              <w:t>砷</w:t>
            </w:r>
          </w:p>
        </w:tc>
        <w:tc>
          <w:tcPr>
            <w:tcW w:w="2052"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Times New Roman" w:eastAsia="宋体" w:cs="宋体"/>
                <w:kern w:val="2"/>
                <w:sz w:val="22"/>
                <w:szCs w:val="22"/>
                <w:highlight w:val="none"/>
                <w:lang w:val="en-US" w:eastAsia="zh-CN" w:bidi="ar-SA"/>
              </w:rPr>
              <w:t>0.01mg/L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846" w:type="pct"/>
            <w:vMerge w:val="continue"/>
            <w:noWrap w:val="0"/>
            <w:vAlign w:val="center"/>
          </w:tcPr>
          <w:p>
            <w:pPr>
              <w:widowControl/>
              <w:rPr>
                <w:rFonts w:ascii="Times New Roman" w:hAnsi="Times New Roman" w:eastAsia="宋体" w:cs="宋体"/>
                <w:kern w:val="2"/>
                <w:sz w:val="22"/>
                <w:szCs w:val="22"/>
                <w:highlight w:val="none"/>
                <w:lang w:val="en-US" w:eastAsia="zh-CN" w:bidi="ar-SA"/>
              </w:rPr>
            </w:pPr>
          </w:p>
        </w:tc>
        <w:tc>
          <w:tcPr>
            <w:tcW w:w="2103"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宋体" w:eastAsia="宋体" w:cs="宋体"/>
                <w:kern w:val="2"/>
                <w:sz w:val="22"/>
                <w:szCs w:val="22"/>
                <w:highlight w:val="none"/>
                <w:lang w:val="en-US" w:eastAsia="zh-CN" w:bidi="ar-SA"/>
              </w:rPr>
              <w:t>硒</w:t>
            </w:r>
          </w:p>
        </w:tc>
        <w:tc>
          <w:tcPr>
            <w:tcW w:w="2052"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Times New Roman" w:eastAsia="宋体" w:cs="宋体"/>
                <w:kern w:val="2"/>
                <w:sz w:val="22"/>
                <w:szCs w:val="22"/>
                <w:highlight w:val="none"/>
                <w:lang w:val="en-US" w:eastAsia="zh-CN" w:bidi="ar-SA"/>
              </w:rPr>
              <w:t>0.01mg/L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846" w:type="pct"/>
            <w:vMerge w:val="continue"/>
            <w:noWrap w:val="0"/>
            <w:vAlign w:val="center"/>
          </w:tcPr>
          <w:p>
            <w:pPr>
              <w:widowControl/>
              <w:rPr>
                <w:rFonts w:ascii="Times New Roman" w:hAnsi="Times New Roman" w:eastAsia="宋体" w:cs="宋体"/>
                <w:kern w:val="2"/>
                <w:sz w:val="22"/>
                <w:szCs w:val="22"/>
                <w:highlight w:val="none"/>
                <w:lang w:val="en-US" w:eastAsia="zh-CN" w:bidi="ar-SA"/>
              </w:rPr>
            </w:pPr>
          </w:p>
        </w:tc>
        <w:tc>
          <w:tcPr>
            <w:tcW w:w="2103"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宋体" w:eastAsia="宋体" w:cs="宋体"/>
                <w:kern w:val="2"/>
                <w:sz w:val="22"/>
                <w:szCs w:val="22"/>
                <w:highlight w:val="none"/>
                <w:lang w:val="en-US" w:eastAsia="zh-CN" w:bidi="ar-SA"/>
              </w:rPr>
              <w:t>汞</w:t>
            </w:r>
          </w:p>
        </w:tc>
        <w:tc>
          <w:tcPr>
            <w:tcW w:w="2052"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Times New Roman" w:eastAsia="宋体" w:cs="宋体"/>
                <w:kern w:val="2"/>
                <w:sz w:val="22"/>
                <w:szCs w:val="22"/>
                <w:highlight w:val="none"/>
                <w:lang w:val="en-US" w:eastAsia="zh-CN" w:bidi="ar-SA"/>
              </w:rPr>
              <w:t>0.001mg/L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846" w:type="pct"/>
            <w:vMerge w:val="continue"/>
            <w:noWrap w:val="0"/>
            <w:vAlign w:val="center"/>
          </w:tcPr>
          <w:p>
            <w:pPr>
              <w:widowControl/>
              <w:rPr>
                <w:rFonts w:ascii="Times New Roman" w:hAnsi="Times New Roman" w:eastAsia="宋体" w:cs="宋体"/>
                <w:kern w:val="2"/>
                <w:sz w:val="22"/>
                <w:szCs w:val="22"/>
                <w:highlight w:val="none"/>
                <w:lang w:val="en-US" w:eastAsia="zh-CN" w:bidi="ar-SA"/>
              </w:rPr>
            </w:pPr>
          </w:p>
        </w:tc>
        <w:tc>
          <w:tcPr>
            <w:tcW w:w="2103"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宋体" w:eastAsia="宋体" w:cs="宋体"/>
                <w:kern w:val="2"/>
                <w:sz w:val="22"/>
                <w:szCs w:val="22"/>
                <w:highlight w:val="none"/>
                <w:lang w:val="en-US" w:eastAsia="zh-CN" w:bidi="ar-SA"/>
              </w:rPr>
              <w:t>镉</w:t>
            </w:r>
          </w:p>
        </w:tc>
        <w:tc>
          <w:tcPr>
            <w:tcW w:w="2052"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Times New Roman" w:eastAsia="宋体" w:cs="宋体"/>
                <w:kern w:val="2"/>
                <w:sz w:val="22"/>
                <w:szCs w:val="22"/>
                <w:highlight w:val="none"/>
                <w:lang w:val="en-US" w:eastAsia="zh-CN" w:bidi="ar-SA"/>
              </w:rPr>
              <w:t>0.003mg/L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846" w:type="pct"/>
            <w:vMerge w:val="continue"/>
            <w:noWrap w:val="0"/>
            <w:vAlign w:val="center"/>
          </w:tcPr>
          <w:p>
            <w:pPr>
              <w:widowControl/>
              <w:rPr>
                <w:rFonts w:ascii="Times New Roman" w:hAnsi="Times New Roman" w:eastAsia="宋体" w:cs="宋体"/>
                <w:kern w:val="2"/>
                <w:sz w:val="22"/>
                <w:szCs w:val="22"/>
                <w:highlight w:val="none"/>
                <w:lang w:val="en-US" w:eastAsia="zh-CN" w:bidi="ar-SA"/>
              </w:rPr>
            </w:pPr>
          </w:p>
        </w:tc>
        <w:tc>
          <w:tcPr>
            <w:tcW w:w="2103"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宋体" w:eastAsia="宋体" w:cs="宋体"/>
                <w:kern w:val="2"/>
                <w:sz w:val="22"/>
                <w:szCs w:val="22"/>
                <w:highlight w:val="none"/>
                <w:lang w:val="en-US" w:eastAsia="zh-CN" w:bidi="ar-SA"/>
              </w:rPr>
              <w:t>铬（六价）</w:t>
            </w:r>
          </w:p>
        </w:tc>
        <w:tc>
          <w:tcPr>
            <w:tcW w:w="2052"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Times New Roman" w:eastAsia="宋体" w:cs="宋体"/>
                <w:kern w:val="2"/>
                <w:sz w:val="22"/>
                <w:szCs w:val="22"/>
                <w:highlight w:val="none"/>
                <w:lang w:val="en-US" w:eastAsia="zh-CN" w:bidi="ar-SA"/>
              </w:rPr>
              <w:t>0.05mg/L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846" w:type="pct"/>
            <w:vMerge w:val="continue"/>
            <w:noWrap w:val="0"/>
            <w:vAlign w:val="center"/>
          </w:tcPr>
          <w:p>
            <w:pPr>
              <w:widowControl/>
              <w:rPr>
                <w:rFonts w:ascii="Times New Roman" w:hAnsi="Times New Roman" w:eastAsia="宋体" w:cs="宋体"/>
                <w:kern w:val="2"/>
                <w:sz w:val="22"/>
                <w:szCs w:val="22"/>
                <w:highlight w:val="none"/>
                <w:lang w:val="en-US" w:eastAsia="zh-CN" w:bidi="ar-SA"/>
              </w:rPr>
            </w:pPr>
          </w:p>
        </w:tc>
        <w:tc>
          <w:tcPr>
            <w:tcW w:w="2103"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宋体" w:eastAsia="宋体" w:cs="宋体"/>
                <w:kern w:val="2"/>
                <w:sz w:val="22"/>
                <w:szCs w:val="22"/>
                <w:highlight w:val="none"/>
                <w:lang w:val="en-US" w:eastAsia="zh-CN" w:bidi="ar-SA"/>
              </w:rPr>
              <w:t>铅</w:t>
            </w:r>
          </w:p>
        </w:tc>
        <w:tc>
          <w:tcPr>
            <w:tcW w:w="2052"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Times New Roman" w:eastAsia="宋体" w:cs="宋体"/>
                <w:kern w:val="2"/>
                <w:sz w:val="22"/>
                <w:szCs w:val="22"/>
                <w:highlight w:val="none"/>
                <w:lang w:val="en-US" w:eastAsia="zh-CN" w:bidi="ar-SA"/>
              </w:rPr>
              <w:t>0.01mg/L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846" w:type="pct"/>
            <w:vMerge w:val="continue"/>
            <w:noWrap w:val="0"/>
            <w:vAlign w:val="center"/>
          </w:tcPr>
          <w:p>
            <w:pPr>
              <w:widowControl/>
              <w:rPr>
                <w:rFonts w:ascii="Times New Roman" w:hAnsi="Times New Roman" w:eastAsia="宋体" w:cs="宋体"/>
                <w:kern w:val="2"/>
                <w:sz w:val="22"/>
                <w:szCs w:val="22"/>
                <w:highlight w:val="none"/>
                <w:lang w:val="en-US" w:eastAsia="zh-CN" w:bidi="ar-SA"/>
              </w:rPr>
            </w:pPr>
          </w:p>
        </w:tc>
        <w:tc>
          <w:tcPr>
            <w:tcW w:w="2103"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宋体" w:eastAsia="宋体" w:cs="宋体"/>
                <w:kern w:val="2"/>
                <w:sz w:val="22"/>
                <w:szCs w:val="22"/>
                <w:highlight w:val="none"/>
                <w:lang w:val="en-US" w:eastAsia="zh-CN" w:bidi="ar-SA"/>
              </w:rPr>
              <w:t>银（采用载银活性炭时测定）</w:t>
            </w:r>
          </w:p>
        </w:tc>
        <w:tc>
          <w:tcPr>
            <w:tcW w:w="2052"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Times New Roman" w:eastAsia="宋体" w:cs="宋体"/>
                <w:kern w:val="2"/>
                <w:sz w:val="22"/>
                <w:szCs w:val="22"/>
                <w:highlight w:val="none"/>
                <w:lang w:val="en-US" w:eastAsia="zh-CN" w:bidi="ar-SA"/>
              </w:rPr>
              <w:t>0.05mg/L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846" w:type="pct"/>
            <w:vMerge w:val="continue"/>
            <w:noWrap w:val="0"/>
            <w:vAlign w:val="center"/>
          </w:tcPr>
          <w:p>
            <w:pPr>
              <w:widowControl/>
              <w:rPr>
                <w:rFonts w:ascii="Times New Roman" w:hAnsi="Times New Roman" w:eastAsia="宋体" w:cs="宋体"/>
                <w:kern w:val="2"/>
                <w:sz w:val="22"/>
                <w:szCs w:val="22"/>
                <w:highlight w:val="none"/>
                <w:lang w:val="en-US" w:eastAsia="zh-CN" w:bidi="ar-SA"/>
              </w:rPr>
            </w:pPr>
          </w:p>
        </w:tc>
        <w:tc>
          <w:tcPr>
            <w:tcW w:w="2103"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宋体" w:eastAsia="宋体" w:cs="宋体"/>
                <w:kern w:val="2"/>
                <w:sz w:val="22"/>
                <w:szCs w:val="22"/>
                <w:highlight w:val="none"/>
                <w:lang w:val="en-US" w:eastAsia="zh-CN" w:bidi="ar-SA"/>
              </w:rPr>
              <w:t>氯仿</w:t>
            </w:r>
          </w:p>
        </w:tc>
        <w:tc>
          <w:tcPr>
            <w:tcW w:w="2052"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Times New Roman" w:eastAsia="宋体" w:cs="宋体"/>
                <w:kern w:val="2"/>
                <w:sz w:val="22"/>
                <w:szCs w:val="22"/>
                <w:highlight w:val="none"/>
                <w:lang w:val="en-US" w:eastAsia="zh-CN" w:bidi="ar-SA"/>
              </w:rPr>
              <w:t>0.03mg/L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846" w:type="pct"/>
            <w:vMerge w:val="continue"/>
            <w:noWrap w:val="0"/>
            <w:vAlign w:val="center"/>
          </w:tcPr>
          <w:p>
            <w:pPr>
              <w:widowControl/>
              <w:rPr>
                <w:rFonts w:ascii="Times New Roman" w:hAnsi="Times New Roman" w:eastAsia="宋体" w:cs="宋体"/>
                <w:kern w:val="2"/>
                <w:sz w:val="22"/>
                <w:szCs w:val="22"/>
                <w:highlight w:val="none"/>
                <w:lang w:val="en-US" w:eastAsia="zh-CN" w:bidi="ar-SA"/>
              </w:rPr>
            </w:pPr>
          </w:p>
        </w:tc>
        <w:tc>
          <w:tcPr>
            <w:tcW w:w="2103"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宋体" w:eastAsia="宋体" w:cs="宋体"/>
                <w:kern w:val="2"/>
                <w:sz w:val="22"/>
                <w:szCs w:val="22"/>
                <w:highlight w:val="none"/>
                <w:lang w:val="en-US" w:eastAsia="zh-CN" w:bidi="ar-SA"/>
              </w:rPr>
              <w:t>四氯化碳</w:t>
            </w:r>
          </w:p>
        </w:tc>
        <w:tc>
          <w:tcPr>
            <w:tcW w:w="2052"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Times New Roman" w:eastAsia="宋体" w:cs="宋体"/>
                <w:kern w:val="2"/>
                <w:sz w:val="22"/>
                <w:szCs w:val="22"/>
                <w:highlight w:val="none"/>
                <w:lang w:val="en-US" w:eastAsia="zh-CN" w:bidi="ar-SA"/>
              </w:rPr>
              <w:t>0.002mg/L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846" w:type="pct"/>
            <w:vMerge w:val="continue"/>
            <w:noWrap w:val="0"/>
            <w:vAlign w:val="center"/>
          </w:tcPr>
          <w:p>
            <w:pPr>
              <w:widowControl/>
              <w:rPr>
                <w:rFonts w:ascii="Times New Roman" w:hAnsi="Times New Roman" w:eastAsia="宋体" w:cs="宋体"/>
                <w:kern w:val="2"/>
                <w:sz w:val="22"/>
                <w:szCs w:val="22"/>
                <w:highlight w:val="none"/>
                <w:lang w:val="en-US" w:eastAsia="zh-CN" w:bidi="ar-SA"/>
              </w:rPr>
            </w:pPr>
          </w:p>
        </w:tc>
        <w:tc>
          <w:tcPr>
            <w:tcW w:w="2103"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宋体" w:eastAsia="宋体" w:cs="宋体"/>
                <w:kern w:val="2"/>
                <w:sz w:val="22"/>
                <w:szCs w:val="22"/>
                <w:highlight w:val="none"/>
                <w:lang w:val="en-US" w:eastAsia="zh-CN" w:bidi="ar-SA"/>
              </w:rPr>
              <w:t>亚氯酸盐（采用</w:t>
            </w:r>
            <w:r>
              <w:rPr>
                <w:rFonts w:hint="eastAsia" w:ascii="Times New Roman" w:hAnsi="Times New Roman" w:eastAsia="宋体" w:cs="宋体"/>
                <w:kern w:val="2"/>
                <w:sz w:val="22"/>
                <w:szCs w:val="22"/>
                <w:highlight w:val="none"/>
                <w:lang w:val="en-US" w:eastAsia="zh-CN" w:bidi="ar-SA"/>
              </w:rPr>
              <w:t>ClO</w:t>
            </w:r>
            <w:r>
              <w:rPr>
                <w:rFonts w:hint="eastAsia" w:ascii="Times New Roman" w:hAnsi="Times New Roman" w:eastAsia="宋体" w:cs="宋体"/>
                <w:kern w:val="2"/>
                <w:sz w:val="22"/>
                <w:szCs w:val="22"/>
                <w:highlight w:val="none"/>
                <w:vertAlign w:val="subscript"/>
                <w:lang w:val="en-US" w:eastAsia="zh-CN" w:bidi="ar-SA"/>
              </w:rPr>
              <w:t>2</w:t>
            </w:r>
            <w:r>
              <w:rPr>
                <w:rFonts w:hint="eastAsia" w:ascii="Times New Roman" w:hAnsi="宋体" w:eastAsia="宋体" w:cs="宋体"/>
                <w:kern w:val="2"/>
                <w:sz w:val="22"/>
                <w:szCs w:val="22"/>
                <w:highlight w:val="none"/>
                <w:lang w:val="en-US" w:eastAsia="zh-CN" w:bidi="ar-SA"/>
              </w:rPr>
              <w:t>消毒时测定）</w:t>
            </w:r>
          </w:p>
        </w:tc>
        <w:tc>
          <w:tcPr>
            <w:tcW w:w="2052"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Times New Roman" w:eastAsia="宋体" w:cs="宋体"/>
                <w:kern w:val="2"/>
                <w:sz w:val="22"/>
                <w:szCs w:val="22"/>
                <w:highlight w:val="none"/>
                <w:lang w:val="en-US" w:eastAsia="zh-CN" w:bidi="ar-SA"/>
              </w:rPr>
              <w:t>0.70mg/L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846" w:type="pct"/>
            <w:vMerge w:val="continue"/>
            <w:noWrap w:val="0"/>
            <w:vAlign w:val="center"/>
          </w:tcPr>
          <w:p>
            <w:pPr>
              <w:widowControl/>
              <w:rPr>
                <w:rFonts w:ascii="Times New Roman" w:hAnsi="Times New Roman" w:eastAsia="宋体" w:cs="宋体"/>
                <w:kern w:val="2"/>
                <w:sz w:val="22"/>
                <w:szCs w:val="22"/>
                <w:highlight w:val="none"/>
                <w:lang w:val="en-US" w:eastAsia="zh-CN" w:bidi="ar-SA"/>
              </w:rPr>
            </w:pPr>
          </w:p>
        </w:tc>
        <w:tc>
          <w:tcPr>
            <w:tcW w:w="2103"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宋体" w:eastAsia="宋体" w:cs="宋体"/>
                <w:kern w:val="2"/>
                <w:sz w:val="22"/>
                <w:szCs w:val="22"/>
                <w:highlight w:val="none"/>
                <w:lang w:val="en-US" w:eastAsia="zh-CN" w:bidi="ar-SA"/>
              </w:rPr>
              <w:t>氯酸盐（采用</w:t>
            </w:r>
            <w:r>
              <w:rPr>
                <w:rFonts w:hint="eastAsia" w:ascii="Times New Roman" w:hAnsi="Times New Roman" w:eastAsia="宋体" w:cs="宋体"/>
                <w:kern w:val="2"/>
                <w:sz w:val="22"/>
                <w:szCs w:val="22"/>
                <w:highlight w:val="none"/>
                <w:lang w:val="en-US" w:eastAsia="zh-CN" w:bidi="ar-SA"/>
              </w:rPr>
              <w:t>ClO</w:t>
            </w:r>
            <w:r>
              <w:rPr>
                <w:rFonts w:hint="eastAsia" w:ascii="Times New Roman" w:hAnsi="Times New Roman" w:eastAsia="宋体" w:cs="宋体"/>
                <w:kern w:val="2"/>
                <w:sz w:val="22"/>
                <w:szCs w:val="22"/>
                <w:highlight w:val="none"/>
                <w:vertAlign w:val="subscript"/>
                <w:lang w:val="en-US" w:eastAsia="zh-CN" w:bidi="ar-SA"/>
              </w:rPr>
              <w:t>2</w:t>
            </w:r>
            <w:r>
              <w:rPr>
                <w:rFonts w:hint="eastAsia" w:ascii="Times New Roman" w:hAnsi="宋体" w:eastAsia="宋体" w:cs="宋体"/>
                <w:kern w:val="2"/>
                <w:sz w:val="22"/>
                <w:szCs w:val="22"/>
                <w:highlight w:val="none"/>
                <w:lang w:val="en-US" w:eastAsia="zh-CN" w:bidi="ar-SA"/>
              </w:rPr>
              <w:t>消毒时测定）</w:t>
            </w:r>
          </w:p>
        </w:tc>
        <w:tc>
          <w:tcPr>
            <w:tcW w:w="2052"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Times New Roman" w:eastAsia="宋体" w:cs="宋体"/>
                <w:kern w:val="2"/>
                <w:sz w:val="22"/>
                <w:szCs w:val="22"/>
                <w:highlight w:val="none"/>
                <w:lang w:val="en-US" w:eastAsia="zh-CN" w:bidi="ar-SA"/>
              </w:rPr>
              <w:t>0.70mg/L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846" w:type="pct"/>
            <w:vMerge w:val="continue"/>
            <w:noWrap w:val="0"/>
            <w:vAlign w:val="center"/>
          </w:tcPr>
          <w:p>
            <w:pPr>
              <w:widowControl/>
              <w:rPr>
                <w:rFonts w:ascii="Times New Roman" w:hAnsi="Times New Roman" w:eastAsia="宋体" w:cs="宋体"/>
                <w:kern w:val="2"/>
                <w:sz w:val="22"/>
                <w:szCs w:val="22"/>
                <w:highlight w:val="none"/>
                <w:lang w:val="en-US" w:eastAsia="zh-CN" w:bidi="ar-SA"/>
              </w:rPr>
            </w:pPr>
          </w:p>
        </w:tc>
        <w:tc>
          <w:tcPr>
            <w:tcW w:w="2103"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宋体" w:eastAsia="宋体" w:cs="宋体"/>
                <w:kern w:val="2"/>
                <w:sz w:val="22"/>
                <w:szCs w:val="22"/>
                <w:highlight w:val="none"/>
                <w:lang w:val="en-US" w:eastAsia="zh-CN" w:bidi="ar-SA"/>
              </w:rPr>
              <w:t>溴酸盐（采用</w:t>
            </w:r>
            <w:r>
              <w:rPr>
                <w:rFonts w:hint="eastAsia" w:ascii="Times New Roman" w:hAnsi="Times New Roman" w:eastAsia="宋体" w:cs="宋体"/>
                <w:kern w:val="2"/>
                <w:sz w:val="22"/>
                <w:szCs w:val="22"/>
                <w:highlight w:val="none"/>
                <w:lang w:val="en-US" w:eastAsia="zh-CN" w:bidi="ar-SA"/>
              </w:rPr>
              <w:t>O</w:t>
            </w:r>
            <w:r>
              <w:rPr>
                <w:rFonts w:hint="eastAsia" w:ascii="Times New Roman" w:hAnsi="Times New Roman" w:eastAsia="宋体" w:cs="宋体"/>
                <w:kern w:val="2"/>
                <w:sz w:val="22"/>
                <w:szCs w:val="22"/>
                <w:highlight w:val="none"/>
                <w:vertAlign w:val="subscript"/>
                <w:lang w:val="en-US" w:eastAsia="zh-CN" w:bidi="ar-SA"/>
              </w:rPr>
              <w:t>3</w:t>
            </w:r>
            <w:r>
              <w:rPr>
                <w:rFonts w:hint="eastAsia" w:ascii="Times New Roman" w:hAnsi="宋体" w:eastAsia="宋体" w:cs="宋体"/>
                <w:kern w:val="2"/>
                <w:sz w:val="22"/>
                <w:szCs w:val="22"/>
                <w:highlight w:val="none"/>
                <w:lang w:val="en-US" w:eastAsia="zh-CN" w:bidi="ar-SA"/>
              </w:rPr>
              <w:t>消毒时测定）</w:t>
            </w:r>
          </w:p>
        </w:tc>
        <w:tc>
          <w:tcPr>
            <w:tcW w:w="2052"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Times New Roman" w:eastAsia="宋体" w:cs="宋体"/>
                <w:kern w:val="2"/>
                <w:sz w:val="22"/>
                <w:szCs w:val="22"/>
                <w:highlight w:val="none"/>
                <w:lang w:val="en-US" w:eastAsia="zh-CN" w:bidi="ar-SA"/>
              </w:rPr>
              <w:t>0.01mg/L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846" w:type="pct"/>
            <w:vMerge w:val="continue"/>
            <w:noWrap w:val="0"/>
            <w:vAlign w:val="center"/>
          </w:tcPr>
          <w:p>
            <w:pPr>
              <w:widowControl/>
              <w:rPr>
                <w:rFonts w:ascii="Times New Roman" w:hAnsi="Times New Roman" w:eastAsia="宋体" w:cs="宋体"/>
                <w:kern w:val="2"/>
                <w:sz w:val="22"/>
                <w:szCs w:val="22"/>
                <w:highlight w:val="none"/>
                <w:lang w:val="en-US" w:eastAsia="zh-CN" w:bidi="ar-SA"/>
              </w:rPr>
            </w:pPr>
          </w:p>
        </w:tc>
        <w:tc>
          <w:tcPr>
            <w:tcW w:w="2103"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宋体" w:eastAsia="宋体" w:cs="宋体"/>
                <w:kern w:val="2"/>
                <w:sz w:val="22"/>
                <w:szCs w:val="22"/>
                <w:highlight w:val="none"/>
                <w:lang w:val="en-US" w:eastAsia="zh-CN" w:bidi="ar-SA"/>
              </w:rPr>
              <w:t>甲醛（采用</w:t>
            </w:r>
            <w:r>
              <w:rPr>
                <w:rFonts w:hint="eastAsia" w:ascii="Times New Roman" w:hAnsi="Times New Roman" w:eastAsia="宋体" w:cs="宋体"/>
                <w:kern w:val="2"/>
                <w:sz w:val="22"/>
                <w:szCs w:val="22"/>
                <w:highlight w:val="none"/>
                <w:lang w:val="en-US" w:eastAsia="zh-CN" w:bidi="ar-SA"/>
              </w:rPr>
              <w:t>O</w:t>
            </w:r>
            <w:r>
              <w:rPr>
                <w:rFonts w:hint="eastAsia" w:ascii="Times New Roman" w:hAnsi="Times New Roman" w:eastAsia="宋体" w:cs="宋体"/>
                <w:kern w:val="2"/>
                <w:sz w:val="22"/>
                <w:szCs w:val="22"/>
                <w:highlight w:val="none"/>
                <w:vertAlign w:val="subscript"/>
                <w:lang w:val="en-US" w:eastAsia="zh-CN" w:bidi="ar-SA"/>
              </w:rPr>
              <w:t>3</w:t>
            </w:r>
            <w:r>
              <w:rPr>
                <w:rFonts w:hint="eastAsia" w:ascii="Times New Roman" w:hAnsi="宋体" w:eastAsia="宋体" w:cs="宋体"/>
                <w:kern w:val="2"/>
                <w:sz w:val="22"/>
                <w:szCs w:val="22"/>
                <w:highlight w:val="none"/>
                <w:lang w:val="en-US" w:eastAsia="zh-CN" w:bidi="ar-SA"/>
              </w:rPr>
              <w:t>消毒时测定）</w:t>
            </w:r>
          </w:p>
        </w:tc>
        <w:tc>
          <w:tcPr>
            <w:tcW w:w="2052"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Times New Roman" w:eastAsia="宋体" w:cs="宋体"/>
                <w:kern w:val="2"/>
                <w:sz w:val="22"/>
                <w:szCs w:val="22"/>
                <w:highlight w:val="none"/>
                <w:lang w:val="en-US" w:eastAsia="zh-CN" w:bidi="ar-SA"/>
              </w:rPr>
              <w:t>0.90mg/L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846" w:type="pct"/>
            <w:vMerge w:val="restar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宋体" w:eastAsia="宋体" w:cs="宋体"/>
                <w:kern w:val="2"/>
                <w:sz w:val="22"/>
                <w:szCs w:val="22"/>
                <w:highlight w:val="none"/>
                <w:lang w:val="en-US" w:eastAsia="zh-CN" w:bidi="ar-SA"/>
              </w:rPr>
              <w:t>细菌学指标</w:t>
            </w:r>
          </w:p>
        </w:tc>
        <w:tc>
          <w:tcPr>
            <w:tcW w:w="2103"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宋体" w:eastAsia="宋体" w:cs="宋体"/>
                <w:kern w:val="2"/>
                <w:sz w:val="22"/>
                <w:szCs w:val="22"/>
                <w:highlight w:val="none"/>
                <w:lang w:val="en-US" w:eastAsia="zh-CN" w:bidi="ar-SA"/>
              </w:rPr>
              <w:t>细菌总数</w:t>
            </w:r>
          </w:p>
        </w:tc>
        <w:tc>
          <w:tcPr>
            <w:tcW w:w="2052"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Times New Roman" w:eastAsia="宋体" w:cs="宋体"/>
                <w:kern w:val="2"/>
                <w:sz w:val="22"/>
                <w:szCs w:val="22"/>
                <w:highlight w:val="none"/>
                <w:lang w:val="en-US" w:eastAsia="zh-CN" w:bidi="ar-SA"/>
              </w:rPr>
              <w:t>50cfu/ML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846" w:type="pct"/>
            <w:vMerge w:val="continue"/>
            <w:noWrap w:val="0"/>
            <w:vAlign w:val="center"/>
          </w:tcPr>
          <w:p>
            <w:pPr>
              <w:widowControl/>
              <w:rPr>
                <w:rFonts w:ascii="Times New Roman" w:hAnsi="Times New Roman" w:eastAsia="宋体" w:cs="宋体"/>
                <w:kern w:val="2"/>
                <w:sz w:val="22"/>
                <w:szCs w:val="22"/>
                <w:highlight w:val="none"/>
                <w:lang w:val="en-US" w:eastAsia="zh-CN" w:bidi="ar-SA"/>
              </w:rPr>
            </w:pPr>
          </w:p>
        </w:tc>
        <w:tc>
          <w:tcPr>
            <w:tcW w:w="2103"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宋体" w:eastAsia="宋体" w:cs="宋体"/>
                <w:kern w:val="2"/>
                <w:sz w:val="22"/>
                <w:szCs w:val="22"/>
                <w:highlight w:val="none"/>
                <w:lang w:val="en-US" w:eastAsia="zh-CN" w:bidi="ar-SA"/>
              </w:rPr>
              <w:t>总大肠菌群</w:t>
            </w:r>
          </w:p>
        </w:tc>
        <w:tc>
          <w:tcPr>
            <w:tcW w:w="2052"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宋体" w:eastAsia="宋体" w:cs="宋体"/>
                <w:kern w:val="2"/>
                <w:sz w:val="22"/>
                <w:szCs w:val="22"/>
                <w:highlight w:val="none"/>
                <w:lang w:val="en-US" w:eastAsia="zh-CN" w:bidi="ar-SA"/>
              </w:rPr>
              <w:t>每</w:t>
            </w:r>
            <w:r>
              <w:rPr>
                <w:rFonts w:hint="eastAsia" w:ascii="Times New Roman" w:hAnsi="Times New Roman" w:eastAsia="宋体" w:cs="宋体"/>
                <w:kern w:val="2"/>
                <w:sz w:val="22"/>
                <w:szCs w:val="22"/>
                <w:highlight w:val="none"/>
                <w:lang w:val="en-US" w:eastAsia="zh-CN" w:bidi="ar-SA"/>
              </w:rPr>
              <w:t>100mL</w:t>
            </w:r>
            <w:r>
              <w:rPr>
                <w:rFonts w:hint="eastAsia" w:ascii="Times New Roman" w:hAnsi="宋体" w:eastAsia="宋体" w:cs="宋体"/>
                <w:kern w:val="2"/>
                <w:sz w:val="22"/>
                <w:szCs w:val="22"/>
                <w:highlight w:val="none"/>
                <w:lang w:val="en-US" w:eastAsia="zh-CN" w:bidi="ar-SA"/>
              </w:rPr>
              <w:t>水样中不得检出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846" w:type="pct"/>
            <w:vMerge w:val="continue"/>
            <w:noWrap w:val="0"/>
            <w:vAlign w:val="center"/>
          </w:tcPr>
          <w:p>
            <w:pPr>
              <w:widowControl/>
              <w:rPr>
                <w:rFonts w:ascii="Times New Roman" w:hAnsi="Times New Roman" w:eastAsia="宋体" w:cs="宋体"/>
                <w:kern w:val="2"/>
                <w:sz w:val="22"/>
                <w:szCs w:val="22"/>
                <w:highlight w:val="none"/>
                <w:lang w:val="en-US" w:eastAsia="zh-CN" w:bidi="ar-SA"/>
              </w:rPr>
            </w:pPr>
          </w:p>
        </w:tc>
        <w:tc>
          <w:tcPr>
            <w:tcW w:w="2103"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宋体" w:eastAsia="宋体" w:cs="宋体"/>
                <w:kern w:val="2"/>
                <w:sz w:val="22"/>
                <w:szCs w:val="22"/>
                <w:highlight w:val="none"/>
                <w:lang w:val="en-US" w:eastAsia="zh-CN" w:bidi="ar-SA"/>
              </w:rPr>
              <w:t>类大肠菌群</w:t>
            </w:r>
          </w:p>
        </w:tc>
        <w:tc>
          <w:tcPr>
            <w:tcW w:w="2052"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宋体" w:eastAsia="宋体" w:cs="宋体"/>
                <w:kern w:val="2"/>
                <w:sz w:val="22"/>
                <w:szCs w:val="22"/>
                <w:highlight w:val="none"/>
                <w:lang w:val="en-US" w:eastAsia="zh-CN" w:bidi="ar-SA"/>
              </w:rPr>
              <w:t>每</w:t>
            </w:r>
            <w:r>
              <w:rPr>
                <w:rFonts w:hint="eastAsia" w:ascii="Times New Roman" w:hAnsi="Times New Roman" w:eastAsia="宋体" w:cs="宋体"/>
                <w:kern w:val="2"/>
                <w:sz w:val="22"/>
                <w:szCs w:val="22"/>
                <w:highlight w:val="none"/>
                <w:lang w:val="en-US" w:eastAsia="zh-CN" w:bidi="ar-SA"/>
              </w:rPr>
              <w:t>100mL</w:t>
            </w:r>
            <w:r>
              <w:rPr>
                <w:rFonts w:hint="eastAsia" w:ascii="Times New Roman" w:hAnsi="宋体" w:eastAsia="宋体" w:cs="宋体"/>
                <w:kern w:val="2"/>
                <w:sz w:val="22"/>
                <w:szCs w:val="22"/>
                <w:highlight w:val="none"/>
                <w:lang w:val="en-US" w:eastAsia="zh-CN" w:bidi="ar-SA"/>
              </w:rPr>
              <w:t>水样中不得检出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846" w:type="pct"/>
            <w:vMerge w:val="continue"/>
            <w:noWrap w:val="0"/>
            <w:vAlign w:val="center"/>
          </w:tcPr>
          <w:p>
            <w:pPr>
              <w:widowControl/>
              <w:rPr>
                <w:rFonts w:ascii="Times New Roman" w:hAnsi="Times New Roman" w:eastAsia="宋体" w:cs="宋体"/>
                <w:kern w:val="2"/>
                <w:sz w:val="22"/>
                <w:szCs w:val="22"/>
                <w:highlight w:val="none"/>
                <w:lang w:val="en-US" w:eastAsia="zh-CN" w:bidi="ar-SA"/>
              </w:rPr>
            </w:pPr>
          </w:p>
        </w:tc>
        <w:tc>
          <w:tcPr>
            <w:tcW w:w="2103"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宋体" w:eastAsia="宋体" w:cs="宋体"/>
                <w:kern w:val="2"/>
                <w:sz w:val="22"/>
                <w:szCs w:val="22"/>
                <w:highlight w:val="none"/>
                <w:lang w:val="en-US" w:eastAsia="zh-CN" w:bidi="ar-SA"/>
              </w:rPr>
              <w:t>余氯</w:t>
            </w:r>
          </w:p>
        </w:tc>
        <w:tc>
          <w:tcPr>
            <w:tcW w:w="2052"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Times New Roman" w:eastAsia="宋体" w:cs="宋体"/>
                <w:kern w:val="2"/>
                <w:sz w:val="22"/>
                <w:szCs w:val="22"/>
                <w:highlight w:val="none"/>
                <w:lang w:val="en-US" w:eastAsia="zh-CN" w:bidi="ar-SA"/>
              </w:rPr>
              <w:t>0.01mg/L</w:t>
            </w:r>
            <w:r>
              <w:rPr>
                <w:rFonts w:hint="eastAsia" w:ascii="Times New Roman" w:hAnsi="宋体" w:eastAsia="宋体" w:cs="宋体"/>
                <w:kern w:val="2"/>
                <w:sz w:val="22"/>
                <w:szCs w:val="22"/>
                <w:highlight w:val="none"/>
                <w:lang w:val="en-US" w:eastAsia="zh-CN" w:bidi="ar-SA"/>
              </w:rPr>
              <w:t>（管网末梢水）</w:t>
            </w:r>
            <w:r>
              <w:rPr>
                <w:rFonts w:hint="eastAsia" w:ascii="Times New Roman" w:hAnsi="Times New Roman" w:eastAsia="宋体" w:cs="宋体"/>
                <w:kern w:val="2"/>
                <w:sz w:val="22"/>
                <w:szCs w:val="22"/>
                <w:highlight w:val="none"/>
                <w:vertAlign w:val="superscript"/>
                <w:lang w:val="en-US" w:eastAsia="zh-CN" w:bidi="ar-S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846" w:type="pct"/>
            <w:vMerge w:val="continue"/>
            <w:noWrap w:val="0"/>
            <w:vAlign w:val="center"/>
          </w:tcPr>
          <w:p>
            <w:pPr>
              <w:widowControl/>
              <w:rPr>
                <w:rFonts w:ascii="Times New Roman" w:hAnsi="Times New Roman" w:eastAsia="宋体" w:cs="宋体"/>
                <w:kern w:val="2"/>
                <w:sz w:val="22"/>
                <w:szCs w:val="22"/>
                <w:highlight w:val="none"/>
                <w:lang w:val="en-US" w:eastAsia="zh-CN" w:bidi="ar-SA"/>
              </w:rPr>
            </w:pPr>
          </w:p>
        </w:tc>
        <w:tc>
          <w:tcPr>
            <w:tcW w:w="2103"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宋体" w:eastAsia="宋体" w:cs="宋体"/>
                <w:kern w:val="2"/>
                <w:sz w:val="22"/>
                <w:szCs w:val="22"/>
                <w:highlight w:val="none"/>
                <w:lang w:val="en-US" w:eastAsia="zh-CN" w:bidi="ar-SA"/>
              </w:rPr>
              <w:t>臭氧（采用</w:t>
            </w:r>
            <w:r>
              <w:rPr>
                <w:rFonts w:hint="eastAsia" w:ascii="Times New Roman" w:hAnsi="Times New Roman" w:eastAsia="宋体" w:cs="宋体"/>
                <w:kern w:val="2"/>
                <w:sz w:val="22"/>
                <w:szCs w:val="22"/>
                <w:highlight w:val="none"/>
                <w:lang w:val="en-US" w:eastAsia="zh-CN" w:bidi="ar-SA"/>
              </w:rPr>
              <w:t>O</w:t>
            </w:r>
            <w:r>
              <w:rPr>
                <w:rFonts w:hint="eastAsia" w:ascii="Times New Roman" w:hAnsi="Times New Roman" w:eastAsia="宋体" w:cs="宋体"/>
                <w:kern w:val="2"/>
                <w:sz w:val="22"/>
                <w:szCs w:val="22"/>
                <w:highlight w:val="none"/>
                <w:vertAlign w:val="subscript"/>
                <w:lang w:val="en-US" w:eastAsia="zh-CN" w:bidi="ar-SA"/>
              </w:rPr>
              <w:t>3</w:t>
            </w:r>
            <w:r>
              <w:rPr>
                <w:rFonts w:hint="eastAsia" w:ascii="Times New Roman" w:hAnsi="宋体" w:eastAsia="宋体" w:cs="宋体"/>
                <w:kern w:val="2"/>
                <w:sz w:val="22"/>
                <w:szCs w:val="22"/>
                <w:highlight w:val="none"/>
                <w:lang w:val="en-US" w:eastAsia="zh-CN" w:bidi="ar-SA"/>
              </w:rPr>
              <w:t>消毒时测定）</w:t>
            </w:r>
          </w:p>
        </w:tc>
        <w:tc>
          <w:tcPr>
            <w:tcW w:w="2052"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Times New Roman" w:eastAsia="宋体" w:cs="宋体"/>
                <w:kern w:val="2"/>
                <w:sz w:val="22"/>
                <w:szCs w:val="22"/>
                <w:highlight w:val="none"/>
                <w:lang w:val="en-US" w:eastAsia="zh-CN" w:bidi="ar-SA"/>
              </w:rPr>
              <w:t>0.01mg/L</w:t>
            </w:r>
            <w:r>
              <w:rPr>
                <w:rFonts w:hint="eastAsia" w:ascii="Times New Roman" w:hAnsi="宋体" w:eastAsia="宋体" w:cs="宋体"/>
                <w:kern w:val="2"/>
                <w:sz w:val="22"/>
                <w:szCs w:val="22"/>
                <w:highlight w:val="none"/>
                <w:lang w:val="en-US" w:eastAsia="zh-CN" w:bidi="ar-SA"/>
              </w:rPr>
              <w:t>（管网末梢水）</w:t>
            </w:r>
            <w:r>
              <w:rPr>
                <w:rFonts w:hint="eastAsia" w:ascii="Times New Roman" w:hAnsi="Times New Roman" w:eastAsia="宋体" w:cs="宋体"/>
                <w:kern w:val="2"/>
                <w:sz w:val="22"/>
                <w:szCs w:val="22"/>
                <w:highlight w:val="none"/>
                <w:vertAlign w:val="superscript"/>
                <w:lang w:val="en-US" w:eastAsia="zh-CN" w:bidi="ar-S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846" w:type="pct"/>
            <w:vMerge w:val="continue"/>
            <w:noWrap w:val="0"/>
            <w:vAlign w:val="center"/>
          </w:tcPr>
          <w:p>
            <w:pPr>
              <w:widowControl/>
              <w:rPr>
                <w:rFonts w:ascii="Times New Roman" w:hAnsi="Times New Roman" w:eastAsia="宋体" w:cs="宋体"/>
                <w:kern w:val="2"/>
                <w:sz w:val="22"/>
                <w:szCs w:val="22"/>
                <w:highlight w:val="none"/>
                <w:lang w:val="en-US" w:eastAsia="zh-CN" w:bidi="ar-SA"/>
              </w:rPr>
            </w:pPr>
          </w:p>
        </w:tc>
        <w:tc>
          <w:tcPr>
            <w:tcW w:w="2103"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宋体" w:eastAsia="宋体" w:cs="宋体"/>
                <w:kern w:val="2"/>
                <w:sz w:val="22"/>
                <w:szCs w:val="22"/>
                <w:highlight w:val="none"/>
                <w:lang w:val="en-US" w:eastAsia="zh-CN" w:bidi="ar-SA"/>
              </w:rPr>
              <w:t>二氧化氯（采用</w:t>
            </w:r>
            <w:r>
              <w:rPr>
                <w:rFonts w:hint="eastAsia" w:ascii="Times New Roman" w:hAnsi="Times New Roman" w:eastAsia="宋体" w:cs="宋体"/>
                <w:kern w:val="2"/>
                <w:sz w:val="22"/>
                <w:szCs w:val="22"/>
                <w:highlight w:val="none"/>
                <w:lang w:val="en-US" w:eastAsia="zh-CN" w:bidi="ar-SA"/>
              </w:rPr>
              <w:t>ClO</w:t>
            </w:r>
            <w:r>
              <w:rPr>
                <w:rFonts w:hint="eastAsia" w:ascii="Times New Roman" w:hAnsi="Times New Roman" w:eastAsia="宋体" w:cs="宋体"/>
                <w:kern w:val="2"/>
                <w:sz w:val="22"/>
                <w:szCs w:val="22"/>
                <w:highlight w:val="none"/>
                <w:vertAlign w:val="subscript"/>
                <w:lang w:val="en-US" w:eastAsia="zh-CN" w:bidi="ar-SA"/>
              </w:rPr>
              <w:t>2</w:t>
            </w:r>
            <w:r>
              <w:rPr>
                <w:rFonts w:hint="eastAsia" w:ascii="Times New Roman" w:hAnsi="宋体" w:eastAsia="宋体" w:cs="宋体"/>
                <w:kern w:val="2"/>
                <w:sz w:val="22"/>
                <w:szCs w:val="22"/>
                <w:highlight w:val="none"/>
                <w:lang w:val="en-US" w:eastAsia="zh-CN" w:bidi="ar-SA"/>
              </w:rPr>
              <w:t>消毒时测定）</w:t>
            </w:r>
          </w:p>
        </w:tc>
        <w:tc>
          <w:tcPr>
            <w:tcW w:w="2052" w:type="pct"/>
            <w:noWrap w:val="0"/>
            <w:vAlign w:val="center"/>
          </w:tcPr>
          <w:p>
            <w:pPr>
              <w:widowControl/>
              <w:jc w:val="center"/>
              <w:rPr>
                <w:rFonts w:ascii="Times New Roman" w:hAnsi="Times New Roman" w:eastAsia="宋体" w:cs="宋体"/>
                <w:kern w:val="2"/>
                <w:sz w:val="22"/>
                <w:szCs w:val="22"/>
                <w:highlight w:val="none"/>
                <w:lang w:val="en-US" w:eastAsia="zh-CN" w:bidi="ar-SA"/>
              </w:rPr>
            </w:pPr>
            <w:r>
              <w:rPr>
                <w:rFonts w:hint="eastAsia" w:ascii="Times New Roman" w:hAnsi="Times New Roman" w:eastAsia="宋体" w:cs="宋体"/>
                <w:kern w:val="2"/>
                <w:sz w:val="22"/>
                <w:szCs w:val="22"/>
                <w:highlight w:val="none"/>
                <w:lang w:val="en-US" w:eastAsia="zh-CN" w:bidi="ar-SA"/>
              </w:rPr>
              <w:t>0.01mg/L</w:t>
            </w:r>
            <w:r>
              <w:rPr>
                <w:rFonts w:hint="eastAsia" w:ascii="Times New Roman" w:hAnsi="宋体" w:eastAsia="宋体" w:cs="宋体"/>
                <w:kern w:val="2"/>
                <w:sz w:val="22"/>
                <w:szCs w:val="22"/>
                <w:highlight w:val="none"/>
                <w:lang w:val="en-US" w:eastAsia="zh-CN" w:bidi="ar-SA"/>
              </w:rPr>
              <w:t>（管网末梢水）</w:t>
            </w:r>
            <w:r>
              <w:rPr>
                <w:rFonts w:hint="eastAsia" w:ascii="Times New Roman" w:hAnsi="Times New Roman" w:eastAsia="宋体" w:cs="宋体"/>
                <w:kern w:val="2"/>
                <w:sz w:val="22"/>
                <w:szCs w:val="22"/>
                <w:highlight w:val="none"/>
                <w:vertAlign w:val="superscript"/>
                <w:lang w:val="en-US" w:eastAsia="zh-CN" w:bidi="ar-SA"/>
              </w:rPr>
              <w:t xml:space="preserve">*         </w:t>
            </w:r>
            <w:r>
              <w:rPr>
                <w:rFonts w:hint="eastAsia" w:ascii="Times New Roman" w:hAnsi="宋体" w:eastAsia="宋体" w:cs="宋体"/>
                <w:kern w:val="2"/>
                <w:sz w:val="22"/>
                <w:szCs w:val="22"/>
                <w:highlight w:val="none"/>
                <w:lang w:val="en-US" w:eastAsia="zh-CN" w:bidi="ar-SA"/>
              </w:rPr>
              <w:t>或余氯</w:t>
            </w:r>
            <w:r>
              <w:rPr>
                <w:rFonts w:hint="eastAsia" w:ascii="Times New Roman" w:hAnsi="Times New Roman" w:eastAsia="宋体" w:cs="宋体"/>
                <w:kern w:val="2"/>
                <w:sz w:val="22"/>
                <w:szCs w:val="22"/>
                <w:highlight w:val="none"/>
                <w:lang w:val="en-US" w:eastAsia="zh-CN" w:bidi="ar-SA"/>
              </w:rPr>
              <w:t>0.01mg/L</w:t>
            </w:r>
            <w:r>
              <w:rPr>
                <w:rFonts w:hint="eastAsia" w:ascii="Times New Roman" w:hAnsi="宋体" w:eastAsia="宋体" w:cs="宋体"/>
                <w:kern w:val="2"/>
                <w:sz w:val="22"/>
                <w:szCs w:val="22"/>
                <w:highlight w:val="none"/>
                <w:lang w:val="en-US" w:eastAsia="zh-CN" w:bidi="ar-SA"/>
              </w:rPr>
              <w:t>（管网末梢水）</w:t>
            </w:r>
            <w:r>
              <w:rPr>
                <w:rFonts w:hint="eastAsia" w:ascii="Times New Roman" w:hAnsi="Times New Roman" w:eastAsia="宋体" w:cs="宋体"/>
                <w:kern w:val="2"/>
                <w:sz w:val="22"/>
                <w:szCs w:val="22"/>
                <w:highlight w:val="none"/>
                <w:vertAlign w:val="superscript"/>
                <w:lang w:val="en-US" w:eastAsia="zh-CN" w:bidi="ar-S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5000" w:type="pct"/>
            <w:gridSpan w:val="3"/>
            <w:noWrap w:val="0"/>
            <w:vAlign w:val="center"/>
          </w:tcPr>
          <w:p>
            <w:pPr>
              <w:widowControl/>
              <w:rPr>
                <w:rFonts w:ascii="Times New Roman" w:hAnsi="Times New Roman" w:eastAsia="宋体" w:cs="宋体"/>
                <w:kern w:val="2"/>
                <w:sz w:val="22"/>
                <w:szCs w:val="22"/>
                <w:highlight w:val="none"/>
                <w:lang w:val="en-US" w:eastAsia="zh-CN" w:bidi="ar-SA"/>
              </w:rPr>
            </w:pPr>
            <w:r>
              <w:rPr>
                <w:rFonts w:hint="eastAsia" w:ascii="Times New Roman" w:hAnsi="宋体" w:eastAsia="宋体" w:cs="宋体"/>
                <w:kern w:val="2"/>
                <w:sz w:val="22"/>
                <w:szCs w:val="22"/>
                <w:highlight w:val="none"/>
                <w:lang w:val="en-US" w:eastAsia="zh-CN" w:bidi="ar-SA"/>
              </w:rPr>
              <w:t>注：表中带</w:t>
            </w:r>
            <w:r>
              <w:rPr>
                <w:rFonts w:hint="eastAsia" w:ascii="Times New Roman" w:hAnsi="Times New Roman" w:eastAsia="宋体" w:cs="宋体"/>
                <w:kern w:val="2"/>
                <w:sz w:val="22"/>
                <w:szCs w:val="22"/>
                <w:highlight w:val="none"/>
                <w:lang w:val="en-US" w:eastAsia="zh-CN" w:bidi="ar-SA"/>
              </w:rPr>
              <w:t>“*”</w:t>
            </w:r>
            <w:r>
              <w:rPr>
                <w:rFonts w:hint="eastAsia" w:ascii="Times New Roman" w:hAnsi="宋体" w:eastAsia="宋体" w:cs="宋体"/>
                <w:kern w:val="2"/>
                <w:sz w:val="22"/>
                <w:szCs w:val="22"/>
                <w:highlight w:val="none"/>
                <w:lang w:val="en-US" w:eastAsia="zh-CN" w:bidi="ar-SA"/>
              </w:rPr>
              <w:t>的限值为该项目的检出限，实测浓度应不小于检出限。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846" w:type="pct"/>
            <w:noWrap w:val="0"/>
            <w:vAlign w:val="center"/>
          </w:tcPr>
          <w:p>
            <w:pPr>
              <w:widowControl/>
              <w:rPr>
                <w:rFonts w:ascii="Times New Roman" w:hAnsi="Times New Roman" w:eastAsia="宋体" w:cs="宋体"/>
                <w:kern w:val="2"/>
                <w:sz w:val="22"/>
                <w:szCs w:val="22"/>
                <w:highlight w:val="none"/>
                <w:lang w:val="en-US" w:eastAsia="zh-CN" w:bidi="ar-SA"/>
              </w:rPr>
            </w:pPr>
          </w:p>
        </w:tc>
        <w:tc>
          <w:tcPr>
            <w:tcW w:w="2103" w:type="pct"/>
            <w:noWrap w:val="0"/>
            <w:vAlign w:val="center"/>
          </w:tcPr>
          <w:p>
            <w:pPr>
              <w:widowControl/>
              <w:rPr>
                <w:rFonts w:ascii="Times New Roman" w:hAnsi="Times New Roman" w:eastAsia="宋体" w:cs="宋体"/>
                <w:kern w:val="2"/>
                <w:sz w:val="22"/>
                <w:szCs w:val="22"/>
                <w:highlight w:val="none"/>
                <w:lang w:val="en-US" w:eastAsia="zh-CN" w:bidi="ar-SA"/>
              </w:rPr>
            </w:pPr>
          </w:p>
        </w:tc>
        <w:tc>
          <w:tcPr>
            <w:tcW w:w="2052" w:type="pct"/>
            <w:noWrap w:val="0"/>
            <w:vAlign w:val="center"/>
          </w:tcPr>
          <w:p>
            <w:pPr>
              <w:widowControl/>
              <w:rPr>
                <w:rFonts w:ascii="Times New Roman" w:hAnsi="Times New Roman" w:eastAsia="宋体" w:cs="宋体"/>
                <w:kern w:val="2"/>
                <w:sz w:val="22"/>
                <w:szCs w:val="22"/>
                <w:highlight w:val="none"/>
                <w:lang w:val="en-US" w:eastAsia="zh-CN" w:bidi="ar-SA"/>
              </w:rPr>
            </w:pPr>
          </w:p>
        </w:tc>
      </w:tr>
    </w:tbl>
    <w:p>
      <w:pPr>
        <w:rPr>
          <w:rFonts w:ascii="Times New Roman" w:hAnsi="Times New Roman" w:eastAsia="宋体" w:cs="Times New Roman"/>
          <w:kern w:val="2"/>
          <w:sz w:val="21"/>
          <w:szCs w:val="22"/>
          <w:highlight w:val="none"/>
          <w:lang w:val="en-US" w:eastAsia="zh-CN" w:bidi="ar-SA"/>
        </w:rPr>
      </w:pPr>
    </w:p>
    <w:p>
      <w:pPr>
        <w:widowControl w:val="0"/>
        <w:numPr>
          <w:ilvl w:val="0"/>
          <w:numId w:val="3"/>
        </w:numPr>
        <w:wordWrap w:val="0"/>
        <w:adjustRightInd w:val="0"/>
        <w:snapToGrid w:val="0"/>
        <w:jc w:val="left"/>
        <w:outlineLvl w:val="2"/>
        <w:rPr>
          <w:rFonts w:ascii="Times New Roman" w:hAnsi="Times New Roman" w:eastAsia="宋体" w:cs="Times New Roman"/>
          <w:b/>
          <w:snapToGrid w:val="0"/>
          <w:kern w:val="2"/>
          <w:sz w:val="24"/>
          <w:szCs w:val="18"/>
          <w:highlight w:val="none"/>
          <w:lang w:val="en-US" w:eastAsia="zh-CN" w:bidi="ar-SA"/>
        </w:rPr>
      </w:pPr>
      <w:r>
        <w:rPr>
          <w:rFonts w:hint="eastAsia" w:ascii="Times New Roman" w:hAnsi="Times New Roman" w:eastAsia="宋体" w:cs="Times New Roman"/>
          <w:b/>
          <w:snapToGrid w:val="0"/>
          <w:kern w:val="2"/>
          <w:sz w:val="24"/>
          <w:szCs w:val="18"/>
          <w:highlight w:val="none"/>
          <w:lang w:val="en-US" w:eastAsia="zh-CN" w:bidi="ar-SA"/>
        </w:rPr>
        <w:t>软化水标准</w:t>
      </w:r>
    </w:p>
    <w:tbl>
      <w:tblPr>
        <w:tblStyle w:val="3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842"/>
        <w:gridCol w:w="48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0" w:type="pct"/>
            <w:shd w:val="clear" w:color="auto" w:fill="92D050"/>
            <w:noWrap w:val="0"/>
            <w:vAlign w:val="top"/>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kern w:val="0"/>
                <w:sz w:val="22"/>
                <w:szCs w:val="22"/>
                <w:highlight w:val="none"/>
                <w:lang w:val="en-US" w:eastAsia="zh-CN" w:bidi="ar-SA"/>
              </w:rPr>
            </w:pPr>
            <w:r>
              <w:rPr>
                <w:rFonts w:hint="eastAsia" w:ascii="Times New Roman" w:hAnsi="Times New Roman" w:eastAsia="宋体" w:cs="Times New Roman"/>
                <w:snapToGrid/>
                <w:kern w:val="0"/>
                <w:sz w:val="22"/>
                <w:szCs w:val="22"/>
                <w:highlight w:val="none"/>
                <w:lang w:val="en-US" w:eastAsia="zh-CN" w:bidi="ar-SA"/>
              </w:rPr>
              <w:t>项目</w:t>
            </w:r>
          </w:p>
        </w:tc>
        <w:tc>
          <w:tcPr>
            <w:tcW w:w="2500" w:type="pct"/>
            <w:shd w:val="clear" w:color="auto" w:fill="92D050"/>
            <w:noWrap w:val="0"/>
            <w:vAlign w:val="top"/>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kern w:val="0"/>
                <w:sz w:val="22"/>
                <w:szCs w:val="22"/>
                <w:highlight w:val="none"/>
                <w:lang w:val="en-US" w:eastAsia="zh-CN" w:bidi="ar-SA"/>
              </w:rPr>
            </w:pPr>
            <w:r>
              <w:rPr>
                <w:rFonts w:hint="eastAsia" w:ascii="Times New Roman" w:hAnsi="Times New Roman" w:eastAsia="宋体" w:cs="Times New Roman"/>
                <w:snapToGrid/>
                <w:kern w:val="0"/>
                <w:sz w:val="22"/>
                <w:szCs w:val="22"/>
                <w:highlight w:val="none"/>
                <w:lang w:val="en-US" w:eastAsia="zh-CN" w:bidi="ar-SA"/>
              </w:rPr>
              <w:t>指标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0" w:type="pct"/>
            <w:noWrap w:val="0"/>
            <w:vAlign w:val="top"/>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kern w:val="0"/>
                <w:sz w:val="22"/>
                <w:szCs w:val="22"/>
                <w:highlight w:val="none"/>
                <w:lang w:val="en-US" w:eastAsia="zh-CN" w:bidi="ar-SA"/>
              </w:rPr>
            </w:pPr>
            <w:r>
              <w:rPr>
                <w:rFonts w:hint="eastAsia" w:ascii="Times New Roman" w:hAnsi="Times New Roman" w:eastAsia="宋体" w:cs="Times New Roman"/>
                <w:snapToGrid/>
                <w:kern w:val="0"/>
                <w:sz w:val="22"/>
                <w:szCs w:val="22"/>
                <w:highlight w:val="none"/>
                <w:lang w:val="en-US" w:eastAsia="zh-CN" w:bidi="ar-SA"/>
              </w:rPr>
              <w:t>硬度</w:t>
            </w:r>
          </w:p>
        </w:tc>
        <w:tc>
          <w:tcPr>
            <w:tcW w:w="2500" w:type="pct"/>
            <w:noWrap w:val="0"/>
            <w:vAlign w:val="top"/>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kern w:val="0"/>
                <w:sz w:val="22"/>
                <w:szCs w:val="22"/>
                <w:highlight w:val="none"/>
                <w:lang w:val="en-US" w:eastAsia="zh-CN" w:bidi="ar-SA"/>
              </w:rPr>
            </w:pPr>
            <w:r>
              <w:rPr>
                <w:rFonts w:hint="eastAsia" w:ascii="Times New Roman" w:hAnsi="Times New Roman" w:eastAsia="宋体" w:cs="Times New Roman"/>
                <w:snapToGrid/>
                <w:kern w:val="0"/>
                <w:sz w:val="22"/>
                <w:szCs w:val="22"/>
                <w:highlight w:val="none"/>
                <w:lang w:val="en-US" w:eastAsia="zh-CN" w:bidi="ar-SA"/>
              </w:rPr>
              <w:t>硬度≤17ppm（以碳酸钙计）</w:t>
            </w:r>
          </w:p>
        </w:tc>
      </w:tr>
    </w:tbl>
    <w:p>
      <w:pPr>
        <w:rPr>
          <w:rFonts w:ascii="Times New Roman" w:hAnsi="Times New Roman" w:eastAsia="宋体" w:cs="Times New Roman"/>
          <w:kern w:val="2"/>
          <w:sz w:val="21"/>
          <w:szCs w:val="22"/>
          <w:highlight w:val="none"/>
          <w:lang w:val="en-US" w:eastAsia="zh-CN" w:bidi="ar-SA"/>
        </w:rPr>
      </w:pPr>
    </w:p>
    <w:p>
      <w:pPr>
        <w:widowControl w:val="0"/>
        <w:numPr>
          <w:ilvl w:val="0"/>
          <w:numId w:val="3"/>
        </w:numPr>
        <w:wordWrap w:val="0"/>
        <w:adjustRightInd w:val="0"/>
        <w:snapToGrid w:val="0"/>
        <w:jc w:val="left"/>
        <w:outlineLvl w:val="2"/>
        <w:rPr>
          <w:rFonts w:ascii="Times New Roman" w:hAnsi="Times New Roman" w:eastAsia="宋体" w:cs="Times New Roman"/>
          <w:b/>
          <w:snapToGrid w:val="0"/>
          <w:kern w:val="2"/>
          <w:sz w:val="24"/>
          <w:szCs w:val="18"/>
          <w:highlight w:val="none"/>
          <w:lang w:val="en-US" w:eastAsia="zh-CN" w:bidi="ar-SA"/>
        </w:rPr>
      </w:pPr>
      <w:r>
        <w:rPr>
          <w:rFonts w:hint="eastAsia" w:ascii="Times New Roman" w:hAnsi="Times New Roman" w:eastAsia="宋体" w:cs="Times New Roman"/>
          <w:b/>
          <w:snapToGrid w:val="0"/>
          <w:kern w:val="2"/>
          <w:sz w:val="24"/>
          <w:szCs w:val="18"/>
          <w:highlight w:val="none"/>
          <w:lang w:val="en-US" w:eastAsia="zh-CN" w:bidi="ar-SA"/>
        </w:rPr>
        <w:t>酸性氧化电位水标准</w:t>
      </w:r>
    </w:p>
    <w:tbl>
      <w:tblPr>
        <w:tblStyle w:val="32"/>
        <w:tblW w:w="5000" w:type="pct"/>
        <w:jc w:val="center"/>
        <w:tblLayout w:type="autofit"/>
        <w:tblCellMar>
          <w:top w:w="0" w:type="dxa"/>
          <w:left w:w="108" w:type="dxa"/>
          <w:bottom w:w="0" w:type="dxa"/>
          <w:right w:w="108" w:type="dxa"/>
        </w:tblCellMar>
      </w:tblPr>
      <w:tblGrid>
        <w:gridCol w:w="5012"/>
        <w:gridCol w:w="4672"/>
      </w:tblGrid>
      <w:tr>
        <w:tblPrEx>
          <w:tblCellMar>
            <w:top w:w="0" w:type="dxa"/>
            <w:left w:w="108" w:type="dxa"/>
            <w:bottom w:w="0" w:type="dxa"/>
            <w:right w:w="108" w:type="dxa"/>
          </w:tblCellMar>
        </w:tblPrEx>
        <w:trPr>
          <w:trHeight w:val="645" w:hRule="atLeast"/>
          <w:jc w:val="center"/>
        </w:trPr>
        <w:tc>
          <w:tcPr>
            <w:tcW w:w="2588" w:type="pct"/>
            <w:tcBorders>
              <w:top w:val="single" w:color="auto" w:sz="8" w:space="0"/>
              <w:left w:val="single" w:color="auto" w:sz="8" w:space="0"/>
              <w:bottom w:val="single" w:color="auto" w:sz="8" w:space="0"/>
              <w:right w:val="single" w:color="auto" w:sz="8" w:space="0"/>
            </w:tcBorders>
            <w:shd w:val="clear" w:color="auto" w:fill="92D050"/>
            <w:noWrap w:val="0"/>
            <w:vAlign w:val="center"/>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kern w:val="0"/>
                <w:sz w:val="22"/>
                <w:szCs w:val="22"/>
                <w:highlight w:val="none"/>
                <w:lang w:val="en-US" w:eastAsia="zh-CN" w:bidi="ar-SA"/>
              </w:rPr>
            </w:pPr>
            <w:r>
              <w:rPr>
                <w:rFonts w:hint="eastAsia" w:ascii="Times New Roman" w:hAnsi="Times New Roman" w:eastAsia="宋体" w:cs="Times New Roman"/>
                <w:snapToGrid/>
                <w:kern w:val="0"/>
                <w:sz w:val="22"/>
                <w:szCs w:val="22"/>
                <w:highlight w:val="none"/>
                <w:lang w:val="en-US" w:eastAsia="zh-CN" w:bidi="ar-SA"/>
              </w:rPr>
              <w:t>项目</w:t>
            </w:r>
          </w:p>
        </w:tc>
        <w:tc>
          <w:tcPr>
            <w:tcW w:w="2412" w:type="pct"/>
            <w:tcBorders>
              <w:top w:val="single" w:color="auto" w:sz="8" w:space="0"/>
              <w:left w:val="nil"/>
              <w:bottom w:val="single" w:color="auto" w:sz="8" w:space="0"/>
              <w:right w:val="single" w:color="auto" w:sz="8" w:space="0"/>
            </w:tcBorders>
            <w:shd w:val="clear" w:color="auto" w:fill="92D050"/>
            <w:noWrap w:val="0"/>
            <w:vAlign w:val="center"/>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kern w:val="0"/>
                <w:sz w:val="22"/>
                <w:szCs w:val="22"/>
                <w:highlight w:val="none"/>
                <w:lang w:val="en-US" w:eastAsia="zh-CN" w:bidi="ar-SA"/>
              </w:rPr>
            </w:pPr>
            <w:r>
              <w:rPr>
                <w:rFonts w:hint="eastAsia" w:ascii="Times New Roman" w:hAnsi="Times New Roman" w:eastAsia="宋体" w:cs="Times New Roman"/>
                <w:snapToGrid/>
                <w:kern w:val="0"/>
                <w:sz w:val="22"/>
                <w:szCs w:val="22"/>
                <w:highlight w:val="none"/>
                <w:lang w:val="en-US" w:eastAsia="zh-CN" w:bidi="ar-SA"/>
              </w:rPr>
              <w:t>标准值</w:t>
            </w:r>
          </w:p>
        </w:tc>
      </w:tr>
      <w:tr>
        <w:tblPrEx>
          <w:tblCellMar>
            <w:top w:w="0" w:type="dxa"/>
            <w:left w:w="108" w:type="dxa"/>
            <w:bottom w:w="0" w:type="dxa"/>
            <w:right w:w="108" w:type="dxa"/>
          </w:tblCellMar>
        </w:tblPrEx>
        <w:trPr>
          <w:trHeight w:val="499" w:hRule="atLeast"/>
          <w:jc w:val="center"/>
        </w:trPr>
        <w:tc>
          <w:tcPr>
            <w:tcW w:w="2588" w:type="pct"/>
            <w:tcBorders>
              <w:top w:val="nil"/>
              <w:left w:val="single" w:color="auto" w:sz="8" w:space="0"/>
              <w:bottom w:val="single" w:color="auto" w:sz="8" w:space="0"/>
              <w:right w:val="single" w:color="auto" w:sz="8" w:space="0"/>
            </w:tcBorders>
            <w:noWrap w:val="0"/>
            <w:vAlign w:val="center"/>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kern w:val="0"/>
                <w:sz w:val="22"/>
                <w:szCs w:val="22"/>
                <w:highlight w:val="none"/>
                <w:lang w:val="en-US" w:eastAsia="zh-CN" w:bidi="ar-SA"/>
              </w:rPr>
            </w:pPr>
            <w:r>
              <w:rPr>
                <w:rFonts w:hint="eastAsia" w:ascii="Times New Roman" w:hAnsi="Times New Roman" w:eastAsia="宋体" w:cs="Times New Roman"/>
                <w:snapToGrid/>
                <w:kern w:val="0"/>
                <w:sz w:val="22"/>
                <w:szCs w:val="22"/>
                <w:highlight w:val="none"/>
                <w:lang w:val="en-US" w:eastAsia="zh-CN" w:bidi="ar-SA"/>
              </w:rPr>
              <w:t>有效氯含量</w:t>
            </w:r>
          </w:p>
        </w:tc>
        <w:tc>
          <w:tcPr>
            <w:tcW w:w="2412" w:type="pct"/>
            <w:tcBorders>
              <w:top w:val="nil"/>
              <w:left w:val="nil"/>
              <w:bottom w:val="single" w:color="auto" w:sz="8" w:space="0"/>
              <w:right w:val="single" w:color="auto" w:sz="8" w:space="0"/>
            </w:tcBorders>
            <w:noWrap w:val="0"/>
            <w:vAlign w:val="center"/>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kern w:val="0"/>
                <w:sz w:val="22"/>
                <w:szCs w:val="22"/>
                <w:highlight w:val="none"/>
                <w:lang w:val="en-US" w:eastAsia="zh-CN" w:bidi="ar-SA"/>
              </w:rPr>
            </w:pPr>
            <w:r>
              <w:rPr>
                <w:rFonts w:hint="eastAsia" w:ascii="Times New Roman" w:hAnsi="Times New Roman" w:eastAsia="宋体" w:cs="Times New Roman"/>
                <w:snapToGrid/>
                <w:kern w:val="0"/>
                <w:sz w:val="22"/>
                <w:szCs w:val="22"/>
                <w:highlight w:val="none"/>
                <w:lang w:val="en-US" w:eastAsia="zh-CN" w:bidi="ar-SA"/>
              </w:rPr>
              <w:t>50-70（mg/L）</w:t>
            </w:r>
          </w:p>
        </w:tc>
      </w:tr>
      <w:tr>
        <w:tblPrEx>
          <w:tblCellMar>
            <w:top w:w="0" w:type="dxa"/>
            <w:left w:w="108" w:type="dxa"/>
            <w:bottom w:w="0" w:type="dxa"/>
            <w:right w:w="108" w:type="dxa"/>
          </w:tblCellMar>
        </w:tblPrEx>
        <w:trPr>
          <w:trHeight w:val="499" w:hRule="atLeast"/>
          <w:jc w:val="center"/>
        </w:trPr>
        <w:tc>
          <w:tcPr>
            <w:tcW w:w="2588" w:type="pct"/>
            <w:tcBorders>
              <w:top w:val="nil"/>
              <w:left w:val="single" w:color="auto" w:sz="8" w:space="0"/>
              <w:bottom w:val="single" w:color="auto" w:sz="8" w:space="0"/>
              <w:right w:val="single" w:color="auto" w:sz="8" w:space="0"/>
            </w:tcBorders>
            <w:noWrap w:val="0"/>
            <w:vAlign w:val="center"/>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kern w:val="0"/>
                <w:sz w:val="22"/>
                <w:szCs w:val="22"/>
                <w:highlight w:val="none"/>
                <w:lang w:val="en-US" w:eastAsia="zh-CN" w:bidi="ar-SA"/>
              </w:rPr>
            </w:pPr>
            <w:r>
              <w:rPr>
                <w:rFonts w:hint="eastAsia" w:ascii="Times New Roman" w:hAnsi="Times New Roman" w:eastAsia="宋体" w:cs="Times New Roman"/>
                <w:snapToGrid/>
                <w:kern w:val="0"/>
                <w:sz w:val="22"/>
                <w:szCs w:val="22"/>
                <w:highlight w:val="none"/>
                <w:lang w:val="en-US" w:eastAsia="zh-CN" w:bidi="ar-SA"/>
              </w:rPr>
              <w:t>PH值</w:t>
            </w:r>
          </w:p>
        </w:tc>
        <w:tc>
          <w:tcPr>
            <w:tcW w:w="2412" w:type="pct"/>
            <w:tcBorders>
              <w:top w:val="nil"/>
              <w:left w:val="nil"/>
              <w:bottom w:val="single" w:color="auto" w:sz="8" w:space="0"/>
              <w:right w:val="single" w:color="auto" w:sz="8" w:space="0"/>
            </w:tcBorders>
            <w:noWrap w:val="0"/>
            <w:vAlign w:val="center"/>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kern w:val="0"/>
                <w:sz w:val="22"/>
                <w:szCs w:val="22"/>
                <w:highlight w:val="none"/>
                <w:lang w:val="en-US" w:eastAsia="zh-CN" w:bidi="ar-SA"/>
              </w:rPr>
            </w:pPr>
            <w:r>
              <w:rPr>
                <w:rFonts w:hint="eastAsia" w:ascii="Times New Roman" w:hAnsi="Times New Roman" w:eastAsia="宋体" w:cs="Times New Roman"/>
                <w:snapToGrid/>
                <w:kern w:val="0"/>
                <w:sz w:val="22"/>
                <w:szCs w:val="22"/>
                <w:highlight w:val="none"/>
                <w:lang w:val="en-US" w:eastAsia="zh-CN" w:bidi="ar-SA"/>
              </w:rPr>
              <w:t>2.0-3.0（无量纲）</w:t>
            </w:r>
          </w:p>
        </w:tc>
      </w:tr>
      <w:tr>
        <w:tblPrEx>
          <w:tblCellMar>
            <w:top w:w="0" w:type="dxa"/>
            <w:left w:w="108" w:type="dxa"/>
            <w:bottom w:w="0" w:type="dxa"/>
            <w:right w:w="108" w:type="dxa"/>
          </w:tblCellMar>
        </w:tblPrEx>
        <w:trPr>
          <w:trHeight w:val="499" w:hRule="atLeast"/>
          <w:jc w:val="center"/>
        </w:trPr>
        <w:tc>
          <w:tcPr>
            <w:tcW w:w="2588" w:type="pct"/>
            <w:tcBorders>
              <w:top w:val="nil"/>
              <w:left w:val="single" w:color="auto" w:sz="8" w:space="0"/>
              <w:bottom w:val="single" w:color="auto" w:sz="8" w:space="0"/>
              <w:right w:val="single" w:color="auto" w:sz="8" w:space="0"/>
            </w:tcBorders>
            <w:noWrap w:val="0"/>
            <w:vAlign w:val="center"/>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kern w:val="0"/>
                <w:sz w:val="22"/>
                <w:szCs w:val="22"/>
                <w:highlight w:val="none"/>
                <w:lang w:val="en-US" w:eastAsia="zh-CN" w:bidi="ar-SA"/>
              </w:rPr>
            </w:pPr>
            <w:r>
              <w:rPr>
                <w:rFonts w:hint="eastAsia" w:ascii="Times New Roman" w:hAnsi="Times New Roman" w:eastAsia="宋体" w:cs="Times New Roman"/>
                <w:snapToGrid/>
                <w:kern w:val="0"/>
                <w:sz w:val="22"/>
                <w:szCs w:val="22"/>
                <w:highlight w:val="none"/>
                <w:lang w:val="en-US" w:eastAsia="zh-CN" w:bidi="ar-SA"/>
              </w:rPr>
              <w:t>氧化还原电位（ORP）</w:t>
            </w:r>
          </w:p>
        </w:tc>
        <w:tc>
          <w:tcPr>
            <w:tcW w:w="2412" w:type="pct"/>
            <w:tcBorders>
              <w:top w:val="nil"/>
              <w:left w:val="nil"/>
              <w:bottom w:val="single" w:color="auto" w:sz="8" w:space="0"/>
              <w:right w:val="single" w:color="auto" w:sz="8" w:space="0"/>
            </w:tcBorders>
            <w:noWrap w:val="0"/>
            <w:vAlign w:val="center"/>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kern w:val="0"/>
                <w:sz w:val="22"/>
                <w:szCs w:val="22"/>
                <w:highlight w:val="none"/>
                <w:lang w:val="en-US" w:eastAsia="zh-CN" w:bidi="ar-SA"/>
              </w:rPr>
            </w:pPr>
            <w:r>
              <w:rPr>
                <w:rFonts w:hint="eastAsia" w:ascii="Times New Roman" w:hAnsi="Times New Roman" w:eastAsia="宋体" w:cs="Times New Roman"/>
                <w:snapToGrid/>
                <w:kern w:val="0"/>
                <w:sz w:val="22"/>
                <w:szCs w:val="22"/>
                <w:highlight w:val="none"/>
                <w:lang w:val="en-US" w:eastAsia="zh-CN" w:bidi="ar-SA"/>
              </w:rPr>
              <w:t>≥1100mV</w:t>
            </w:r>
          </w:p>
        </w:tc>
      </w:tr>
      <w:tr>
        <w:tblPrEx>
          <w:tblCellMar>
            <w:top w:w="0" w:type="dxa"/>
            <w:left w:w="108" w:type="dxa"/>
            <w:bottom w:w="0" w:type="dxa"/>
            <w:right w:w="108" w:type="dxa"/>
          </w:tblCellMar>
        </w:tblPrEx>
        <w:trPr>
          <w:trHeight w:val="570" w:hRule="atLeast"/>
          <w:jc w:val="center"/>
        </w:trPr>
        <w:tc>
          <w:tcPr>
            <w:tcW w:w="2588" w:type="pct"/>
            <w:tcBorders>
              <w:top w:val="nil"/>
              <w:left w:val="single" w:color="auto" w:sz="8" w:space="0"/>
              <w:bottom w:val="single" w:color="auto" w:sz="8" w:space="0"/>
              <w:right w:val="single" w:color="auto" w:sz="8" w:space="0"/>
            </w:tcBorders>
            <w:noWrap w:val="0"/>
            <w:vAlign w:val="center"/>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kern w:val="0"/>
                <w:sz w:val="22"/>
                <w:szCs w:val="22"/>
                <w:highlight w:val="none"/>
                <w:lang w:val="en-US" w:eastAsia="zh-CN" w:bidi="ar-SA"/>
              </w:rPr>
            </w:pPr>
            <w:r>
              <w:rPr>
                <w:rFonts w:hint="eastAsia" w:ascii="Times New Roman" w:hAnsi="Times New Roman" w:eastAsia="宋体" w:cs="Times New Roman"/>
                <w:snapToGrid/>
                <w:kern w:val="0"/>
                <w:sz w:val="22"/>
                <w:szCs w:val="22"/>
                <w:highlight w:val="none"/>
                <w:lang w:val="en-US" w:eastAsia="zh-CN" w:bidi="ar-SA"/>
              </w:rPr>
              <w:t>残余氯离子</w:t>
            </w:r>
          </w:p>
        </w:tc>
        <w:tc>
          <w:tcPr>
            <w:tcW w:w="2412" w:type="pct"/>
            <w:tcBorders>
              <w:top w:val="nil"/>
              <w:left w:val="nil"/>
              <w:bottom w:val="single" w:color="auto" w:sz="8" w:space="0"/>
              <w:right w:val="single" w:color="auto" w:sz="8" w:space="0"/>
            </w:tcBorders>
            <w:noWrap w:val="0"/>
            <w:vAlign w:val="center"/>
          </w:tcPr>
          <w:p>
            <w:pPr>
              <w:widowControl w:val="0"/>
              <w:wordWrap w:val="0"/>
              <w:adjustRightInd w:val="0"/>
              <w:snapToGrid w:val="0"/>
              <w:spacing w:before="15" w:beforeLines="5" w:after="15" w:afterLines="5"/>
              <w:jc w:val="center"/>
              <w:textAlignment w:val="center"/>
              <w:rPr>
                <w:rFonts w:ascii="Times New Roman" w:hAnsi="Times New Roman" w:eastAsia="宋体" w:cs="Times New Roman"/>
                <w:snapToGrid/>
                <w:kern w:val="0"/>
                <w:sz w:val="22"/>
                <w:szCs w:val="22"/>
                <w:highlight w:val="none"/>
                <w:lang w:val="en-US" w:eastAsia="zh-CN" w:bidi="ar-SA"/>
              </w:rPr>
            </w:pPr>
            <w:r>
              <w:rPr>
                <w:rFonts w:hint="eastAsia" w:ascii="Times New Roman" w:hAnsi="Times New Roman" w:eastAsia="宋体" w:cs="Times New Roman"/>
                <w:snapToGrid/>
                <w:kern w:val="0"/>
                <w:sz w:val="22"/>
                <w:szCs w:val="22"/>
                <w:highlight w:val="none"/>
                <w:lang w:val="en-US" w:eastAsia="zh-CN" w:bidi="ar-SA"/>
              </w:rPr>
              <w:t>＜1000（mg/L）</w:t>
            </w:r>
          </w:p>
        </w:tc>
      </w:tr>
    </w:tbl>
    <w:p>
      <w:pPr>
        <w:rPr>
          <w:rFonts w:ascii="Times New Roman" w:hAnsi="Times New Roman" w:eastAsia="宋体" w:cs="Times New Roman"/>
          <w:kern w:val="2"/>
          <w:sz w:val="21"/>
          <w:szCs w:val="22"/>
          <w:highlight w:val="none"/>
          <w:lang w:val="en-US" w:eastAsia="zh-CN" w:bidi="ar-SA"/>
        </w:rPr>
      </w:pPr>
    </w:p>
    <w:p>
      <w:pPr>
        <w:tabs>
          <w:tab w:val="left" w:pos="1277"/>
        </w:tabs>
        <w:spacing w:line="360" w:lineRule="auto"/>
        <w:ind w:firstLine="315" w:firstLineChars="150"/>
        <w:jc w:val="left"/>
        <w:rPr>
          <w:rFonts w:ascii="Times New Roman" w:hAnsi="Times New Roman" w:eastAsia="宋体" w:cs="Times New Roman"/>
          <w:b/>
          <w:kern w:val="2"/>
          <w:sz w:val="21"/>
          <w:szCs w:val="21"/>
          <w:highlight w:val="none"/>
          <w:lang w:val="en-US" w:eastAsia="zh-CN" w:bidi="ar-SA"/>
        </w:rPr>
      </w:pPr>
      <w:r>
        <w:rPr>
          <w:rFonts w:hint="eastAsia" w:ascii="Times New Roman" w:hAnsi="Times New Roman" w:eastAsia="宋体" w:cs="Times New Roman"/>
          <w:kern w:val="2"/>
          <w:sz w:val="21"/>
          <w:szCs w:val="21"/>
          <w:highlight w:val="none"/>
          <w:lang w:val="en-US" w:eastAsia="zh-CN" w:bidi="ar-SA"/>
        </w:rPr>
        <w:t>各附表所列水质指标为最基本的引导性要求，投标人投标时可采用优于以上用水指标的标准。★</w:t>
      </w:r>
      <w:r>
        <w:rPr>
          <w:rFonts w:hint="eastAsia" w:ascii="Times New Roman" w:hAnsi="Times New Roman" w:eastAsia="宋体" w:cs="Times New Roman"/>
          <w:b/>
          <w:kern w:val="2"/>
          <w:sz w:val="21"/>
          <w:szCs w:val="21"/>
          <w:highlight w:val="none"/>
          <w:lang w:val="en-US" w:eastAsia="zh-CN" w:bidi="ar-SA"/>
        </w:rPr>
        <w:t>低于最基本的引导性要求的则为未实质性响应招标要求。</w:t>
      </w:r>
    </w:p>
    <w:p>
      <w:pPr>
        <w:tabs>
          <w:tab w:val="left" w:pos="1277"/>
        </w:tabs>
        <w:spacing w:line="360" w:lineRule="exact"/>
        <w:ind w:firstLine="316" w:firstLineChars="150"/>
        <w:jc w:val="left"/>
        <w:rPr>
          <w:rFonts w:ascii="Times New Roman" w:hAnsi="Times New Roman" w:eastAsia="宋体" w:cs="Times New Roman"/>
          <w:b/>
          <w:kern w:val="2"/>
          <w:sz w:val="21"/>
          <w:szCs w:val="21"/>
          <w:highlight w:val="none"/>
          <w:lang w:val="en-US" w:eastAsia="zh-CN" w:bidi="ar-SA"/>
        </w:rPr>
      </w:pPr>
    </w:p>
    <w:p>
      <w:pPr>
        <w:widowControl/>
        <w:numPr>
          <w:ilvl w:val="0"/>
          <w:numId w:val="39"/>
        </w:numPr>
        <w:spacing w:line="480" w:lineRule="auto"/>
        <w:jc w:val="both"/>
        <w:outlineLvl w:val="1"/>
        <w:rPr>
          <w:rFonts w:ascii="Times New Roman" w:hAnsi="Times New Roman" w:eastAsia="宋体" w:cs="Times New Roman"/>
          <w:b/>
          <w:kern w:val="0"/>
          <w:sz w:val="24"/>
          <w:szCs w:val="21"/>
          <w:highlight w:val="none"/>
          <w:lang w:val="en-US" w:eastAsia="zh-CN" w:bidi="ar-SA"/>
        </w:rPr>
      </w:pPr>
      <w:bookmarkStart w:id="443" w:name="_Toc18770"/>
      <w:r>
        <w:rPr>
          <w:rFonts w:hint="eastAsia" w:ascii="Times New Roman" w:hAnsi="Times New Roman" w:eastAsia="宋体" w:cs="Times New Roman"/>
          <w:b/>
          <w:kern w:val="0"/>
          <w:sz w:val="24"/>
          <w:szCs w:val="21"/>
          <w:highlight w:val="none"/>
          <w:lang w:val="en-US" w:eastAsia="zh-CN" w:bidi="ar-SA"/>
        </w:rPr>
        <w:t>工艺流程要求</w:t>
      </w:r>
      <w:bookmarkEnd w:id="443"/>
    </w:p>
    <w:p>
      <w:pPr>
        <w:jc w:val="center"/>
        <w:rPr>
          <w:rFonts w:ascii="Times New Roman" w:hAnsi="Times New Roman" w:eastAsia="宋体" w:cs="Times New Roman"/>
          <w:kern w:val="2"/>
          <w:sz w:val="21"/>
          <w:szCs w:val="22"/>
          <w:highlight w:val="none"/>
          <w:lang w:val="en-US" w:eastAsia="zh-CN" w:bidi="ar-SA"/>
        </w:rPr>
      </w:pPr>
      <w:r>
        <w:rPr>
          <w:rFonts w:ascii="Times New Roman" w:hAnsi="Times New Roman" w:eastAsia="宋体" w:cs="Times New Roman"/>
          <w:kern w:val="2"/>
          <w:sz w:val="21"/>
          <w:szCs w:val="22"/>
          <w:highlight w:val="none"/>
          <w:lang w:val="en-US" w:eastAsia="zh-CN" w:bidi="ar-SA"/>
        </w:rPr>
        <mc:AlternateContent>
          <mc:Choice Requires="wpg">
            <w:drawing>
              <wp:anchor distT="0" distB="0" distL="114300" distR="114300" simplePos="0" relativeHeight="251660288" behindDoc="0" locked="0" layoutInCell="1" allowOverlap="1">
                <wp:simplePos x="0" y="0"/>
                <wp:positionH relativeFrom="column">
                  <wp:posOffset>-635</wp:posOffset>
                </wp:positionH>
                <wp:positionV relativeFrom="paragraph">
                  <wp:posOffset>447675</wp:posOffset>
                </wp:positionV>
                <wp:extent cx="6173470" cy="3370580"/>
                <wp:effectExtent l="0" t="4445" r="17780" b="15875"/>
                <wp:wrapNone/>
                <wp:docPr id="33" name="组合 34"/>
                <wp:cNvGraphicFramePr/>
                <a:graphic xmlns:a="http://schemas.openxmlformats.org/drawingml/2006/main">
                  <a:graphicData uri="http://schemas.microsoft.com/office/word/2010/wordprocessingGroup">
                    <wpg:wgp>
                      <wpg:cNvGrpSpPr/>
                      <wpg:grpSpPr>
                        <a:xfrm>
                          <a:off x="0" y="0"/>
                          <a:ext cx="6173470" cy="3370580"/>
                          <a:chOff x="1229" y="9062"/>
                          <a:chExt cx="9722" cy="5308"/>
                        </a:xfrm>
                      </wpg:grpSpPr>
                      <wps:wsp>
                        <wps:cNvPr id="1" name="文本框 35"/>
                        <wps:cNvSpPr txBox="1"/>
                        <wps:spPr>
                          <a:xfrm>
                            <a:off x="2212" y="9062"/>
                            <a:ext cx="964" cy="407"/>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ascii="Calibri" w:hAnsi="Calibri" w:eastAsia="宋体" w:cs="Times New Roman"/>
                                  <w:kern w:val="2"/>
                                  <w:sz w:val="21"/>
                                  <w:szCs w:val="22"/>
                                  <w:lang w:val="en-US" w:eastAsia="zh-CN" w:bidi="ar-SA"/>
                                </w:rPr>
                              </w:pPr>
                              <w:r>
                                <w:rPr>
                                  <w:rFonts w:hint="eastAsia" w:ascii="Calibri" w:hAnsi="Calibri" w:eastAsia="宋体" w:cs="Times New Roman"/>
                                  <w:kern w:val="2"/>
                                  <w:sz w:val="21"/>
                                  <w:szCs w:val="22"/>
                                  <w:lang w:val="en-US" w:eastAsia="zh-CN" w:bidi="ar-SA"/>
                                </w:rPr>
                                <w:t>自来水</w:t>
                              </w:r>
                            </w:p>
                          </w:txbxContent>
                        </wps:txbx>
                        <wps:bodyPr wrap="square" upright="1"/>
                      </wps:wsp>
                      <wps:wsp>
                        <wps:cNvPr id="3" name="文本框 36"/>
                        <wps:cNvSpPr txBox="1"/>
                        <wps:spPr>
                          <a:xfrm>
                            <a:off x="3897" y="9062"/>
                            <a:ext cx="1018" cy="407"/>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ascii="Calibri" w:hAnsi="Calibri" w:eastAsia="宋体" w:cs="Times New Roman"/>
                                  <w:kern w:val="2"/>
                                  <w:sz w:val="21"/>
                                  <w:szCs w:val="22"/>
                                  <w:lang w:val="en-US" w:eastAsia="zh-CN" w:bidi="ar-SA"/>
                                </w:rPr>
                              </w:pPr>
                              <w:r>
                                <w:rPr>
                                  <w:rFonts w:hint="eastAsia" w:ascii="Calibri" w:hAnsi="Calibri" w:eastAsia="宋体" w:cs="Times New Roman"/>
                                  <w:kern w:val="2"/>
                                  <w:sz w:val="21"/>
                                  <w:szCs w:val="22"/>
                                  <w:lang w:val="en-US" w:eastAsia="zh-CN" w:bidi="ar-SA"/>
                                </w:rPr>
                                <w:t>原水箱</w:t>
                              </w:r>
                            </w:p>
                          </w:txbxContent>
                        </wps:txbx>
                        <wps:bodyPr wrap="square" upright="1"/>
                      </wps:wsp>
                      <wps:wsp>
                        <wps:cNvPr id="4" name="文本框 37"/>
                        <wps:cNvSpPr txBox="1"/>
                        <wps:spPr>
                          <a:xfrm>
                            <a:off x="5636" y="9062"/>
                            <a:ext cx="1430" cy="407"/>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ascii="Calibri" w:hAnsi="Calibri" w:eastAsia="宋体" w:cs="Times New Roman"/>
                                  <w:kern w:val="2"/>
                                  <w:sz w:val="21"/>
                                  <w:szCs w:val="22"/>
                                  <w:lang w:val="en-US" w:eastAsia="zh-CN" w:bidi="ar-SA"/>
                                </w:rPr>
                              </w:pPr>
                              <w:r>
                                <w:rPr>
                                  <w:rFonts w:hint="eastAsia" w:ascii="Calibri" w:hAnsi="Calibri" w:eastAsia="宋体" w:cs="Times New Roman"/>
                                  <w:kern w:val="2"/>
                                  <w:sz w:val="21"/>
                                  <w:szCs w:val="22"/>
                                  <w:lang w:val="en-US" w:eastAsia="zh-CN" w:bidi="ar-SA"/>
                                </w:rPr>
                                <w:t>预处理系统</w:t>
                              </w:r>
                            </w:p>
                          </w:txbxContent>
                        </wps:txbx>
                        <wps:bodyPr wrap="square" upright="1"/>
                      </wps:wsp>
                      <wps:wsp>
                        <wps:cNvPr id="5" name="文本框 38"/>
                        <wps:cNvSpPr txBox="1"/>
                        <wps:spPr>
                          <a:xfrm>
                            <a:off x="7787" y="9062"/>
                            <a:ext cx="1430" cy="407"/>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ascii="Calibri" w:hAnsi="Calibri" w:eastAsia="宋体" w:cs="Times New Roman"/>
                                  <w:kern w:val="2"/>
                                  <w:sz w:val="21"/>
                                  <w:szCs w:val="22"/>
                                  <w:lang w:val="en-US" w:eastAsia="zh-CN" w:bidi="ar-SA"/>
                                </w:rPr>
                              </w:pPr>
                              <w:r>
                                <w:rPr>
                                  <w:rFonts w:hint="eastAsia" w:ascii="Calibri" w:hAnsi="Calibri" w:eastAsia="宋体" w:cs="Times New Roman"/>
                                  <w:kern w:val="2"/>
                                  <w:sz w:val="21"/>
                                  <w:szCs w:val="22"/>
                                  <w:lang w:val="en-US" w:eastAsia="zh-CN" w:bidi="ar-SA"/>
                                </w:rPr>
                                <w:t>反渗透系统</w:t>
                              </w:r>
                            </w:p>
                          </w:txbxContent>
                        </wps:txbx>
                        <wps:bodyPr wrap="square" upright="1"/>
                      </wps:wsp>
                      <wps:wsp>
                        <wps:cNvPr id="6" name="自选图形 39"/>
                        <wps:cNvCnPr/>
                        <wps:spPr>
                          <a:xfrm>
                            <a:off x="3176" y="9265"/>
                            <a:ext cx="721" cy="0"/>
                          </a:xfrm>
                          <a:prstGeom prst="straightConnector1">
                            <a:avLst/>
                          </a:prstGeom>
                          <a:ln w="9525" cap="flat" cmpd="sng">
                            <a:solidFill>
                              <a:srgbClr val="000000"/>
                            </a:solidFill>
                            <a:prstDash val="solid"/>
                            <a:headEnd type="none" w="med" len="med"/>
                            <a:tailEnd type="triangle" w="med" len="med"/>
                          </a:ln>
                        </wps:spPr>
                        <wps:bodyPr/>
                      </wps:wsp>
                      <wps:wsp>
                        <wps:cNvPr id="7" name="自选图形 40"/>
                        <wps:cNvCnPr/>
                        <wps:spPr>
                          <a:xfrm>
                            <a:off x="4915" y="9265"/>
                            <a:ext cx="721" cy="0"/>
                          </a:xfrm>
                          <a:prstGeom prst="straightConnector1">
                            <a:avLst/>
                          </a:prstGeom>
                          <a:ln w="9525" cap="flat" cmpd="sng">
                            <a:solidFill>
                              <a:srgbClr val="000000"/>
                            </a:solidFill>
                            <a:prstDash val="solid"/>
                            <a:headEnd type="none" w="med" len="med"/>
                            <a:tailEnd type="triangle" w="med" len="med"/>
                          </a:ln>
                        </wps:spPr>
                        <wps:bodyPr/>
                      </wps:wsp>
                      <wps:wsp>
                        <wps:cNvPr id="8" name="自选图形 41"/>
                        <wps:cNvCnPr/>
                        <wps:spPr>
                          <a:xfrm>
                            <a:off x="7066" y="9265"/>
                            <a:ext cx="721" cy="0"/>
                          </a:xfrm>
                          <a:prstGeom prst="straightConnector1">
                            <a:avLst/>
                          </a:prstGeom>
                          <a:ln w="9525" cap="flat" cmpd="sng">
                            <a:solidFill>
                              <a:srgbClr val="000000"/>
                            </a:solidFill>
                            <a:prstDash val="solid"/>
                            <a:headEnd type="none" w="med" len="med"/>
                            <a:tailEnd type="triangle" w="med" len="med"/>
                          </a:ln>
                        </wps:spPr>
                        <wps:bodyPr/>
                      </wps:wsp>
                      <wps:wsp>
                        <wps:cNvPr id="9" name="自选图形 42"/>
                        <wps:cNvCnPr/>
                        <wps:spPr>
                          <a:xfrm>
                            <a:off x="1229" y="12036"/>
                            <a:ext cx="721" cy="0"/>
                          </a:xfrm>
                          <a:prstGeom prst="straightConnector1">
                            <a:avLst/>
                          </a:prstGeom>
                          <a:ln w="9525" cap="flat" cmpd="sng">
                            <a:solidFill>
                              <a:srgbClr val="000000"/>
                            </a:solidFill>
                            <a:prstDash val="solid"/>
                            <a:headEnd type="none" w="med" len="med"/>
                            <a:tailEnd type="triangle" w="med" len="med"/>
                          </a:ln>
                        </wps:spPr>
                        <wps:bodyPr/>
                      </wps:wsp>
                      <wps:wsp>
                        <wps:cNvPr id="10" name="文本框 43"/>
                        <wps:cNvSpPr txBox="1"/>
                        <wps:spPr>
                          <a:xfrm>
                            <a:off x="1950" y="11849"/>
                            <a:ext cx="964" cy="407"/>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ascii="Calibri" w:hAnsi="Calibri" w:eastAsia="宋体" w:cs="Times New Roman"/>
                                  <w:kern w:val="2"/>
                                  <w:sz w:val="21"/>
                                  <w:szCs w:val="22"/>
                                  <w:lang w:val="en-US" w:eastAsia="zh-CN" w:bidi="ar-SA"/>
                                </w:rPr>
                              </w:pPr>
                              <w:r>
                                <w:rPr>
                                  <w:rFonts w:hint="eastAsia" w:ascii="Calibri" w:hAnsi="Calibri" w:eastAsia="宋体" w:cs="Times New Roman"/>
                                  <w:kern w:val="2"/>
                                  <w:sz w:val="21"/>
                                  <w:szCs w:val="22"/>
                                  <w:lang w:val="en-US" w:eastAsia="zh-CN" w:bidi="ar-SA"/>
                                </w:rPr>
                                <w:t>纯水箱</w:t>
                              </w:r>
                            </w:p>
                          </w:txbxContent>
                        </wps:txbx>
                        <wps:bodyPr wrap="square" upright="1"/>
                      </wps:wsp>
                      <wps:wsp>
                        <wps:cNvPr id="11" name="文本框 44"/>
                        <wps:cNvSpPr txBox="1"/>
                        <wps:spPr>
                          <a:xfrm>
                            <a:off x="3325" y="9777"/>
                            <a:ext cx="1512" cy="407"/>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ascii="Calibri" w:hAnsi="Calibri" w:eastAsia="宋体" w:cs="Times New Roman"/>
                                  <w:kern w:val="2"/>
                                  <w:sz w:val="21"/>
                                  <w:szCs w:val="22"/>
                                  <w:lang w:val="en-US" w:eastAsia="zh-CN" w:bidi="ar-SA"/>
                                </w:rPr>
                              </w:pPr>
                              <w:r>
                                <w:rPr>
                                  <w:rFonts w:hint="eastAsia" w:ascii="Calibri" w:hAnsi="Calibri" w:eastAsia="宋体" w:cs="Times New Roman"/>
                                  <w:kern w:val="2"/>
                                  <w:sz w:val="21"/>
                                  <w:szCs w:val="22"/>
                                  <w:lang w:val="en-US" w:eastAsia="zh-CN" w:bidi="ar-SA"/>
                                </w:rPr>
                                <w:t>后处理装置</w:t>
                              </w:r>
                            </w:p>
                          </w:txbxContent>
                        </wps:txbx>
                        <wps:bodyPr wrap="square" upright="1"/>
                      </wps:wsp>
                      <wps:wsp>
                        <wps:cNvPr id="12" name="文本框 45"/>
                        <wps:cNvSpPr txBox="1"/>
                        <wps:spPr>
                          <a:xfrm>
                            <a:off x="3325" y="10519"/>
                            <a:ext cx="1512" cy="407"/>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ascii="Calibri" w:hAnsi="Calibri" w:eastAsia="宋体" w:cs="Times New Roman"/>
                                  <w:kern w:val="2"/>
                                  <w:sz w:val="21"/>
                                  <w:szCs w:val="22"/>
                                  <w:lang w:val="en-US" w:eastAsia="zh-CN" w:bidi="ar-SA"/>
                                </w:rPr>
                              </w:pPr>
                              <w:r>
                                <w:rPr>
                                  <w:rFonts w:hint="eastAsia" w:ascii="Calibri" w:hAnsi="Calibri" w:eastAsia="宋体" w:cs="Times New Roman"/>
                                  <w:kern w:val="2"/>
                                  <w:sz w:val="21"/>
                                  <w:szCs w:val="22"/>
                                  <w:lang w:val="en-US" w:eastAsia="zh-CN" w:bidi="ar-SA"/>
                                </w:rPr>
                                <w:t>后处理装置</w:t>
                              </w:r>
                            </w:p>
                          </w:txbxContent>
                        </wps:txbx>
                        <wps:bodyPr wrap="square" upright="1"/>
                      </wps:wsp>
                      <wps:wsp>
                        <wps:cNvPr id="13" name="文本框 46"/>
                        <wps:cNvSpPr txBox="1"/>
                        <wps:spPr>
                          <a:xfrm>
                            <a:off x="3325" y="11334"/>
                            <a:ext cx="1512" cy="407"/>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ascii="Calibri" w:hAnsi="Calibri" w:eastAsia="宋体" w:cs="Times New Roman"/>
                                  <w:kern w:val="2"/>
                                  <w:sz w:val="21"/>
                                  <w:szCs w:val="22"/>
                                  <w:lang w:val="en-US" w:eastAsia="zh-CN" w:bidi="ar-SA"/>
                                </w:rPr>
                              </w:pPr>
                              <w:r>
                                <w:rPr>
                                  <w:rFonts w:hint="eastAsia" w:ascii="Calibri" w:hAnsi="Calibri" w:eastAsia="宋体" w:cs="Times New Roman"/>
                                  <w:kern w:val="2"/>
                                  <w:sz w:val="21"/>
                                  <w:szCs w:val="22"/>
                                  <w:lang w:val="en-US" w:eastAsia="zh-CN" w:bidi="ar-SA"/>
                                </w:rPr>
                                <w:t>后处理装置</w:t>
                              </w:r>
                            </w:p>
                          </w:txbxContent>
                        </wps:txbx>
                        <wps:bodyPr wrap="square" upright="1"/>
                      </wps:wsp>
                      <wps:wsp>
                        <wps:cNvPr id="14" name="文本框 47"/>
                        <wps:cNvSpPr txBox="1"/>
                        <wps:spPr>
                          <a:xfrm>
                            <a:off x="5558" y="11334"/>
                            <a:ext cx="5115" cy="407"/>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ascii="Calibri" w:hAnsi="Calibri" w:eastAsia="宋体" w:cs="Times New Roman"/>
                                  <w:kern w:val="2"/>
                                  <w:sz w:val="21"/>
                                  <w:szCs w:val="22"/>
                                  <w:lang w:val="en-US" w:eastAsia="zh-CN" w:bidi="ar-SA"/>
                                </w:rPr>
                              </w:pPr>
                              <w:r>
                                <w:rPr>
                                  <w:rFonts w:hint="eastAsia" w:ascii="Calibri" w:hAnsi="Calibri" w:eastAsia="宋体" w:cs="Times New Roman"/>
                                  <w:kern w:val="2"/>
                                  <w:sz w:val="21"/>
                                  <w:szCs w:val="22"/>
                                  <w:lang w:val="en-US" w:eastAsia="zh-CN" w:bidi="ar-SA"/>
                                </w:rPr>
                                <w:t>给给中心供应、手术中心、检验科等的一级清洗用水</w:t>
                              </w:r>
                            </w:p>
                          </w:txbxContent>
                        </wps:txbx>
                        <wps:bodyPr wrap="square" upright="1"/>
                      </wps:wsp>
                      <wps:wsp>
                        <wps:cNvPr id="15" name="文本框 48"/>
                        <wps:cNvSpPr txBox="1"/>
                        <wps:spPr>
                          <a:xfrm>
                            <a:off x="5603" y="10519"/>
                            <a:ext cx="4734" cy="407"/>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ascii="Calibri" w:hAnsi="Calibri" w:eastAsia="宋体" w:cs="Times New Roman"/>
                                  <w:kern w:val="2"/>
                                  <w:sz w:val="21"/>
                                  <w:szCs w:val="22"/>
                                  <w:lang w:val="en-US" w:eastAsia="zh-CN" w:bidi="ar-SA"/>
                                </w:rPr>
                              </w:pPr>
                              <w:r>
                                <w:rPr>
                                  <w:rFonts w:hint="eastAsia" w:ascii="Calibri" w:hAnsi="Calibri" w:eastAsia="宋体" w:cs="Times New Roman"/>
                                  <w:kern w:val="2"/>
                                  <w:sz w:val="21"/>
                                  <w:szCs w:val="22"/>
                                  <w:lang w:val="en-US" w:eastAsia="zh-CN" w:bidi="ar-SA"/>
                                </w:rPr>
                                <w:t>供给检验科、病理科、生物实验室等的检验用水</w:t>
                              </w:r>
                            </w:p>
                          </w:txbxContent>
                        </wps:txbx>
                        <wps:bodyPr wrap="square" upright="1"/>
                      </wps:wsp>
                      <wps:wsp>
                        <wps:cNvPr id="16" name="文本框 49"/>
                        <wps:cNvSpPr txBox="1"/>
                        <wps:spPr>
                          <a:xfrm>
                            <a:off x="5603" y="9777"/>
                            <a:ext cx="2807" cy="407"/>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ascii="Calibri" w:hAnsi="Calibri" w:eastAsia="宋体" w:cs="Times New Roman"/>
                                  <w:kern w:val="2"/>
                                  <w:sz w:val="21"/>
                                  <w:szCs w:val="22"/>
                                  <w:lang w:val="en-US" w:eastAsia="zh-CN" w:bidi="ar-SA"/>
                                </w:rPr>
                              </w:pPr>
                              <w:r>
                                <w:rPr>
                                  <w:rFonts w:hint="eastAsia" w:ascii="Calibri" w:hAnsi="Calibri" w:eastAsia="宋体" w:cs="Times New Roman"/>
                                  <w:kern w:val="2"/>
                                  <w:sz w:val="21"/>
                                  <w:szCs w:val="22"/>
                                  <w:lang w:val="en-US" w:eastAsia="zh-CN" w:bidi="ar-SA"/>
                                </w:rPr>
                                <w:t>供给血透中心的血透用水</w:t>
                              </w:r>
                            </w:p>
                          </w:txbxContent>
                        </wps:txbx>
                        <wps:bodyPr wrap="square" upright="1"/>
                      </wps:wsp>
                      <wps:wsp>
                        <wps:cNvPr id="17" name="自选图形 50"/>
                        <wps:cNvSpPr/>
                        <wps:spPr>
                          <a:xfrm>
                            <a:off x="2914" y="10002"/>
                            <a:ext cx="366" cy="4164"/>
                          </a:xfrm>
                          <a:prstGeom prst="leftBrace">
                            <a:avLst>
                              <a:gd name="adj1" fmla="val 94808"/>
                              <a:gd name="adj2" fmla="val 50000"/>
                            </a:avLst>
                          </a:prstGeom>
                          <a:noFill/>
                          <a:ln w="9525" cap="flat" cmpd="sng">
                            <a:solidFill>
                              <a:srgbClr val="000000"/>
                            </a:solidFill>
                            <a:prstDash val="solid"/>
                            <a:headEnd type="none" w="med" len="med"/>
                            <a:tailEnd type="none" w="med" len="med"/>
                          </a:ln>
                        </wps:spPr>
                        <wps:bodyPr wrap="square" upright="1"/>
                      </wps:wsp>
                      <wps:wsp>
                        <wps:cNvPr id="18" name="自选图形 51"/>
                        <wps:cNvCnPr/>
                        <wps:spPr>
                          <a:xfrm>
                            <a:off x="4882" y="10002"/>
                            <a:ext cx="721" cy="0"/>
                          </a:xfrm>
                          <a:prstGeom prst="straightConnector1">
                            <a:avLst/>
                          </a:prstGeom>
                          <a:ln w="9525" cap="flat" cmpd="sng">
                            <a:solidFill>
                              <a:srgbClr val="000000"/>
                            </a:solidFill>
                            <a:prstDash val="solid"/>
                            <a:headEnd type="none" w="med" len="med"/>
                            <a:tailEnd type="triangle" w="med" len="med"/>
                          </a:ln>
                        </wps:spPr>
                        <wps:bodyPr/>
                      </wps:wsp>
                      <wps:wsp>
                        <wps:cNvPr id="19" name="自选图形 52"/>
                        <wps:cNvCnPr/>
                        <wps:spPr>
                          <a:xfrm>
                            <a:off x="4882" y="10735"/>
                            <a:ext cx="721" cy="0"/>
                          </a:xfrm>
                          <a:prstGeom prst="straightConnector1">
                            <a:avLst/>
                          </a:prstGeom>
                          <a:ln w="9525" cap="flat" cmpd="sng">
                            <a:solidFill>
                              <a:srgbClr val="000000"/>
                            </a:solidFill>
                            <a:prstDash val="solid"/>
                            <a:headEnd type="none" w="med" len="med"/>
                            <a:tailEnd type="triangle" w="med" len="med"/>
                          </a:ln>
                        </wps:spPr>
                        <wps:bodyPr/>
                      </wps:wsp>
                      <wps:wsp>
                        <wps:cNvPr id="20" name="自选图形 53"/>
                        <wps:cNvCnPr/>
                        <wps:spPr>
                          <a:xfrm>
                            <a:off x="4837" y="11537"/>
                            <a:ext cx="721" cy="0"/>
                          </a:xfrm>
                          <a:prstGeom prst="straightConnector1">
                            <a:avLst/>
                          </a:prstGeom>
                          <a:ln w="9525" cap="flat" cmpd="sng">
                            <a:solidFill>
                              <a:srgbClr val="000000"/>
                            </a:solidFill>
                            <a:prstDash val="solid"/>
                            <a:headEnd type="none" w="med" len="med"/>
                            <a:tailEnd type="triangle" w="med" len="med"/>
                          </a:ln>
                        </wps:spPr>
                        <wps:bodyPr/>
                      </wps:wsp>
                      <wps:wsp>
                        <wps:cNvPr id="21" name="文本框 54"/>
                        <wps:cNvSpPr txBox="1"/>
                        <wps:spPr>
                          <a:xfrm>
                            <a:off x="3325" y="12053"/>
                            <a:ext cx="1512" cy="407"/>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ascii="Calibri" w:hAnsi="Calibri" w:eastAsia="宋体" w:cs="Times New Roman"/>
                                  <w:kern w:val="2"/>
                                  <w:sz w:val="21"/>
                                  <w:szCs w:val="22"/>
                                  <w:lang w:val="en-US" w:eastAsia="zh-CN" w:bidi="ar-SA"/>
                                </w:rPr>
                              </w:pPr>
                              <w:r>
                                <w:rPr>
                                  <w:rFonts w:hint="eastAsia" w:ascii="Calibri" w:hAnsi="Calibri" w:eastAsia="宋体" w:cs="Times New Roman"/>
                                  <w:kern w:val="2"/>
                                  <w:sz w:val="21"/>
                                  <w:szCs w:val="22"/>
                                  <w:lang w:val="en-US" w:eastAsia="zh-CN" w:bidi="ar-SA"/>
                                </w:rPr>
                                <w:t>后处理装置</w:t>
                              </w:r>
                            </w:p>
                          </w:txbxContent>
                        </wps:txbx>
                        <wps:bodyPr wrap="square" upright="1"/>
                      </wps:wsp>
                      <wps:wsp>
                        <wps:cNvPr id="22" name="文本框 55"/>
                        <wps:cNvSpPr txBox="1"/>
                        <wps:spPr>
                          <a:xfrm>
                            <a:off x="5558" y="12053"/>
                            <a:ext cx="5393" cy="407"/>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ascii="Calibri" w:hAnsi="Calibri" w:eastAsia="宋体" w:cs="Times New Roman"/>
                                  <w:kern w:val="2"/>
                                  <w:sz w:val="21"/>
                                  <w:szCs w:val="22"/>
                                  <w:lang w:val="en-US" w:eastAsia="zh-CN" w:bidi="ar-SA"/>
                                </w:rPr>
                              </w:pPr>
                              <w:r>
                                <w:rPr>
                                  <w:rFonts w:hint="eastAsia" w:ascii="Calibri" w:hAnsi="Calibri" w:eastAsia="宋体" w:cs="Times New Roman"/>
                                  <w:kern w:val="2"/>
                                  <w:sz w:val="21"/>
                                  <w:szCs w:val="22"/>
                                  <w:lang w:val="en-US" w:eastAsia="zh-CN" w:bidi="ar-SA"/>
                                </w:rPr>
                                <w:t>供给中心供应蒸汽发生间、内镜中心等的二级清洗用水</w:t>
                              </w:r>
                            </w:p>
                          </w:txbxContent>
                        </wps:txbx>
                        <wps:bodyPr wrap="square" upright="1"/>
                      </wps:wsp>
                      <wps:wsp>
                        <wps:cNvPr id="23" name="自选图形 56"/>
                        <wps:cNvCnPr/>
                        <wps:spPr>
                          <a:xfrm>
                            <a:off x="4837" y="12256"/>
                            <a:ext cx="721" cy="0"/>
                          </a:xfrm>
                          <a:prstGeom prst="straightConnector1">
                            <a:avLst/>
                          </a:prstGeom>
                          <a:ln w="9525" cap="flat" cmpd="sng">
                            <a:solidFill>
                              <a:srgbClr val="000000"/>
                            </a:solidFill>
                            <a:prstDash val="solid"/>
                            <a:headEnd type="none" w="med" len="med"/>
                            <a:tailEnd type="triangle" w="med" len="med"/>
                          </a:ln>
                        </wps:spPr>
                        <wps:bodyPr/>
                      </wps:wsp>
                      <wps:wsp>
                        <wps:cNvPr id="24" name="文本框 57"/>
                        <wps:cNvSpPr txBox="1"/>
                        <wps:spPr>
                          <a:xfrm>
                            <a:off x="3325" y="12711"/>
                            <a:ext cx="1512" cy="407"/>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ascii="Calibri" w:hAnsi="Calibri" w:eastAsia="宋体" w:cs="Times New Roman"/>
                                  <w:kern w:val="2"/>
                                  <w:sz w:val="21"/>
                                  <w:szCs w:val="22"/>
                                  <w:lang w:val="en-US" w:eastAsia="zh-CN" w:bidi="ar-SA"/>
                                </w:rPr>
                              </w:pPr>
                              <w:r>
                                <w:rPr>
                                  <w:rFonts w:hint="eastAsia" w:ascii="Calibri" w:hAnsi="Calibri" w:eastAsia="宋体" w:cs="Times New Roman"/>
                                  <w:kern w:val="2"/>
                                  <w:sz w:val="21"/>
                                  <w:szCs w:val="22"/>
                                  <w:lang w:val="en-US" w:eastAsia="zh-CN" w:bidi="ar-SA"/>
                                </w:rPr>
                                <w:t>后处理装置</w:t>
                              </w:r>
                            </w:p>
                          </w:txbxContent>
                        </wps:txbx>
                        <wps:bodyPr wrap="square" upright="1"/>
                      </wps:wsp>
                      <wps:wsp>
                        <wps:cNvPr id="25" name="文本框 58"/>
                        <wps:cNvSpPr txBox="1"/>
                        <wps:spPr>
                          <a:xfrm>
                            <a:off x="5558" y="12711"/>
                            <a:ext cx="3635" cy="407"/>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ascii="Calibri" w:hAnsi="Calibri" w:eastAsia="宋体" w:cs="Times New Roman"/>
                                  <w:kern w:val="2"/>
                                  <w:sz w:val="21"/>
                                  <w:szCs w:val="22"/>
                                  <w:lang w:val="en-US" w:eastAsia="zh-CN" w:bidi="ar-SA"/>
                                </w:rPr>
                              </w:pPr>
                              <w:r>
                                <w:rPr>
                                  <w:rFonts w:hint="eastAsia" w:ascii="Calibri" w:hAnsi="Calibri" w:eastAsia="宋体" w:cs="Times New Roman"/>
                                  <w:kern w:val="2"/>
                                  <w:sz w:val="21"/>
                                  <w:szCs w:val="22"/>
                                  <w:lang w:val="en-US" w:eastAsia="zh-CN" w:bidi="ar-SA"/>
                                </w:rPr>
                                <w:t>供给中心供应高温灭菌器的软化水</w:t>
                              </w:r>
                            </w:p>
                          </w:txbxContent>
                        </wps:txbx>
                        <wps:bodyPr wrap="square" upright="1"/>
                      </wps:wsp>
                      <wps:wsp>
                        <wps:cNvPr id="26" name="自选图形 59"/>
                        <wps:cNvCnPr/>
                        <wps:spPr>
                          <a:xfrm>
                            <a:off x="4837" y="12914"/>
                            <a:ext cx="721" cy="0"/>
                          </a:xfrm>
                          <a:prstGeom prst="straightConnector1">
                            <a:avLst/>
                          </a:prstGeom>
                          <a:ln w="9525" cap="flat" cmpd="sng">
                            <a:solidFill>
                              <a:srgbClr val="000000"/>
                            </a:solidFill>
                            <a:prstDash val="solid"/>
                            <a:headEnd type="none" w="med" len="med"/>
                            <a:tailEnd type="triangle" w="med" len="med"/>
                          </a:ln>
                        </wps:spPr>
                        <wps:bodyPr/>
                      </wps:wsp>
                      <wps:wsp>
                        <wps:cNvPr id="27" name="文本框 60"/>
                        <wps:cNvSpPr txBox="1"/>
                        <wps:spPr>
                          <a:xfrm>
                            <a:off x="3325" y="13316"/>
                            <a:ext cx="1512" cy="407"/>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ascii="Calibri" w:hAnsi="Calibri" w:eastAsia="宋体" w:cs="Times New Roman"/>
                                  <w:kern w:val="2"/>
                                  <w:sz w:val="21"/>
                                  <w:szCs w:val="22"/>
                                  <w:lang w:val="en-US" w:eastAsia="zh-CN" w:bidi="ar-SA"/>
                                </w:rPr>
                              </w:pPr>
                              <w:r>
                                <w:rPr>
                                  <w:rFonts w:hint="eastAsia" w:ascii="Calibri" w:hAnsi="Calibri" w:eastAsia="宋体" w:cs="Times New Roman"/>
                                  <w:kern w:val="2"/>
                                  <w:sz w:val="21"/>
                                  <w:szCs w:val="22"/>
                                  <w:lang w:val="en-US" w:eastAsia="zh-CN" w:bidi="ar-SA"/>
                                </w:rPr>
                                <w:t>后处理装置</w:t>
                              </w:r>
                            </w:p>
                          </w:txbxContent>
                        </wps:txbx>
                        <wps:bodyPr wrap="square" upright="1"/>
                      </wps:wsp>
                      <wps:wsp>
                        <wps:cNvPr id="28" name="文本框 61"/>
                        <wps:cNvSpPr txBox="1"/>
                        <wps:spPr>
                          <a:xfrm>
                            <a:off x="5558" y="13316"/>
                            <a:ext cx="4327" cy="407"/>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ascii="Calibri" w:hAnsi="Calibri" w:eastAsia="宋体" w:cs="Times New Roman"/>
                                  <w:kern w:val="2"/>
                                  <w:sz w:val="21"/>
                                  <w:szCs w:val="22"/>
                                  <w:lang w:val="en-US" w:eastAsia="zh-CN" w:bidi="ar-SA"/>
                                </w:rPr>
                              </w:pPr>
                              <w:r>
                                <w:rPr>
                                  <w:rFonts w:hint="eastAsia" w:ascii="Calibri" w:hAnsi="Calibri" w:eastAsia="宋体" w:cs="Times New Roman"/>
                                  <w:kern w:val="2"/>
                                  <w:sz w:val="21"/>
                                  <w:szCs w:val="22"/>
                                  <w:lang w:val="en-US" w:eastAsia="zh-CN" w:bidi="ar-SA"/>
                                </w:rPr>
                                <w:t>供给手术中心、产房等的刷手池的冲洗用水</w:t>
                              </w:r>
                            </w:p>
                          </w:txbxContent>
                        </wps:txbx>
                        <wps:bodyPr wrap="square" upright="1"/>
                      </wps:wsp>
                      <wps:wsp>
                        <wps:cNvPr id="29" name="自选图形 62"/>
                        <wps:cNvCnPr/>
                        <wps:spPr>
                          <a:xfrm>
                            <a:off x="4837" y="13519"/>
                            <a:ext cx="721" cy="0"/>
                          </a:xfrm>
                          <a:prstGeom prst="straightConnector1">
                            <a:avLst/>
                          </a:prstGeom>
                          <a:ln w="9525" cap="flat" cmpd="sng">
                            <a:solidFill>
                              <a:srgbClr val="000000"/>
                            </a:solidFill>
                            <a:prstDash val="solid"/>
                            <a:headEnd type="none" w="med" len="med"/>
                            <a:tailEnd type="triangle" w="med" len="med"/>
                          </a:ln>
                        </wps:spPr>
                        <wps:bodyPr/>
                      </wps:wsp>
                      <wps:wsp>
                        <wps:cNvPr id="30" name="文本框 63"/>
                        <wps:cNvSpPr txBox="1"/>
                        <wps:spPr>
                          <a:xfrm>
                            <a:off x="3325" y="13963"/>
                            <a:ext cx="1512" cy="407"/>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ascii="Calibri" w:hAnsi="Calibri" w:eastAsia="宋体" w:cs="Times New Roman"/>
                                  <w:kern w:val="2"/>
                                  <w:sz w:val="21"/>
                                  <w:szCs w:val="22"/>
                                  <w:lang w:val="en-US" w:eastAsia="zh-CN" w:bidi="ar-SA"/>
                                </w:rPr>
                              </w:pPr>
                              <w:r>
                                <w:rPr>
                                  <w:rFonts w:hint="eastAsia" w:ascii="Calibri" w:hAnsi="Calibri" w:eastAsia="宋体" w:cs="Times New Roman"/>
                                  <w:kern w:val="2"/>
                                  <w:sz w:val="21"/>
                                  <w:szCs w:val="22"/>
                                  <w:lang w:val="en-US" w:eastAsia="zh-CN" w:bidi="ar-SA"/>
                                </w:rPr>
                                <w:t>后处理装置</w:t>
                              </w:r>
                            </w:p>
                          </w:txbxContent>
                        </wps:txbx>
                        <wps:bodyPr wrap="square" upright="1"/>
                      </wps:wsp>
                      <wps:wsp>
                        <wps:cNvPr id="31" name="文本框 64"/>
                        <wps:cNvSpPr txBox="1"/>
                        <wps:spPr>
                          <a:xfrm>
                            <a:off x="5558" y="13963"/>
                            <a:ext cx="2245" cy="407"/>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ascii="Calibri" w:hAnsi="Calibri" w:eastAsia="宋体" w:cs="Times New Roman"/>
                                  <w:kern w:val="2"/>
                                  <w:sz w:val="21"/>
                                  <w:szCs w:val="22"/>
                                  <w:lang w:val="en-US" w:eastAsia="zh-CN" w:bidi="ar-SA"/>
                                </w:rPr>
                              </w:pPr>
                              <w:r>
                                <w:rPr>
                                  <w:rFonts w:hint="eastAsia" w:ascii="Calibri" w:hAnsi="Calibri" w:eastAsia="宋体" w:cs="Times New Roman"/>
                                  <w:kern w:val="2"/>
                                  <w:sz w:val="21"/>
                                  <w:szCs w:val="22"/>
                                  <w:lang w:val="en-US" w:eastAsia="zh-CN" w:bidi="ar-SA"/>
                                </w:rPr>
                                <w:t>供给全院的饮用纯水</w:t>
                              </w:r>
                            </w:p>
                          </w:txbxContent>
                        </wps:txbx>
                        <wps:bodyPr wrap="square" upright="1"/>
                      </wps:wsp>
                      <wps:wsp>
                        <wps:cNvPr id="32" name="自选图形 65"/>
                        <wps:cNvCnPr/>
                        <wps:spPr>
                          <a:xfrm>
                            <a:off x="4837" y="14166"/>
                            <a:ext cx="721" cy="0"/>
                          </a:xfrm>
                          <a:prstGeom prst="straightConnector1">
                            <a:avLst/>
                          </a:prstGeom>
                          <a:ln w="9525" cap="flat" cmpd="sng">
                            <a:solidFill>
                              <a:srgbClr val="000000"/>
                            </a:solidFill>
                            <a:prstDash val="solid"/>
                            <a:headEnd type="none" w="med" len="med"/>
                            <a:tailEnd type="triangle" w="med" len="med"/>
                          </a:ln>
                        </wps:spPr>
                        <wps:bodyPr/>
                      </wps:wsp>
                    </wpg:wgp>
                  </a:graphicData>
                </a:graphic>
              </wp:anchor>
            </w:drawing>
          </mc:Choice>
          <mc:Fallback>
            <w:pict>
              <v:group id="组合 34" o:spid="_x0000_s1026" o:spt="203" style="position:absolute;left:0pt;margin-left:-0.05pt;margin-top:35.25pt;height:265.4pt;width:486.1pt;z-index:251660288;mso-width-relative:page;mso-height-relative:page;" coordorigin="1229,9062" coordsize="9722,5308" o:gfxdata="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">
                <o:lock v:ext="edit" aspectratio="f"/>
                <v:shape id="文本框 35" o:spid="_x0000_s1026" o:spt="202" type="#_x0000_t202" style="position:absolute;left:2212;top:9062;height:407;width:964;" fillcolor="#FFFFFF" filled="t" stroked="t" coordsize="21600,21600" o:gfxdata="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13I6ugAAANo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pPr>
                          <w:rPr>
                            <w:rFonts w:ascii="Calibri" w:hAnsi="Calibri" w:eastAsia="宋体" w:cs="Times New Roman"/>
                            <w:kern w:val="2"/>
                            <w:sz w:val="21"/>
                            <w:szCs w:val="22"/>
                            <w:lang w:val="en-US" w:eastAsia="zh-CN" w:bidi="ar-SA"/>
                          </w:rPr>
                        </w:pPr>
                        <w:r>
                          <w:rPr>
                            <w:rFonts w:hint="eastAsia" w:ascii="Calibri" w:hAnsi="Calibri" w:eastAsia="宋体" w:cs="Times New Roman"/>
                            <w:kern w:val="2"/>
                            <w:sz w:val="21"/>
                            <w:szCs w:val="22"/>
                            <w:lang w:val="en-US" w:eastAsia="zh-CN" w:bidi="ar-SA"/>
                          </w:rPr>
                          <w:t>自来水</w:t>
                        </w:r>
                      </w:p>
                    </w:txbxContent>
                  </v:textbox>
                </v:shape>
                <v:shape id="文本框 36" o:spid="_x0000_s1026" o:spt="202" type="#_x0000_t202" style="position:absolute;left:3897;top:9062;height:407;width:1018;" fillcolor="#FFFFFF" filled="t" stroked="t" coordsize="21600,21600" o:gfxdata="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gSUnWvQAA&#10;ANo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Pr>
                          <w:rPr>
                            <w:rFonts w:ascii="Calibri" w:hAnsi="Calibri" w:eastAsia="宋体" w:cs="Times New Roman"/>
                            <w:kern w:val="2"/>
                            <w:sz w:val="21"/>
                            <w:szCs w:val="22"/>
                            <w:lang w:val="en-US" w:eastAsia="zh-CN" w:bidi="ar-SA"/>
                          </w:rPr>
                        </w:pPr>
                        <w:r>
                          <w:rPr>
                            <w:rFonts w:hint="eastAsia" w:ascii="Calibri" w:hAnsi="Calibri" w:eastAsia="宋体" w:cs="Times New Roman"/>
                            <w:kern w:val="2"/>
                            <w:sz w:val="21"/>
                            <w:szCs w:val="22"/>
                            <w:lang w:val="en-US" w:eastAsia="zh-CN" w:bidi="ar-SA"/>
                          </w:rPr>
                          <w:t>原水箱</w:t>
                        </w:r>
                      </w:p>
                    </w:txbxContent>
                  </v:textbox>
                </v:shape>
                <v:shape id="文本框 37" o:spid="_x0000_s1026" o:spt="202" type="#_x0000_t202" style="position:absolute;left:5636;top:9062;height:407;width:1430;" fillcolor="#FFFFFF" filled="t" stroked="t" coordsize="21600,21600" o:gfxdata="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K+g0aK8AAAA&#10;2g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Pr>
                          <w:rPr>
                            <w:rFonts w:ascii="Calibri" w:hAnsi="Calibri" w:eastAsia="宋体" w:cs="Times New Roman"/>
                            <w:kern w:val="2"/>
                            <w:sz w:val="21"/>
                            <w:szCs w:val="22"/>
                            <w:lang w:val="en-US" w:eastAsia="zh-CN" w:bidi="ar-SA"/>
                          </w:rPr>
                        </w:pPr>
                        <w:r>
                          <w:rPr>
                            <w:rFonts w:hint="eastAsia" w:ascii="Calibri" w:hAnsi="Calibri" w:eastAsia="宋体" w:cs="Times New Roman"/>
                            <w:kern w:val="2"/>
                            <w:sz w:val="21"/>
                            <w:szCs w:val="22"/>
                            <w:lang w:val="en-US" w:eastAsia="zh-CN" w:bidi="ar-SA"/>
                          </w:rPr>
                          <w:t>预处理系统</w:t>
                        </w:r>
                      </w:p>
                    </w:txbxContent>
                  </v:textbox>
                </v:shape>
                <v:shape id="文本框 38" o:spid="_x0000_s1026" o:spt="202" type="#_x0000_t202" style="position:absolute;left:7787;top:9062;height:407;width:1430;" fillcolor="#FFFFFF" filled="t" stroked="t" coordsize="21600,21600" o:gfxdata="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A7HQ5vQAA&#10;ANo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Pr>
                          <w:rPr>
                            <w:rFonts w:ascii="Calibri" w:hAnsi="Calibri" w:eastAsia="宋体" w:cs="Times New Roman"/>
                            <w:kern w:val="2"/>
                            <w:sz w:val="21"/>
                            <w:szCs w:val="22"/>
                            <w:lang w:val="en-US" w:eastAsia="zh-CN" w:bidi="ar-SA"/>
                          </w:rPr>
                        </w:pPr>
                        <w:r>
                          <w:rPr>
                            <w:rFonts w:hint="eastAsia" w:ascii="Calibri" w:hAnsi="Calibri" w:eastAsia="宋体" w:cs="Times New Roman"/>
                            <w:kern w:val="2"/>
                            <w:sz w:val="21"/>
                            <w:szCs w:val="22"/>
                            <w:lang w:val="en-US" w:eastAsia="zh-CN" w:bidi="ar-SA"/>
                          </w:rPr>
                          <w:t>反渗透系统</w:t>
                        </w:r>
                      </w:p>
                    </w:txbxContent>
                  </v:textbox>
                </v:shape>
                <v:shape id="自选图形 39" o:spid="_x0000_s1026" o:spt="32" type="#_x0000_t32" style="position:absolute;left:3176;top:9265;height:0;width:721;" filled="f" stroked="t" coordsize="21600,21600" o:gfxdata="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MfnRaG8AAAA&#10;2gAAAA8AAAAAAAAAAQAgAAAAIgAAAGRycy9kb3ducmV2LnhtbFBLAQIUABQAAAAIAIdO4kAzLwWe&#10;OwAAADkAAAAQAAAAAAAAAAEAIAAAAAsBAABkcnMvc2hhcGV4bWwueG1sUEsFBgAAAAAGAAYAWwEA&#10;ALUDAAAAAA==&#10;">
                  <v:fill on="f" focussize="0,0"/>
                  <v:stroke color="#000000" joinstyle="round" endarrow="block"/>
                  <v:imagedata o:title=""/>
                  <o:lock v:ext="edit" aspectratio="f"/>
                </v:shape>
                <v:shape id="自选图形 40" o:spid="_x0000_s1026" o:spt="32" type="#_x0000_t32" style="position:absolute;left:4915;top:9265;height:0;width:721;" filled="f" stroked="t" coordsize="21600,21600" o:gfxdata="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oq+A6vQAA&#10;ANoAAAAPAAAAAAAAAAEAIAAAACIAAABkcnMvZG93bnJldi54bWxQSwECFAAUAAAACACHTuJAMy8F&#10;njsAAAA5AAAAEAAAAAAAAAABACAAAAAMAQAAZHJzL3NoYXBleG1sLnhtbFBLBQYAAAAABgAGAFsB&#10;AAC2AwAAAAA=&#10;">
                  <v:fill on="f" focussize="0,0"/>
                  <v:stroke color="#000000" joinstyle="round" endarrow="block"/>
                  <v:imagedata o:title=""/>
                  <o:lock v:ext="edit" aspectratio="f"/>
                </v:shape>
                <v:shape id="自选图形 41" o:spid="_x0000_s1026" o:spt="32" type="#_x0000_t32" style="position:absolute;left:7066;top:9265;height:0;width:721;" filled="f" stroked="t" coordsize="21600,21600" o:gfxdata="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Nk0dEi5AAAA2gAA&#10;AA8AAAAAAAAAAQAgAAAAIgAAAGRycy9kb3ducmV2LnhtbFBLAQIUABQAAAAIAIdO4kAzLwWeOwAA&#10;ADkAAAAQAAAAAAAAAAEAIAAAAAgBAABkcnMvc2hhcGV4bWwueG1sUEsFBgAAAAAGAAYAWwEAALID&#10;AAAAAA==&#10;">
                  <v:fill on="f" focussize="0,0"/>
                  <v:stroke color="#000000" joinstyle="round" endarrow="block"/>
                  <v:imagedata o:title=""/>
                  <o:lock v:ext="edit" aspectratio="f"/>
                </v:shape>
                <v:shape id="自选图形 42" o:spid="_x0000_s1026" o:spt="32" type="#_x0000_t32" style="position:absolute;left:1229;top:12036;height:0;width:721;" filled="f" stroked="t" coordsize="21600,21600" o:gfxdata="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2eNHTvQAA&#10;ANoAAAAPAAAAAAAAAAEAIAAAACIAAABkcnMvZG93bnJldi54bWxQSwECFAAUAAAACACHTuJAMy8F&#10;njsAAAA5AAAAEAAAAAAAAAABACAAAAAMAQAAZHJzL3NoYXBleG1sLnhtbFBLBQYAAAAABgAGAFsB&#10;AAC2AwAAAAA=&#10;">
                  <v:fill on="f" focussize="0,0"/>
                  <v:stroke color="#000000" joinstyle="round" endarrow="block"/>
                  <v:imagedata o:title=""/>
                  <o:lock v:ext="edit" aspectratio="f"/>
                </v:shape>
                <v:shape id="文本框 43" o:spid="_x0000_s1026" o:spt="202" type="#_x0000_t202" style="position:absolute;left:1950;top:11849;height:407;width:964;" fillcolor="#FFFFFF" filled="t" stroked="t" coordsize="21600,21600" o:gfxdata="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eUTf2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rPr>
                            <w:rFonts w:ascii="Calibri" w:hAnsi="Calibri" w:eastAsia="宋体" w:cs="Times New Roman"/>
                            <w:kern w:val="2"/>
                            <w:sz w:val="21"/>
                            <w:szCs w:val="22"/>
                            <w:lang w:val="en-US" w:eastAsia="zh-CN" w:bidi="ar-SA"/>
                          </w:rPr>
                        </w:pPr>
                        <w:r>
                          <w:rPr>
                            <w:rFonts w:hint="eastAsia" w:ascii="Calibri" w:hAnsi="Calibri" w:eastAsia="宋体" w:cs="Times New Roman"/>
                            <w:kern w:val="2"/>
                            <w:sz w:val="21"/>
                            <w:szCs w:val="22"/>
                            <w:lang w:val="en-US" w:eastAsia="zh-CN" w:bidi="ar-SA"/>
                          </w:rPr>
                          <w:t>纯水箱</w:t>
                        </w:r>
                      </w:p>
                    </w:txbxContent>
                  </v:textbox>
                </v:shape>
                <v:shape id="文本框 44" o:spid="_x0000_s1026" o:spt="202" type="#_x0000_t202" style="position:absolute;left:3325;top:9777;height:407;width:1512;" fillcolor="#FFFFFF" filled="t" stroked="t" coordsize="21600,21600" o:gfxdata="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Fgh6QrsAAADb&#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Pr>
                          <w:rPr>
                            <w:rFonts w:ascii="Calibri" w:hAnsi="Calibri" w:eastAsia="宋体" w:cs="Times New Roman"/>
                            <w:kern w:val="2"/>
                            <w:sz w:val="21"/>
                            <w:szCs w:val="22"/>
                            <w:lang w:val="en-US" w:eastAsia="zh-CN" w:bidi="ar-SA"/>
                          </w:rPr>
                        </w:pPr>
                        <w:r>
                          <w:rPr>
                            <w:rFonts w:hint="eastAsia" w:ascii="Calibri" w:hAnsi="Calibri" w:eastAsia="宋体" w:cs="Times New Roman"/>
                            <w:kern w:val="2"/>
                            <w:sz w:val="21"/>
                            <w:szCs w:val="22"/>
                            <w:lang w:val="en-US" w:eastAsia="zh-CN" w:bidi="ar-SA"/>
                          </w:rPr>
                          <w:t>后处理装置</w:t>
                        </w:r>
                      </w:p>
                    </w:txbxContent>
                  </v:textbox>
                </v:shape>
                <v:shape id="文本框 45" o:spid="_x0000_s1026" o:spt="202" type="#_x0000_t202" style="position:absolute;left:3325;top:10519;height:407;width:1512;" fillcolor="#FFFFFF" filled="t" stroked="t" coordsize="21600,21600" o:gfxdata="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m2uQ1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pPr>
                          <w:rPr>
                            <w:rFonts w:ascii="Calibri" w:hAnsi="Calibri" w:eastAsia="宋体" w:cs="Times New Roman"/>
                            <w:kern w:val="2"/>
                            <w:sz w:val="21"/>
                            <w:szCs w:val="22"/>
                            <w:lang w:val="en-US" w:eastAsia="zh-CN" w:bidi="ar-SA"/>
                          </w:rPr>
                        </w:pPr>
                        <w:r>
                          <w:rPr>
                            <w:rFonts w:hint="eastAsia" w:ascii="Calibri" w:hAnsi="Calibri" w:eastAsia="宋体" w:cs="Times New Roman"/>
                            <w:kern w:val="2"/>
                            <w:sz w:val="21"/>
                            <w:szCs w:val="22"/>
                            <w:lang w:val="en-US" w:eastAsia="zh-CN" w:bidi="ar-SA"/>
                          </w:rPr>
                          <w:t>后处理装置</w:t>
                        </w:r>
                      </w:p>
                    </w:txbxContent>
                  </v:textbox>
                </v:shape>
                <v:shape id="文本框 46" o:spid="_x0000_s1026" o:spt="202" type="#_x0000_t202" style="position:absolute;left:3325;top:11334;height:407;width:1512;" fillcolor="#FFFFFF" filled="t" stroked="t" coordsize="21600,21600" o:gfxdata="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iZZBrrsAAADb&#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Pr>
                          <w:rPr>
                            <w:rFonts w:ascii="Calibri" w:hAnsi="Calibri" w:eastAsia="宋体" w:cs="Times New Roman"/>
                            <w:kern w:val="2"/>
                            <w:sz w:val="21"/>
                            <w:szCs w:val="22"/>
                            <w:lang w:val="en-US" w:eastAsia="zh-CN" w:bidi="ar-SA"/>
                          </w:rPr>
                        </w:pPr>
                        <w:r>
                          <w:rPr>
                            <w:rFonts w:hint="eastAsia" w:ascii="Calibri" w:hAnsi="Calibri" w:eastAsia="宋体" w:cs="Times New Roman"/>
                            <w:kern w:val="2"/>
                            <w:sz w:val="21"/>
                            <w:szCs w:val="22"/>
                            <w:lang w:val="en-US" w:eastAsia="zh-CN" w:bidi="ar-SA"/>
                          </w:rPr>
                          <w:t>后处理装置</w:t>
                        </w:r>
                      </w:p>
                    </w:txbxContent>
                  </v:textbox>
                </v:shape>
                <v:shape id="文本框 47" o:spid="_x0000_s1026" o:spt="202" type="#_x0000_t202" style="position:absolute;left:5558;top:11334;height:407;width:5115;" fillcolor="#FFFFFF" filled="t" stroked="t" coordsize="21600,21600" o:gfxdata="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Bn/Z2rsAAADb&#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Pr>
                          <w:rPr>
                            <w:rFonts w:ascii="Calibri" w:hAnsi="Calibri" w:eastAsia="宋体" w:cs="Times New Roman"/>
                            <w:kern w:val="2"/>
                            <w:sz w:val="21"/>
                            <w:szCs w:val="22"/>
                            <w:lang w:val="en-US" w:eastAsia="zh-CN" w:bidi="ar-SA"/>
                          </w:rPr>
                        </w:pPr>
                        <w:r>
                          <w:rPr>
                            <w:rFonts w:hint="eastAsia" w:ascii="Calibri" w:hAnsi="Calibri" w:eastAsia="宋体" w:cs="Times New Roman"/>
                            <w:kern w:val="2"/>
                            <w:sz w:val="21"/>
                            <w:szCs w:val="22"/>
                            <w:lang w:val="en-US" w:eastAsia="zh-CN" w:bidi="ar-SA"/>
                          </w:rPr>
                          <w:t>给给中心供应、手术中心、检验科等的一级清洗用水</w:t>
                        </w:r>
                      </w:p>
                    </w:txbxContent>
                  </v:textbox>
                </v:shape>
                <v:shape id="文本框 48" o:spid="_x0000_s1026" o:spt="202" type="#_x0000_t202" style="position:absolute;left:5603;top:10519;height:407;width:4734;" fillcolor="#FFFFFF" filled="t" stroked="t" coordsize="21600,21600" o:gfxdata="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aTN8QbsAAADb&#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Pr>
                          <w:rPr>
                            <w:rFonts w:ascii="Calibri" w:hAnsi="Calibri" w:eastAsia="宋体" w:cs="Times New Roman"/>
                            <w:kern w:val="2"/>
                            <w:sz w:val="21"/>
                            <w:szCs w:val="22"/>
                            <w:lang w:val="en-US" w:eastAsia="zh-CN" w:bidi="ar-SA"/>
                          </w:rPr>
                        </w:pPr>
                        <w:r>
                          <w:rPr>
                            <w:rFonts w:hint="eastAsia" w:ascii="Calibri" w:hAnsi="Calibri" w:eastAsia="宋体" w:cs="Times New Roman"/>
                            <w:kern w:val="2"/>
                            <w:sz w:val="21"/>
                            <w:szCs w:val="22"/>
                            <w:lang w:val="en-US" w:eastAsia="zh-CN" w:bidi="ar-SA"/>
                          </w:rPr>
                          <w:t>供给检验科、病理科、生物实验室等的检验用水</w:t>
                        </w:r>
                      </w:p>
                    </w:txbxContent>
                  </v:textbox>
                </v:shape>
                <v:shape id="文本框 49" o:spid="_x0000_s1026" o:spt="202" type="#_x0000_t202" style="position:absolute;left:5603;top:9777;height:407;width:2807;" fillcolor="#FFFFFF" filled="t" stroked="t" coordsize="21600,21600" o:gfxdata="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Jnh4ja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Pr>
                          <w:rPr>
                            <w:rFonts w:ascii="Calibri" w:hAnsi="Calibri" w:eastAsia="宋体" w:cs="Times New Roman"/>
                            <w:kern w:val="2"/>
                            <w:sz w:val="21"/>
                            <w:szCs w:val="22"/>
                            <w:lang w:val="en-US" w:eastAsia="zh-CN" w:bidi="ar-SA"/>
                          </w:rPr>
                        </w:pPr>
                        <w:r>
                          <w:rPr>
                            <w:rFonts w:hint="eastAsia" w:ascii="Calibri" w:hAnsi="Calibri" w:eastAsia="宋体" w:cs="Times New Roman"/>
                            <w:kern w:val="2"/>
                            <w:sz w:val="21"/>
                            <w:szCs w:val="22"/>
                            <w:lang w:val="en-US" w:eastAsia="zh-CN" w:bidi="ar-SA"/>
                          </w:rPr>
                          <w:t>供给血透中心的血透用水</w:t>
                        </w:r>
                      </w:p>
                    </w:txbxContent>
                  </v:textbox>
                </v:shape>
                <v:shape id="自选图形 50" o:spid="_x0000_s1026" o:spt="87" type="#_x0000_t87" style="position:absolute;left:2914;top:10002;height:4164;width:366;" filled="f" stroked="t" coordsize="21600,21600" o:gfxdata="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P6YYAe8AAAA&#10;2wAAAA8AAAAAAAAAAQAgAAAAIgAAAGRycy9kb3ducmV2LnhtbFBLAQIUABQAAAAIAIdO4kAzLwWe&#10;OwAAADkAAAAQAAAAAAAAAAEAIAAAAAsBAABkcnMvc2hhcGV4bWwueG1sUEsFBgAAAAAGAAYAWwEA&#10;ALUDAAAAAA==&#10;" adj="1799,10800">
                  <v:fill on="f" focussize="0,0"/>
                  <v:stroke color="#000000" joinstyle="round"/>
                  <v:imagedata o:title=""/>
                  <o:lock v:ext="edit" aspectratio="f"/>
                </v:shape>
                <v:shape id="自选图形 51" o:spid="_x0000_s1026" o:spt="32" type="#_x0000_t32" style="position:absolute;left:4882;top:10002;height:0;width:721;" filled="f" stroked="t" coordsize="21600,21600" o:gfxdata="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4frl/L4A&#10;AADbAAAADwAAAAAAAAABACAAAAAiAAAAZHJzL2Rvd25yZXYueG1sUEsBAhQAFAAAAAgAh07iQDMv&#10;BZ47AAAAOQAAABAAAAAAAAAAAQAgAAAADQEAAGRycy9zaGFwZXhtbC54bWxQSwUGAAAAAAYABgBb&#10;AQAAtwMAAAAA&#10;">
                  <v:fill on="f" focussize="0,0"/>
                  <v:stroke color="#000000" joinstyle="round" endarrow="block"/>
                  <v:imagedata o:title=""/>
                  <o:lock v:ext="edit" aspectratio="f"/>
                </v:shape>
                <v:shape id="自选图形 52" o:spid="_x0000_s1026" o:spt="32" type="#_x0000_t32" style="position:absolute;left:4882;top:10735;height:0;width:721;" filled="f" stroked="t" coordsize="21600,21600" o:gfxdata="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jrZAZ7sAAADb&#10;AAAADwAAAAAAAAABACAAAAAiAAAAZHJzL2Rvd25yZXYueG1sUEsBAhQAFAAAAAgAh07iQDMvBZ47&#10;AAAAOQAAABAAAAAAAAAAAQAgAAAACgEAAGRycy9zaGFwZXhtbC54bWxQSwUGAAAAAAYABgBbAQAA&#10;tAMAAAAA&#10;">
                  <v:fill on="f" focussize="0,0"/>
                  <v:stroke color="#000000" joinstyle="round" endarrow="block"/>
                  <v:imagedata o:title=""/>
                  <o:lock v:ext="edit" aspectratio="f"/>
                </v:shape>
                <v:shape id="自选图形 53" o:spid="_x0000_s1026" o:spt="32" type="#_x0000_t32" style="position:absolute;left:4837;top:11537;height:0;width:721;" filled="f" stroked="t" coordsize="21600,21600" o:gfxdata="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0eAjR7sAAADb&#10;AAAADwAAAAAAAAABACAAAAAiAAAAZHJzL2Rvd25yZXYueG1sUEsBAhQAFAAAAAgAh07iQDMvBZ47&#10;AAAAOQAAABAAAAAAAAAAAQAgAAAACgEAAGRycy9zaGFwZXhtbC54bWxQSwUGAAAAAAYABgBbAQAA&#10;tAMAAAAA&#10;">
                  <v:fill on="f" focussize="0,0"/>
                  <v:stroke color="#000000" joinstyle="round" endarrow="block"/>
                  <v:imagedata o:title=""/>
                  <o:lock v:ext="edit" aspectratio="f"/>
                </v:shape>
                <v:shape id="文本框 54" o:spid="_x0000_s1026" o:spt="202" type="#_x0000_t202" style="position:absolute;left:3325;top:12053;height:407;width:1512;" fillcolor="#FFFFFF" filled="t" stroked="t" coordsize="21600,21600" o:gfxdata="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2GSw/7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rPr>
                            <w:rFonts w:ascii="Calibri" w:hAnsi="Calibri" w:eastAsia="宋体" w:cs="Times New Roman"/>
                            <w:kern w:val="2"/>
                            <w:sz w:val="21"/>
                            <w:szCs w:val="22"/>
                            <w:lang w:val="en-US" w:eastAsia="zh-CN" w:bidi="ar-SA"/>
                          </w:rPr>
                        </w:pPr>
                        <w:r>
                          <w:rPr>
                            <w:rFonts w:hint="eastAsia" w:ascii="Calibri" w:hAnsi="Calibri" w:eastAsia="宋体" w:cs="Times New Roman"/>
                            <w:kern w:val="2"/>
                            <w:sz w:val="21"/>
                            <w:szCs w:val="22"/>
                            <w:lang w:val="en-US" w:eastAsia="zh-CN" w:bidi="ar-SA"/>
                          </w:rPr>
                          <w:t>后处理装置</w:t>
                        </w:r>
                      </w:p>
                    </w:txbxContent>
                  </v:textbox>
                </v:shape>
                <v:shape id="文本框 55" o:spid="_x0000_s1026" o:spt="202" type="#_x0000_t202" style="position:absolute;left:5558;top:12053;height:407;width:5393;" fillcolor="#FFFFFF" filled="t" stroked="t" coordsize="21600,21600" o:gfxdata="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KLYui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rPr>
                            <w:rFonts w:ascii="Calibri" w:hAnsi="Calibri" w:eastAsia="宋体" w:cs="Times New Roman"/>
                            <w:kern w:val="2"/>
                            <w:sz w:val="21"/>
                            <w:szCs w:val="22"/>
                            <w:lang w:val="en-US" w:eastAsia="zh-CN" w:bidi="ar-SA"/>
                          </w:rPr>
                        </w:pPr>
                        <w:r>
                          <w:rPr>
                            <w:rFonts w:hint="eastAsia" w:ascii="Calibri" w:hAnsi="Calibri" w:eastAsia="宋体" w:cs="Times New Roman"/>
                            <w:kern w:val="2"/>
                            <w:sz w:val="21"/>
                            <w:szCs w:val="22"/>
                            <w:lang w:val="en-US" w:eastAsia="zh-CN" w:bidi="ar-SA"/>
                          </w:rPr>
                          <w:t>供给中心供应蒸汽发生间、内镜中心等的二级清洗用水</w:t>
                        </w:r>
                      </w:p>
                    </w:txbxContent>
                  </v:textbox>
                </v:shape>
                <v:shape id="自选图形 56" o:spid="_x0000_s1026" o:spt="32" type="#_x0000_t32" style="position:absolute;left:4837;top:12256;height:0;width:721;" filled="f" stroked="t" coordsize="21600,21600" o:gfxdata="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ITK9ML4A&#10;AADbAAAADwAAAAAAAAABACAAAAAiAAAAZHJzL2Rvd25yZXYueG1sUEsBAhQAFAAAAAgAh07iQDMv&#10;BZ47AAAAOQAAABAAAAAAAAAAAQAgAAAADQEAAGRycy9zaGFwZXhtbC54bWxQSwUGAAAAAAYABgBb&#10;AQAAtwMAAAAA&#10;">
                  <v:fill on="f" focussize="0,0"/>
                  <v:stroke color="#000000" joinstyle="round" endarrow="block"/>
                  <v:imagedata o:title=""/>
                  <o:lock v:ext="edit" aspectratio="f"/>
                </v:shape>
                <v:shape id="文本框 57" o:spid="_x0000_s1026" o:spt="202" type="#_x0000_t202" style="position:absolute;left:3325;top:12711;height:407;width:1512;" fillcolor="#FFFFFF" filled="t" stroked="t" coordsize="21600,21600" o:gfxdata="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MgTE2e/&#10;AAAA2w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pPr>
                          <w:rPr>
                            <w:rFonts w:ascii="Calibri" w:hAnsi="Calibri" w:eastAsia="宋体" w:cs="Times New Roman"/>
                            <w:kern w:val="2"/>
                            <w:sz w:val="21"/>
                            <w:szCs w:val="22"/>
                            <w:lang w:val="en-US" w:eastAsia="zh-CN" w:bidi="ar-SA"/>
                          </w:rPr>
                        </w:pPr>
                        <w:r>
                          <w:rPr>
                            <w:rFonts w:hint="eastAsia" w:ascii="Calibri" w:hAnsi="Calibri" w:eastAsia="宋体" w:cs="Times New Roman"/>
                            <w:kern w:val="2"/>
                            <w:sz w:val="21"/>
                            <w:szCs w:val="22"/>
                            <w:lang w:val="en-US" w:eastAsia="zh-CN" w:bidi="ar-SA"/>
                          </w:rPr>
                          <w:t>后处理装置</w:t>
                        </w:r>
                      </w:p>
                    </w:txbxContent>
                  </v:textbox>
                </v:shape>
                <v:shape id="文本框 58" o:spid="_x0000_s1026" o:spt="202" type="#_x0000_t202" style="position:absolute;left:5558;top:12711;height:407;width:3635;" fillcolor="#FFFFFF" filled="t" stroked="t" coordsize="21600,21600" o:gfxdata="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nX7b8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Pr>
                          <w:rPr>
                            <w:rFonts w:ascii="Calibri" w:hAnsi="Calibri" w:eastAsia="宋体" w:cs="Times New Roman"/>
                            <w:kern w:val="2"/>
                            <w:sz w:val="21"/>
                            <w:szCs w:val="22"/>
                            <w:lang w:val="en-US" w:eastAsia="zh-CN" w:bidi="ar-SA"/>
                          </w:rPr>
                        </w:pPr>
                        <w:r>
                          <w:rPr>
                            <w:rFonts w:hint="eastAsia" w:ascii="Calibri" w:hAnsi="Calibri" w:eastAsia="宋体" w:cs="Times New Roman"/>
                            <w:kern w:val="2"/>
                            <w:sz w:val="21"/>
                            <w:szCs w:val="22"/>
                            <w:lang w:val="en-US" w:eastAsia="zh-CN" w:bidi="ar-SA"/>
                          </w:rPr>
                          <w:t>供给中心供应高温灭菌器的软化水</w:t>
                        </w:r>
                      </w:p>
                    </w:txbxContent>
                  </v:textbox>
                </v:shape>
                <v:shape id="自选图形 59" o:spid="_x0000_s1026" o:spt="32" type="#_x0000_t32" style="position:absolute;left:4837;top:12914;height:0;width:721;" filled="f" stroked="t" coordsize="21600,21600" o:gfxdata="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xRR6ovQAA&#10;ANsAAAAPAAAAAAAAAAEAIAAAACIAAABkcnMvZG93bnJldi54bWxQSwECFAAUAAAACACHTuJAMy8F&#10;njsAAAA5AAAAEAAAAAAAAAABACAAAAAMAQAAZHJzL3NoYXBleG1sLnhtbFBLBQYAAAAABgAGAFsB&#10;AAC2AwAAAAA=&#10;">
                  <v:fill on="f" focussize="0,0"/>
                  <v:stroke color="#000000" joinstyle="round" endarrow="block"/>
                  <v:imagedata o:title=""/>
                  <o:lock v:ext="edit" aspectratio="f"/>
                </v:shape>
                <v:shape id="文本框 60" o:spid="_x0000_s1026" o:spt="202" type="#_x0000_t202" style="position:absolute;left:3325;top:13316;height:407;width:1512;" fillcolor="#FFFFFF" filled="t" stroked="t" coordsize="21600,21600" o:gfxdata="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DjBjRC/&#10;AAAA2w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pPr>
                          <w:rPr>
                            <w:rFonts w:ascii="Calibri" w:hAnsi="Calibri" w:eastAsia="宋体" w:cs="Times New Roman"/>
                            <w:kern w:val="2"/>
                            <w:sz w:val="21"/>
                            <w:szCs w:val="22"/>
                            <w:lang w:val="en-US" w:eastAsia="zh-CN" w:bidi="ar-SA"/>
                          </w:rPr>
                        </w:pPr>
                        <w:r>
                          <w:rPr>
                            <w:rFonts w:hint="eastAsia" w:ascii="Calibri" w:hAnsi="Calibri" w:eastAsia="宋体" w:cs="Times New Roman"/>
                            <w:kern w:val="2"/>
                            <w:sz w:val="21"/>
                            <w:szCs w:val="22"/>
                            <w:lang w:val="en-US" w:eastAsia="zh-CN" w:bidi="ar-SA"/>
                          </w:rPr>
                          <w:t>后处理装置</w:t>
                        </w:r>
                      </w:p>
                    </w:txbxContent>
                  </v:textbox>
                </v:shape>
                <v:shape id="文本框 61" o:spid="_x0000_s1026" o:spt="202" type="#_x0000_t202" style="position:absolute;left:5558;top:13316;height:407;width:4327;" fillcolor="#FFFFFF" filled="t" stroked="t" coordsize="21600,21600" o:gfxdata="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JXhli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pPr>
                          <w:rPr>
                            <w:rFonts w:ascii="Calibri" w:hAnsi="Calibri" w:eastAsia="宋体" w:cs="Times New Roman"/>
                            <w:kern w:val="2"/>
                            <w:sz w:val="21"/>
                            <w:szCs w:val="22"/>
                            <w:lang w:val="en-US" w:eastAsia="zh-CN" w:bidi="ar-SA"/>
                          </w:rPr>
                        </w:pPr>
                        <w:r>
                          <w:rPr>
                            <w:rFonts w:hint="eastAsia" w:ascii="Calibri" w:hAnsi="Calibri" w:eastAsia="宋体" w:cs="Times New Roman"/>
                            <w:kern w:val="2"/>
                            <w:sz w:val="21"/>
                            <w:szCs w:val="22"/>
                            <w:lang w:val="en-US" w:eastAsia="zh-CN" w:bidi="ar-SA"/>
                          </w:rPr>
                          <w:t>供给手术中心、产房等的刷手池的冲洗用水</w:t>
                        </w:r>
                      </w:p>
                    </w:txbxContent>
                  </v:textbox>
                </v:shape>
                <v:shape id="自选图形 62" o:spid="_x0000_s1026" o:spt="32" type="#_x0000_t32" style="position:absolute;left:4837;top:13519;height:0;width:721;" filled="f" stroked="t" coordsize="21600,21600" o:gfxdata="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QNqK2r4A&#10;AADbAAAADwAAAAAAAAABACAAAAAiAAAAZHJzL2Rvd25yZXYueG1sUEsBAhQAFAAAAAgAh07iQDMv&#10;BZ47AAAAOQAAABAAAAAAAAAAAQAgAAAADQEAAGRycy9zaGFwZXhtbC54bWxQSwUGAAAAAAYABgBb&#10;AQAAtwMAAAAA&#10;">
                  <v:fill on="f" focussize="0,0"/>
                  <v:stroke color="#000000" joinstyle="round" endarrow="block"/>
                  <v:imagedata o:title=""/>
                  <o:lock v:ext="edit" aspectratio="f"/>
                </v:shape>
                <v:shape id="文本框 63" o:spid="_x0000_s1026" o:spt="202" type="#_x0000_t202" style="position:absolute;left:3325;top:13963;height:407;width:1512;" fillcolor="#FFFFFF" filled="t" stroked="t" coordsize="21600,21600" o:gfxdata="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MvGDubsAAADb&#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Pr>
                          <w:rPr>
                            <w:rFonts w:ascii="Calibri" w:hAnsi="Calibri" w:eastAsia="宋体" w:cs="Times New Roman"/>
                            <w:kern w:val="2"/>
                            <w:sz w:val="21"/>
                            <w:szCs w:val="22"/>
                            <w:lang w:val="en-US" w:eastAsia="zh-CN" w:bidi="ar-SA"/>
                          </w:rPr>
                        </w:pPr>
                        <w:r>
                          <w:rPr>
                            <w:rFonts w:hint="eastAsia" w:ascii="Calibri" w:hAnsi="Calibri" w:eastAsia="宋体" w:cs="Times New Roman"/>
                            <w:kern w:val="2"/>
                            <w:sz w:val="21"/>
                            <w:szCs w:val="22"/>
                            <w:lang w:val="en-US" w:eastAsia="zh-CN" w:bidi="ar-SA"/>
                          </w:rPr>
                          <w:t>后处理装置</w:t>
                        </w:r>
                      </w:p>
                    </w:txbxContent>
                  </v:textbox>
                </v:shape>
                <v:shape id="文本框 64" o:spid="_x0000_s1026" o:spt="202" type="#_x0000_t202" style="position:absolute;left:5558;top:13963;height:407;width:2245;" fillcolor="#FFFFFF" filled="t" stroked="t" coordsize="21600,21600" o:gfxdata="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Xb0mIr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rPr>
                            <w:rFonts w:ascii="Calibri" w:hAnsi="Calibri" w:eastAsia="宋体" w:cs="Times New Roman"/>
                            <w:kern w:val="2"/>
                            <w:sz w:val="21"/>
                            <w:szCs w:val="22"/>
                            <w:lang w:val="en-US" w:eastAsia="zh-CN" w:bidi="ar-SA"/>
                          </w:rPr>
                        </w:pPr>
                        <w:r>
                          <w:rPr>
                            <w:rFonts w:hint="eastAsia" w:ascii="Calibri" w:hAnsi="Calibri" w:eastAsia="宋体" w:cs="Times New Roman"/>
                            <w:kern w:val="2"/>
                            <w:sz w:val="21"/>
                            <w:szCs w:val="22"/>
                            <w:lang w:val="en-US" w:eastAsia="zh-CN" w:bidi="ar-SA"/>
                          </w:rPr>
                          <w:t>供给全院的饮用纯水</w:t>
                        </w:r>
                      </w:p>
                    </w:txbxContent>
                  </v:textbox>
                </v:shape>
                <v:shape id="自选图形 65" o:spid="_x0000_s1026" o:spt="32" type="#_x0000_t32" style="position:absolute;left:4837;top:14166;height:0;width:721;" filled="f" stroked="t" coordsize="21600,21600" o:gfxdata="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y6eOdr4A&#10;AADbAAAADwAAAAAAAAABACAAAAAiAAAAZHJzL2Rvd25yZXYueG1sUEsBAhQAFAAAAAgAh07iQDMv&#10;BZ47AAAAOQAAABAAAAAAAAAAAQAgAAAADQEAAGRycy9zaGFwZXhtbC54bWxQSwUGAAAAAAYABgBb&#10;AQAAtwMAAAAA&#10;">
                  <v:fill on="f" focussize="0,0"/>
                  <v:stroke color="#000000" joinstyle="round" endarrow="block"/>
                  <v:imagedata o:title=""/>
                  <o:lock v:ext="edit" aspectratio="f"/>
                </v:shape>
              </v:group>
            </w:pict>
          </mc:Fallback>
        </mc:AlternateContent>
      </w:r>
    </w:p>
    <w:p>
      <w:pPr>
        <w:jc w:val="center"/>
        <w:rPr>
          <w:rFonts w:ascii="Times New Roman" w:hAnsi="Times New Roman" w:eastAsia="宋体"/>
          <w:highlight w:val="none"/>
        </w:rPr>
        <w:sectPr>
          <w:pgSz w:w="11906" w:h="16838"/>
          <w:pgMar w:top="1440" w:right="1077" w:bottom="1440" w:left="1077" w:header="851" w:footer="992" w:gutter="284"/>
          <w:cols w:space="720" w:num="1"/>
          <w:docGrid w:type="lines" w:linePitch="312" w:charSpace="0"/>
        </w:sectPr>
      </w:pPr>
    </w:p>
    <w:p>
      <w:pPr>
        <w:rPr>
          <w:rFonts w:ascii="Times New Roman" w:hAnsi="Times New Roman" w:eastAsia="宋体" w:cs="Times New Roman"/>
          <w:kern w:val="2"/>
          <w:sz w:val="21"/>
          <w:szCs w:val="21"/>
          <w:highlight w:val="none"/>
          <w:lang w:val="en-US" w:eastAsia="zh-CN" w:bidi="ar-SA"/>
        </w:rPr>
      </w:pPr>
    </w:p>
    <w:p>
      <w:pPr>
        <w:widowControl/>
        <w:numPr>
          <w:ilvl w:val="0"/>
          <w:numId w:val="39"/>
        </w:numPr>
        <w:spacing w:line="480" w:lineRule="auto"/>
        <w:jc w:val="both"/>
        <w:outlineLvl w:val="1"/>
        <w:rPr>
          <w:rFonts w:hint="eastAsia" w:ascii="Times New Roman" w:hAnsi="Times New Roman" w:eastAsia="宋体" w:cs="Times New Roman"/>
          <w:b/>
          <w:kern w:val="0"/>
          <w:sz w:val="24"/>
          <w:szCs w:val="21"/>
          <w:highlight w:val="none"/>
          <w:lang w:val="en-US" w:eastAsia="zh-CN" w:bidi="ar-SA"/>
        </w:rPr>
      </w:pPr>
      <w:bookmarkStart w:id="444" w:name="_Toc3807"/>
      <w:r>
        <w:rPr>
          <w:rFonts w:hint="eastAsia" w:ascii="Times New Roman" w:hAnsi="Times New Roman" w:eastAsia="宋体" w:cs="Times New Roman"/>
          <w:b/>
          <w:kern w:val="0"/>
          <w:sz w:val="24"/>
          <w:szCs w:val="21"/>
          <w:highlight w:val="none"/>
          <w:lang w:val="en-US" w:eastAsia="zh-CN" w:bidi="ar-SA"/>
        </w:rPr>
        <w:t>设备材料清单</w:t>
      </w:r>
      <w:bookmarkEnd w:id="444"/>
    </w:p>
    <w:tbl>
      <w:tblPr>
        <w:tblStyle w:val="3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7"/>
        <w:gridCol w:w="1614"/>
        <w:gridCol w:w="4032"/>
        <w:gridCol w:w="1679"/>
        <w:gridCol w:w="680"/>
        <w:gridCol w:w="7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84" w:type="pct"/>
            <w:shd w:val="clear" w:color="000000" w:fill="92D050"/>
            <w:noWrap w:val="0"/>
            <w:vAlign w:val="center"/>
          </w:tcPr>
          <w:p>
            <w:pPr>
              <w:widowControl/>
              <w:jc w:val="center"/>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序号</w:t>
            </w:r>
          </w:p>
        </w:tc>
        <w:tc>
          <w:tcPr>
            <w:tcW w:w="869" w:type="pct"/>
            <w:shd w:val="clear" w:color="000000" w:fill="92D050"/>
            <w:noWrap w:val="0"/>
            <w:vAlign w:val="center"/>
          </w:tcPr>
          <w:p>
            <w:pPr>
              <w:widowControl/>
              <w:jc w:val="center"/>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名称</w:t>
            </w:r>
          </w:p>
        </w:tc>
        <w:tc>
          <w:tcPr>
            <w:tcW w:w="2171" w:type="pct"/>
            <w:shd w:val="clear" w:color="000000" w:fill="92D050"/>
            <w:noWrap w:val="0"/>
            <w:vAlign w:val="center"/>
          </w:tcPr>
          <w:p>
            <w:pPr>
              <w:widowControl/>
              <w:jc w:val="center"/>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规格型号</w:t>
            </w:r>
          </w:p>
        </w:tc>
        <w:tc>
          <w:tcPr>
            <w:tcW w:w="904" w:type="pct"/>
            <w:shd w:val="clear" w:color="000000" w:fill="92D050"/>
            <w:noWrap w:val="0"/>
            <w:vAlign w:val="center"/>
          </w:tcPr>
          <w:p>
            <w:pPr>
              <w:widowControl/>
              <w:jc w:val="center"/>
              <w:rPr>
                <w:rFonts w:hint="eastAsia"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参照或相当于</w:t>
            </w:r>
          </w:p>
        </w:tc>
        <w:tc>
          <w:tcPr>
            <w:tcW w:w="366" w:type="pct"/>
            <w:shd w:val="clear" w:color="000000" w:fill="92D050"/>
            <w:noWrap w:val="0"/>
            <w:vAlign w:val="center"/>
          </w:tcPr>
          <w:p>
            <w:pPr>
              <w:widowControl/>
              <w:jc w:val="center"/>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单位</w:t>
            </w:r>
          </w:p>
        </w:tc>
        <w:tc>
          <w:tcPr>
            <w:tcW w:w="406" w:type="pct"/>
            <w:shd w:val="clear" w:color="000000" w:fill="92D050"/>
            <w:noWrap w:val="0"/>
            <w:vAlign w:val="center"/>
          </w:tcPr>
          <w:p>
            <w:pPr>
              <w:widowControl/>
              <w:jc w:val="center"/>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284" w:type="pct"/>
            <w:noWrap w:val="0"/>
            <w:vAlign w:val="center"/>
          </w:tcPr>
          <w:p>
            <w:pPr>
              <w:widowControl/>
              <w:jc w:val="center"/>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一</w:t>
            </w:r>
          </w:p>
        </w:tc>
        <w:tc>
          <w:tcPr>
            <w:tcW w:w="869" w:type="pct"/>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预处理系统</w:t>
            </w:r>
          </w:p>
        </w:tc>
        <w:tc>
          <w:tcPr>
            <w:tcW w:w="2171" w:type="pct"/>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单套处理能力21T/H</w:t>
            </w:r>
          </w:p>
        </w:tc>
        <w:tc>
          <w:tcPr>
            <w:tcW w:w="904" w:type="pct"/>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　</w:t>
            </w:r>
          </w:p>
        </w:tc>
        <w:tc>
          <w:tcPr>
            <w:tcW w:w="366" w:type="pct"/>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　</w:t>
            </w:r>
          </w:p>
        </w:tc>
        <w:tc>
          <w:tcPr>
            <w:tcW w:w="406" w:type="pct"/>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原水箱</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2.5t，锥底水箱，材质SS304，含进水导流管，溢流口，可视液位管，含液位控制</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品牌产品</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套</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2</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原水泵</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流量21t/h，扬程50m，过流材质SS304，两用两备，变频控制</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赛莱默/格兰富/威乐</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台</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3</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机械过滤器（含滤料）</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φ1500，材质SS 304</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品牌产品</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台</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4</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自动控制器</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过滤时间型，自动控制运行、反洗</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滨特尔/阿图祖/唯赛博</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台</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5</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软水器（含滤料）</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φ1500，材质SS304内衬胶</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品牌产品</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台</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6</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自动控制器</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软化时间型，自动控制运行、再生</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滨特尔/阿图祖/唯赛博</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台</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7</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盐桶</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1000L，材质PE</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品牌产品</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台</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8</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活性炭过滤器（含滤料）</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φ1500，材质SS304内衬胶</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品牌产品</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台</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9</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自动控制器</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过滤时间型，自动控制运行、反洗</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滨特尔/阿图祖/唯赛博</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台</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10</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精密过滤器</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单套出水能力21m³/h，过滤精度5μm，筒体材质SS 304</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品牌产品</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台</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11</w:t>
            </w:r>
          </w:p>
        </w:tc>
        <w:tc>
          <w:tcPr>
            <w:tcW w:w="869" w:type="pct"/>
            <w:noWrap w:val="0"/>
            <w:vAlign w:val="center"/>
          </w:tcPr>
          <w:p>
            <w:pPr>
              <w:widowControl/>
              <w:jc w:val="left"/>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连接管阀件</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DN100-20，材质SS304</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品牌产品</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套</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12</w:t>
            </w:r>
          </w:p>
        </w:tc>
        <w:tc>
          <w:tcPr>
            <w:tcW w:w="869" w:type="pct"/>
            <w:noWrap w:val="0"/>
            <w:vAlign w:val="center"/>
          </w:tcPr>
          <w:p>
            <w:pPr>
              <w:widowControl/>
              <w:jc w:val="left"/>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配套仪表电缆等</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满足系统需求</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品牌产品</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套</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二</w:t>
            </w:r>
          </w:p>
        </w:tc>
        <w:tc>
          <w:tcPr>
            <w:tcW w:w="869" w:type="pct"/>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反渗透系统</w:t>
            </w:r>
          </w:p>
        </w:tc>
        <w:tc>
          <w:tcPr>
            <w:tcW w:w="2171" w:type="pct"/>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　</w:t>
            </w:r>
          </w:p>
        </w:tc>
        <w:tc>
          <w:tcPr>
            <w:tcW w:w="904" w:type="pct"/>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　</w:t>
            </w:r>
          </w:p>
        </w:tc>
        <w:tc>
          <w:tcPr>
            <w:tcW w:w="366" w:type="pct"/>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　</w:t>
            </w:r>
          </w:p>
        </w:tc>
        <w:tc>
          <w:tcPr>
            <w:tcW w:w="406" w:type="pct"/>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一级RO高压泵</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流量22t/h，扬程110m，过流材质SS 304</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赛莱默/格兰富/威乐</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台</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2</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一级反渗透膜</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稳定脱盐率＞98%，满足医疗用水的卫生要求</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陶氏/海德能/东丽</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支</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3</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一级反渗透膜壳</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8040-2，双芯</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品牌产品</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支</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4</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二级RO高压泵</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流量9.5t/h，扬程110m，过流材质SS 304，一用一备</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赛莱默/格兰富/威乐</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台</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5</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二级反渗透膜</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稳定脱盐率＞98%，满足医疗用水的卫生要求</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陶氏/海德能/东丽</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支</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6</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二级反渗透膜壳</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8040-1，单芯</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品牌产品</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支</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7</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浓水利用装置</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筒体材质SS 304</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品牌产品</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套</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8</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机架</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一体化机架，材质SS 304</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定制</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套</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9</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清洗消毒水箱</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1000L，PE</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品牌产品</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台</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10</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清洗消毒泵</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流量22t/h，扬程30m，过流材质SS 304</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赛莱默/格兰富/威乐</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台</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11</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清洗消毒过滤器</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过滤精度5μm，筒体材质SS 304</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品牌产品</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台</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12</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无菌纯水箱</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2t，含清洗喷淋球、空气呼吸器、紫外杀菌装置、含液位控制</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品牌产品</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台</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13</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无菌纯水箱</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2.5t，含清洗喷淋球、空气呼吸器、紫外杀菌装置、含液位控制</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品牌产品</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台</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14</w:t>
            </w:r>
          </w:p>
        </w:tc>
        <w:tc>
          <w:tcPr>
            <w:tcW w:w="869" w:type="pct"/>
            <w:noWrap w:val="0"/>
            <w:vAlign w:val="center"/>
          </w:tcPr>
          <w:p>
            <w:pPr>
              <w:widowControl/>
              <w:jc w:val="left"/>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连接管阀件</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DN65-25，材质SS304</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品牌产品</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套</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15</w:t>
            </w:r>
          </w:p>
        </w:tc>
        <w:tc>
          <w:tcPr>
            <w:tcW w:w="869" w:type="pct"/>
            <w:noWrap w:val="0"/>
            <w:vAlign w:val="center"/>
          </w:tcPr>
          <w:p>
            <w:pPr>
              <w:widowControl/>
              <w:jc w:val="left"/>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配套仪表电缆等</w:t>
            </w:r>
          </w:p>
        </w:tc>
        <w:tc>
          <w:tcPr>
            <w:tcW w:w="2171" w:type="pct"/>
            <w:noWrap w:val="0"/>
            <w:vAlign w:val="center"/>
          </w:tcPr>
          <w:p>
            <w:pPr>
              <w:widowControl/>
              <w:jc w:val="left"/>
              <w:rPr>
                <w:rFonts w:hint="eastAsia"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满足系统需求</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品牌产品</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套</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三</w:t>
            </w:r>
          </w:p>
        </w:tc>
        <w:tc>
          <w:tcPr>
            <w:tcW w:w="869" w:type="pct"/>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后处理系统</w:t>
            </w:r>
          </w:p>
        </w:tc>
        <w:tc>
          <w:tcPr>
            <w:tcW w:w="2171" w:type="pct"/>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　</w:t>
            </w:r>
          </w:p>
        </w:tc>
        <w:tc>
          <w:tcPr>
            <w:tcW w:w="904" w:type="pct"/>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　</w:t>
            </w:r>
          </w:p>
        </w:tc>
        <w:tc>
          <w:tcPr>
            <w:tcW w:w="366" w:type="pct"/>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　</w:t>
            </w:r>
          </w:p>
        </w:tc>
        <w:tc>
          <w:tcPr>
            <w:tcW w:w="406" w:type="pct"/>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284" w:type="pct"/>
            <w:noWrap w:val="0"/>
            <w:vAlign w:val="center"/>
          </w:tcPr>
          <w:p>
            <w:pPr>
              <w:widowControl/>
              <w:jc w:val="center"/>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1</w:t>
            </w:r>
          </w:p>
        </w:tc>
        <w:tc>
          <w:tcPr>
            <w:tcW w:w="869" w:type="pct"/>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检验用水后处理系统</w:t>
            </w:r>
          </w:p>
        </w:tc>
        <w:tc>
          <w:tcPr>
            <w:tcW w:w="2171" w:type="pct"/>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处理能力3T/H</w:t>
            </w:r>
          </w:p>
        </w:tc>
        <w:tc>
          <w:tcPr>
            <w:tcW w:w="904" w:type="pct"/>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　</w:t>
            </w:r>
          </w:p>
        </w:tc>
        <w:tc>
          <w:tcPr>
            <w:tcW w:w="366" w:type="pct"/>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　</w:t>
            </w:r>
          </w:p>
        </w:tc>
        <w:tc>
          <w:tcPr>
            <w:tcW w:w="406" w:type="pct"/>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1.1</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增压泵</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流量5t/h，扬程30m，过流材质SS 304，一用一备</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赛莱默/格兰富/威乐</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台</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1.2</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微孔过滤器</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过滤精度0.22μm，筒体材质SS 304</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品牌产品</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台</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1.3</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EDI装置</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处理能力≥3t/h</w:t>
            </w:r>
          </w:p>
        </w:tc>
        <w:tc>
          <w:tcPr>
            <w:tcW w:w="904" w:type="pct"/>
            <w:noWrap w:val="0"/>
            <w:vAlign w:val="center"/>
          </w:tcPr>
          <w:p>
            <w:pPr>
              <w:widowControl/>
              <w:jc w:val="center"/>
              <w:rPr>
                <w:rFonts w:ascii="Times New Roman" w:hAnsi="Times New Roman" w:eastAsia="宋体" w:cs="宋体"/>
                <w:color w:val="000000"/>
                <w:kern w:val="0"/>
                <w:sz w:val="22"/>
                <w:szCs w:val="22"/>
                <w:highlight w:val="none"/>
                <w:lang w:val="en-US" w:eastAsia="zh-CN" w:bidi="ar-SA"/>
              </w:rPr>
            </w:pPr>
            <w:r>
              <w:rPr>
                <w:rFonts w:hint="eastAsia" w:ascii="Times New Roman" w:hAnsi="Times New Roman" w:eastAsia="宋体" w:cs="宋体"/>
                <w:color w:val="000000"/>
                <w:kern w:val="0"/>
                <w:sz w:val="22"/>
                <w:szCs w:val="22"/>
                <w:highlight w:val="none"/>
                <w:lang w:val="en-US" w:eastAsia="zh-CN" w:bidi="ar-SA"/>
              </w:rPr>
              <w:t>HUAXIN/CANPURE/GE</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台</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1.4</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检验用供水泵</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流量5t/h，扬程80m，过流材质SS 304，一用一备，变频控制</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赛莱默/格兰富/威乐</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台</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1.5</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检验用紫外杀菌器</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过流材质SS 304，灯管放射剂量达30mj/cm2</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WATERTECH/WONDER/HANOVIA</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台</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1.6</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检验用微孔过滤器</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过滤精度0.22μm，筒体材质SS 304</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品牌产品</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台</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1.7</w:t>
            </w:r>
          </w:p>
        </w:tc>
        <w:tc>
          <w:tcPr>
            <w:tcW w:w="869" w:type="pct"/>
            <w:noWrap w:val="0"/>
            <w:vAlign w:val="center"/>
          </w:tcPr>
          <w:p>
            <w:pPr>
              <w:widowControl/>
              <w:jc w:val="left"/>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连接管阀件</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DN32-20，材质SS304</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品牌产品</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套</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1.8</w:t>
            </w:r>
          </w:p>
        </w:tc>
        <w:tc>
          <w:tcPr>
            <w:tcW w:w="869" w:type="pct"/>
            <w:noWrap w:val="0"/>
            <w:vAlign w:val="center"/>
          </w:tcPr>
          <w:p>
            <w:pPr>
              <w:widowControl/>
              <w:jc w:val="left"/>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配套仪表电缆等</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满足系统需求</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品牌产品</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套</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284" w:type="pct"/>
            <w:noWrap w:val="0"/>
            <w:vAlign w:val="center"/>
          </w:tcPr>
          <w:p>
            <w:pPr>
              <w:widowControl/>
              <w:jc w:val="center"/>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2</w:t>
            </w:r>
          </w:p>
        </w:tc>
        <w:tc>
          <w:tcPr>
            <w:tcW w:w="869" w:type="pct"/>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一级清洗用水后处理系统</w:t>
            </w:r>
          </w:p>
        </w:tc>
        <w:tc>
          <w:tcPr>
            <w:tcW w:w="2171" w:type="pct"/>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处理能力6.3T/H</w:t>
            </w:r>
          </w:p>
        </w:tc>
        <w:tc>
          <w:tcPr>
            <w:tcW w:w="904" w:type="pct"/>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　</w:t>
            </w:r>
          </w:p>
        </w:tc>
        <w:tc>
          <w:tcPr>
            <w:tcW w:w="366" w:type="pct"/>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　</w:t>
            </w:r>
          </w:p>
        </w:tc>
        <w:tc>
          <w:tcPr>
            <w:tcW w:w="406" w:type="pct"/>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2.1</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在线抑菌装置</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满足系统在线抑菌要求</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品牌产品</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套</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2.2</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清洗用供水泵</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流量12t/h，扬程65m，过流材质SS 304，一用一备，变频控制</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赛莱默/格兰富/威乐</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台</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2.3</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清洗用紫外杀菌器</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过流材质SS 304，灯管放射剂量达30mj/cm2</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WATERTECH/WONDER/HANOVIA</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台</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2.4</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清洗用微孔过滤器</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过滤精度0.22μm，筒体材质SS 304</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品牌产品</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台</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2.5</w:t>
            </w:r>
          </w:p>
        </w:tc>
        <w:tc>
          <w:tcPr>
            <w:tcW w:w="869" w:type="pct"/>
            <w:noWrap w:val="0"/>
            <w:vAlign w:val="center"/>
          </w:tcPr>
          <w:p>
            <w:pPr>
              <w:widowControl/>
              <w:jc w:val="left"/>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连接管阀件</w:t>
            </w:r>
          </w:p>
        </w:tc>
        <w:tc>
          <w:tcPr>
            <w:tcW w:w="2171" w:type="pct"/>
            <w:noWrap w:val="0"/>
            <w:vAlign w:val="center"/>
          </w:tcPr>
          <w:p>
            <w:pPr>
              <w:widowControl/>
              <w:jc w:val="left"/>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DN50-20，材质SS304</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品牌产品</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套</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2.6</w:t>
            </w:r>
          </w:p>
        </w:tc>
        <w:tc>
          <w:tcPr>
            <w:tcW w:w="869" w:type="pct"/>
            <w:noWrap w:val="0"/>
            <w:vAlign w:val="center"/>
          </w:tcPr>
          <w:p>
            <w:pPr>
              <w:widowControl/>
              <w:jc w:val="left"/>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配套仪表电缆等</w:t>
            </w:r>
          </w:p>
        </w:tc>
        <w:tc>
          <w:tcPr>
            <w:tcW w:w="2171" w:type="pct"/>
            <w:noWrap w:val="0"/>
            <w:vAlign w:val="center"/>
          </w:tcPr>
          <w:p>
            <w:pPr>
              <w:widowControl/>
              <w:jc w:val="left"/>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满足系统需求</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品牌产品</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套</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284" w:type="pct"/>
            <w:noWrap w:val="0"/>
            <w:vAlign w:val="center"/>
          </w:tcPr>
          <w:p>
            <w:pPr>
              <w:widowControl/>
              <w:jc w:val="center"/>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3</w:t>
            </w:r>
          </w:p>
        </w:tc>
        <w:tc>
          <w:tcPr>
            <w:tcW w:w="869" w:type="pct"/>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二级清洗用水后处理系统</w:t>
            </w:r>
          </w:p>
        </w:tc>
        <w:tc>
          <w:tcPr>
            <w:tcW w:w="2171" w:type="pct"/>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处理能力7.4T/H</w:t>
            </w:r>
          </w:p>
        </w:tc>
        <w:tc>
          <w:tcPr>
            <w:tcW w:w="904" w:type="pct"/>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　</w:t>
            </w:r>
          </w:p>
        </w:tc>
        <w:tc>
          <w:tcPr>
            <w:tcW w:w="366" w:type="pct"/>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　</w:t>
            </w:r>
          </w:p>
        </w:tc>
        <w:tc>
          <w:tcPr>
            <w:tcW w:w="406" w:type="pct"/>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3.1</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在线抑菌装置</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满足系统在线抑菌要求</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品牌产品</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套</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3.2</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清洗用供水泵</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流量12t/h，扬程60m，过流材质SS 304，一用一备，变频控制</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赛莱默/格兰富/威乐</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台</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3.3</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清洗用紫外杀菌器</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过流材质SS 304，灯管放射剂量达30mj/cm2</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WATERTECH/WONDER/HANOVIA</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台</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3.4</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清洗用微孔过滤器</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过滤精度0.22μm，筒体材质SS 304</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品牌产品</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台</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3.5</w:t>
            </w:r>
          </w:p>
        </w:tc>
        <w:tc>
          <w:tcPr>
            <w:tcW w:w="869" w:type="pct"/>
            <w:noWrap w:val="0"/>
            <w:vAlign w:val="center"/>
          </w:tcPr>
          <w:p>
            <w:pPr>
              <w:widowControl/>
              <w:jc w:val="left"/>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连接管阀件</w:t>
            </w:r>
          </w:p>
        </w:tc>
        <w:tc>
          <w:tcPr>
            <w:tcW w:w="2171" w:type="pct"/>
            <w:noWrap w:val="0"/>
            <w:vAlign w:val="center"/>
          </w:tcPr>
          <w:p>
            <w:pPr>
              <w:widowControl/>
              <w:jc w:val="left"/>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DN50-20，材质SS304</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品牌产品</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套</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3.6</w:t>
            </w:r>
          </w:p>
        </w:tc>
        <w:tc>
          <w:tcPr>
            <w:tcW w:w="869" w:type="pct"/>
            <w:noWrap w:val="0"/>
            <w:vAlign w:val="center"/>
          </w:tcPr>
          <w:p>
            <w:pPr>
              <w:widowControl/>
              <w:jc w:val="left"/>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配套仪表电缆等</w:t>
            </w:r>
          </w:p>
        </w:tc>
        <w:tc>
          <w:tcPr>
            <w:tcW w:w="2171" w:type="pct"/>
            <w:noWrap w:val="0"/>
            <w:vAlign w:val="center"/>
          </w:tcPr>
          <w:p>
            <w:pPr>
              <w:widowControl/>
              <w:jc w:val="left"/>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满足系统需求</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品牌产品</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套</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284" w:type="pct"/>
            <w:noWrap w:val="0"/>
            <w:vAlign w:val="center"/>
          </w:tcPr>
          <w:p>
            <w:pPr>
              <w:widowControl/>
              <w:jc w:val="center"/>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4</w:t>
            </w:r>
          </w:p>
        </w:tc>
        <w:tc>
          <w:tcPr>
            <w:tcW w:w="869" w:type="pct"/>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冲洗用水后处理系统</w:t>
            </w:r>
          </w:p>
        </w:tc>
        <w:tc>
          <w:tcPr>
            <w:tcW w:w="2171" w:type="pct"/>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处理能力9.6T/H</w:t>
            </w:r>
          </w:p>
        </w:tc>
        <w:tc>
          <w:tcPr>
            <w:tcW w:w="1676" w:type="pct"/>
            <w:gridSpan w:val="3"/>
            <w:noWrap w:val="0"/>
            <w:vAlign w:val="center"/>
          </w:tcPr>
          <w:p>
            <w:pPr>
              <w:widowControl/>
              <w:jc w:val="center"/>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4.1</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在线抑菌装置</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满足系统在线抑菌要求</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品牌产品</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套</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4.2</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冲洗用供水泵</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流量14t/h，扬程70m，过流材质SS 304，一用一备，变频控制</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赛莱默/格兰富/威乐</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台</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4.3</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冲洗用紫外杀菌器</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过流材质SS 304，灯管放射剂量达30mj/cm2</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WATERTECH/WONDER/HANOVIA</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台</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4.4</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冲洗用过滤器</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过滤精度5μm，筒体材质SS 304</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品牌产品</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台</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4.5</w:t>
            </w:r>
          </w:p>
        </w:tc>
        <w:tc>
          <w:tcPr>
            <w:tcW w:w="869" w:type="pct"/>
            <w:noWrap w:val="0"/>
            <w:vAlign w:val="center"/>
          </w:tcPr>
          <w:p>
            <w:pPr>
              <w:widowControl/>
              <w:jc w:val="left"/>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连接管阀件</w:t>
            </w:r>
          </w:p>
        </w:tc>
        <w:tc>
          <w:tcPr>
            <w:tcW w:w="2171" w:type="pct"/>
            <w:noWrap w:val="0"/>
            <w:vAlign w:val="center"/>
          </w:tcPr>
          <w:p>
            <w:pPr>
              <w:widowControl/>
              <w:jc w:val="left"/>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DN50-20，材质SS304</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品牌产品</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套</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4.6</w:t>
            </w:r>
          </w:p>
        </w:tc>
        <w:tc>
          <w:tcPr>
            <w:tcW w:w="869" w:type="pct"/>
            <w:noWrap w:val="0"/>
            <w:vAlign w:val="center"/>
          </w:tcPr>
          <w:p>
            <w:pPr>
              <w:widowControl/>
              <w:jc w:val="left"/>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配套仪表电缆等</w:t>
            </w:r>
          </w:p>
        </w:tc>
        <w:tc>
          <w:tcPr>
            <w:tcW w:w="2171" w:type="pct"/>
            <w:noWrap w:val="0"/>
            <w:vAlign w:val="center"/>
          </w:tcPr>
          <w:p>
            <w:pPr>
              <w:widowControl/>
              <w:jc w:val="left"/>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满足系统需求</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品牌产品</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套</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284" w:type="pct"/>
            <w:noWrap w:val="0"/>
            <w:vAlign w:val="center"/>
          </w:tcPr>
          <w:p>
            <w:pPr>
              <w:widowControl/>
              <w:jc w:val="center"/>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5</w:t>
            </w:r>
          </w:p>
        </w:tc>
        <w:tc>
          <w:tcPr>
            <w:tcW w:w="869" w:type="pct"/>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饮用纯水后处理系统</w:t>
            </w:r>
          </w:p>
        </w:tc>
        <w:tc>
          <w:tcPr>
            <w:tcW w:w="2171" w:type="pct"/>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处理能力4.0T/H</w:t>
            </w:r>
          </w:p>
        </w:tc>
        <w:tc>
          <w:tcPr>
            <w:tcW w:w="1676" w:type="pct"/>
            <w:gridSpan w:val="3"/>
            <w:noWrap w:val="0"/>
            <w:vAlign w:val="center"/>
          </w:tcPr>
          <w:p>
            <w:pPr>
              <w:widowControl/>
              <w:jc w:val="center"/>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5.1</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在线抑菌装置</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满足系统在线抑菌要求</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品牌产品</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套</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5.2</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低区饮用水供水泵</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流量5t/h，扬程70m，过流材质SS 304，一用一备，变频控制</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赛莱默/格兰富/威乐</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台</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5.3</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低区饮用水紫外杀菌器</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过流材质304SS，灯管放射剂量达30mj/cm2</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WATERTECH/WONDER/HANOVIA</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台</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5.4</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低区饮用水微孔过滤器</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过滤精度0.22μm，筒体材质SS 304</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品牌产品</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台</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5.5</w:t>
            </w:r>
          </w:p>
        </w:tc>
        <w:tc>
          <w:tcPr>
            <w:tcW w:w="869" w:type="pct"/>
            <w:noWrap w:val="0"/>
            <w:vAlign w:val="center"/>
          </w:tcPr>
          <w:p>
            <w:pPr>
              <w:widowControl/>
              <w:jc w:val="left"/>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连接管阀件</w:t>
            </w:r>
          </w:p>
        </w:tc>
        <w:tc>
          <w:tcPr>
            <w:tcW w:w="2171" w:type="pct"/>
            <w:noWrap w:val="0"/>
            <w:vAlign w:val="center"/>
          </w:tcPr>
          <w:p>
            <w:pPr>
              <w:widowControl/>
              <w:jc w:val="left"/>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DN40-20，材质SS304</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品牌产品</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套</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5.6</w:t>
            </w:r>
          </w:p>
        </w:tc>
        <w:tc>
          <w:tcPr>
            <w:tcW w:w="869" w:type="pct"/>
            <w:noWrap w:val="0"/>
            <w:vAlign w:val="center"/>
          </w:tcPr>
          <w:p>
            <w:pPr>
              <w:widowControl/>
              <w:jc w:val="left"/>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配套仪表电缆等</w:t>
            </w:r>
          </w:p>
        </w:tc>
        <w:tc>
          <w:tcPr>
            <w:tcW w:w="2171" w:type="pct"/>
            <w:noWrap w:val="0"/>
            <w:vAlign w:val="center"/>
          </w:tcPr>
          <w:p>
            <w:pPr>
              <w:widowControl/>
              <w:jc w:val="left"/>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满足系统需求</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品牌产品</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套</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5.7</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高区饮用水供水泵</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流量3t/h，扬程120m，过流材质SS 304，一用一备，变频控制</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赛莱默/格兰富/威乐</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台</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5.8</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高区饮用水紫外杀菌器</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过流材质SS 304，灯管放射剂量达30mj/cm2</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WATERTECH/WONDER/HANOVIA</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台</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5.9</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高区饮用水微孔过滤器</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过滤精度0.22μm，筒体材质SS 304</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品牌产品</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台</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 xml:space="preserve">5.10 </w:t>
            </w:r>
          </w:p>
        </w:tc>
        <w:tc>
          <w:tcPr>
            <w:tcW w:w="869" w:type="pct"/>
            <w:noWrap w:val="0"/>
            <w:vAlign w:val="center"/>
          </w:tcPr>
          <w:p>
            <w:pPr>
              <w:widowControl/>
              <w:jc w:val="left"/>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连接管阀件</w:t>
            </w:r>
          </w:p>
        </w:tc>
        <w:tc>
          <w:tcPr>
            <w:tcW w:w="2171" w:type="pct"/>
            <w:noWrap w:val="0"/>
            <w:vAlign w:val="center"/>
          </w:tcPr>
          <w:p>
            <w:pPr>
              <w:widowControl/>
              <w:jc w:val="left"/>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DN25-20，材质SS304</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品牌产品</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套</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 xml:space="preserve">5.11 </w:t>
            </w:r>
          </w:p>
        </w:tc>
        <w:tc>
          <w:tcPr>
            <w:tcW w:w="869" w:type="pct"/>
            <w:noWrap w:val="0"/>
            <w:vAlign w:val="center"/>
          </w:tcPr>
          <w:p>
            <w:pPr>
              <w:widowControl/>
              <w:jc w:val="left"/>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配套仪表电缆等</w:t>
            </w:r>
          </w:p>
        </w:tc>
        <w:tc>
          <w:tcPr>
            <w:tcW w:w="2171" w:type="pct"/>
            <w:noWrap w:val="0"/>
            <w:vAlign w:val="center"/>
          </w:tcPr>
          <w:p>
            <w:pPr>
              <w:widowControl/>
              <w:jc w:val="left"/>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满足系统需求</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品牌产品</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套</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6</w:t>
            </w:r>
          </w:p>
        </w:tc>
        <w:tc>
          <w:tcPr>
            <w:tcW w:w="869" w:type="pct"/>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软化水后处理系统</w:t>
            </w:r>
          </w:p>
        </w:tc>
        <w:tc>
          <w:tcPr>
            <w:tcW w:w="2171" w:type="pct"/>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处理能力3.0T/H</w:t>
            </w:r>
          </w:p>
        </w:tc>
        <w:tc>
          <w:tcPr>
            <w:tcW w:w="1676" w:type="pct"/>
            <w:gridSpan w:val="3"/>
            <w:noWrap w:val="0"/>
            <w:vAlign w:val="center"/>
          </w:tcPr>
          <w:p>
            <w:pPr>
              <w:widowControl/>
              <w:jc w:val="center"/>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6.1</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软化水供水泵</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流量5t/h，扬程50m，过流材质SS 304，一用一备，变频控制</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赛莱默/格兰富/威乐</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台</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6.2</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软化用紫外杀菌器</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过流材质SS 304，灯管放射剂量达30mj/cm2</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WATERTECH/WONDER/HANOVIA</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台</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6.3</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软化用过滤器</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过滤精度5μm，筒体材质SS 304</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品牌产品</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台</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6.4</w:t>
            </w:r>
          </w:p>
        </w:tc>
        <w:tc>
          <w:tcPr>
            <w:tcW w:w="869" w:type="pct"/>
            <w:noWrap w:val="0"/>
            <w:vAlign w:val="center"/>
          </w:tcPr>
          <w:p>
            <w:pPr>
              <w:widowControl/>
              <w:jc w:val="left"/>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连接管阀件</w:t>
            </w:r>
          </w:p>
        </w:tc>
        <w:tc>
          <w:tcPr>
            <w:tcW w:w="2171" w:type="pct"/>
            <w:noWrap w:val="0"/>
            <w:vAlign w:val="center"/>
          </w:tcPr>
          <w:p>
            <w:pPr>
              <w:widowControl/>
              <w:jc w:val="left"/>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DN32-20，材质SS304</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品牌产品</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套</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6.5</w:t>
            </w:r>
          </w:p>
        </w:tc>
        <w:tc>
          <w:tcPr>
            <w:tcW w:w="869" w:type="pct"/>
            <w:noWrap w:val="0"/>
            <w:vAlign w:val="center"/>
          </w:tcPr>
          <w:p>
            <w:pPr>
              <w:widowControl/>
              <w:jc w:val="left"/>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配套仪表电缆等</w:t>
            </w:r>
          </w:p>
        </w:tc>
        <w:tc>
          <w:tcPr>
            <w:tcW w:w="2171" w:type="pct"/>
            <w:noWrap w:val="0"/>
            <w:vAlign w:val="center"/>
          </w:tcPr>
          <w:p>
            <w:pPr>
              <w:widowControl/>
              <w:jc w:val="left"/>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满足系统需求</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品牌产品</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套</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284" w:type="pct"/>
            <w:noWrap w:val="0"/>
            <w:vAlign w:val="center"/>
          </w:tcPr>
          <w:p>
            <w:pPr>
              <w:widowControl/>
              <w:jc w:val="center"/>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7</w:t>
            </w:r>
          </w:p>
        </w:tc>
        <w:tc>
          <w:tcPr>
            <w:tcW w:w="869" w:type="pct"/>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血透纯水后处理系统</w:t>
            </w:r>
          </w:p>
        </w:tc>
        <w:tc>
          <w:tcPr>
            <w:tcW w:w="2171" w:type="pct"/>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处理能力6.0T/H</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　</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　</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7.1</w:t>
            </w:r>
          </w:p>
        </w:tc>
        <w:tc>
          <w:tcPr>
            <w:tcW w:w="869" w:type="pct"/>
            <w:noWrap w:val="0"/>
            <w:vAlign w:val="center"/>
          </w:tcPr>
          <w:p>
            <w:pPr>
              <w:widowControl/>
              <w:jc w:val="left"/>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血透用供水泵</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流量20t/h，扬程60m，过流材质SS 304，一用一备，变频控制</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赛莱默/格兰富/威乐</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台</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7.2</w:t>
            </w:r>
          </w:p>
        </w:tc>
        <w:tc>
          <w:tcPr>
            <w:tcW w:w="869" w:type="pct"/>
            <w:noWrap w:val="0"/>
            <w:vAlign w:val="center"/>
          </w:tcPr>
          <w:p>
            <w:pPr>
              <w:widowControl/>
              <w:jc w:val="left"/>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连接管阀件</w:t>
            </w:r>
          </w:p>
        </w:tc>
        <w:tc>
          <w:tcPr>
            <w:tcW w:w="2171" w:type="pct"/>
            <w:noWrap w:val="0"/>
            <w:vAlign w:val="center"/>
          </w:tcPr>
          <w:p>
            <w:pPr>
              <w:widowControl/>
              <w:jc w:val="left"/>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DN65-20，材质SS304</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品牌产品</w:t>
            </w:r>
          </w:p>
        </w:tc>
        <w:tc>
          <w:tcPr>
            <w:tcW w:w="366" w:type="pct"/>
            <w:noWrap w:val="0"/>
            <w:vAlign w:val="center"/>
          </w:tcPr>
          <w:p>
            <w:pPr>
              <w:widowControl/>
              <w:jc w:val="center"/>
              <w:rPr>
                <w:rFonts w:ascii="Times New Roman" w:hAnsi="Times New Roman" w:eastAsia="宋体" w:cs="宋体"/>
                <w:kern w:val="0"/>
                <w:sz w:val="22"/>
                <w:szCs w:val="22"/>
                <w:highlight w:val="none"/>
                <w:lang w:val="en-US" w:eastAsia="zh-CN" w:bidi="ar-SA"/>
              </w:rPr>
            </w:pPr>
            <w:r>
              <w:rPr>
                <w:rFonts w:hint="eastAsia" w:ascii="Times New Roman" w:hAnsi="Times New Roman" w:eastAsia="宋体" w:cs="宋体"/>
                <w:kern w:val="0"/>
                <w:sz w:val="22"/>
                <w:szCs w:val="22"/>
                <w:highlight w:val="none"/>
                <w:lang w:val="en-US" w:eastAsia="zh-CN" w:bidi="ar-SA"/>
              </w:rPr>
              <w:t>套</w:t>
            </w:r>
          </w:p>
        </w:tc>
        <w:tc>
          <w:tcPr>
            <w:tcW w:w="406" w:type="pct"/>
            <w:noWrap w:val="0"/>
            <w:vAlign w:val="center"/>
          </w:tcPr>
          <w:p>
            <w:pPr>
              <w:widowControl/>
              <w:jc w:val="center"/>
              <w:rPr>
                <w:rFonts w:ascii="Times New Roman" w:hAnsi="Times New Roman" w:eastAsia="宋体" w:cs="宋体"/>
                <w:kern w:val="0"/>
                <w:sz w:val="22"/>
                <w:szCs w:val="22"/>
                <w:highlight w:val="none"/>
                <w:lang w:val="en-US" w:eastAsia="zh-CN" w:bidi="ar-SA"/>
              </w:rPr>
            </w:pPr>
            <w:r>
              <w:rPr>
                <w:rFonts w:hint="eastAsia" w:ascii="Times New Roman" w:hAnsi="Times New Roman" w:eastAsia="宋体" w:cs="宋体"/>
                <w:kern w:val="0"/>
                <w:sz w:val="22"/>
                <w:szCs w:val="22"/>
                <w:highlight w:val="none"/>
                <w:lang w:val="en-US" w:eastAsia="zh-CN" w:bidi="ar-S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7.3</w:t>
            </w:r>
          </w:p>
        </w:tc>
        <w:tc>
          <w:tcPr>
            <w:tcW w:w="869" w:type="pct"/>
            <w:noWrap w:val="0"/>
            <w:vAlign w:val="center"/>
          </w:tcPr>
          <w:p>
            <w:pPr>
              <w:widowControl/>
              <w:jc w:val="left"/>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配套仪表电缆等</w:t>
            </w:r>
          </w:p>
        </w:tc>
        <w:tc>
          <w:tcPr>
            <w:tcW w:w="2171" w:type="pct"/>
            <w:noWrap w:val="0"/>
            <w:vAlign w:val="center"/>
          </w:tcPr>
          <w:p>
            <w:pPr>
              <w:widowControl/>
              <w:jc w:val="left"/>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满足系统需求</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品牌产品</w:t>
            </w:r>
          </w:p>
        </w:tc>
        <w:tc>
          <w:tcPr>
            <w:tcW w:w="366" w:type="pct"/>
            <w:noWrap w:val="0"/>
            <w:vAlign w:val="center"/>
          </w:tcPr>
          <w:p>
            <w:pPr>
              <w:widowControl/>
              <w:jc w:val="center"/>
              <w:rPr>
                <w:rFonts w:ascii="Times New Roman" w:hAnsi="Times New Roman" w:eastAsia="宋体" w:cs="宋体"/>
                <w:kern w:val="0"/>
                <w:sz w:val="22"/>
                <w:szCs w:val="22"/>
                <w:highlight w:val="none"/>
                <w:lang w:val="en-US" w:eastAsia="zh-CN" w:bidi="ar-SA"/>
              </w:rPr>
            </w:pPr>
            <w:r>
              <w:rPr>
                <w:rFonts w:hint="eastAsia" w:ascii="Times New Roman" w:hAnsi="Times New Roman" w:eastAsia="宋体" w:cs="宋体"/>
                <w:kern w:val="0"/>
                <w:sz w:val="22"/>
                <w:szCs w:val="22"/>
                <w:highlight w:val="none"/>
                <w:lang w:val="en-US" w:eastAsia="zh-CN" w:bidi="ar-SA"/>
              </w:rPr>
              <w:t>套</w:t>
            </w:r>
          </w:p>
        </w:tc>
        <w:tc>
          <w:tcPr>
            <w:tcW w:w="406" w:type="pct"/>
            <w:noWrap w:val="0"/>
            <w:vAlign w:val="center"/>
          </w:tcPr>
          <w:p>
            <w:pPr>
              <w:widowControl/>
              <w:jc w:val="center"/>
              <w:rPr>
                <w:rFonts w:ascii="Times New Roman" w:hAnsi="Times New Roman" w:eastAsia="宋体" w:cs="宋体"/>
                <w:kern w:val="0"/>
                <w:sz w:val="22"/>
                <w:szCs w:val="22"/>
                <w:highlight w:val="none"/>
                <w:lang w:val="en-US" w:eastAsia="zh-CN" w:bidi="ar-SA"/>
              </w:rPr>
            </w:pPr>
            <w:r>
              <w:rPr>
                <w:rFonts w:hint="eastAsia" w:ascii="Times New Roman" w:hAnsi="Times New Roman" w:eastAsia="宋体" w:cs="宋体"/>
                <w:kern w:val="0"/>
                <w:sz w:val="22"/>
                <w:szCs w:val="22"/>
                <w:highlight w:val="none"/>
                <w:lang w:val="en-US" w:eastAsia="zh-CN" w:bidi="ar-S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7.4</w:t>
            </w:r>
          </w:p>
        </w:tc>
        <w:tc>
          <w:tcPr>
            <w:tcW w:w="869" w:type="pct"/>
            <w:noWrap w:val="0"/>
            <w:vAlign w:val="center"/>
          </w:tcPr>
          <w:p>
            <w:pPr>
              <w:widowControl/>
              <w:jc w:val="left"/>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血透制水设备</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成套设备，额定流量3000L/H，置于3#楼3F血透中心层水处理间</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金宝/费森/劳尔</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套</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7.5</w:t>
            </w:r>
          </w:p>
        </w:tc>
        <w:tc>
          <w:tcPr>
            <w:tcW w:w="869" w:type="pct"/>
            <w:noWrap w:val="0"/>
            <w:vAlign w:val="center"/>
          </w:tcPr>
          <w:p>
            <w:pPr>
              <w:widowControl/>
              <w:jc w:val="left"/>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热消毒装置</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满足60床透析中心管路系统热消毒</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品牌产品</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套</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四</w:t>
            </w:r>
          </w:p>
        </w:tc>
        <w:tc>
          <w:tcPr>
            <w:tcW w:w="869" w:type="pct"/>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控制系统</w:t>
            </w:r>
          </w:p>
        </w:tc>
        <w:tc>
          <w:tcPr>
            <w:tcW w:w="2171" w:type="pct"/>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PLC自动控制</w:t>
            </w:r>
          </w:p>
        </w:tc>
        <w:tc>
          <w:tcPr>
            <w:tcW w:w="904" w:type="pct"/>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　</w:t>
            </w:r>
          </w:p>
        </w:tc>
        <w:tc>
          <w:tcPr>
            <w:tcW w:w="366" w:type="pct"/>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　</w:t>
            </w:r>
          </w:p>
        </w:tc>
        <w:tc>
          <w:tcPr>
            <w:tcW w:w="406" w:type="pct"/>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PLC模块</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S1200系列主机、输入输出模块</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西门子/施耐德/欧姆龙</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套</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2</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远程I/O模块</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8路4-20mA-以太网通讯</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西门子/施耐德/欧姆龙</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套</w:t>
            </w:r>
          </w:p>
        </w:tc>
        <w:tc>
          <w:tcPr>
            <w:tcW w:w="406" w:type="pct"/>
            <w:noWrap w:val="0"/>
            <w:vAlign w:val="center"/>
          </w:tcPr>
          <w:p>
            <w:pPr>
              <w:widowControl/>
              <w:jc w:val="center"/>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3</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人机界面触摸屏</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12寸，全彩显示</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西门子/施耐德/欧姆龙</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台</w:t>
            </w:r>
          </w:p>
        </w:tc>
        <w:tc>
          <w:tcPr>
            <w:tcW w:w="406" w:type="pct"/>
            <w:noWrap w:val="0"/>
            <w:vAlign w:val="center"/>
          </w:tcPr>
          <w:p>
            <w:pPr>
              <w:widowControl/>
              <w:jc w:val="center"/>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4</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人机界面触摸屏</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7寸，全彩显示</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繁易/威纶/步科</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台</w:t>
            </w:r>
          </w:p>
        </w:tc>
        <w:tc>
          <w:tcPr>
            <w:tcW w:w="406" w:type="pct"/>
            <w:noWrap w:val="0"/>
            <w:vAlign w:val="center"/>
          </w:tcPr>
          <w:p>
            <w:pPr>
              <w:widowControl/>
              <w:jc w:val="center"/>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5</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变频器</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动力泵变频控制</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ABB/施耐德/台电/汇川</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台</w:t>
            </w:r>
          </w:p>
        </w:tc>
        <w:tc>
          <w:tcPr>
            <w:tcW w:w="406" w:type="pct"/>
            <w:noWrap w:val="0"/>
            <w:vAlign w:val="center"/>
          </w:tcPr>
          <w:p>
            <w:pPr>
              <w:widowControl/>
              <w:jc w:val="center"/>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6</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压力变送器</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系统电子件</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丹弗斯/科瑞达/GF</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套</w:t>
            </w:r>
          </w:p>
        </w:tc>
        <w:tc>
          <w:tcPr>
            <w:tcW w:w="406" w:type="pct"/>
            <w:noWrap w:val="0"/>
            <w:vAlign w:val="center"/>
          </w:tcPr>
          <w:p>
            <w:pPr>
              <w:widowControl/>
              <w:jc w:val="center"/>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7</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电导率仪</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测试件，仪表</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科瑞达/诚磁/GF</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台</w:t>
            </w:r>
          </w:p>
        </w:tc>
        <w:tc>
          <w:tcPr>
            <w:tcW w:w="406" w:type="pct"/>
            <w:noWrap w:val="0"/>
            <w:vAlign w:val="center"/>
          </w:tcPr>
          <w:p>
            <w:pPr>
              <w:widowControl/>
              <w:jc w:val="center"/>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8</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电阻率仪</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测试件，仪表</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科瑞达/诚磁/GF</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台</w:t>
            </w:r>
          </w:p>
        </w:tc>
        <w:tc>
          <w:tcPr>
            <w:tcW w:w="406" w:type="pct"/>
            <w:noWrap w:val="0"/>
            <w:vAlign w:val="center"/>
          </w:tcPr>
          <w:p>
            <w:pPr>
              <w:widowControl/>
              <w:jc w:val="center"/>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9</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电子流量计</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系统流量监测反馈</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IFM/银环/诚磁</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个</w:t>
            </w:r>
          </w:p>
        </w:tc>
        <w:tc>
          <w:tcPr>
            <w:tcW w:w="406" w:type="pct"/>
            <w:noWrap w:val="0"/>
            <w:vAlign w:val="center"/>
          </w:tcPr>
          <w:p>
            <w:pPr>
              <w:widowControl/>
              <w:jc w:val="center"/>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10</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低压配电、控制元件</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系统配套</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施耐德/ABB/欧姆龙</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批</w:t>
            </w:r>
          </w:p>
        </w:tc>
        <w:tc>
          <w:tcPr>
            <w:tcW w:w="406" w:type="pct"/>
            <w:noWrap w:val="0"/>
            <w:vAlign w:val="center"/>
          </w:tcPr>
          <w:p>
            <w:pPr>
              <w:widowControl/>
              <w:jc w:val="center"/>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11</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成套电控柜</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碳钢防锈，国标</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定制</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套</w:t>
            </w:r>
          </w:p>
        </w:tc>
        <w:tc>
          <w:tcPr>
            <w:tcW w:w="406" w:type="pct"/>
            <w:noWrap w:val="0"/>
            <w:vAlign w:val="center"/>
          </w:tcPr>
          <w:p>
            <w:pPr>
              <w:widowControl/>
              <w:jc w:val="center"/>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12</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现场仪表柜</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碳钢防锈，国标</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定制</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个</w:t>
            </w:r>
          </w:p>
        </w:tc>
        <w:tc>
          <w:tcPr>
            <w:tcW w:w="406" w:type="pct"/>
            <w:noWrap w:val="0"/>
            <w:vAlign w:val="center"/>
          </w:tcPr>
          <w:p>
            <w:pPr>
              <w:widowControl/>
              <w:jc w:val="center"/>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13</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远程监控终端设备</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智慧远程运维管理平台终端设备</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品牌产品</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套</w:t>
            </w:r>
          </w:p>
        </w:tc>
        <w:tc>
          <w:tcPr>
            <w:tcW w:w="406" w:type="pct"/>
            <w:noWrap w:val="0"/>
            <w:vAlign w:val="center"/>
          </w:tcPr>
          <w:p>
            <w:pPr>
              <w:widowControl/>
              <w:jc w:val="center"/>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84" w:type="pct"/>
            <w:noWrap w:val="0"/>
            <w:vAlign w:val="center"/>
          </w:tcPr>
          <w:p>
            <w:pPr>
              <w:widowControl/>
              <w:jc w:val="center"/>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五</w:t>
            </w:r>
          </w:p>
        </w:tc>
        <w:tc>
          <w:tcPr>
            <w:tcW w:w="4716" w:type="pct"/>
            <w:gridSpan w:val="5"/>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机房外输送管路及用水终端（初步估算，以实际工作量为准）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84" w:type="pct"/>
            <w:noWrap w:val="0"/>
            <w:vAlign w:val="center"/>
          </w:tcPr>
          <w:p>
            <w:pPr>
              <w:widowControl/>
              <w:jc w:val="center"/>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1</w:t>
            </w:r>
          </w:p>
        </w:tc>
        <w:tc>
          <w:tcPr>
            <w:tcW w:w="3040" w:type="pct"/>
            <w:gridSpan w:val="2"/>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机房外输送管路及用水终端（医疗用水输送管路，初步估算，以实际工作量为准）</w:t>
            </w:r>
          </w:p>
        </w:tc>
        <w:tc>
          <w:tcPr>
            <w:tcW w:w="904" w:type="pct"/>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　</w:t>
            </w:r>
          </w:p>
        </w:tc>
        <w:tc>
          <w:tcPr>
            <w:tcW w:w="366" w:type="pct"/>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　</w:t>
            </w:r>
          </w:p>
        </w:tc>
        <w:tc>
          <w:tcPr>
            <w:tcW w:w="406" w:type="pct"/>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1.1</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卡压不锈钢管（含直通、弯头等）</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DN65;卫生级 SS304材质</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雅昌/福兰特/金羊</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米</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270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1.2</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卡压不锈钢管（含直通、弯头等）</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DN50;卫生级 SS304材质</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雅昌/福兰特/金羊</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米</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1800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1.3</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卡压不锈钢管（含直通、弯头等）</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DN40;卫生级 SS304材质</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雅昌/福兰特/金羊</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米</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700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1.4</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卡压不锈钢管（含直通、弯头等）</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DN32;卫生级 SS304材质</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雅昌/福兰特/金羊</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米</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400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1.5</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卡压不锈钢管（含直通、弯头等）</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DN25;卫生级 SS304材质</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雅昌/福兰特/金羊</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米</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1400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1.6</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卡压不锈钢管（含直通、弯头等）</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DN20;卫生级 SS304材质</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雅昌/福兰特/金羊</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米</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6500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1.7</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卡压不锈钢三通</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DN25*DN20等;卫生级 SS304材质</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雅昌/福兰特/金羊</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个</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310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1.8</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卫生级终端不锈钢阀门</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DN20-DN15;卫生级 SS304材质</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诺盟/凯斯特/元创</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套</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260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1.9</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检修阀组</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阀组件</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诺盟/凯斯特/元创</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套</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 xml:space="preserve">1.10 </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支架制作</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碳钢防锈，国标</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定制</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套</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1900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84" w:type="pct"/>
            <w:noWrap w:val="0"/>
            <w:vAlign w:val="center"/>
          </w:tcPr>
          <w:p>
            <w:pPr>
              <w:widowControl/>
              <w:jc w:val="center"/>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2</w:t>
            </w:r>
          </w:p>
        </w:tc>
        <w:tc>
          <w:tcPr>
            <w:tcW w:w="3040" w:type="pct"/>
            <w:gridSpan w:val="2"/>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机房外输送管路及用水终端（直饮水输送管路，初步估算，以实际工作量为准）</w:t>
            </w:r>
          </w:p>
        </w:tc>
        <w:tc>
          <w:tcPr>
            <w:tcW w:w="904" w:type="pct"/>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　</w:t>
            </w:r>
          </w:p>
        </w:tc>
        <w:tc>
          <w:tcPr>
            <w:tcW w:w="366" w:type="pct"/>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　</w:t>
            </w:r>
          </w:p>
        </w:tc>
        <w:tc>
          <w:tcPr>
            <w:tcW w:w="406" w:type="pct"/>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2.1</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卡压不锈钢管（含直通、弯头等）</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DN40;卫生级 SS304材质</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雅昌/福兰特/金羊</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米</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2.2</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卡压不锈钢管（含直通、弯头等）</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DN32;卫生级 SS304材质</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雅昌/福兰特/金羊</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米</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2.3</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卡压不锈钢管（含直通、弯头等）</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DN25;卫生级 SS304材质</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雅昌/福兰特/金羊</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米</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2.4</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卡压不锈钢管（含直通、弯头等）</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DN20;卫生级 SS304材质</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雅昌/福兰特/金羊</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米</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13200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2.5</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卡压不锈钢三通</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DN25*DN20等;卫生级 SS304材质</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雅昌/福兰特/金羊</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个</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350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2.6</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卫生级终端不锈钢阀门</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DN20-DN15;卫生级 SS304材质</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诺盟/凯斯特/元创</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套</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2.7</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检修阀组</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阀组件</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诺盟/凯斯特/元创</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套</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2.8</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支架制作</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碳钢防锈，国标</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定制</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套</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2500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84" w:type="pct"/>
            <w:noWrap w:val="0"/>
            <w:vAlign w:val="center"/>
          </w:tcPr>
          <w:p>
            <w:pPr>
              <w:widowControl/>
              <w:jc w:val="center"/>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3</w:t>
            </w:r>
          </w:p>
        </w:tc>
        <w:tc>
          <w:tcPr>
            <w:tcW w:w="3040" w:type="pct"/>
            <w:gridSpan w:val="2"/>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机房外输送管路及用水终端（血透机房输送至血透病床的输送管路及终端，初步估算，以实际工作量为准）</w:t>
            </w:r>
          </w:p>
        </w:tc>
        <w:tc>
          <w:tcPr>
            <w:tcW w:w="904" w:type="pct"/>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　</w:t>
            </w:r>
          </w:p>
        </w:tc>
        <w:tc>
          <w:tcPr>
            <w:tcW w:w="366" w:type="pct"/>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　</w:t>
            </w:r>
          </w:p>
        </w:tc>
        <w:tc>
          <w:tcPr>
            <w:tcW w:w="406" w:type="pct"/>
            <w:noWrap w:val="0"/>
            <w:vAlign w:val="center"/>
          </w:tcPr>
          <w:p>
            <w:pPr>
              <w:widowControl/>
              <w:jc w:val="left"/>
              <w:rPr>
                <w:rFonts w:ascii="Times New Roman" w:hAnsi="Times New Roman" w:eastAsia="宋体" w:cs="宋体"/>
                <w:b/>
                <w:bCs/>
                <w:kern w:val="0"/>
                <w:sz w:val="20"/>
                <w:szCs w:val="20"/>
                <w:highlight w:val="none"/>
                <w:lang w:val="en-US" w:eastAsia="zh-CN" w:bidi="ar-SA"/>
              </w:rPr>
            </w:pPr>
            <w:r>
              <w:rPr>
                <w:rFonts w:hint="eastAsia" w:ascii="Times New Roman" w:hAnsi="Times New Roman" w:eastAsia="宋体" w:cs="宋体"/>
                <w:b/>
                <w:bCs/>
                <w:kern w:val="0"/>
                <w:sz w:val="20"/>
                <w:szCs w:val="20"/>
                <w:highlight w:val="none"/>
                <w:lang w:val="en-US" w:eastAsia="zh-CN" w:bidi="ar-SA"/>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3.1</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卡压不锈钢管（含直通、弯头等）</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DN32;卫生级 SS316材质</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雅昌/福兰特/金羊</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米</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3.2</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卡压不锈钢三通</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DN32*DN20等;卫生级 SS316材质</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雅昌/福兰特/金羊</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个</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41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3.3</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卫生级终端不锈钢阀门</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DN20;卫生级 SS316材质</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诺盟/凯斯特/元创</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套</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41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3.4</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支架制作</w:t>
            </w:r>
          </w:p>
        </w:tc>
        <w:tc>
          <w:tcPr>
            <w:tcW w:w="2171"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碳钢防锈，国标</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定制</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套</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84" w:type="pct"/>
            <w:noWrap w:val="0"/>
            <w:vAlign w:val="center"/>
          </w:tcPr>
          <w:p>
            <w:pPr>
              <w:widowControl/>
              <w:jc w:val="center"/>
              <w:rPr>
                <w:rFonts w:ascii="Times New Roman" w:hAnsi="Times New Roman" w:eastAsia="宋体" w:cs="宋体"/>
                <w:b/>
                <w:bCs/>
                <w:color w:val="000000"/>
                <w:kern w:val="0"/>
                <w:sz w:val="20"/>
                <w:szCs w:val="20"/>
                <w:highlight w:val="none"/>
                <w:lang w:val="en-US" w:eastAsia="zh-CN" w:bidi="ar-SA"/>
              </w:rPr>
            </w:pPr>
            <w:r>
              <w:rPr>
                <w:rFonts w:hint="eastAsia" w:ascii="Times New Roman" w:hAnsi="Times New Roman" w:eastAsia="宋体" w:cs="宋体"/>
                <w:b/>
                <w:bCs/>
                <w:color w:val="000000"/>
                <w:kern w:val="0"/>
                <w:sz w:val="20"/>
                <w:szCs w:val="20"/>
                <w:highlight w:val="none"/>
                <w:lang w:val="en-US" w:eastAsia="zh-CN" w:bidi="ar-SA"/>
              </w:rPr>
              <w:t>六</w:t>
            </w:r>
          </w:p>
        </w:tc>
        <w:tc>
          <w:tcPr>
            <w:tcW w:w="4716" w:type="pct"/>
            <w:gridSpan w:val="5"/>
            <w:noWrap w:val="0"/>
            <w:vAlign w:val="center"/>
          </w:tcPr>
          <w:p>
            <w:pPr>
              <w:widowControl/>
              <w:jc w:val="left"/>
              <w:rPr>
                <w:rFonts w:ascii="Times New Roman" w:hAnsi="Times New Roman" w:eastAsia="宋体" w:cs="宋体"/>
                <w:b/>
                <w:bCs/>
                <w:color w:val="000000"/>
                <w:kern w:val="0"/>
                <w:sz w:val="20"/>
                <w:szCs w:val="20"/>
                <w:highlight w:val="none"/>
                <w:lang w:val="en-US" w:eastAsia="zh-CN" w:bidi="ar-SA"/>
              </w:rPr>
            </w:pPr>
            <w:r>
              <w:rPr>
                <w:rFonts w:hint="eastAsia" w:ascii="Times New Roman" w:hAnsi="Times New Roman" w:eastAsia="宋体" w:cs="宋体"/>
                <w:b/>
                <w:bCs/>
                <w:color w:val="000000"/>
                <w:kern w:val="0"/>
                <w:sz w:val="20"/>
                <w:szCs w:val="20"/>
                <w:highlight w:val="none"/>
                <w:lang w:val="en-US" w:eastAsia="zh-CN" w:bidi="ar-SA"/>
              </w:rPr>
              <w:t>饮用水终端设备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1</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壁挂式管线机</w:t>
            </w:r>
          </w:p>
        </w:tc>
        <w:tc>
          <w:tcPr>
            <w:tcW w:w="2171" w:type="pct"/>
            <w:noWrap w:val="0"/>
            <w:vAlign w:val="center"/>
          </w:tcPr>
          <w:p>
            <w:pPr>
              <w:widowControl/>
              <w:jc w:val="left"/>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系统配套</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品牌产品</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台</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2</w:t>
            </w:r>
          </w:p>
        </w:tc>
        <w:tc>
          <w:tcPr>
            <w:tcW w:w="869" w:type="pct"/>
            <w:noWrap w:val="0"/>
            <w:vAlign w:val="center"/>
          </w:tcPr>
          <w:p>
            <w:pPr>
              <w:widowControl/>
              <w:jc w:val="left"/>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落地式管线机</w:t>
            </w:r>
          </w:p>
        </w:tc>
        <w:tc>
          <w:tcPr>
            <w:tcW w:w="2171" w:type="pct"/>
            <w:noWrap w:val="0"/>
            <w:vAlign w:val="center"/>
          </w:tcPr>
          <w:p>
            <w:pPr>
              <w:widowControl/>
              <w:jc w:val="left"/>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系统配套</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品牌产品</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台</w:t>
            </w:r>
          </w:p>
        </w:tc>
        <w:tc>
          <w:tcPr>
            <w:tcW w:w="406" w:type="pct"/>
            <w:noWrap w:val="0"/>
            <w:vAlign w:val="center"/>
          </w:tcPr>
          <w:p>
            <w:pPr>
              <w:widowControl/>
              <w:jc w:val="center"/>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46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8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3</w:t>
            </w:r>
          </w:p>
        </w:tc>
        <w:tc>
          <w:tcPr>
            <w:tcW w:w="869" w:type="pct"/>
            <w:noWrap w:val="0"/>
            <w:vAlign w:val="center"/>
          </w:tcPr>
          <w:p>
            <w:pPr>
              <w:widowControl/>
              <w:jc w:val="left"/>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开水炉（含底座）</w:t>
            </w:r>
          </w:p>
        </w:tc>
        <w:tc>
          <w:tcPr>
            <w:tcW w:w="2171" w:type="pct"/>
            <w:noWrap w:val="0"/>
            <w:vAlign w:val="center"/>
          </w:tcPr>
          <w:p>
            <w:pPr>
              <w:widowControl/>
              <w:jc w:val="left"/>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系统配套</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品牌产品</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台</w:t>
            </w:r>
          </w:p>
        </w:tc>
        <w:tc>
          <w:tcPr>
            <w:tcW w:w="406" w:type="pct"/>
            <w:noWrap w:val="0"/>
            <w:vAlign w:val="center"/>
          </w:tcPr>
          <w:p>
            <w:pPr>
              <w:widowControl/>
              <w:jc w:val="center"/>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46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84" w:type="pct"/>
            <w:noWrap w:val="0"/>
            <w:vAlign w:val="center"/>
          </w:tcPr>
          <w:p>
            <w:pPr>
              <w:widowControl/>
              <w:jc w:val="center"/>
              <w:rPr>
                <w:rFonts w:ascii="Times New Roman" w:hAnsi="Times New Roman" w:eastAsia="宋体" w:cs="宋体"/>
                <w:b/>
                <w:bCs/>
                <w:color w:val="000000"/>
                <w:kern w:val="0"/>
                <w:sz w:val="20"/>
                <w:szCs w:val="20"/>
                <w:highlight w:val="none"/>
                <w:lang w:val="en-US" w:eastAsia="zh-CN" w:bidi="ar-SA"/>
              </w:rPr>
            </w:pPr>
            <w:r>
              <w:rPr>
                <w:rFonts w:hint="eastAsia" w:ascii="Times New Roman" w:hAnsi="Times New Roman" w:eastAsia="宋体" w:cs="宋体"/>
                <w:b/>
                <w:bCs/>
                <w:color w:val="000000"/>
                <w:kern w:val="0"/>
                <w:sz w:val="20"/>
                <w:szCs w:val="20"/>
                <w:highlight w:val="none"/>
                <w:lang w:val="en-US" w:eastAsia="zh-CN" w:bidi="ar-SA"/>
              </w:rPr>
              <w:t>七</w:t>
            </w:r>
          </w:p>
        </w:tc>
        <w:tc>
          <w:tcPr>
            <w:tcW w:w="4716" w:type="pct"/>
            <w:gridSpan w:val="5"/>
            <w:noWrap w:val="0"/>
            <w:vAlign w:val="center"/>
          </w:tcPr>
          <w:p>
            <w:pPr>
              <w:widowControl/>
              <w:jc w:val="left"/>
              <w:rPr>
                <w:rFonts w:ascii="Times New Roman" w:hAnsi="Times New Roman" w:eastAsia="宋体" w:cs="宋体"/>
                <w:b/>
                <w:bCs/>
                <w:color w:val="000000"/>
                <w:kern w:val="0"/>
                <w:sz w:val="20"/>
                <w:szCs w:val="20"/>
                <w:highlight w:val="none"/>
                <w:lang w:val="en-US" w:eastAsia="zh-CN" w:bidi="ar-SA"/>
              </w:rPr>
            </w:pPr>
            <w:r>
              <w:rPr>
                <w:rFonts w:hint="eastAsia" w:ascii="Times New Roman" w:hAnsi="Times New Roman" w:eastAsia="宋体" w:cs="宋体"/>
                <w:b/>
                <w:bCs/>
                <w:color w:val="000000"/>
                <w:kern w:val="0"/>
                <w:sz w:val="20"/>
                <w:szCs w:val="20"/>
                <w:highlight w:val="none"/>
                <w:lang w:val="en-US" w:eastAsia="zh-CN" w:bidi="ar-SA"/>
              </w:rPr>
              <w:t>门诊医技楼酸化水制备系统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84" w:type="pct"/>
            <w:noWrap w:val="0"/>
            <w:vAlign w:val="center"/>
          </w:tcPr>
          <w:p>
            <w:pPr>
              <w:widowControl/>
              <w:jc w:val="center"/>
              <w:rPr>
                <w:rFonts w:ascii="Times New Roman" w:hAnsi="Times New Roman" w:eastAsia="宋体" w:cs="宋体"/>
                <w:color w:val="000000"/>
                <w:kern w:val="0"/>
                <w:sz w:val="20"/>
                <w:szCs w:val="20"/>
                <w:highlight w:val="none"/>
                <w:lang w:val="en-US" w:eastAsia="zh-CN" w:bidi="ar-SA"/>
              </w:rPr>
            </w:pPr>
            <w:r>
              <w:rPr>
                <w:rFonts w:hint="eastAsia" w:ascii="Times New Roman" w:hAnsi="Times New Roman" w:eastAsia="宋体" w:cs="宋体"/>
                <w:color w:val="000000"/>
                <w:kern w:val="0"/>
                <w:sz w:val="20"/>
                <w:szCs w:val="20"/>
                <w:highlight w:val="none"/>
                <w:lang w:val="en-US" w:eastAsia="zh-CN" w:bidi="ar-SA"/>
              </w:rPr>
              <w:t>1</w:t>
            </w:r>
          </w:p>
        </w:tc>
        <w:tc>
          <w:tcPr>
            <w:tcW w:w="869" w:type="pct"/>
            <w:noWrap w:val="0"/>
            <w:vAlign w:val="center"/>
          </w:tcPr>
          <w:p>
            <w:pPr>
              <w:widowControl/>
              <w:jc w:val="left"/>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酸性氧化电位水制备系统</w:t>
            </w:r>
          </w:p>
        </w:tc>
        <w:tc>
          <w:tcPr>
            <w:tcW w:w="2171"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3L/min(1.5L/min酸水加1.5L/min碱水)</w:t>
            </w:r>
          </w:p>
        </w:tc>
        <w:tc>
          <w:tcPr>
            <w:tcW w:w="904"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进口品牌</w:t>
            </w:r>
          </w:p>
        </w:tc>
        <w:tc>
          <w:tcPr>
            <w:tcW w:w="36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套</w:t>
            </w:r>
          </w:p>
        </w:tc>
        <w:tc>
          <w:tcPr>
            <w:tcW w:w="406" w:type="pct"/>
            <w:noWrap w:val="0"/>
            <w:vAlign w:val="center"/>
          </w:tcPr>
          <w:p>
            <w:pPr>
              <w:widowControl/>
              <w:jc w:val="center"/>
              <w:rPr>
                <w:rFonts w:ascii="Times New Roman" w:hAnsi="Times New Roman" w:eastAsia="宋体" w:cs="宋体"/>
                <w:kern w:val="0"/>
                <w:sz w:val="20"/>
                <w:szCs w:val="20"/>
                <w:highlight w:val="none"/>
                <w:lang w:val="en-US" w:eastAsia="zh-CN" w:bidi="ar-SA"/>
              </w:rPr>
            </w:pPr>
            <w:r>
              <w:rPr>
                <w:rFonts w:hint="eastAsia" w:ascii="Times New Roman" w:hAnsi="Times New Roman" w:eastAsia="宋体" w:cs="宋体"/>
                <w:kern w:val="0"/>
                <w:sz w:val="20"/>
                <w:szCs w:val="20"/>
                <w:highlight w:val="none"/>
                <w:lang w:val="en-US" w:eastAsia="zh-CN" w:bidi="ar-SA"/>
              </w:rPr>
              <w:t>2</w:t>
            </w:r>
          </w:p>
        </w:tc>
      </w:tr>
    </w:tbl>
    <w:p>
      <w:pPr>
        <w:pStyle w:val="2"/>
        <w:rPr>
          <w:rFonts w:hint="eastAsia"/>
          <w:lang w:val="en-US" w:eastAsia="zh-CN"/>
        </w:rPr>
      </w:pPr>
    </w:p>
    <w:p>
      <w:pPr>
        <w:widowControl/>
        <w:numPr>
          <w:ilvl w:val="0"/>
          <w:numId w:val="39"/>
        </w:numPr>
        <w:spacing w:line="480" w:lineRule="auto"/>
        <w:jc w:val="both"/>
        <w:outlineLvl w:val="1"/>
        <w:rPr>
          <w:rFonts w:ascii="Times New Roman" w:hAnsi="Times New Roman" w:eastAsia="宋体" w:cs="Times New Roman"/>
          <w:b/>
          <w:kern w:val="0"/>
          <w:sz w:val="24"/>
          <w:szCs w:val="21"/>
          <w:highlight w:val="none"/>
          <w:lang w:val="en-US" w:eastAsia="zh-CN" w:bidi="ar-SA"/>
        </w:rPr>
      </w:pPr>
      <w:bookmarkStart w:id="445" w:name="_Toc4428"/>
      <w:r>
        <w:rPr>
          <w:rFonts w:hint="eastAsia" w:ascii="Times New Roman" w:hAnsi="Times New Roman" w:eastAsia="宋体" w:cs="Times New Roman"/>
          <w:b/>
          <w:kern w:val="0"/>
          <w:sz w:val="24"/>
          <w:szCs w:val="21"/>
          <w:highlight w:val="none"/>
          <w:lang w:val="en-US" w:eastAsia="zh-CN" w:bidi="ar-SA"/>
        </w:rPr>
        <w:t>设备配置及性能要求</w:t>
      </w:r>
      <w:bookmarkEnd w:id="445"/>
    </w:p>
    <w:p>
      <w:pPr>
        <w:keepNext/>
        <w:keepLines/>
        <w:widowControl w:val="0"/>
        <w:numPr>
          <w:ilvl w:val="0"/>
          <w:numId w:val="42"/>
        </w:numPr>
        <w:spacing w:line="480" w:lineRule="auto"/>
        <w:ind w:left="420" w:hanging="420"/>
        <w:jc w:val="both"/>
        <w:outlineLvl w:val="2"/>
        <w:rPr>
          <w:rFonts w:ascii="Times New Roman" w:hAnsi="Times New Roman" w:eastAsia="宋体" w:cs="Times New Roman"/>
          <w:b/>
          <w:bCs/>
          <w:kern w:val="2"/>
          <w:sz w:val="21"/>
          <w:szCs w:val="32"/>
          <w:highlight w:val="none"/>
          <w:lang w:val="en-US" w:eastAsia="zh-CN" w:bidi="ar-SA"/>
        </w:rPr>
      </w:pPr>
      <w:r>
        <w:rPr>
          <w:rFonts w:hint="eastAsia" w:ascii="Times New Roman" w:hAnsi="Times New Roman" w:eastAsia="宋体" w:cs="Times New Roman"/>
          <w:b/>
          <w:bCs/>
          <w:kern w:val="2"/>
          <w:sz w:val="21"/>
          <w:szCs w:val="32"/>
          <w:highlight w:val="none"/>
          <w:lang w:val="en-US" w:eastAsia="zh-CN" w:bidi="ar-SA"/>
        </w:rPr>
        <w:t>预处理系统：</w:t>
      </w:r>
    </w:p>
    <w:p>
      <w:pPr>
        <w:spacing w:line="360" w:lineRule="auto"/>
        <w:jc w:val="left"/>
        <w:rPr>
          <w:rFonts w:ascii="Times New Roman" w:hAnsi="Times New Roman" w:eastAsia="宋体" w:cs="Times New Roman"/>
          <w:kern w:val="2"/>
          <w:sz w:val="21"/>
          <w:szCs w:val="21"/>
          <w:highlight w:val="none"/>
          <w:lang w:val="en-US" w:eastAsia="zh-CN" w:bidi="ar-SA"/>
        </w:rPr>
      </w:pPr>
      <w:r>
        <w:rPr>
          <w:rFonts w:hint="eastAsia" w:ascii="Times New Roman" w:hAnsi="Times New Roman" w:eastAsia="宋体" w:cs="Times New Roman"/>
          <w:kern w:val="2"/>
          <w:sz w:val="21"/>
          <w:szCs w:val="21"/>
          <w:highlight w:val="none"/>
          <w:lang w:val="en-US" w:eastAsia="zh-CN" w:bidi="ar-SA"/>
        </w:rPr>
        <w:t>1.1原水箱：容积2.5M³，两台。材质为SS304或以上等级不锈钢。壁厚δ≥2㎜，顶部留有清洗人孔，直径Ф400㎜，底部中间须有排污口。</w:t>
      </w:r>
    </w:p>
    <w:p>
      <w:pPr>
        <w:spacing w:line="360" w:lineRule="auto"/>
        <w:ind w:firstLine="420" w:firstLineChars="200"/>
        <w:rPr>
          <w:rFonts w:ascii="Times New Roman" w:hAnsi="Times New Roman" w:eastAsia="宋体" w:cs="Times New Roman"/>
          <w:kern w:val="2"/>
          <w:sz w:val="21"/>
          <w:szCs w:val="21"/>
          <w:highlight w:val="none"/>
          <w:lang w:val="en-US" w:eastAsia="zh-CN" w:bidi="ar-SA"/>
        </w:rPr>
      </w:pPr>
      <w:r>
        <w:rPr>
          <w:rFonts w:hint="eastAsia" w:ascii="Times New Roman" w:hAnsi="Times New Roman" w:eastAsia="宋体" w:cs="Times New Roman"/>
          <w:kern w:val="2"/>
          <w:sz w:val="21"/>
          <w:szCs w:val="21"/>
          <w:highlight w:val="none"/>
          <w:lang w:val="en-US" w:eastAsia="zh-CN" w:bidi="ar-SA"/>
        </w:rPr>
        <w:t>原水箱配套阀门及测控组件，阀门要求过流材质不低于SS304。控制实现：原水箱进水自动控制；原水箱高低液位监测、报警；原水流量、电导监测。</w:t>
      </w:r>
    </w:p>
    <w:p>
      <w:pPr>
        <w:spacing w:line="360" w:lineRule="auto"/>
        <w:jc w:val="left"/>
        <w:rPr>
          <w:rFonts w:ascii="Times New Roman" w:hAnsi="Times New Roman" w:eastAsia="宋体" w:cs="Times New Roman"/>
          <w:kern w:val="2"/>
          <w:sz w:val="21"/>
          <w:szCs w:val="21"/>
          <w:highlight w:val="none"/>
          <w:lang w:val="en-US" w:eastAsia="zh-CN" w:bidi="ar-SA"/>
        </w:rPr>
      </w:pPr>
      <w:r>
        <w:rPr>
          <w:rFonts w:hint="eastAsia" w:ascii="Times New Roman" w:hAnsi="Times New Roman" w:eastAsia="宋体" w:cs="Times New Roman"/>
          <w:kern w:val="2"/>
          <w:sz w:val="21"/>
          <w:szCs w:val="21"/>
          <w:highlight w:val="none"/>
          <w:lang w:val="en-US" w:eastAsia="zh-CN" w:bidi="ar-SA"/>
        </w:rPr>
        <w:t>1.2原水泵：四台。扬程、流量以满足各用水点的实际需要为基本要求，采用两开两备设计，并要求当运行中的泵出现故障时，备用泵能自动切换运行。</w:t>
      </w:r>
    </w:p>
    <w:p>
      <w:pPr>
        <w:spacing w:line="360" w:lineRule="auto"/>
        <w:ind w:firstLine="420" w:firstLineChars="200"/>
        <w:rPr>
          <w:rFonts w:ascii="Times New Roman" w:hAnsi="Times New Roman" w:eastAsia="宋体" w:cs="Times New Roman"/>
          <w:kern w:val="2"/>
          <w:sz w:val="21"/>
          <w:szCs w:val="21"/>
          <w:highlight w:val="none"/>
          <w:lang w:val="en-US" w:eastAsia="zh-CN" w:bidi="ar-SA"/>
        </w:rPr>
      </w:pPr>
      <w:r>
        <w:rPr>
          <w:rFonts w:hint="eastAsia" w:ascii="Times New Roman" w:hAnsi="Times New Roman" w:eastAsia="宋体" w:cs="Times New Roman"/>
          <w:kern w:val="2"/>
          <w:sz w:val="21"/>
          <w:szCs w:val="21"/>
          <w:highlight w:val="none"/>
          <w:lang w:val="en-US" w:eastAsia="zh-CN" w:bidi="ar-SA"/>
        </w:rPr>
        <w:t>自动/手动控制动力泵在线快速更换，自动监测压力，阀门与动力泵联动控制。</w:t>
      </w:r>
    </w:p>
    <w:p>
      <w:pPr>
        <w:spacing w:line="360" w:lineRule="auto"/>
        <w:jc w:val="left"/>
        <w:rPr>
          <w:rFonts w:ascii="Times New Roman" w:hAnsi="Times New Roman" w:eastAsia="宋体" w:cs="Times New Roman"/>
          <w:kern w:val="2"/>
          <w:sz w:val="21"/>
          <w:szCs w:val="21"/>
          <w:highlight w:val="none"/>
          <w:lang w:val="en-US" w:eastAsia="zh-CN" w:bidi="ar-SA"/>
        </w:rPr>
      </w:pPr>
      <w:r>
        <w:rPr>
          <w:rFonts w:hint="eastAsia" w:ascii="Times New Roman" w:hAnsi="Times New Roman" w:eastAsia="宋体" w:cs="Times New Roman"/>
          <w:kern w:val="2"/>
          <w:sz w:val="21"/>
          <w:szCs w:val="21"/>
          <w:highlight w:val="none"/>
          <w:lang w:val="en-US" w:eastAsia="zh-CN" w:bidi="ar-SA"/>
        </w:rPr>
        <w:t>1.3机械过滤器：两套，机械过滤器（配手动应急阀组）材质要求不低于304不锈钢，壁厚δ≥3㎜，直径为15</w:t>
      </w:r>
      <w:r>
        <w:rPr>
          <w:rFonts w:ascii="Times New Roman" w:hAnsi="Times New Roman" w:eastAsia="宋体" w:cs="Times New Roman"/>
          <w:kern w:val="2"/>
          <w:sz w:val="21"/>
          <w:szCs w:val="21"/>
          <w:highlight w:val="none"/>
          <w:lang w:val="en-US" w:eastAsia="zh-CN" w:bidi="ar-SA"/>
        </w:rPr>
        <w:t>00mm</w:t>
      </w:r>
      <w:r>
        <w:rPr>
          <w:rFonts w:hint="eastAsia" w:ascii="Times New Roman" w:hAnsi="Times New Roman" w:eastAsia="宋体" w:cs="Times New Roman"/>
          <w:kern w:val="2"/>
          <w:sz w:val="21"/>
          <w:szCs w:val="21"/>
          <w:highlight w:val="none"/>
          <w:lang w:val="en-US" w:eastAsia="zh-CN" w:bidi="ar-SA"/>
        </w:rPr>
        <w:t>，具有下料口和人孔。</w:t>
      </w:r>
      <w:r>
        <w:rPr>
          <w:rFonts w:ascii="Times New Roman" w:hAnsi="Times New Roman" w:eastAsia="宋体" w:cs="Times New Roman"/>
          <w:kern w:val="2"/>
          <w:sz w:val="21"/>
          <w:szCs w:val="21"/>
          <w:highlight w:val="none"/>
          <w:lang w:val="en-US" w:eastAsia="zh-CN" w:bidi="ar-SA"/>
        </w:rPr>
        <w:t>多介质过滤器</w:t>
      </w:r>
      <w:r>
        <w:rPr>
          <w:rFonts w:hint="eastAsia" w:ascii="Times New Roman" w:hAnsi="Times New Roman" w:eastAsia="宋体" w:cs="Times New Roman"/>
          <w:kern w:val="2"/>
          <w:sz w:val="21"/>
          <w:szCs w:val="21"/>
          <w:highlight w:val="none"/>
          <w:lang w:val="en-US" w:eastAsia="zh-CN" w:bidi="ar-SA"/>
        </w:rPr>
        <w:t>的</w:t>
      </w:r>
      <w:r>
        <w:rPr>
          <w:rFonts w:ascii="Times New Roman" w:hAnsi="Times New Roman" w:eastAsia="宋体" w:cs="Times New Roman"/>
          <w:kern w:val="2"/>
          <w:sz w:val="21"/>
          <w:szCs w:val="21"/>
          <w:highlight w:val="none"/>
          <w:lang w:val="en-US" w:eastAsia="zh-CN" w:bidi="ar-SA"/>
        </w:rPr>
        <w:t>滤器内装填精制的、具有良好级配的石英砂，在正常工作时，</w:t>
      </w:r>
      <w:r>
        <w:rPr>
          <w:rFonts w:hint="eastAsia" w:ascii="Times New Roman" w:hAnsi="Times New Roman" w:eastAsia="宋体" w:cs="Times New Roman"/>
          <w:kern w:val="2"/>
          <w:sz w:val="21"/>
          <w:szCs w:val="21"/>
          <w:highlight w:val="none"/>
          <w:lang w:val="en-US" w:eastAsia="zh-CN" w:bidi="ar-SA"/>
        </w:rPr>
        <w:t>单套</w:t>
      </w:r>
      <w:r>
        <w:rPr>
          <w:rFonts w:ascii="Times New Roman" w:hAnsi="Times New Roman" w:eastAsia="宋体" w:cs="Times New Roman"/>
          <w:kern w:val="2"/>
          <w:sz w:val="21"/>
          <w:szCs w:val="21"/>
          <w:highlight w:val="none"/>
          <w:lang w:val="en-US" w:eastAsia="zh-CN" w:bidi="ar-SA"/>
        </w:rPr>
        <w:t>产水量</w:t>
      </w:r>
      <w:r>
        <w:rPr>
          <w:rFonts w:hint="eastAsia" w:ascii="Times New Roman" w:hAnsi="Times New Roman" w:eastAsia="宋体" w:cs="Times New Roman"/>
          <w:kern w:val="2"/>
          <w:sz w:val="21"/>
          <w:szCs w:val="21"/>
          <w:highlight w:val="none"/>
          <w:lang w:val="en-US" w:eastAsia="zh-CN" w:bidi="ar-SA"/>
        </w:rPr>
        <w:t>不低于21</w:t>
      </w:r>
      <w:r>
        <w:rPr>
          <w:rFonts w:ascii="Times New Roman" w:hAnsi="Times New Roman" w:eastAsia="宋体" w:cs="Times New Roman"/>
          <w:kern w:val="2"/>
          <w:sz w:val="21"/>
          <w:szCs w:val="21"/>
          <w:highlight w:val="none"/>
          <w:lang w:val="en-US" w:eastAsia="zh-CN" w:bidi="ar-SA"/>
        </w:rPr>
        <w:t>M3/H，出水水质SDI</w:t>
      </w:r>
      <w:r>
        <w:rPr>
          <w:rFonts w:ascii="Times New Roman" w:hAnsi="Times New Roman" w:eastAsia="宋体" w:cs="Times New Roman"/>
          <w:kern w:val="2"/>
          <w:sz w:val="21"/>
          <w:szCs w:val="21"/>
          <w:highlight w:val="none"/>
          <w:lang w:val="en-US" w:eastAsia="zh-CN" w:bidi="ar-SA"/>
        </w:rPr>
        <w:sym w:font="Symbol" w:char="00A3"/>
      </w:r>
      <w:r>
        <w:rPr>
          <w:rFonts w:ascii="Times New Roman" w:hAnsi="Times New Roman" w:eastAsia="宋体" w:cs="Times New Roman"/>
          <w:kern w:val="2"/>
          <w:sz w:val="21"/>
          <w:szCs w:val="21"/>
          <w:highlight w:val="none"/>
          <w:lang w:val="en-US" w:eastAsia="zh-CN" w:bidi="ar-SA"/>
        </w:rPr>
        <w:t>5。</w:t>
      </w:r>
    </w:p>
    <w:p>
      <w:pPr>
        <w:spacing w:line="360" w:lineRule="auto"/>
        <w:ind w:firstLine="420" w:firstLineChars="200"/>
        <w:jc w:val="left"/>
        <w:rPr>
          <w:rFonts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kern w:val="2"/>
          <w:sz w:val="21"/>
          <w:szCs w:val="21"/>
          <w:highlight w:val="none"/>
          <w:lang w:val="en-US" w:eastAsia="zh-CN" w:bidi="ar-SA"/>
        </w:rPr>
        <w:t>配套阀门及测控组件。阀门要求选用过流材质不低于304不锈钢的阀门。控制实</w:t>
      </w:r>
      <w:r>
        <w:rPr>
          <w:rFonts w:hint="eastAsia" w:ascii="Times New Roman" w:hAnsi="Times New Roman" w:eastAsia="宋体" w:cs="Times New Roman"/>
          <w:color w:val="000000"/>
          <w:kern w:val="2"/>
          <w:sz w:val="21"/>
          <w:szCs w:val="21"/>
          <w:highlight w:val="none"/>
          <w:lang w:val="en-US" w:eastAsia="zh-CN" w:bidi="ar-SA"/>
        </w:rPr>
        <w:t>现：自动运行、正冲、反冲，手动控制罐体填料更换，自动监测水压等数据并采样。</w:t>
      </w:r>
    </w:p>
    <w:p>
      <w:pPr>
        <w:spacing w:line="360" w:lineRule="auto"/>
        <w:jc w:val="left"/>
        <w:rPr>
          <w:rFonts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1.4</w:t>
      </w:r>
      <w:r>
        <w:rPr>
          <w:rFonts w:hint="eastAsia" w:ascii="Times New Roman" w:hAnsi="Times New Roman" w:eastAsia="宋体" w:cs="Times New Roman"/>
          <w:kern w:val="2"/>
          <w:sz w:val="21"/>
          <w:szCs w:val="21"/>
          <w:highlight w:val="none"/>
          <w:lang w:val="en-US" w:eastAsia="zh-CN" w:bidi="ar-SA"/>
        </w:rPr>
        <w:t>活性炭过滤器：两套，</w:t>
      </w:r>
      <w:r>
        <w:rPr>
          <w:rFonts w:hint="eastAsia" w:ascii="Times New Roman" w:hAnsi="Times New Roman" w:eastAsia="宋体" w:cs="Times New Roman"/>
          <w:color w:val="000000"/>
          <w:kern w:val="2"/>
          <w:sz w:val="21"/>
          <w:szCs w:val="21"/>
          <w:highlight w:val="none"/>
          <w:lang w:val="en-US" w:eastAsia="zh-CN" w:bidi="ar-SA"/>
        </w:rPr>
        <w:t>活性炭过滤器（配手动应急阀组）材质要不低于304不锈钢，壁厚δ≥3㎜，直径为15</w:t>
      </w:r>
      <w:r>
        <w:rPr>
          <w:rFonts w:ascii="Times New Roman" w:hAnsi="Times New Roman" w:eastAsia="宋体" w:cs="Times New Roman"/>
          <w:color w:val="000000"/>
          <w:kern w:val="2"/>
          <w:sz w:val="21"/>
          <w:szCs w:val="21"/>
          <w:highlight w:val="none"/>
          <w:lang w:val="en-US" w:eastAsia="zh-CN" w:bidi="ar-SA"/>
        </w:rPr>
        <w:t>00mm</w:t>
      </w:r>
      <w:r>
        <w:rPr>
          <w:rFonts w:hint="eastAsia" w:ascii="Times New Roman" w:hAnsi="Times New Roman" w:eastAsia="宋体" w:cs="Times New Roman"/>
          <w:color w:val="000000"/>
          <w:kern w:val="2"/>
          <w:sz w:val="21"/>
          <w:szCs w:val="21"/>
          <w:highlight w:val="none"/>
          <w:lang w:val="en-US" w:eastAsia="zh-CN" w:bidi="ar-SA"/>
        </w:rPr>
        <w:t>，具有下料口和人孔。载料为优质果壳炭，碘数≥900，目数约12*40，有足够机械强度，确保反冲过程中基本不破碎。</w:t>
      </w:r>
      <w:r>
        <w:rPr>
          <w:rFonts w:ascii="Times New Roman" w:hAnsi="Times New Roman" w:eastAsia="宋体" w:cs="Times New Roman"/>
          <w:color w:val="000000"/>
          <w:kern w:val="2"/>
          <w:sz w:val="21"/>
          <w:szCs w:val="21"/>
          <w:highlight w:val="none"/>
          <w:lang w:val="en-US" w:eastAsia="zh-CN" w:bidi="ar-SA"/>
        </w:rPr>
        <w:t>活性</w:t>
      </w:r>
      <w:r>
        <w:rPr>
          <w:rFonts w:hint="eastAsia" w:ascii="Times New Roman" w:hAnsi="Times New Roman" w:eastAsia="宋体" w:cs="Times New Roman"/>
          <w:color w:val="000000"/>
          <w:kern w:val="2"/>
          <w:sz w:val="21"/>
          <w:szCs w:val="21"/>
          <w:highlight w:val="none"/>
          <w:lang w:val="en-US" w:eastAsia="zh-CN" w:bidi="ar-SA"/>
        </w:rPr>
        <w:t>炭</w:t>
      </w:r>
      <w:r>
        <w:rPr>
          <w:rFonts w:ascii="Times New Roman" w:hAnsi="Times New Roman" w:eastAsia="宋体" w:cs="Times New Roman"/>
          <w:color w:val="000000"/>
          <w:kern w:val="2"/>
          <w:sz w:val="21"/>
          <w:szCs w:val="21"/>
          <w:highlight w:val="none"/>
          <w:lang w:val="en-US" w:eastAsia="zh-CN" w:bidi="ar-SA"/>
        </w:rPr>
        <w:t>过滤器</w:t>
      </w:r>
      <w:r>
        <w:rPr>
          <w:rFonts w:hint="eastAsia" w:ascii="Times New Roman" w:hAnsi="Times New Roman" w:eastAsia="宋体" w:cs="Times New Roman"/>
          <w:color w:val="000000"/>
          <w:kern w:val="2"/>
          <w:sz w:val="21"/>
          <w:szCs w:val="21"/>
          <w:highlight w:val="none"/>
          <w:lang w:val="en-US" w:eastAsia="zh-CN" w:bidi="ar-SA"/>
        </w:rPr>
        <w:t>的内衬胶，进一步避免氯对不锈钢材料的腐蚀。</w:t>
      </w:r>
      <w:r>
        <w:rPr>
          <w:rFonts w:ascii="Times New Roman" w:hAnsi="Times New Roman" w:eastAsia="宋体" w:cs="Times New Roman"/>
          <w:color w:val="000000"/>
          <w:kern w:val="2"/>
          <w:sz w:val="21"/>
          <w:szCs w:val="21"/>
          <w:highlight w:val="none"/>
          <w:lang w:val="en-US" w:eastAsia="zh-CN" w:bidi="ar-SA"/>
        </w:rPr>
        <w:t>在正常工作时，</w:t>
      </w:r>
      <w:r>
        <w:rPr>
          <w:rFonts w:hint="eastAsia" w:ascii="Times New Roman" w:hAnsi="Times New Roman" w:eastAsia="宋体" w:cs="Times New Roman"/>
          <w:color w:val="000000"/>
          <w:kern w:val="2"/>
          <w:sz w:val="21"/>
          <w:szCs w:val="21"/>
          <w:highlight w:val="none"/>
          <w:lang w:val="en-US" w:eastAsia="zh-CN" w:bidi="ar-SA"/>
        </w:rPr>
        <w:t>单套</w:t>
      </w:r>
      <w:r>
        <w:rPr>
          <w:rFonts w:ascii="Times New Roman" w:hAnsi="Times New Roman" w:eastAsia="宋体" w:cs="Times New Roman"/>
          <w:color w:val="000000"/>
          <w:kern w:val="2"/>
          <w:sz w:val="21"/>
          <w:szCs w:val="21"/>
          <w:highlight w:val="none"/>
          <w:lang w:val="en-US" w:eastAsia="zh-CN" w:bidi="ar-SA"/>
        </w:rPr>
        <w:t>产水量</w:t>
      </w:r>
      <w:r>
        <w:rPr>
          <w:rFonts w:hint="eastAsia" w:ascii="Times New Roman" w:hAnsi="Times New Roman" w:eastAsia="宋体" w:cs="Times New Roman"/>
          <w:color w:val="000000"/>
          <w:kern w:val="2"/>
          <w:sz w:val="21"/>
          <w:szCs w:val="21"/>
          <w:highlight w:val="none"/>
          <w:lang w:val="en-US" w:eastAsia="zh-CN" w:bidi="ar-SA"/>
        </w:rPr>
        <w:t>不低于21</w:t>
      </w:r>
      <w:r>
        <w:rPr>
          <w:rFonts w:ascii="Times New Roman" w:hAnsi="Times New Roman" w:eastAsia="宋体" w:cs="Times New Roman"/>
          <w:color w:val="000000"/>
          <w:kern w:val="2"/>
          <w:sz w:val="21"/>
          <w:szCs w:val="21"/>
          <w:highlight w:val="none"/>
          <w:lang w:val="en-US" w:eastAsia="zh-CN" w:bidi="ar-SA"/>
        </w:rPr>
        <w:t>M3/H，出水水质余氯</w:t>
      </w:r>
      <w:r>
        <w:rPr>
          <w:rFonts w:ascii="Times New Roman" w:hAnsi="Times New Roman" w:eastAsia="宋体" w:cs="Times New Roman"/>
          <w:color w:val="000000"/>
          <w:kern w:val="2"/>
          <w:sz w:val="21"/>
          <w:szCs w:val="21"/>
          <w:highlight w:val="none"/>
          <w:lang w:val="en-US" w:eastAsia="zh-CN" w:bidi="ar-SA"/>
        </w:rPr>
        <w:sym w:font="Symbol" w:char="00A3"/>
      </w:r>
      <w:r>
        <w:rPr>
          <w:rFonts w:ascii="Times New Roman" w:hAnsi="Times New Roman" w:eastAsia="宋体" w:cs="Times New Roman"/>
          <w:color w:val="000000"/>
          <w:kern w:val="2"/>
          <w:sz w:val="21"/>
          <w:szCs w:val="21"/>
          <w:highlight w:val="none"/>
          <w:lang w:val="en-US" w:eastAsia="zh-CN" w:bidi="ar-SA"/>
        </w:rPr>
        <w:t>0.1PPM。</w:t>
      </w:r>
    </w:p>
    <w:p>
      <w:pPr>
        <w:spacing w:line="360" w:lineRule="auto"/>
        <w:ind w:firstLine="420" w:firstLineChars="200"/>
        <w:jc w:val="left"/>
        <w:rPr>
          <w:rFonts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配套阀门及测控组件。阀门要求选用过流材质不低于SS304不锈钢的阀门。控制实现：自动运行、正冲、反冲，手动控制罐体填料更换，自动监测水压等数据并采样。</w:t>
      </w:r>
    </w:p>
    <w:p>
      <w:pPr>
        <w:spacing w:line="360" w:lineRule="auto"/>
        <w:jc w:val="left"/>
        <w:rPr>
          <w:rFonts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1.5</w:t>
      </w:r>
      <w:r>
        <w:rPr>
          <w:rFonts w:hint="eastAsia" w:ascii="Times New Roman" w:hAnsi="Times New Roman" w:eastAsia="宋体" w:cs="Times New Roman"/>
          <w:kern w:val="2"/>
          <w:sz w:val="21"/>
          <w:szCs w:val="21"/>
          <w:highlight w:val="none"/>
          <w:lang w:val="en-US" w:eastAsia="zh-CN" w:bidi="ar-SA"/>
        </w:rPr>
        <w:t>全自动软化器：两套，全</w:t>
      </w:r>
      <w:r>
        <w:rPr>
          <w:rFonts w:hint="eastAsia" w:ascii="Times New Roman" w:hAnsi="Times New Roman" w:eastAsia="宋体" w:cs="Times New Roman"/>
          <w:color w:val="000000"/>
          <w:kern w:val="2"/>
          <w:sz w:val="21"/>
          <w:szCs w:val="21"/>
          <w:highlight w:val="none"/>
          <w:lang w:val="en-US" w:eastAsia="zh-CN" w:bidi="ar-SA"/>
        </w:rPr>
        <w:t>自动软化器（配手动应急阀组）材质要不低于SS304不锈钢，壁厚δ≥3㎜，直径为15</w:t>
      </w:r>
      <w:r>
        <w:rPr>
          <w:rFonts w:ascii="Times New Roman" w:hAnsi="Times New Roman" w:eastAsia="宋体" w:cs="Times New Roman"/>
          <w:color w:val="000000"/>
          <w:kern w:val="2"/>
          <w:sz w:val="21"/>
          <w:szCs w:val="21"/>
          <w:highlight w:val="none"/>
          <w:lang w:val="en-US" w:eastAsia="zh-CN" w:bidi="ar-SA"/>
        </w:rPr>
        <w:t>00mm</w:t>
      </w:r>
      <w:r>
        <w:rPr>
          <w:rFonts w:hint="eastAsia" w:ascii="Times New Roman" w:hAnsi="Times New Roman" w:eastAsia="宋体" w:cs="Times New Roman"/>
          <w:color w:val="000000"/>
          <w:kern w:val="2"/>
          <w:sz w:val="21"/>
          <w:szCs w:val="21"/>
          <w:highlight w:val="none"/>
          <w:lang w:val="en-US" w:eastAsia="zh-CN" w:bidi="ar-SA"/>
        </w:rPr>
        <w:t>，具有下料口和人孔。树脂内衬实现矿物质过滤，达到水质软化目的。</w:t>
      </w:r>
      <w:r>
        <w:rPr>
          <w:rFonts w:ascii="Times New Roman" w:hAnsi="Times New Roman" w:eastAsia="宋体" w:cs="Times New Roman"/>
          <w:color w:val="000000"/>
          <w:kern w:val="2"/>
          <w:sz w:val="21"/>
          <w:szCs w:val="21"/>
          <w:highlight w:val="none"/>
          <w:lang w:val="en-US" w:eastAsia="zh-CN" w:bidi="ar-SA"/>
        </w:rPr>
        <w:t>在正常工</w:t>
      </w:r>
      <w:r>
        <w:rPr>
          <w:rFonts w:ascii="Times New Roman" w:hAnsi="Times New Roman" w:eastAsia="宋体" w:cs="Times New Roman"/>
          <w:kern w:val="2"/>
          <w:sz w:val="21"/>
          <w:szCs w:val="21"/>
          <w:highlight w:val="none"/>
          <w:lang w:val="en-US" w:eastAsia="zh-CN" w:bidi="ar-SA"/>
        </w:rPr>
        <w:t>作时，</w:t>
      </w:r>
      <w:r>
        <w:rPr>
          <w:rFonts w:hint="eastAsia" w:ascii="Times New Roman" w:hAnsi="Times New Roman" w:eastAsia="宋体" w:cs="Times New Roman"/>
          <w:kern w:val="2"/>
          <w:sz w:val="21"/>
          <w:szCs w:val="21"/>
          <w:highlight w:val="none"/>
          <w:lang w:val="en-US" w:eastAsia="zh-CN" w:bidi="ar-SA"/>
        </w:rPr>
        <w:t>单套</w:t>
      </w:r>
      <w:r>
        <w:rPr>
          <w:rFonts w:ascii="Times New Roman" w:hAnsi="Times New Roman" w:eastAsia="宋体" w:cs="Times New Roman"/>
          <w:kern w:val="2"/>
          <w:sz w:val="21"/>
          <w:szCs w:val="21"/>
          <w:highlight w:val="none"/>
          <w:lang w:val="en-US" w:eastAsia="zh-CN" w:bidi="ar-SA"/>
        </w:rPr>
        <w:t>产水量</w:t>
      </w:r>
      <w:r>
        <w:rPr>
          <w:rFonts w:hint="eastAsia" w:ascii="Times New Roman" w:hAnsi="Times New Roman" w:eastAsia="宋体" w:cs="Times New Roman"/>
          <w:kern w:val="2"/>
          <w:sz w:val="21"/>
          <w:szCs w:val="21"/>
          <w:highlight w:val="none"/>
          <w:lang w:val="en-US" w:eastAsia="zh-CN" w:bidi="ar-SA"/>
        </w:rPr>
        <w:t>不低于21</w:t>
      </w:r>
      <w:r>
        <w:rPr>
          <w:rFonts w:ascii="Times New Roman" w:hAnsi="Times New Roman" w:eastAsia="宋体" w:cs="Times New Roman"/>
          <w:kern w:val="2"/>
          <w:sz w:val="21"/>
          <w:szCs w:val="21"/>
          <w:highlight w:val="none"/>
          <w:lang w:val="en-US" w:eastAsia="zh-CN" w:bidi="ar-SA"/>
        </w:rPr>
        <w:t>M3/H，出水水质</w:t>
      </w:r>
      <w:r>
        <w:rPr>
          <w:rFonts w:ascii="Times New Roman" w:hAnsi="Times New Roman" w:eastAsia="宋体" w:cs="Times New Roman"/>
          <w:color w:val="000000"/>
          <w:kern w:val="2"/>
          <w:sz w:val="21"/>
          <w:szCs w:val="21"/>
          <w:highlight w:val="none"/>
          <w:lang w:val="en-US" w:eastAsia="zh-CN" w:bidi="ar-SA"/>
        </w:rPr>
        <w:t>SDI</w:t>
      </w:r>
      <w:r>
        <w:rPr>
          <w:rFonts w:ascii="Times New Roman" w:hAnsi="Times New Roman" w:eastAsia="宋体" w:cs="Times New Roman"/>
          <w:color w:val="000000"/>
          <w:kern w:val="2"/>
          <w:sz w:val="21"/>
          <w:szCs w:val="21"/>
          <w:highlight w:val="none"/>
          <w:lang w:val="en-US" w:eastAsia="zh-CN" w:bidi="ar-SA"/>
        </w:rPr>
        <w:sym w:font="Symbol" w:char="00A3"/>
      </w:r>
      <w:r>
        <w:rPr>
          <w:rFonts w:ascii="Times New Roman" w:hAnsi="Times New Roman" w:eastAsia="宋体" w:cs="Times New Roman"/>
          <w:color w:val="000000"/>
          <w:kern w:val="2"/>
          <w:sz w:val="21"/>
          <w:szCs w:val="21"/>
          <w:highlight w:val="none"/>
          <w:lang w:val="en-US" w:eastAsia="zh-CN" w:bidi="ar-SA"/>
        </w:rPr>
        <w:t>5</w:t>
      </w:r>
      <w:r>
        <w:rPr>
          <w:rFonts w:hint="eastAsia" w:ascii="Times New Roman" w:hAnsi="Times New Roman" w:eastAsia="宋体" w:cs="Times New Roman"/>
          <w:kern w:val="2"/>
          <w:sz w:val="21"/>
          <w:szCs w:val="21"/>
          <w:highlight w:val="none"/>
          <w:lang w:val="en-US" w:eastAsia="zh-CN" w:bidi="ar-SA"/>
        </w:rPr>
        <w:t>，硬度≤17ppm（以碳酸钙计）</w:t>
      </w:r>
      <w:r>
        <w:rPr>
          <w:rFonts w:ascii="Times New Roman" w:hAnsi="Times New Roman" w:eastAsia="宋体" w:cs="Times New Roman"/>
          <w:kern w:val="2"/>
          <w:sz w:val="21"/>
          <w:szCs w:val="21"/>
          <w:highlight w:val="none"/>
          <w:lang w:val="en-US" w:eastAsia="zh-CN" w:bidi="ar-SA"/>
        </w:rPr>
        <w:t>。</w:t>
      </w:r>
    </w:p>
    <w:p>
      <w:pPr>
        <w:spacing w:line="360" w:lineRule="auto"/>
        <w:ind w:firstLine="420" w:firstLineChars="200"/>
        <w:jc w:val="left"/>
        <w:rPr>
          <w:rFonts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配套阀门及测控组件。阀门要求选用过流材质不低于SS304不锈钢的阀门。控制实现：自动运行、再生，手动控制罐体填料更换，自动监测水压等数据并采样。</w:t>
      </w:r>
    </w:p>
    <w:p>
      <w:pPr>
        <w:spacing w:line="360" w:lineRule="auto"/>
        <w:jc w:val="left"/>
        <w:rPr>
          <w:rFonts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1.6配备盐桶，两套，实现自动再生，再生以时间参数设置来控制再生周期，一般再生周期为3</w:t>
      </w:r>
      <w:r>
        <w:rPr>
          <w:rFonts w:ascii="Times New Roman" w:hAnsi="Times New Roman" w:eastAsia="宋体" w:cs="Times New Roman"/>
          <w:color w:val="000000"/>
          <w:kern w:val="2"/>
          <w:sz w:val="21"/>
          <w:szCs w:val="21"/>
          <w:highlight w:val="none"/>
          <w:lang w:val="en-US" w:eastAsia="zh-CN" w:bidi="ar-SA"/>
        </w:rPr>
        <w:t>天</w:t>
      </w:r>
      <w:r>
        <w:rPr>
          <w:rFonts w:hint="eastAsia" w:ascii="Times New Roman" w:hAnsi="Times New Roman" w:eastAsia="宋体" w:cs="Times New Roman"/>
          <w:color w:val="000000"/>
          <w:kern w:val="2"/>
          <w:sz w:val="21"/>
          <w:szCs w:val="21"/>
          <w:highlight w:val="none"/>
          <w:lang w:val="en-US" w:eastAsia="zh-CN" w:bidi="ar-SA"/>
        </w:rPr>
        <w:t>。</w:t>
      </w:r>
    </w:p>
    <w:p>
      <w:pPr>
        <w:spacing w:line="360" w:lineRule="auto"/>
        <w:rPr>
          <w:rFonts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1.7精滤器，两套，</w:t>
      </w:r>
      <w:r>
        <w:rPr>
          <w:rFonts w:ascii="Times New Roman" w:hAnsi="Times New Roman" w:eastAsia="宋体" w:cs="Times New Roman"/>
          <w:color w:val="000000"/>
          <w:kern w:val="2"/>
          <w:sz w:val="21"/>
          <w:szCs w:val="21"/>
          <w:highlight w:val="none"/>
          <w:lang w:val="en-US" w:eastAsia="zh-CN" w:bidi="ar-SA"/>
        </w:rPr>
        <w:t>过滤精度5µm</w:t>
      </w:r>
      <w:r>
        <w:rPr>
          <w:rFonts w:hint="eastAsia" w:ascii="Times New Roman" w:hAnsi="Times New Roman" w:eastAsia="宋体" w:cs="Times New Roman"/>
          <w:color w:val="000000"/>
          <w:kern w:val="2"/>
          <w:sz w:val="21"/>
          <w:szCs w:val="21"/>
          <w:highlight w:val="none"/>
          <w:lang w:val="en-US" w:eastAsia="zh-CN" w:bidi="ar-SA"/>
        </w:rPr>
        <w:t>，</w:t>
      </w:r>
      <w:r>
        <w:rPr>
          <w:rFonts w:ascii="Times New Roman" w:hAnsi="Times New Roman" w:eastAsia="宋体" w:cs="Times New Roman"/>
          <w:color w:val="000000"/>
          <w:kern w:val="2"/>
          <w:sz w:val="21"/>
          <w:szCs w:val="21"/>
          <w:highlight w:val="none"/>
          <w:lang w:val="en-US" w:eastAsia="zh-CN" w:bidi="ar-SA"/>
        </w:rPr>
        <w:t>罐体材质</w:t>
      </w:r>
      <w:r>
        <w:rPr>
          <w:rFonts w:hint="eastAsia" w:ascii="Times New Roman" w:hAnsi="Times New Roman" w:eastAsia="宋体" w:cs="Times New Roman"/>
          <w:color w:val="000000"/>
          <w:kern w:val="2"/>
          <w:sz w:val="21"/>
          <w:szCs w:val="21"/>
          <w:highlight w:val="none"/>
          <w:lang w:val="en-US" w:eastAsia="zh-CN" w:bidi="ar-SA"/>
        </w:rPr>
        <w:t>为</w:t>
      </w:r>
      <w:r>
        <w:rPr>
          <w:rFonts w:ascii="Times New Roman" w:hAnsi="Times New Roman" w:eastAsia="宋体" w:cs="Times New Roman"/>
          <w:color w:val="000000"/>
          <w:kern w:val="2"/>
          <w:sz w:val="21"/>
          <w:szCs w:val="21"/>
          <w:highlight w:val="none"/>
          <w:lang w:val="en-US" w:eastAsia="zh-CN" w:bidi="ar-SA"/>
        </w:rPr>
        <w:t>SS304，滤芯</w:t>
      </w:r>
      <w:r>
        <w:rPr>
          <w:rFonts w:hint="eastAsia" w:ascii="Times New Roman" w:hAnsi="Times New Roman" w:eastAsia="宋体" w:cs="Times New Roman"/>
          <w:color w:val="000000"/>
          <w:kern w:val="2"/>
          <w:sz w:val="21"/>
          <w:szCs w:val="21"/>
          <w:highlight w:val="none"/>
          <w:lang w:val="en-US" w:eastAsia="zh-CN" w:bidi="ar-SA"/>
        </w:rPr>
        <w:t>采用优质滤芯。</w:t>
      </w:r>
    </w:p>
    <w:p>
      <w:pPr>
        <w:keepNext/>
        <w:keepLines/>
        <w:widowControl w:val="0"/>
        <w:numPr>
          <w:ilvl w:val="0"/>
          <w:numId w:val="40"/>
        </w:numPr>
        <w:spacing w:line="480" w:lineRule="auto"/>
        <w:jc w:val="both"/>
        <w:outlineLvl w:val="2"/>
        <w:rPr>
          <w:rFonts w:ascii="Times New Roman" w:hAnsi="Times New Roman" w:eastAsia="宋体" w:cs="Times New Roman"/>
          <w:b/>
          <w:bCs/>
          <w:kern w:val="2"/>
          <w:sz w:val="21"/>
          <w:szCs w:val="32"/>
          <w:highlight w:val="none"/>
          <w:lang w:val="en-US" w:eastAsia="zh-CN" w:bidi="ar-SA"/>
        </w:rPr>
      </w:pPr>
      <w:r>
        <w:rPr>
          <w:rFonts w:hint="eastAsia" w:ascii="Times New Roman" w:hAnsi="Times New Roman" w:eastAsia="宋体" w:cs="Times New Roman"/>
          <w:b/>
          <w:bCs/>
          <w:kern w:val="2"/>
          <w:sz w:val="21"/>
          <w:szCs w:val="32"/>
          <w:highlight w:val="none"/>
          <w:lang w:val="en-US" w:eastAsia="zh-CN" w:bidi="ar-SA"/>
        </w:rPr>
        <w:t>反渗透系统：</w:t>
      </w:r>
    </w:p>
    <w:p>
      <w:pPr>
        <w:spacing w:line="360" w:lineRule="auto"/>
        <w:rPr>
          <w:rFonts w:ascii="Times New Roman" w:hAnsi="Times New Roman" w:eastAsia="宋体" w:cs="Times New Roman"/>
          <w:b/>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2.1一级高压泵：2套，扬程、流量以满足反渗透制水的实际要求为基本要求，过流材质不低于SS304不锈钢；二级高压泵：2套（1用1备），扬程、流量以满足反渗透制水的实际要求为基本要求，过流材质不低于SS304不锈钢。</w:t>
      </w:r>
    </w:p>
    <w:p>
      <w:pPr>
        <w:spacing w:line="360" w:lineRule="auto"/>
        <w:rPr>
          <w:rFonts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2.2▲反渗透装置采用两套并联运行，单套运行纯水产水量为20m3 /h,成熟的双路制水工艺，确保系统无单点故障。</w:t>
      </w:r>
    </w:p>
    <w:p>
      <w:pPr>
        <w:spacing w:line="360" w:lineRule="auto"/>
        <w:rPr>
          <w:rFonts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2.3</w:t>
      </w:r>
      <w:r>
        <w:rPr>
          <w:rFonts w:hint="eastAsia" w:ascii="Times New Roman" w:hAnsi="Times New Roman" w:eastAsia="宋体" w:cs="Times New Roman"/>
          <w:kern w:val="2"/>
          <w:sz w:val="21"/>
          <w:szCs w:val="21"/>
          <w:highlight w:val="none"/>
          <w:lang w:val="en-US" w:eastAsia="zh-CN" w:bidi="ar-SA"/>
        </w:rPr>
        <w:t>反渗透系统采用双级反渗透系统，一级反渗透系统采用8英寸双芯膜壳16支，32支反渗透膜，二级反渗透系统采用8英寸单芯膜壳7支，7支反渗透膜，配置组合科学完善，要求反渗透膜不易污染、不易水解、除盐率高，使用寿命优异。</w:t>
      </w:r>
    </w:p>
    <w:p>
      <w:pPr>
        <w:spacing w:line="360" w:lineRule="auto"/>
        <w:rPr>
          <w:rFonts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2.4</w:t>
      </w:r>
      <w:r>
        <w:rPr>
          <w:rFonts w:ascii="Times New Roman" w:hAnsi="Times New Roman" w:eastAsia="宋体" w:cs="Times New Roman"/>
          <w:color w:val="000000"/>
          <w:kern w:val="2"/>
          <w:sz w:val="21"/>
          <w:szCs w:val="21"/>
          <w:highlight w:val="none"/>
          <w:lang w:val="en-US" w:eastAsia="zh-CN" w:bidi="ar-SA"/>
        </w:rPr>
        <w:t>该系统浓水侧配置自动控制的</w:t>
      </w:r>
      <w:r>
        <w:rPr>
          <w:rFonts w:hint="eastAsia" w:ascii="Times New Roman" w:hAnsi="Times New Roman" w:eastAsia="宋体" w:cs="Times New Roman"/>
          <w:color w:val="000000"/>
          <w:kern w:val="2"/>
          <w:sz w:val="21"/>
          <w:szCs w:val="21"/>
          <w:highlight w:val="none"/>
          <w:lang w:val="en-US" w:eastAsia="zh-CN" w:bidi="ar-SA"/>
        </w:rPr>
        <w:t>电动阀</w:t>
      </w:r>
      <w:r>
        <w:rPr>
          <w:rFonts w:ascii="Times New Roman" w:hAnsi="Times New Roman" w:eastAsia="宋体" w:cs="Times New Roman"/>
          <w:color w:val="000000"/>
          <w:kern w:val="2"/>
          <w:sz w:val="21"/>
          <w:szCs w:val="21"/>
          <w:highlight w:val="none"/>
          <w:lang w:val="en-US" w:eastAsia="zh-CN" w:bidi="ar-SA"/>
        </w:rPr>
        <w:t>，在反渗透运行前和停机后进行低压冲洗，清除反渗透膜表面的污染物，置换压力管内的浓水。</w:t>
      </w:r>
    </w:p>
    <w:p>
      <w:pPr>
        <w:spacing w:line="360" w:lineRule="auto"/>
        <w:rPr>
          <w:rFonts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2.5反渗透系统设置有就地直接显示装置运行工况的压降、产水量、脱盐率、回收率等重要参数的就地仪表。系统还设置压力变送器，实现高低压保护，保证反渗透系统自动或手动安全可靠运行。反渗透产水设不合格产水排放阀门，反渗透停机后新投入运行时产生的不合格产水通过此阀门排放，不进入下道工序。</w:t>
      </w:r>
    </w:p>
    <w:p>
      <w:pPr>
        <w:spacing w:line="360" w:lineRule="auto"/>
        <w:rPr>
          <w:rFonts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2.6反渗透每支压力膜管产水侧均设有取样口，方便取样。</w:t>
      </w:r>
    </w:p>
    <w:p>
      <w:pPr>
        <w:spacing w:line="360" w:lineRule="auto"/>
        <w:jc w:val="left"/>
        <w:rPr>
          <w:rFonts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2.7清洗消毒装置：当膜元件膜面受给水污染时，除了可对装置进行化学清洗外，装置还采用</w:t>
      </w:r>
      <w:r>
        <w:rPr>
          <w:rFonts w:ascii="Times New Roman" w:hAnsi="Times New Roman" w:eastAsia="宋体" w:cs="Times New Roman"/>
          <w:color w:val="000000"/>
          <w:kern w:val="2"/>
          <w:sz w:val="21"/>
          <w:szCs w:val="21"/>
          <w:highlight w:val="none"/>
          <w:lang w:val="en-US" w:eastAsia="zh-CN" w:bidi="ar-SA"/>
        </w:rPr>
        <w:t>PLC程序控制，每</w:t>
      </w:r>
      <w:r>
        <w:rPr>
          <w:rFonts w:hint="eastAsia" w:ascii="Times New Roman" w:hAnsi="Times New Roman" w:eastAsia="宋体" w:cs="Times New Roman"/>
          <w:color w:val="000000"/>
          <w:kern w:val="2"/>
          <w:sz w:val="21"/>
          <w:szCs w:val="21"/>
          <w:highlight w:val="none"/>
          <w:lang w:val="en-US" w:eastAsia="zh-CN" w:bidi="ar-SA"/>
        </w:rPr>
        <w:t>次启动制水前</w:t>
      </w:r>
      <w:r>
        <w:rPr>
          <w:rFonts w:ascii="Times New Roman" w:hAnsi="Times New Roman" w:eastAsia="宋体" w:cs="Times New Roman"/>
          <w:color w:val="000000"/>
          <w:kern w:val="2"/>
          <w:sz w:val="21"/>
          <w:szCs w:val="21"/>
          <w:highlight w:val="none"/>
          <w:lang w:val="en-US" w:eastAsia="zh-CN" w:bidi="ar-SA"/>
        </w:rPr>
        <w:t>对膜表面</w:t>
      </w:r>
      <w:r>
        <w:rPr>
          <w:rFonts w:hint="eastAsia" w:ascii="Times New Roman" w:hAnsi="Times New Roman" w:eastAsia="宋体" w:cs="Times New Roman"/>
          <w:color w:val="000000"/>
          <w:kern w:val="2"/>
          <w:sz w:val="21"/>
          <w:szCs w:val="21"/>
          <w:highlight w:val="none"/>
          <w:lang w:val="en-US" w:eastAsia="zh-CN" w:bidi="ar-SA"/>
        </w:rPr>
        <w:t>进行</w:t>
      </w:r>
      <w:r>
        <w:rPr>
          <w:rFonts w:ascii="Times New Roman" w:hAnsi="Times New Roman" w:eastAsia="宋体" w:cs="Times New Roman"/>
          <w:color w:val="000000"/>
          <w:kern w:val="2"/>
          <w:sz w:val="21"/>
          <w:szCs w:val="21"/>
          <w:highlight w:val="none"/>
          <w:lang w:val="en-US" w:eastAsia="zh-CN" w:bidi="ar-SA"/>
        </w:rPr>
        <w:t>冲洗，可以有效防止膜面污染，延长系统化学清洗周期及膜使用寿命。</w:t>
      </w:r>
      <w:r>
        <w:rPr>
          <w:rFonts w:hint="eastAsia" w:ascii="Times New Roman" w:hAnsi="Times New Roman" w:eastAsia="宋体" w:cs="Times New Roman"/>
          <w:color w:val="000000"/>
          <w:kern w:val="2"/>
          <w:sz w:val="21"/>
          <w:szCs w:val="21"/>
          <w:highlight w:val="none"/>
          <w:lang w:val="en-US" w:eastAsia="zh-CN" w:bidi="ar-SA"/>
        </w:rPr>
        <w:t>清洗装置配备过滤器、水泵、控制阀门等功能实现所需设备。</w:t>
      </w:r>
    </w:p>
    <w:p>
      <w:pPr>
        <w:spacing w:line="360" w:lineRule="auto"/>
        <w:jc w:val="left"/>
        <w:rPr>
          <w:rFonts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2.8▲浓水利用装置：为提高水资源的利用率本系统设置了浓水利用装置，以达到废水利用的目的，最大程度的降低医院投运后的运行成本。</w:t>
      </w:r>
    </w:p>
    <w:p>
      <w:pPr>
        <w:spacing w:line="360" w:lineRule="auto"/>
        <w:jc w:val="left"/>
        <w:rPr>
          <w:rFonts w:ascii="Times New Roman" w:hAnsi="Times New Roman" w:eastAsia="宋体" w:cs="Times New Roman"/>
          <w:color w:val="000000"/>
          <w:kern w:val="2"/>
          <w:sz w:val="21"/>
          <w:szCs w:val="21"/>
          <w:highlight w:val="none"/>
          <w:lang w:val="en-US" w:eastAsia="zh-CN" w:bidi="ar-SA"/>
        </w:rPr>
      </w:pPr>
    </w:p>
    <w:p>
      <w:pPr>
        <w:keepNext/>
        <w:keepLines/>
        <w:widowControl w:val="0"/>
        <w:numPr>
          <w:ilvl w:val="0"/>
          <w:numId w:val="40"/>
        </w:numPr>
        <w:spacing w:line="480" w:lineRule="auto"/>
        <w:jc w:val="both"/>
        <w:outlineLvl w:val="2"/>
        <w:rPr>
          <w:rFonts w:ascii="Times New Roman" w:hAnsi="Times New Roman" w:eastAsia="宋体" w:cs="Times New Roman"/>
          <w:b/>
          <w:bCs/>
          <w:kern w:val="2"/>
          <w:sz w:val="21"/>
          <w:szCs w:val="32"/>
          <w:highlight w:val="none"/>
          <w:lang w:val="en-US" w:eastAsia="zh-CN" w:bidi="ar-SA"/>
        </w:rPr>
      </w:pPr>
      <w:r>
        <w:rPr>
          <w:rFonts w:hint="eastAsia" w:ascii="Times New Roman" w:hAnsi="Times New Roman" w:eastAsia="宋体" w:cs="Times New Roman"/>
          <w:b/>
          <w:bCs/>
          <w:kern w:val="2"/>
          <w:sz w:val="21"/>
          <w:szCs w:val="32"/>
          <w:highlight w:val="none"/>
          <w:lang w:val="en-US" w:eastAsia="zh-CN" w:bidi="ar-SA"/>
        </w:rPr>
        <w:t>后处理系统：</w:t>
      </w:r>
    </w:p>
    <w:p>
      <w:pPr>
        <w:spacing w:line="360" w:lineRule="auto"/>
        <w:rPr>
          <w:rFonts w:ascii="Times New Roman" w:hAnsi="Times New Roman" w:eastAsia="宋体" w:cs="Times New Roman"/>
          <w:kern w:val="2"/>
          <w:sz w:val="21"/>
          <w:szCs w:val="21"/>
          <w:highlight w:val="none"/>
          <w:lang w:val="en-US" w:eastAsia="zh-CN" w:bidi="ar-SA"/>
        </w:rPr>
      </w:pPr>
      <w:r>
        <w:rPr>
          <w:rFonts w:hint="eastAsia" w:ascii="Times New Roman" w:hAnsi="Times New Roman" w:eastAsia="宋体" w:cs="Times New Roman"/>
          <w:kern w:val="2"/>
          <w:sz w:val="21"/>
          <w:szCs w:val="21"/>
          <w:highlight w:val="none"/>
          <w:lang w:val="en-US" w:eastAsia="zh-CN" w:bidi="ar-SA"/>
        </w:rPr>
        <w:t>3.1▲纯水箱：容积2.0M³，4台；容积2.5M³，5台。材质304不锈钢，内外双抛光级；要求顶部装空气过滤器，滤膜精度0.22μm，内部回水口装万向喷淋洗球，内部进水口装水流转向导管，外装液位可视器；桶体上顶、下底采用锅型冲压成型封头，不得采用板材加工焊接成型封头；每套纯水箱须有Ф400或以上的清洗人孔，端盖采用耳环式快速密封联接</w:t>
      </w:r>
      <w:r>
        <w:rPr>
          <w:rFonts w:hint="eastAsia" w:ascii="Times New Roman" w:hAnsi="Times New Roman" w:eastAsia="宋体" w:cs="Times New Roman"/>
          <w:color w:val="000000"/>
          <w:kern w:val="2"/>
          <w:sz w:val="21"/>
          <w:szCs w:val="21"/>
          <w:highlight w:val="none"/>
          <w:lang w:val="en-US" w:eastAsia="zh-CN" w:bidi="ar-SA"/>
        </w:rPr>
        <w:t>。</w:t>
      </w:r>
    </w:p>
    <w:p>
      <w:pPr>
        <w:spacing w:line="360" w:lineRule="auto"/>
        <w:rPr>
          <w:rFonts w:ascii="Times New Roman" w:hAnsi="Times New Roman" w:eastAsia="宋体" w:cs="Times New Roman"/>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3.</w:t>
      </w:r>
      <w:r>
        <w:rPr>
          <w:rFonts w:hint="eastAsia" w:ascii="Times New Roman" w:hAnsi="Times New Roman" w:eastAsia="宋体" w:cs="Times New Roman"/>
          <w:kern w:val="2"/>
          <w:sz w:val="21"/>
          <w:szCs w:val="21"/>
          <w:highlight w:val="none"/>
          <w:lang w:val="en-US" w:eastAsia="zh-CN" w:bidi="ar-SA"/>
        </w:rPr>
        <w:t>2纯水泵：根据分质供水的要求，设置各回路采用循环管路输送方式，每个回路要求配置2套过流材质不低于</w:t>
      </w:r>
      <w:r>
        <w:rPr>
          <w:rFonts w:hint="eastAsia" w:ascii="Times New Roman" w:hAnsi="Times New Roman" w:eastAsia="宋体" w:cs="宋体"/>
          <w:kern w:val="0"/>
          <w:sz w:val="21"/>
          <w:szCs w:val="21"/>
          <w:highlight w:val="none"/>
          <w:lang w:val="en-US" w:eastAsia="zh-CN" w:bidi="ar-SA"/>
        </w:rPr>
        <w:t>304SS</w:t>
      </w:r>
      <w:r>
        <w:rPr>
          <w:rFonts w:hint="eastAsia" w:ascii="Times New Roman" w:hAnsi="Times New Roman" w:eastAsia="宋体" w:cs="Times New Roman"/>
          <w:kern w:val="2"/>
          <w:sz w:val="21"/>
          <w:szCs w:val="21"/>
          <w:highlight w:val="none"/>
          <w:lang w:val="en-US" w:eastAsia="zh-CN" w:bidi="ar-SA"/>
        </w:rPr>
        <w:t>的纯水输送泵（一开一备，变频控制），流量不低于用水量，系统需要确保7*24小时的可靠运行，保证医院临床用水不停顿，并切实的达到节能降耗的目的。</w:t>
      </w:r>
    </w:p>
    <w:p>
      <w:pPr>
        <w:spacing w:line="360" w:lineRule="auto"/>
        <w:jc w:val="left"/>
        <w:rPr>
          <w:rFonts w:ascii="Times New Roman" w:hAnsi="Times New Roman" w:eastAsia="宋体" w:cs="Times New Roman"/>
          <w:kern w:val="2"/>
          <w:sz w:val="21"/>
          <w:szCs w:val="21"/>
          <w:highlight w:val="none"/>
          <w:lang w:val="en-US" w:eastAsia="zh-CN" w:bidi="ar-SA"/>
        </w:rPr>
      </w:pPr>
      <w:r>
        <w:rPr>
          <w:rFonts w:hint="eastAsia" w:ascii="Times New Roman" w:hAnsi="Times New Roman" w:eastAsia="宋体" w:cs="Times New Roman"/>
          <w:kern w:val="2"/>
          <w:sz w:val="21"/>
          <w:szCs w:val="21"/>
          <w:highlight w:val="none"/>
          <w:lang w:val="en-US" w:eastAsia="zh-CN" w:bidi="ar-SA"/>
        </w:rPr>
        <w:t>3.3▲紫外杀菌器：数量根据回路数量配备，波长稳定在254nm，灯管放射剂量达30mj/cm</w:t>
      </w:r>
      <w:r>
        <w:rPr>
          <w:rFonts w:hint="eastAsia" w:ascii="Times New Roman" w:hAnsi="Times New Roman" w:eastAsia="宋体" w:cs="Times New Roman"/>
          <w:kern w:val="2"/>
          <w:sz w:val="21"/>
          <w:szCs w:val="21"/>
          <w:highlight w:val="none"/>
          <w:vertAlign w:val="superscript"/>
          <w:lang w:val="en-US" w:eastAsia="zh-CN" w:bidi="ar-SA"/>
        </w:rPr>
        <w:t>2</w:t>
      </w:r>
      <w:r>
        <w:rPr>
          <w:rFonts w:hint="eastAsia" w:ascii="Times New Roman" w:hAnsi="Times New Roman" w:eastAsia="宋体" w:cs="Times New Roman"/>
          <w:kern w:val="2"/>
          <w:sz w:val="21"/>
          <w:szCs w:val="21"/>
          <w:highlight w:val="none"/>
          <w:lang w:val="en-US" w:eastAsia="zh-CN" w:bidi="ar-SA"/>
        </w:rPr>
        <w:t>,材质不低于</w:t>
      </w:r>
      <w:r>
        <w:rPr>
          <w:rFonts w:hint="eastAsia" w:ascii="Times New Roman" w:hAnsi="Times New Roman" w:eastAsia="宋体" w:cs="宋体"/>
          <w:kern w:val="0"/>
          <w:sz w:val="21"/>
          <w:szCs w:val="21"/>
          <w:highlight w:val="none"/>
          <w:lang w:val="en-US" w:eastAsia="zh-CN" w:bidi="ar-SA"/>
        </w:rPr>
        <w:t>304SS</w:t>
      </w:r>
      <w:r>
        <w:rPr>
          <w:rFonts w:hint="eastAsia" w:ascii="Times New Roman" w:hAnsi="Times New Roman" w:eastAsia="宋体" w:cs="Times New Roman"/>
          <w:kern w:val="2"/>
          <w:sz w:val="21"/>
          <w:szCs w:val="21"/>
          <w:highlight w:val="none"/>
          <w:lang w:val="en-US" w:eastAsia="zh-CN" w:bidi="ar-SA"/>
        </w:rPr>
        <w:t>。</w:t>
      </w:r>
    </w:p>
    <w:p>
      <w:pPr>
        <w:spacing w:line="360" w:lineRule="auto"/>
        <w:jc w:val="left"/>
        <w:rPr>
          <w:rFonts w:ascii="Times New Roman" w:hAnsi="Times New Roman" w:eastAsia="宋体" w:cs="Times New Roman"/>
          <w:kern w:val="2"/>
          <w:sz w:val="21"/>
          <w:szCs w:val="21"/>
          <w:highlight w:val="none"/>
          <w:lang w:val="en-US" w:eastAsia="zh-CN" w:bidi="ar-SA"/>
        </w:rPr>
      </w:pPr>
      <w:r>
        <w:rPr>
          <w:rFonts w:hint="eastAsia" w:ascii="Times New Roman" w:hAnsi="Times New Roman" w:eastAsia="宋体" w:cs="Times New Roman"/>
          <w:kern w:val="2"/>
          <w:sz w:val="21"/>
          <w:szCs w:val="21"/>
          <w:highlight w:val="none"/>
          <w:lang w:val="en-US" w:eastAsia="zh-CN" w:bidi="ar-SA"/>
        </w:rPr>
        <w:t>3.4细菌过滤器：各管路系统采用20英寸、30英寸、40英寸三种规格，容器材质</w:t>
      </w:r>
      <w:r>
        <w:rPr>
          <w:rFonts w:hint="eastAsia" w:ascii="Times New Roman" w:hAnsi="Times New Roman" w:eastAsia="宋体" w:cs="宋体"/>
          <w:kern w:val="0"/>
          <w:sz w:val="21"/>
          <w:szCs w:val="21"/>
          <w:highlight w:val="none"/>
          <w:lang w:val="en-US" w:eastAsia="zh-CN" w:bidi="ar-SA"/>
        </w:rPr>
        <w:t>SS 304</w:t>
      </w:r>
      <w:r>
        <w:rPr>
          <w:rFonts w:hint="eastAsia" w:ascii="Times New Roman" w:hAnsi="Times New Roman" w:eastAsia="宋体" w:cs="Times New Roman"/>
          <w:kern w:val="2"/>
          <w:sz w:val="21"/>
          <w:szCs w:val="21"/>
          <w:highlight w:val="none"/>
          <w:lang w:val="en-US" w:eastAsia="zh-CN" w:bidi="ar-SA"/>
        </w:rPr>
        <w:t>，滤芯绝对孔径0.22</w:t>
      </w:r>
      <w:r>
        <w:rPr>
          <w:rFonts w:ascii="Times New Roman" w:hAnsi="Times New Roman" w:eastAsia="宋体" w:cs="Arial"/>
          <w:kern w:val="2"/>
          <w:sz w:val="21"/>
          <w:szCs w:val="21"/>
          <w:highlight w:val="none"/>
          <w:lang w:val="en-US" w:eastAsia="zh-CN" w:bidi="ar-SA"/>
        </w:rPr>
        <w:t>μm</w:t>
      </w:r>
      <w:r>
        <w:rPr>
          <w:rFonts w:hint="eastAsia" w:ascii="Times New Roman" w:hAnsi="Times New Roman" w:eastAsia="宋体" w:cs="Arial"/>
          <w:kern w:val="2"/>
          <w:sz w:val="21"/>
          <w:szCs w:val="21"/>
          <w:highlight w:val="none"/>
          <w:lang w:val="en-US" w:eastAsia="zh-CN" w:bidi="ar-SA"/>
        </w:rPr>
        <w:t>，</w:t>
      </w:r>
      <w:r>
        <w:rPr>
          <w:rFonts w:hint="eastAsia" w:ascii="Times New Roman" w:hAnsi="Times New Roman" w:eastAsia="宋体" w:cs="Times New Roman"/>
          <w:kern w:val="2"/>
          <w:sz w:val="21"/>
          <w:szCs w:val="21"/>
          <w:highlight w:val="none"/>
          <w:lang w:val="en-US" w:eastAsia="zh-CN" w:bidi="ar-SA"/>
        </w:rPr>
        <w:t>去除菌尸的同时，去除致热原，保证出水水质安全使用。</w:t>
      </w:r>
    </w:p>
    <w:p>
      <w:pPr>
        <w:spacing w:line="360" w:lineRule="auto"/>
        <w:rPr>
          <w:rFonts w:ascii="Times New Roman" w:hAnsi="Times New Roman" w:eastAsia="宋体" w:cs="Times New Roman"/>
          <w:kern w:val="2"/>
          <w:sz w:val="21"/>
          <w:szCs w:val="21"/>
          <w:highlight w:val="none"/>
          <w:lang w:val="en-US" w:eastAsia="zh-CN" w:bidi="ar-SA"/>
        </w:rPr>
      </w:pPr>
      <w:r>
        <w:rPr>
          <w:rFonts w:hint="eastAsia" w:ascii="Times New Roman" w:hAnsi="Times New Roman" w:eastAsia="宋体" w:cs="Times New Roman"/>
          <w:kern w:val="2"/>
          <w:sz w:val="21"/>
          <w:szCs w:val="21"/>
          <w:highlight w:val="none"/>
          <w:lang w:val="en-US" w:eastAsia="zh-CN" w:bidi="ar-SA"/>
        </w:rPr>
        <w:t>3.5▲生化用水EDI装置：组合件，1套，用于检验用水后处理系统，联合使用RO+EDI ，最大化地保证系统的连续运行并达到降低耗材使用成本的要求</w:t>
      </w:r>
      <w:r>
        <w:rPr>
          <w:rFonts w:hint="eastAsia" w:ascii="Times New Roman" w:hAnsi="Times New Roman" w:eastAsia="宋体" w:cs="Times New Roman"/>
          <w:b/>
          <w:color w:val="000000"/>
          <w:kern w:val="2"/>
          <w:sz w:val="21"/>
          <w:szCs w:val="21"/>
          <w:highlight w:val="none"/>
          <w:lang w:val="en-US" w:eastAsia="zh-CN" w:bidi="ar-SA"/>
        </w:rPr>
        <w:t>。</w:t>
      </w:r>
    </w:p>
    <w:p>
      <w:pPr>
        <w:spacing w:line="360" w:lineRule="auto"/>
        <w:rPr>
          <w:rFonts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3.6</w:t>
      </w:r>
      <w:r>
        <w:rPr>
          <w:rFonts w:hint="eastAsia" w:ascii="Times New Roman" w:hAnsi="Times New Roman" w:eastAsia="宋体" w:cs="Times New Roman"/>
          <w:kern w:val="2"/>
          <w:sz w:val="21"/>
          <w:szCs w:val="21"/>
          <w:highlight w:val="none"/>
          <w:lang w:val="en-US" w:eastAsia="zh-CN" w:bidi="ar-SA"/>
        </w:rPr>
        <w:t>▲</w:t>
      </w:r>
      <w:r>
        <w:rPr>
          <w:rFonts w:hint="eastAsia" w:ascii="Times New Roman" w:hAnsi="Times New Roman" w:eastAsia="宋体" w:cs="Times New Roman"/>
          <w:color w:val="000000"/>
          <w:kern w:val="2"/>
          <w:sz w:val="21"/>
          <w:szCs w:val="21"/>
          <w:highlight w:val="none"/>
          <w:lang w:val="en-US" w:eastAsia="zh-CN" w:bidi="ar-SA"/>
        </w:rPr>
        <w:t>血液透析用制水设备：</w:t>
      </w:r>
    </w:p>
    <w:p>
      <w:pPr>
        <w:spacing w:line="360" w:lineRule="auto"/>
        <w:rPr>
          <w:rFonts w:hint="eastAsia"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3.6.1系统要求</w:t>
      </w:r>
    </w:p>
    <w:p>
      <w:pPr>
        <w:spacing w:line="360" w:lineRule="auto"/>
        <w:rPr>
          <w:rFonts w:hint="eastAsia"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▲（1）具有单独的反渗水处理产品注册证。</w:t>
      </w:r>
    </w:p>
    <w:p>
      <w:pPr>
        <w:numPr>
          <w:ilvl w:val="0"/>
          <w:numId w:val="43"/>
        </w:numPr>
        <w:spacing w:line="360" w:lineRule="auto"/>
        <w:rPr>
          <w:rFonts w:hint="eastAsia"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可以满足YY0572-2015的水质要求。</w:t>
      </w:r>
    </w:p>
    <w:p>
      <w:pPr>
        <w:numPr>
          <w:ilvl w:val="0"/>
          <w:numId w:val="43"/>
        </w:numPr>
        <w:spacing w:line="360" w:lineRule="auto"/>
        <w:rPr>
          <w:rFonts w:hint="eastAsia"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数量1套；满足血透要求和注册水量要求；以中央水处理产品水为原水，水温25℃时提供血透用产品水≥3 M³/H。并按YY0793.1标准要求设取样点；净化水输送设全封闭循环回路，项目电气要求必须符合GB9706.1；具备声光报警功能，报警声信号在3米内的声压级不低于65dB。具体由供应商按备案企标和注册规范要求组织生产和供货。</w:t>
      </w:r>
    </w:p>
    <w:p>
      <w:pPr>
        <w:spacing w:line="360" w:lineRule="auto"/>
        <w:rPr>
          <w:rFonts w:hint="eastAsia"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3.6.2预处理系统</w:t>
      </w:r>
    </w:p>
    <w:p>
      <w:pPr>
        <w:spacing w:line="360" w:lineRule="auto"/>
        <w:rPr>
          <w:rFonts w:hint="eastAsia"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（1）所有预处理配置均为原装进口产品或同等品质的产品。</w:t>
      </w:r>
    </w:p>
    <w:p>
      <w:pPr>
        <w:spacing w:line="360" w:lineRule="auto"/>
        <w:rPr>
          <w:rFonts w:hint="eastAsia"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▲（2）预处理泵前配有原水可冲洗滤器用于保护预处理泵。</w:t>
      </w:r>
    </w:p>
    <w:p>
      <w:pPr>
        <w:spacing w:line="360" w:lineRule="auto"/>
        <w:rPr>
          <w:rFonts w:hint="eastAsia"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3.配有漏水检测装置和进水电磁阀，在检测到泄漏时自动关断水源。</w:t>
      </w:r>
    </w:p>
    <w:p>
      <w:pPr>
        <w:spacing w:line="360" w:lineRule="auto"/>
        <w:rPr>
          <w:rFonts w:hint="eastAsia"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4.配有预处理加压泵，可根据压力自动启动，具有无水空转保护功能。</w:t>
      </w:r>
    </w:p>
    <w:p>
      <w:pPr>
        <w:spacing w:line="360" w:lineRule="auto"/>
        <w:rPr>
          <w:rFonts w:hint="eastAsia"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5.砂滤罐，内含粗砂、细砂、锰砂三种滤料，配有全自动数字型控制头。</w:t>
      </w:r>
    </w:p>
    <w:p>
      <w:pPr>
        <w:spacing w:line="360" w:lineRule="auto"/>
        <w:rPr>
          <w:rFonts w:hint="eastAsia"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▲（6）树脂罐，三罐并联一备两用，配有全自动流量控制数字型控制头，可根据本地自来水硬度自动计算原水处理量。</w:t>
      </w:r>
    </w:p>
    <w:p>
      <w:pPr>
        <w:spacing w:line="360" w:lineRule="auto"/>
        <w:rPr>
          <w:rFonts w:hint="eastAsia"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（7）活性碳罐，双罐串联设计，配有全自动数字型控制头。</w:t>
      </w:r>
    </w:p>
    <w:p>
      <w:pPr>
        <w:spacing w:line="360" w:lineRule="auto"/>
        <w:rPr>
          <w:rFonts w:hint="eastAsia"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（8）砂滤罐、前后滤器、树脂罐、活性碳罐均有内置取样口。</w:t>
      </w:r>
    </w:p>
    <w:p>
      <w:pPr>
        <w:spacing w:line="360" w:lineRule="auto"/>
        <w:rPr>
          <w:rFonts w:hint="eastAsia"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（9）预处理前后安装精密过滤器用于保护预处理,防止杂质进入RO。</w:t>
      </w:r>
    </w:p>
    <w:p>
      <w:pPr>
        <w:spacing w:line="360" w:lineRule="auto"/>
        <w:rPr>
          <w:rFonts w:hint="eastAsia"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（10）配有软水硬度、余氯、铁离子、过氧乙酸残留、PH等试纸。</w:t>
      </w:r>
    </w:p>
    <w:p>
      <w:pPr>
        <w:spacing w:line="360" w:lineRule="auto"/>
        <w:rPr>
          <w:rFonts w:hint="eastAsia"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（11）预处理管路连接采用压接或热熔方法连接，不使用化学粘接剂连接。</w:t>
      </w:r>
    </w:p>
    <w:p>
      <w:pPr>
        <w:spacing w:line="360" w:lineRule="auto"/>
        <w:rPr>
          <w:rFonts w:hint="eastAsia"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▲（12）预处理部分配有排水漏斗，防止建筑物排水系统微生物反向污染预处理。</w:t>
      </w:r>
    </w:p>
    <w:p>
      <w:pPr>
        <w:spacing w:line="360" w:lineRule="auto"/>
        <w:rPr>
          <w:rFonts w:hint="eastAsia" w:ascii="Times New Roman" w:hAnsi="Times New Roman" w:eastAsia="宋体" w:cs="Times New Roman"/>
          <w:color w:val="000000"/>
          <w:kern w:val="2"/>
          <w:sz w:val="21"/>
          <w:szCs w:val="21"/>
          <w:highlight w:val="none"/>
          <w:lang w:val="en-US" w:eastAsia="zh-CN" w:bidi="ar-SA"/>
        </w:rPr>
      </w:pPr>
    </w:p>
    <w:p>
      <w:pPr>
        <w:spacing w:line="360" w:lineRule="auto"/>
        <w:rPr>
          <w:rFonts w:hint="eastAsia"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3.6.3反渗系统</w:t>
      </w:r>
    </w:p>
    <w:p>
      <w:pPr>
        <w:spacing w:line="360" w:lineRule="auto"/>
        <w:rPr>
          <w:rFonts w:hint="eastAsia"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（1）反渗膜采用进口或同等品质高效低压卷式复合膜。</w:t>
      </w:r>
    </w:p>
    <w:p>
      <w:pPr>
        <w:spacing w:line="360" w:lineRule="auto"/>
        <w:rPr>
          <w:rFonts w:hint="eastAsia"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▲（2）双级反渗透系统，水温15℃，回水压力2Bar时，产水量不小于3000L/H。</w:t>
      </w:r>
    </w:p>
    <w:p>
      <w:pPr>
        <w:spacing w:line="360" w:lineRule="auto"/>
        <w:rPr>
          <w:rFonts w:hint="eastAsia"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（3）平均脱盐率&gt;96%，细菌和内毒素清除率&gt;99%。</w:t>
      </w:r>
    </w:p>
    <w:p>
      <w:pPr>
        <w:spacing w:line="360" w:lineRule="auto"/>
        <w:rPr>
          <w:rFonts w:hint="eastAsia"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（4）封闭式主机，防水，低噪音，为医护人员提供良好的工作环境。</w:t>
      </w:r>
    </w:p>
    <w:p>
      <w:pPr>
        <w:spacing w:line="360" w:lineRule="auto"/>
        <w:rPr>
          <w:rFonts w:hint="eastAsia"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▲（5）操作面板采用高品质触摸屏，图示化流程及操作便于设备管理。</w:t>
      </w:r>
    </w:p>
    <w:p>
      <w:pPr>
        <w:spacing w:line="360" w:lineRule="auto"/>
        <w:rPr>
          <w:rFonts w:hint="eastAsia"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（6）材料的使用符合生物相容性要求，不采用需要粘接的PVC材料，防止有害物质的释出。</w:t>
      </w:r>
    </w:p>
    <w:p>
      <w:pPr>
        <w:spacing w:line="360" w:lineRule="auto"/>
        <w:rPr>
          <w:rFonts w:hint="eastAsia"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▲（7）采用风冷式多级立式离心泵，避免水冷泵对进水加温造成的夏季高温运行时的不稳定，每一级加压泵双泵，双泵一备一用，提供安全备份。</w:t>
      </w:r>
    </w:p>
    <w:p>
      <w:pPr>
        <w:spacing w:line="360" w:lineRule="auto"/>
        <w:rPr>
          <w:rFonts w:hint="eastAsia"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（8）无死腔设计的反渗膜组件和水路结构。</w:t>
      </w:r>
    </w:p>
    <w:p>
      <w:pPr>
        <w:spacing w:line="360" w:lineRule="auto"/>
        <w:rPr>
          <w:rFonts w:hint="eastAsia"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（9）先进的自检功能和数据监控功能，屏幕可显示全部传感器输入参数（电导率、温度、流量、压力、液位、输入开关量）以及全部执行部件输出参数（泵、阀门、继电器、SD卡、运行状态及指示灯）。</w:t>
      </w:r>
    </w:p>
    <w:p>
      <w:pPr>
        <w:spacing w:line="360" w:lineRule="auto"/>
        <w:rPr>
          <w:rFonts w:hint="eastAsia"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（10）动态节水技术，水利用率85%可调，根据血透机开机数量自动调节排水量大小。</w:t>
      </w:r>
    </w:p>
    <w:p>
      <w:pPr>
        <w:spacing w:line="360" w:lineRule="auto"/>
        <w:rPr>
          <w:rFonts w:hint="eastAsia"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（11）可编程控制自动开关机、待机、冲洗、消毒、警告、报警程序。</w:t>
      </w:r>
    </w:p>
    <w:p>
      <w:pPr>
        <w:spacing w:line="360" w:lineRule="auto"/>
        <w:rPr>
          <w:rFonts w:hint="eastAsia"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（12）具备密码保护设置功能，增加系统运行安全。</w:t>
      </w:r>
    </w:p>
    <w:p>
      <w:pPr>
        <w:spacing w:line="360" w:lineRule="auto"/>
        <w:rPr>
          <w:rFonts w:hint="eastAsia"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▲（13）具备水处理间的漏水检测功能,确保用水安全。</w:t>
      </w:r>
    </w:p>
    <w:p>
      <w:pPr>
        <w:spacing w:line="360" w:lineRule="auto"/>
        <w:rPr>
          <w:rFonts w:hint="eastAsia"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▲（14）具备整合热消毒的功能,</w:t>
      </w:r>
      <w:r>
        <w:rPr>
          <w:rFonts w:hint="eastAsia" w:ascii="Times New Roman" w:hAnsi="Times New Roman" w:eastAsia="宋体" w:cs="Times New Roman"/>
          <w:color w:val="000000"/>
          <w:kern w:val="2"/>
          <w:sz w:val="21"/>
          <w:szCs w:val="21"/>
          <w:highlight w:val="none"/>
          <w:lang w:val="en-US" w:eastAsia="zh-Hans" w:bidi="ar-SA"/>
        </w:rPr>
        <w:t>至少</w:t>
      </w:r>
      <w:r>
        <w:rPr>
          <w:rFonts w:hint="eastAsia" w:ascii="Times New Roman" w:hAnsi="Times New Roman" w:eastAsia="宋体" w:cs="Times New Roman"/>
          <w:color w:val="000000"/>
          <w:kern w:val="2"/>
          <w:sz w:val="21"/>
          <w:szCs w:val="21"/>
          <w:highlight w:val="none"/>
          <w:lang w:val="en-US" w:eastAsia="zh-CN" w:bidi="ar-SA"/>
        </w:rPr>
        <w:t>可以同时</w:t>
      </w:r>
      <w:r>
        <w:rPr>
          <w:rFonts w:hint="eastAsia" w:ascii="Times New Roman" w:hAnsi="Times New Roman" w:eastAsia="宋体" w:cs="Times New Roman"/>
          <w:color w:val="000000"/>
          <w:kern w:val="2"/>
          <w:sz w:val="21"/>
          <w:szCs w:val="21"/>
          <w:highlight w:val="none"/>
          <w:lang w:val="en-US" w:eastAsia="zh-Hans" w:bidi="ar-SA"/>
        </w:rPr>
        <w:t>与</w:t>
      </w:r>
      <w:r>
        <w:rPr>
          <w:rFonts w:hint="eastAsia" w:ascii="Times New Roman" w:hAnsi="Times New Roman" w:eastAsia="宋体" w:cs="Times New Roman"/>
          <w:color w:val="000000"/>
          <w:kern w:val="2"/>
          <w:sz w:val="21"/>
          <w:szCs w:val="21"/>
          <w:highlight w:val="none"/>
          <w:lang w:val="en-US" w:eastAsia="zh-CN" w:bidi="ar-SA"/>
        </w:rPr>
        <w:t>35床透析机进行同步消毒。</w:t>
      </w:r>
    </w:p>
    <w:p>
      <w:pPr>
        <w:spacing w:line="360" w:lineRule="auto"/>
        <w:rPr>
          <w:rFonts w:hint="eastAsia"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（15）系统具有完整的加热监测系统,首尾温度均可以有效控制,可以确保消毒的有效性和完整性。</w:t>
      </w:r>
    </w:p>
    <w:p>
      <w:pPr>
        <w:spacing w:line="360" w:lineRule="auto"/>
        <w:rPr>
          <w:rFonts w:hint="eastAsia"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（16）主机配有排水漏斗，防止建筑物排水系统微生物反向污染主机系统。</w:t>
      </w:r>
    </w:p>
    <w:p>
      <w:pPr>
        <w:spacing w:line="360" w:lineRule="auto"/>
        <w:rPr>
          <w:rFonts w:hint="eastAsia"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▲（17）双级反渗每一级具备反渗膜冲洗技术，有独立的冲洗泵可增强抗污染的能力。</w:t>
      </w:r>
    </w:p>
    <w:p>
      <w:pPr>
        <w:spacing w:line="360" w:lineRule="auto"/>
        <w:rPr>
          <w:rFonts w:hint="eastAsia"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（18）便于设备管理和制定维护保养计划。</w:t>
      </w:r>
    </w:p>
    <w:p>
      <w:pPr>
        <w:spacing w:line="360" w:lineRule="auto"/>
        <w:rPr>
          <w:rFonts w:hint="eastAsia"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▲（19）内置标准网络接口，可实现远程控制，控制界面与主机一致。</w:t>
      </w:r>
    </w:p>
    <w:p>
      <w:pPr>
        <w:spacing w:line="360" w:lineRule="auto"/>
        <w:rPr>
          <w:rFonts w:hint="eastAsia"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（20）具有紧急供水模式，在电控系统故障时，冗余控制系统可提供不间断供水。</w:t>
      </w:r>
    </w:p>
    <w:p>
      <w:pPr>
        <w:spacing w:line="360" w:lineRule="auto"/>
        <w:rPr>
          <w:rFonts w:hint="eastAsia"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（21）系统可自动监测水质,反渗水水质超标时，可自动停止向血透机供水。</w:t>
      </w:r>
    </w:p>
    <w:p>
      <w:pPr>
        <w:spacing w:line="360" w:lineRule="auto"/>
        <w:rPr>
          <w:rFonts w:hint="eastAsia"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3.6.4管路系统</w:t>
      </w:r>
    </w:p>
    <w:p>
      <w:pPr>
        <w:spacing w:line="360" w:lineRule="auto"/>
        <w:rPr>
          <w:rFonts w:hint="eastAsia"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（1）供水管路材质选用SS316不锈钢管。</w:t>
      </w:r>
    </w:p>
    <w:p>
      <w:pPr>
        <w:spacing w:line="360" w:lineRule="auto"/>
        <w:rPr>
          <w:rFonts w:hint="eastAsia"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▲（2）可实现多套循环管路进行分区供水。</w:t>
      </w:r>
    </w:p>
    <w:p>
      <w:pPr>
        <w:spacing w:line="360" w:lineRule="auto"/>
        <w:rPr>
          <w:rFonts w:hint="eastAsia"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（3）供水管路为密闭循环无死腔设计，配有流量计、回水压力表及压力调节阀、取样口。</w:t>
      </w:r>
    </w:p>
    <w:p>
      <w:pPr>
        <w:spacing w:line="360" w:lineRule="auto"/>
        <w:rPr>
          <w:rFonts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（4）给排水接口，选用1.4404/316L不锈钢，无手阀式快速插拔，断开时自动断水。</w:t>
      </w:r>
    </w:p>
    <w:p>
      <w:pPr>
        <w:spacing w:line="360" w:lineRule="auto"/>
        <w:rPr>
          <w:rFonts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3.7</w:t>
      </w:r>
      <w:r>
        <w:rPr>
          <w:rFonts w:hint="eastAsia" w:ascii="Times New Roman" w:hAnsi="Times New Roman" w:eastAsia="宋体" w:cs="Times New Roman"/>
          <w:kern w:val="2"/>
          <w:sz w:val="21"/>
          <w:szCs w:val="21"/>
          <w:highlight w:val="none"/>
          <w:lang w:val="en-US" w:eastAsia="zh-CN" w:bidi="ar-SA"/>
        </w:rPr>
        <w:t>▲</w:t>
      </w:r>
      <w:r>
        <w:rPr>
          <w:rFonts w:hint="eastAsia" w:ascii="Times New Roman" w:hAnsi="Times New Roman" w:eastAsia="宋体" w:cs="Times New Roman"/>
          <w:color w:val="000000"/>
          <w:kern w:val="2"/>
          <w:sz w:val="21"/>
          <w:szCs w:val="21"/>
          <w:highlight w:val="none"/>
          <w:lang w:val="en-US" w:eastAsia="zh-CN" w:bidi="ar-SA"/>
        </w:rPr>
        <w:t>热消毒装置：</w:t>
      </w:r>
    </w:p>
    <w:p>
      <w:pPr>
        <w:spacing w:line="360" w:lineRule="auto"/>
        <w:rPr>
          <w:rFonts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数量1套；在标准大气压状态下，加热器应能提供被消毒区域内水温高于85℃并维持20 min以上所需的热量，满足现有血透床位输送管路总容量的1.5倍循环用水量；消毒时应触发声光警示程序，自动消毒时需经确认才能中途解除消毒程序；循环输送泵应具备24小时连续输送高温水不渗漏的能力；热绝缘伴随整个全闭路循环热消毒系统；能够监控温度，压力等重要参数，并在主机PLC控制中显示和储存；数据储存要求2年以上，期间被储存的数据随时可以调阅和打印。</w:t>
      </w:r>
    </w:p>
    <w:p>
      <w:pPr>
        <w:spacing w:line="360" w:lineRule="auto"/>
        <w:rPr>
          <w:rFonts w:ascii="Times New Roman" w:hAnsi="Times New Roman" w:eastAsia="宋体" w:cs="Times New Roman"/>
          <w:kern w:val="2"/>
          <w:sz w:val="21"/>
          <w:szCs w:val="21"/>
          <w:highlight w:val="none"/>
          <w:lang w:val="en-US" w:eastAsia="zh-CN" w:bidi="ar-SA"/>
        </w:rPr>
      </w:pPr>
    </w:p>
    <w:p>
      <w:pPr>
        <w:keepNext/>
        <w:keepLines/>
        <w:widowControl w:val="0"/>
        <w:numPr>
          <w:ilvl w:val="0"/>
          <w:numId w:val="40"/>
        </w:numPr>
        <w:spacing w:line="480" w:lineRule="auto"/>
        <w:jc w:val="both"/>
        <w:outlineLvl w:val="2"/>
        <w:rPr>
          <w:rFonts w:ascii="Times New Roman" w:hAnsi="Times New Roman" w:eastAsia="宋体" w:cs="Times New Roman"/>
          <w:b/>
          <w:bCs/>
          <w:kern w:val="2"/>
          <w:sz w:val="21"/>
          <w:szCs w:val="32"/>
          <w:highlight w:val="none"/>
          <w:lang w:val="en-US" w:eastAsia="zh-CN" w:bidi="ar-SA"/>
        </w:rPr>
      </w:pPr>
      <w:r>
        <w:rPr>
          <w:rFonts w:hint="eastAsia" w:ascii="Times New Roman" w:hAnsi="Times New Roman" w:eastAsia="宋体" w:cs="Times New Roman"/>
          <w:b/>
          <w:bCs/>
          <w:kern w:val="2"/>
          <w:sz w:val="21"/>
          <w:szCs w:val="32"/>
          <w:highlight w:val="none"/>
          <w:lang w:val="en-US" w:eastAsia="zh-CN" w:bidi="ar-SA"/>
        </w:rPr>
        <w:t>管件阀门：</w:t>
      </w:r>
    </w:p>
    <w:p>
      <w:pPr>
        <w:spacing w:line="360" w:lineRule="auto"/>
        <w:jc w:val="left"/>
        <w:rPr>
          <w:rFonts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4.1▲管件：要求各用水子系统均采用返回至机房水处理装置的循环管路。机房原水至反渗透产水前要求使用SS304材质不锈钢管，自动氩弧焊接。</w:t>
      </w:r>
    </w:p>
    <w:p>
      <w:pPr>
        <w:spacing w:line="360" w:lineRule="auto"/>
        <w:jc w:val="left"/>
        <w:rPr>
          <w:rFonts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4.2阀门：反</w:t>
      </w:r>
      <w:r>
        <w:rPr>
          <w:rFonts w:hint="eastAsia" w:ascii="Times New Roman" w:hAnsi="Times New Roman" w:eastAsia="宋体" w:cs="Times New Roman"/>
          <w:kern w:val="2"/>
          <w:sz w:val="21"/>
          <w:szCs w:val="21"/>
          <w:highlight w:val="none"/>
          <w:lang w:val="en-US" w:eastAsia="zh-CN" w:bidi="ar-SA"/>
        </w:rPr>
        <w:t>渗透产品水前的所有自动阀门（包括机械过滤器、碳滤、软水器、RO系统）为电动球阀。反渗透产品水后的所有阀门须符合国家</w:t>
      </w:r>
      <w:r>
        <w:rPr>
          <w:rFonts w:ascii="Times New Roman" w:hAnsi="Times New Roman" w:eastAsia="宋体" w:cs="Times New Roman"/>
          <w:kern w:val="2"/>
          <w:sz w:val="21"/>
          <w:szCs w:val="21"/>
          <w:highlight w:val="none"/>
          <w:lang w:val="en-US" w:eastAsia="zh-CN" w:bidi="ar-SA"/>
        </w:rPr>
        <w:t>CCC认证、国家质量监督检验检疫总局认证、国家饮用水管理委员会认证的产品。</w:t>
      </w:r>
    </w:p>
    <w:p>
      <w:pPr>
        <w:spacing w:line="360" w:lineRule="auto"/>
        <w:jc w:val="left"/>
        <w:rPr>
          <w:rFonts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4.3所有管阀件必须具备材质检测报告和卫生许可证明。</w:t>
      </w:r>
    </w:p>
    <w:p>
      <w:pPr>
        <w:spacing w:line="360" w:lineRule="auto"/>
        <w:jc w:val="left"/>
        <w:rPr>
          <w:rFonts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4.4</w:t>
      </w:r>
      <w:r>
        <w:rPr>
          <w:rFonts w:hint="eastAsia" w:ascii="Times New Roman" w:hAnsi="Times New Roman" w:eastAsia="宋体" w:cs="Times New Roman"/>
          <w:kern w:val="0"/>
          <w:sz w:val="21"/>
          <w:szCs w:val="21"/>
          <w:highlight w:val="none"/>
          <w:lang w:val="en-US" w:eastAsia="zh-CN" w:bidi="ar-SA"/>
        </w:rPr>
        <w:t>机房外管路部分采用SS304不锈钢或以上材质和卡压连接方式</w:t>
      </w:r>
    </w:p>
    <w:p>
      <w:pPr>
        <w:keepNext/>
        <w:keepLines/>
        <w:widowControl w:val="0"/>
        <w:numPr>
          <w:ilvl w:val="0"/>
          <w:numId w:val="40"/>
        </w:numPr>
        <w:spacing w:line="480" w:lineRule="auto"/>
        <w:jc w:val="both"/>
        <w:outlineLvl w:val="2"/>
        <w:rPr>
          <w:rFonts w:ascii="Times New Roman" w:hAnsi="Times New Roman" w:eastAsia="宋体" w:cs="Times New Roman"/>
          <w:b/>
          <w:bCs/>
          <w:kern w:val="2"/>
          <w:sz w:val="21"/>
          <w:szCs w:val="32"/>
          <w:highlight w:val="none"/>
          <w:lang w:val="en-US" w:eastAsia="zh-CN" w:bidi="ar-SA"/>
        </w:rPr>
      </w:pPr>
      <w:r>
        <w:rPr>
          <w:rFonts w:hint="eastAsia" w:ascii="Times New Roman" w:hAnsi="Times New Roman" w:eastAsia="宋体" w:cs="Times New Roman"/>
          <w:b/>
          <w:bCs/>
          <w:kern w:val="2"/>
          <w:sz w:val="21"/>
          <w:szCs w:val="32"/>
          <w:highlight w:val="none"/>
          <w:lang w:val="en-US" w:eastAsia="zh-CN" w:bidi="ar-SA"/>
        </w:rPr>
        <w:t>▲系统控制要求：</w:t>
      </w:r>
    </w:p>
    <w:p>
      <w:pPr>
        <w:tabs>
          <w:tab w:val="left" w:pos="720"/>
          <w:tab w:val="left" w:pos="3780"/>
        </w:tabs>
        <w:spacing w:line="360" w:lineRule="auto"/>
        <w:ind w:firstLine="420" w:firstLineChars="200"/>
        <w:rPr>
          <w:rFonts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本系统全自动运行，系统自动控制分本地设备控制和集中运行控制，本地控制至少提供中央运行机组和血透水机的独立控制，集中运行控制采用服务器或高性能工控机运行平台，通过网络通讯进行无缝连接，在脱离集中控制时本地控制能独立操作不影响正常使用并能提供不少于48小时运行记录。提供网络远程监控功能，支持实时故障报警与自动故障隔离并提供历史数据存档，为医院建筑智能化系统留有集成接口以便集中管理（只监不控），提供分级（不少于5级）的用户权限管理，确保系统安全。</w:t>
      </w:r>
    </w:p>
    <w:p>
      <w:pPr>
        <w:tabs>
          <w:tab w:val="left" w:pos="720"/>
          <w:tab w:val="left" w:pos="3780"/>
        </w:tabs>
        <w:spacing w:line="360" w:lineRule="auto"/>
        <w:ind w:firstLine="420" w:firstLineChars="200"/>
        <w:rPr>
          <w:rFonts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本地全中文智能控制系统在线监测设备运行状态，人机界面操作，多种工作界面供用户选择，系统运行信息记录功能便于设备运行状况的检查。智能安全密码操作进入统提高设备运行的安全性。</w:t>
      </w:r>
    </w:p>
    <w:p>
      <w:pPr>
        <w:tabs>
          <w:tab w:val="left" w:pos="720"/>
          <w:tab w:val="left" w:pos="3780"/>
        </w:tabs>
        <w:spacing w:line="360" w:lineRule="auto"/>
        <w:ind w:firstLine="420" w:firstLineChars="200"/>
        <w:rPr>
          <w:rFonts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全自动控制的基本要求：</w:t>
      </w:r>
    </w:p>
    <w:p>
      <w:pPr>
        <w:numPr>
          <w:ilvl w:val="0"/>
          <w:numId w:val="44"/>
        </w:numPr>
        <w:tabs>
          <w:tab w:val="left" w:pos="3780"/>
        </w:tabs>
        <w:spacing w:line="360" w:lineRule="auto"/>
        <w:ind w:left="900" w:hanging="420"/>
        <w:rPr>
          <w:rFonts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统计并计量各水质用水量，提供详实的任意时段的数据统计报表；</w:t>
      </w:r>
    </w:p>
    <w:p>
      <w:pPr>
        <w:numPr>
          <w:ilvl w:val="0"/>
          <w:numId w:val="44"/>
        </w:numPr>
        <w:tabs>
          <w:tab w:val="left" w:pos="3780"/>
        </w:tabs>
        <w:spacing w:line="360" w:lineRule="auto"/>
        <w:ind w:left="900" w:hanging="420"/>
        <w:rPr>
          <w:rFonts w:ascii="Times New Roman" w:hAnsi="Times New Roman" w:eastAsia="宋体" w:cs="Times New Roman"/>
          <w:color w:val="000000"/>
          <w:kern w:val="2"/>
          <w:sz w:val="21"/>
          <w:szCs w:val="21"/>
          <w:highlight w:val="none"/>
          <w:lang w:val="en-US" w:eastAsia="zh-CN" w:bidi="ar-SA"/>
        </w:rPr>
      </w:pPr>
      <w:r>
        <w:rPr>
          <w:rFonts w:ascii="Times New Roman" w:hAnsi="Times New Roman" w:eastAsia="宋体" w:cs="Times New Roman"/>
          <w:color w:val="000000"/>
          <w:kern w:val="2"/>
          <w:sz w:val="21"/>
          <w:szCs w:val="21"/>
          <w:highlight w:val="none"/>
          <w:lang w:val="en-US" w:eastAsia="zh-CN" w:bidi="ar-SA"/>
        </w:rPr>
        <w:t>系统运行参数、运行状况、水质监测、压力、流量</w:t>
      </w:r>
      <w:r>
        <w:rPr>
          <w:rFonts w:hint="eastAsia" w:ascii="Times New Roman" w:hAnsi="Times New Roman" w:eastAsia="宋体" w:cs="Times New Roman"/>
          <w:color w:val="000000"/>
          <w:kern w:val="2"/>
          <w:sz w:val="21"/>
          <w:szCs w:val="21"/>
          <w:highlight w:val="none"/>
          <w:lang w:val="en-US" w:eastAsia="zh-CN" w:bidi="ar-SA"/>
        </w:rPr>
        <w:t>及各水箱液位</w:t>
      </w:r>
      <w:r>
        <w:rPr>
          <w:rFonts w:ascii="Times New Roman" w:hAnsi="Times New Roman" w:eastAsia="宋体" w:cs="Times New Roman"/>
          <w:color w:val="000000"/>
          <w:kern w:val="2"/>
          <w:sz w:val="21"/>
          <w:szCs w:val="21"/>
          <w:highlight w:val="none"/>
          <w:lang w:val="en-US" w:eastAsia="zh-CN" w:bidi="ar-SA"/>
        </w:rPr>
        <w:t>参数均能够在线显示并记录</w:t>
      </w:r>
      <w:r>
        <w:rPr>
          <w:rFonts w:hint="eastAsia" w:ascii="Times New Roman" w:hAnsi="Times New Roman" w:eastAsia="宋体" w:cs="Times New Roman"/>
          <w:color w:val="000000"/>
          <w:kern w:val="2"/>
          <w:sz w:val="21"/>
          <w:szCs w:val="21"/>
          <w:highlight w:val="none"/>
          <w:lang w:val="en-US" w:eastAsia="zh-CN" w:bidi="ar-SA"/>
        </w:rPr>
        <w:t>；</w:t>
      </w:r>
    </w:p>
    <w:p>
      <w:pPr>
        <w:numPr>
          <w:ilvl w:val="0"/>
          <w:numId w:val="44"/>
        </w:numPr>
        <w:tabs>
          <w:tab w:val="left" w:pos="3780"/>
        </w:tabs>
        <w:spacing w:line="360" w:lineRule="auto"/>
        <w:ind w:left="900" w:hanging="420"/>
        <w:rPr>
          <w:rFonts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原水箱低液位自动报警功能；</w:t>
      </w:r>
    </w:p>
    <w:p>
      <w:pPr>
        <w:numPr>
          <w:ilvl w:val="0"/>
          <w:numId w:val="44"/>
        </w:numPr>
        <w:tabs>
          <w:tab w:val="left" w:pos="3780"/>
        </w:tabs>
        <w:spacing w:line="360" w:lineRule="auto"/>
        <w:ind w:left="900" w:hanging="420"/>
        <w:rPr>
          <w:rFonts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原水泵遇故障报警并自动开启备用泵功能；</w:t>
      </w:r>
    </w:p>
    <w:p>
      <w:pPr>
        <w:numPr>
          <w:ilvl w:val="0"/>
          <w:numId w:val="44"/>
        </w:numPr>
        <w:tabs>
          <w:tab w:val="left" w:pos="3780"/>
        </w:tabs>
        <w:spacing w:line="360" w:lineRule="auto"/>
        <w:ind w:left="900" w:hanging="420"/>
        <w:rPr>
          <w:rFonts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纯水水质电导、电阻超标自动报警并延时停机功能；</w:t>
      </w:r>
    </w:p>
    <w:p>
      <w:pPr>
        <w:numPr>
          <w:ilvl w:val="0"/>
          <w:numId w:val="44"/>
        </w:numPr>
        <w:tabs>
          <w:tab w:val="left" w:pos="3780"/>
        </w:tabs>
        <w:spacing w:line="360" w:lineRule="auto"/>
        <w:ind w:left="900" w:hanging="420"/>
        <w:rPr>
          <w:rFonts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制水运行中任一时段水质数据的自动检索功能；</w:t>
      </w:r>
    </w:p>
    <w:p>
      <w:pPr>
        <w:numPr>
          <w:ilvl w:val="0"/>
          <w:numId w:val="44"/>
        </w:numPr>
        <w:tabs>
          <w:tab w:val="left" w:pos="3780"/>
        </w:tabs>
        <w:spacing w:line="360" w:lineRule="auto"/>
        <w:ind w:left="900" w:hanging="420"/>
        <w:rPr>
          <w:rFonts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遇原水箱低液位情况或原水压力过低RO泵自动保护功能；</w:t>
      </w:r>
    </w:p>
    <w:p>
      <w:pPr>
        <w:numPr>
          <w:ilvl w:val="0"/>
          <w:numId w:val="44"/>
        </w:numPr>
        <w:tabs>
          <w:tab w:val="left" w:pos="3780"/>
        </w:tabs>
        <w:spacing w:line="360" w:lineRule="auto"/>
        <w:ind w:left="900" w:hanging="420"/>
        <w:rPr>
          <w:rFonts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纯水箱高液位自动停止制水；</w:t>
      </w:r>
    </w:p>
    <w:p>
      <w:pPr>
        <w:numPr>
          <w:ilvl w:val="0"/>
          <w:numId w:val="44"/>
        </w:numPr>
        <w:tabs>
          <w:tab w:val="left" w:pos="3780"/>
        </w:tabs>
        <w:spacing w:line="360" w:lineRule="auto"/>
        <w:ind w:left="900" w:hanging="420"/>
        <w:rPr>
          <w:rFonts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纯水输送泵遇故障报警并自动开启备用泵功能；</w:t>
      </w:r>
    </w:p>
    <w:p>
      <w:pPr>
        <w:numPr>
          <w:ilvl w:val="0"/>
          <w:numId w:val="44"/>
        </w:numPr>
        <w:tabs>
          <w:tab w:val="left" w:pos="3780"/>
        </w:tabs>
        <w:spacing w:line="360" w:lineRule="auto"/>
        <w:ind w:left="900" w:hanging="420"/>
        <w:rPr>
          <w:rFonts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对停水、停电、过载、管道漏水等非正常状态具有自动检测、保护、报警及处理功能；</w:t>
      </w:r>
    </w:p>
    <w:p>
      <w:pPr>
        <w:numPr>
          <w:ilvl w:val="0"/>
          <w:numId w:val="44"/>
        </w:numPr>
        <w:tabs>
          <w:tab w:val="left" w:pos="3780"/>
        </w:tabs>
        <w:spacing w:line="360" w:lineRule="auto"/>
        <w:ind w:left="900" w:hanging="420"/>
        <w:rPr>
          <w:rFonts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各部分水质、水量、工作水压力在线自动检测功能；</w:t>
      </w:r>
    </w:p>
    <w:p>
      <w:pPr>
        <w:numPr>
          <w:ilvl w:val="0"/>
          <w:numId w:val="44"/>
        </w:numPr>
        <w:tabs>
          <w:tab w:val="left" w:pos="3780"/>
        </w:tabs>
        <w:spacing w:line="360" w:lineRule="auto"/>
        <w:ind w:left="900" w:hanging="420"/>
        <w:rPr>
          <w:rFonts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提供远程管理与监控：智能控制系统在线监测设备运行状态，人机界面操作，多种工作界面供用户选择，系统运行信息记录功能便于设备运行状况的检查。智能安全密码操作进入系统，提高设备运行的安全性。支持实时故障报警与自动故障隔离并提供历史数据存档，控制系统安装在BA控制中心，投标人提供工控机、小型监视器及配套软硬件，提供分级的用户权限管理，确保系统安全。</w:t>
      </w:r>
    </w:p>
    <w:p>
      <w:pPr>
        <w:numPr>
          <w:ilvl w:val="0"/>
          <w:numId w:val="44"/>
        </w:numPr>
        <w:tabs>
          <w:tab w:val="left" w:pos="3780"/>
        </w:tabs>
        <w:spacing w:line="360" w:lineRule="auto"/>
        <w:ind w:left="900" w:hanging="420"/>
        <w:rPr>
          <w:rFonts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控制系统实现整套水处理系统的自动控制，同时保留手动功能以备应急之需；</w:t>
      </w:r>
    </w:p>
    <w:p>
      <w:pPr>
        <w:numPr>
          <w:ilvl w:val="0"/>
          <w:numId w:val="44"/>
        </w:numPr>
        <w:tabs>
          <w:tab w:val="left" w:pos="3780"/>
        </w:tabs>
        <w:spacing w:line="360" w:lineRule="auto"/>
        <w:ind w:left="900" w:hanging="420"/>
        <w:rPr>
          <w:rFonts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制水机组长期运行安静平稳。</w:t>
      </w:r>
    </w:p>
    <w:p>
      <w:pPr>
        <w:numPr>
          <w:ilvl w:val="0"/>
          <w:numId w:val="44"/>
        </w:numPr>
        <w:tabs>
          <w:tab w:val="left" w:pos="3780"/>
        </w:tabs>
        <w:spacing w:line="360" w:lineRule="auto"/>
        <w:ind w:left="900" w:hanging="420"/>
        <w:rPr>
          <w:rFonts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控制方式采用进口或同等品质PLC+触摸屏全自动控制方式，实时在线监测和记录各参数，实时显示设备各部件的工作状态，能分别设定周一至周日每天的开关机时间和定时冲洗时间，具有自我诊断控制、文字及指示灯提示和实时报警功能，夜间工作可根据实际情况进行分段设定，具备手动和自动两种工作模式可供选择，可扩展至远程监控功能。</w:t>
      </w:r>
    </w:p>
    <w:p>
      <w:pPr>
        <w:tabs>
          <w:tab w:val="left" w:pos="3780"/>
        </w:tabs>
        <w:spacing w:line="360" w:lineRule="auto"/>
        <w:ind w:left="900"/>
        <w:rPr>
          <w:rFonts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自控系统是整套设备的控制中心，该系统设计时必须保证7*24H的可靠性，同时提供本地分控及远程监控的能力。</w:t>
      </w:r>
    </w:p>
    <w:p>
      <w:pPr>
        <w:keepNext/>
        <w:keepLines/>
        <w:widowControl w:val="0"/>
        <w:numPr>
          <w:ilvl w:val="0"/>
          <w:numId w:val="40"/>
        </w:numPr>
        <w:spacing w:line="480" w:lineRule="auto"/>
        <w:jc w:val="both"/>
        <w:outlineLvl w:val="2"/>
        <w:rPr>
          <w:rFonts w:ascii="Times New Roman" w:hAnsi="Times New Roman" w:eastAsia="宋体" w:cs="Times New Roman"/>
          <w:b/>
          <w:bCs/>
          <w:kern w:val="2"/>
          <w:sz w:val="21"/>
          <w:szCs w:val="32"/>
          <w:highlight w:val="none"/>
          <w:lang w:val="en-US" w:eastAsia="zh-CN" w:bidi="ar-SA"/>
        </w:rPr>
      </w:pPr>
      <w:r>
        <w:rPr>
          <w:rFonts w:hint="eastAsia" w:ascii="Times New Roman" w:hAnsi="Times New Roman" w:eastAsia="宋体" w:cs="Times New Roman"/>
          <w:b/>
          <w:bCs/>
          <w:kern w:val="2"/>
          <w:sz w:val="21"/>
          <w:szCs w:val="32"/>
          <w:highlight w:val="none"/>
          <w:lang w:val="en-US" w:eastAsia="zh-CN" w:bidi="ar-SA"/>
        </w:rPr>
        <w:t>酸化水设备技术参数要求</w:t>
      </w:r>
    </w:p>
    <w:tbl>
      <w:tblPr>
        <w:tblStyle w:val="32"/>
        <w:tblW w:w="5000" w:type="pct"/>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589"/>
        <w:gridCol w:w="869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trHeight w:val="242" w:hRule="atLeast"/>
          <w:jc w:val="center"/>
        </w:trPr>
        <w:tc>
          <w:tcPr>
            <w:tcW w:w="317" w:type="pct"/>
            <w:noWrap w:val="0"/>
            <w:vAlign w:val="center"/>
          </w:tcPr>
          <w:p>
            <w:pPr>
              <w:jc w:val="center"/>
              <w:rPr>
                <w:rFonts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一</w:t>
            </w:r>
          </w:p>
        </w:tc>
        <w:tc>
          <w:tcPr>
            <w:tcW w:w="4683" w:type="pct"/>
            <w:noWrap w:val="0"/>
            <w:vAlign w:val="center"/>
          </w:tcPr>
          <w:p>
            <w:pPr>
              <w:rPr>
                <w:rFonts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产地：    数量：2台</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317" w:type="pct"/>
            <w:noWrap w:val="0"/>
            <w:vAlign w:val="center"/>
          </w:tcPr>
          <w:p>
            <w:pPr>
              <w:jc w:val="center"/>
              <w:rPr>
                <w:rFonts w:ascii="Times New Roman" w:hAnsi="Times New Roman" w:eastAsia="宋体" w:cs="Times New Roman"/>
                <w:b/>
                <w:color w:val="000000"/>
                <w:kern w:val="2"/>
                <w:sz w:val="21"/>
                <w:szCs w:val="21"/>
                <w:highlight w:val="none"/>
                <w:lang w:val="en-US" w:eastAsia="zh-CN" w:bidi="ar-SA"/>
              </w:rPr>
            </w:pPr>
            <w:r>
              <w:rPr>
                <w:rFonts w:hint="eastAsia" w:ascii="Times New Roman" w:hAnsi="Times New Roman" w:eastAsia="宋体" w:cs="Times New Roman"/>
                <w:b/>
                <w:color w:val="000000"/>
                <w:kern w:val="2"/>
                <w:sz w:val="21"/>
                <w:szCs w:val="21"/>
                <w:highlight w:val="none"/>
                <w:lang w:val="en-US" w:eastAsia="zh-CN" w:bidi="ar-SA"/>
              </w:rPr>
              <w:t>二</w:t>
            </w:r>
          </w:p>
        </w:tc>
        <w:tc>
          <w:tcPr>
            <w:tcW w:w="4683" w:type="pct"/>
            <w:noWrap w:val="0"/>
            <w:vAlign w:val="top"/>
          </w:tcPr>
          <w:p>
            <w:pPr>
              <w:spacing w:line="360" w:lineRule="auto"/>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适用范围或功能概述：</w:t>
            </w:r>
            <w:r>
              <w:rPr>
                <w:rFonts w:hint="eastAsia" w:ascii="Times New Roman" w:hAnsi="Times New Roman" w:eastAsia="宋体" w:cs="Times New Roman"/>
                <w:kern w:val="2"/>
                <w:sz w:val="21"/>
                <w:szCs w:val="22"/>
                <w:highlight w:val="none"/>
                <w:lang w:val="en-US" w:eastAsia="zh-CN" w:bidi="ar-SA"/>
              </w:rPr>
              <w:t>分别用于手术中心刷手池医护人员洗手消毒、内镜中心器械消毒、中心供应器械消毒。</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317" w:type="pct"/>
            <w:noWrap w:val="0"/>
            <w:vAlign w:val="center"/>
          </w:tcPr>
          <w:p>
            <w:pPr>
              <w:jc w:val="center"/>
              <w:rPr>
                <w:rFonts w:ascii="Times New Roman" w:hAnsi="Times New Roman" w:eastAsia="宋体" w:cs="Times New Roman"/>
                <w:b/>
                <w:color w:val="000000"/>
                <w:kern w:val="2"/>
                <w:sz w:val="21"/>
                <w:szCs w:val="21"/>
                <w:highlight w:val="none"/>
                <w:lang w:val="en-US" w:eastAsia="zh-CN" w:bidi="ar-SA"/>
              </w:rPr>
            </w:pPr>
            <w:r>
              <w:rPr>
                <w:rFonts w:hint="eastAsia" w:ascii="Times New Roman" w:hAnsi="Times New Roman" w:eastAsia="宋体" w:cs="Times New Roman"/>
                <w:b/>
                <w:color w:val="000000"/>
                <w:kern w:val="2"/>
                <w:sz w:val="21"/>
                <w:szCs w:val="21"/>
                <w:highlight w:val="none"/>
                <w:lang w:val="en-US" w:eastAsia="zh-CN" w:bidi="ar-SA"/>
              </w:rPr>
              <w:t>三</w:t>
            </w:r>
          </w:p>
        </w:tc>
        <w:tc>
          <w:tcPr>
            <w:tcW w:w="4683" w:type="pct"/>
            <w:noWrap w:val="0"/>
            <w:vAlign w:val="center"/>
          </w:tcPr>
          <w:p>
            <w:pPr>
              <w:jc w:val="center"/>
              <w:rPr>
                <w:rFonts w:ascii="Times New Roman" w:hAnsi="Times New Roman" w:eastAsia="宋体" w:cs="Times New Roman"/>
                <w:b/>
                <w:color w:val="000000"/>
                <w:kern w:val="2"/>
                <w:sz w:val="21"/>
                <w:szCs w:val="21"/>
                <w:highlight w:val="none"/>
                <w:lang w:val="en-US" w:eastAsia="zh-CN" w:bidi="ar-SA"/>
              </w:rPr>
            </w:pPr>
            <w:r>
              <w:rPr>
                <w:rFonts w:hint="eastAsia" w:ascii="Times New Roman" w:hAnsi="Times New Roman" w:eastAsia="宋体" w:cs="Times New Roman"/>
                <w:b/>
                <w:color w:val="000000"/>
                <w:kern w:val="2"/>
                <w:sz w:val="21"/>
                <w:szCs w:val="21"/>
                <w:highlight w:val="none"/>
                <w:lang w:val="en-US" w:eastAsia="zh-CN" w:bidi="ar-SA"/>
              </w:rPr>
              <w:t>技术参数要求</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1" w:hRule="atLeast"/>
          <w:jc w:val="center"/>
        </w:trPr>
        <w:tc>
          <w:tcPr>
            <w:tcW w:w="317" w:type="pct"/>
            <w:noWrap w:val="0"/>
            <w:vAlign w:val="center"/>
          </w:tcPr>
          <w:p>
            <w:pPr>
              <w:rPr>
                <w:rFonts w:ascii="Times New Roman" w:hAnsi="Times New Roman" w:eastAsia="宋体" w:cs="Times New Roman"/>
                <w:color w:val="000000"/>
                <w:kern w:val="2"/>
                <w:sz w:val="21"/>
                <w:szCs w:val="21"/>
                <w:highlight w:val="none"/>
                <w:lang w:val="en-US" w:eastAsia="zh-CN" w:bidi="ar-SA"/>
              </w:rPr>
            </w:pPr>
          </w:p>
        </w:tc>
        <w:tc>
          <w:tcPr>
            <w:tcW w:w="4683" w:type="pct"/>
            <w:noWrap w:val="0"/>
            <w:vAlign w:val="top"/>
          </w:tcPr>
          <w:p>
            <w:pPr>
              <w:numPr>
                <w:ilvl w:val="0"/>
                <w:numId w:val="45"/>
              </w:numPr>
              <w:spacing w:line="360" w:lineRule="auto"/>
              <w:ind w:left="360" w:hanging="360"/>
              <w:jc w:val="left"/>
              <w:rPr>
                <w:rFonts w:ascii="Times New Roman" w:hAnsi="Times New Roman" w:eastAsia="宋体" w:cs="Arial"/>
                <w:kern w:val="2"/>
                <w:sz w:val="21"/>
                <w:szCs w:val="21"/>
                <w:highlight w:val="none"/>
                <w:lang w:val="en-US" w:eastAsia="zh-CN" w:bidi="ar-SA"/>
              </w:rPr>
            </w:pPr>
            <w:r>
              <w:rPr>
                <w:rFonts w:hint="eastAsia" w:ascii="Times New Roman" w:hAnsi="Times New Roman" w:eastAsia="宋体" w:cs="Arial"/>
                <w:kern w:val="2"/>
                <w:sz w:val="21"/>
                <w:szCs w:val="21"/>
                <w:highlight w:val="none"/>
                <w:lang w:val="en-US" w:eastAsia="zh-CN" w:bidi="ar-SA"/>
              </w:rPr>
              <w:t>原装进口或同等品质设备（供货时随产品提供注册证）</w:t>
            </w:r>
          </w:p>
          <w:p>
            <w:pPr>
              <w:numPr>
                <w:ilvl w:val="0"/>
                <w:numId w:val="45"/>
              </w:numPr>
              <w:tabs>
                <w:tab w:val="left" w:pos="540"/>
              </w:tabs>
              <w:spacing w:line="360" w:lineRule="auto"/>
              <w:ind w:left="360" w:hanging="360"/>
              <w:jc w:val="left"/>
              <w:rPr>
                <w:rFonts w:ascii="Times New Roman" w:hAnsi="Times New Roman" w:eastAsia="宋体" w:cs="Arial"/>
                <w:kern w:val="2"/>
                <w:sz w:val="21"/>
                <w:szCs w:val="21"/>
                <w:highlight w:val="none"/>
                <w:lang w:val="en-US" w:eastAsia="zh-CN" w:bidi="ar-SA"/>
              </w:rPr>
            </w:pPr>
            <w:r>
              <w:rPr>
                <w:rFonts w:ascii="Times New Roman" w:hAnsi="Times New Roman" w:eastAsia="宋体" w:cs="Arial"/>
                <w:kern w:val="2"/>
                <w:sz w:val="21"/>
                <w:szCs w:val="21"/>
                <w:highlight w:val="none"/>
                <w:lang w:val="en-US" w:eastAsia="zh-CN" w:bidi="ar-SA"/>
              </w:rPr>
              <w:t>强酸性电解水</w:t>
            </w:r>
            <w:r>
              <w:rPr>
                <w:rFonts w:hint="eastAsia" w:ascii="Times New Roman" w:hAnsi="Times New Roman" w:eastAsia="宋体" w:cs="Arial"/>
                <w:kern w:val="2"/>
                <w:sz w:val="21"/>
                <w:szCs w:val="21"/>
                <w:highlight w:val="none"/>
                <w:lang w:val="en-US" w:eastAsia="zh-CN" w:bidi="ar-SA"/>
              </w:rPr>
              <w:t>生成量：</w:t>
            </w:r>
            <w:r>
              <w:rPr>
                <w:rFonts w:ascii="Times New Roman" w:hAnsi="Times New Roman" w:eastAsia="宋体" w:cs="Arial"/>
                <w:kern w:val="2"/>
                <w:sz w:val="21"/>
                <w:szCs w:val="21"/>
                <w:highlight w:val="none"/>
                <w:lang w:val="en-US" w:eastAsia="zh-CN" w:bidi="ar-SA"/>
              </w:rPr>
              <w:t>≥1.5L/min</w:t>
            </w:r>
          </w:p>
          <w:p>
            <w:pPr>
              <w:numPr>
                <w:ilvl w:val="0"/>
                <w:numId w:val="45"/>
              </w:numPr>
              <w:spacing w:line="360" w:lineRule="auto"/>
              <w:ind w:left="360" w:hanging="360"/>
              <w:jc w:val="left"/>
              <w:rPr>
                <w:rFonts w:ascii="Times New Roman" w:hAnsi="Times New Roman" w:eastAsia="宋体" w:cs="Arial"/>
                <w:b/>
                <w:kern w:val="2"/>
                <w:sz w:val="21"/>
                <w:szCs w:val="21"/>
                <w:highlight w:val="none"/>
                <w:lang w:val="en-US" w:eastAsia="zh-CN" w:bidi="ar-SA"/>
              </w:rPr>
            </w:pPr>
            <w:r>
              <w:rPr>
                <w:rFonts w:ascii="Times New Roman" w:hAnsi="Times New Roman" w:eastAsia="宋体" w:cs="Arial"/>
                <w:kern w:val="2"/>
                <w:sz w:val="21"/>
                <w:szCs w:val="21"/>
                <w:highlight w:val="none"/>
                <w:lang w:val="en-US" w:eastAsia="zh-CN" w:bidi="ar-SA"/>
              </w:rPr>
              <w:t>酸化水理化指标：有效氯：</w:t>
            </w:r>
            <w:r>
              <w:rPr>
                <w:rFonts w:hint="eastAsia" w:ascii="Times New Roman" w:hAnsi="Times New Roman" w:eastAsia="宋体" w:cs="Arial"/>
                <w:kern w:val="2"/>
                <w:sz w:val="21"/>
                <w:szCs w:val="21"/>
                <w:highlight w:val="none"/>
                <w:lang w:val="en-US" w:eastAsia="zh-CN" w:bidi="ar-SA"/>
              </w:rPr>
              <w:t>5</w:t>
            </w:r>
            <w:r>
              <w:rPr>
                <w:rFonts w:ascii="Times New Roman" w:hAnsi="Times New Roman" w:eastAsia="宋体" w:cs="Arial"/>
                <w:kern w:val="2"/>
                <w:sz w:val="21"/>
                <w:szCs w:val="21"/>
                <w:highlight w:val="none"/>
                <w:lang w:val="en-US" w:eastAsia="zh-CN" w:bidi="ar-SA"/>
              </w:rPr>
              <w:t>0</w:t>
            </w:r>
            <w:r>
              <w:rPr>
                <w:rFonts w:hint="eastAsia" w:ascii="Times New Roman" w:hAnsi="Times New Roman" w:eastAsia="宋体" w:cs="Arial"/>
                <w:kern w:val="2"/>
                <w:sz w:val="21"/>
                <w:szCs w:val="21"/>
                <w:highlight w:val="none"/>
                <w:lang w:val="en-US" w:eastAsia="zh-CN" w:bidi="ar-SA"/>
              </w:rPr>
              <w:t>~</w:t>
            </w:r>
            <w:r>
              <w:rPr>
                <w:rFonts w:ascii="Times New Roman" w:hAnsi="Times New Roman" w:eastAsia="宋体" w:cs="Arial"/>
                <w:kern w:val="2"/>
                <w:sz w:val="21"/>
                <w:szCs w:val="21"/>
                <w:highlight w:val="none"/>
                <w:lang w:val="en-US" w:eastAsia="zh-CN" w:bidi="ar-SA"/>
              </w:rPr>
              <w:t>70mg/L</w:t>
            </w:r>
            <w:r>
              <w:rPr>
                <w:rFonts w:hint="eastAsia" w:ascii="Times New Roman" w:hAnsi="Times New Roman" w:eastAsia="宋体" w:cs="Arial"/>
                <w:kern w:val="2"/>
                <w:sz w:val="21"/>
                <w:szCs w:val="21"/>
                <w:highlight w:val="none"/>
                <w:lang w:val="en-US" w:eastAsia="zh-CN" w:bidi="ar-SA"/>
              </w:rPr>
              <w:t>；</w:t>
            </w:r>
            <w:r>
              <w:rPr>
                <w:rFonts w:ascii="Times New Roman" w:hAnsi="Times New Roman" w:eastAsia="宋体" w:cs="Arial"/>
                <w:kern w:val="2"/>
                <w:sz w:val="21"/>
                <w:szCs w:val="21"/>
                <w:highlight w:val="none"/>
                <w:lang w:val="en-US" w:eastAsia="zh-CN" w:bidi="ar-SA"/>
              </w:rPr>
              <w:t>pH：2~3</w:t>
            </w:r>
            <w:r>
              <w:rPr>
                <w:rFonts w:hint="eastAsia" w:ascii="Times New Roman" w:hAnsi="Times New Roman" w:eastAsia="宋体" w:cs="Arial"/>
                <w:kern w:val="2"/>
                <w:sz w:val="21"/>
                <w:szCs w:val="21"/>
                <w:highlight w:val="none"/>
                <w:lang w:val="en-US" w:eastAsia="zh-CN" w:bidi="ar-SA"/>
              </w:rPr>
              <w:t>；</w:t>
            </w:r>
            <w:r>
              <w:rPr>
                <w:rFonts w:ascii="Times New Roman" w:hAnsi="Times New Roman" w:eastAsia="宋体" w:cs="Arial"/>
                <w:kern w:val="2"/>
                <w:sz w:val="21"/>
                <w:szCs w:val="21"/>
                <w:highlight w:val="none"/>
                <w:lang w:val="en-US" w:eastAsia="zh-CN" w:bidi="ar-SA"/>
              </w:rPr>
              <w:t>ORP≥1</w:t>
            </w:r>
            <w:r>
              <w:rPr>
                <w:rFonts w:hint="eastAsia" w:ascii="Times New Roman" w:hAnsi="Times New Roman" w:eastAsia="宋体" w:cs="Arial"/>
                <w:kern w:val="2"/>
                <w:sz w:val="21"/>
                <w:szCs w:val="21"/>
                <w:highlight w:val="none"/>
                <w:lang w:val="en-US" w:eastAsia="zh-CN" w:bidi="ar-SA"/>
              </w:rPr>
              <w:t>1</w:t>
            </w:r>
            <w:r>
              <w:rPr>
                <w:rFonts w:ascii="Times New Roman" w:hAnsi="Times New Roman" w:eastAsia="宋体" w:cs="Arial"/>
                <w:kern w:val="2"/>
                <w:sz w:val="21"/>
                <w:szCs w:val="21"/>
                <w:highlight w:val="none"/>
                <w:lang w:val="en-US" w:eastAsia="zh-CN" w:bidi="ar-SA"/>
              </w:rPr>
              <w:t>00m</w:t>
            </w:r>
            <w:r>
              <w:rPr>
                <w:rFonts w:hint="eastAsia" w:ascii="Times New Roman" w:hAnsi="Times New Roman" w:eastAsia="宋体" w:cs="Arial"/>
                <w:kern w:val="2"/>
                <w:sz w:val="21"/>
                <w:szCs w:val="21"/>
                <w:highlight w:val="none"/>
                <w:lang w:val="en-US" w:eastAsia="zh-CN" w:bidi="ar-SA"/>
              </w:rPr>
              <w:t>V（供货时随产品</w:t>
            </w:r>
            <w:r>
              <w:rPr>
                <w:rFonts w:hint="eastAsia" w:ascii="Times New Roman" w:hAnsi="Times New Roman" w:eastAsia="宋体" w:cs="Times New Roman"/>
                <w:kern w:val="2"/>
                <w:sz w:val="21"/>
                <w:szCs w:val="21"/>
                <w:highlight w:val="none"/>
                <w:lang w:val="en-US" w:eastAsia="zh-CN" w:bidi="ar-SA"/>
              </w:rPr>
              <w:t>提供权威部门检测报告）</w:t>
            </w:r>
          </w:p>
          <w:p>
            <w:pPr>
              <w:numPr>
                <w:ilvl w:val="0"/>
                <w:numId w:val="45"/>
              </w:numPr>
              <w:spacing w:line="360" w:lineRule="auto"/>
              <w:ind w:left="360" w:hanging="360"/>
              <w:jc w:val="left"/>
              <w:rPr>
                <w:rFonts w:ascii="Times New Roman" w:hAnsi="Times New Roman" w:eastAsia="宋体" w:cs="Arial"/>
                <w:kern w:val="2"/>
                <w:sz w:val="21"/>
                <w:szCs w:val="21"/>
                <w:highlight w:val="none"/>
                <w:lang w:val="en-US" w:eastAsia="zh-CN" w:bidi="ar-SA"/>
              </w:rPr>
            </w:pPr>
            <w:r>
              <w:rPr>
                <w:rFonts w:hint="eastAsia" w:ascii="Times New Roman" w:hAnsi="Times New Roman" w:eastAsia="宋体" w:cs="Arial"/>
                <w:kern w:val="2"/>
                <w:sz w:val="21"/>
                <w:szCs w:val="21"/>
                <w:highlight w:val="none"/>
                <w:lang w:val="en-US" w:eastAsia="zh-CN" w:bidi="ar-SA"/>
              </w:rPr>
              <w:t>残余氯离子浓度＜1000ppm（供货时随产品提供权威部门检测报告）；</w:t>
            </w:r>
          </w:p>
          <w:p>
            <w:pPr>
              <w:numPr>
                <w:ilvl w:val="0"/>
                <w:numId w:val="45"/>
              </w:numPr>
              <w:spacing w:line="360" w:lineRule="auto"/>
              <w:ind w:left="360" w:hanging="360"/>
              <w:jc w:val="left"/>
              <w:rPr>
                <w:rFonts w:ascii="Times New Roman" w:hAnsi="Times New Roman" w:eastAsia="宋体" w:cs="Arial"/>
                <w:color w:val="000000"/>
                <w:kern w:val="2"/>
                <w:sz w:val="21"/>
                <w:szCs w:val="21"/>
                <w:highlight w:val="none"/>
                <w:lang w:val="en-US" w:eastAsia="zh-CN" w:bidi="ar-SA"/>
              </w:rPr>
            </w:pPr>
            <w:r>
              <w:rPr>
                <w:rFonts w:hint="eastAsia" w:ascii="Times New Roman" w:hAnsi="Times New Roman" w:eastAsia="宋体" w:cs="Arial"/>
                <w:kern w:val="2"/>
                <w:sz w:val="21"/>
                <w:szCs w:val="21"/>
                <w:highlight w:val="none"/>
                <w:lang w:val="en-US" w:eastAsia="zh-CN" w:bidi="ar-SA"/>
              </w:rPr>
              <w:t>供货时随产品</w:t>
            </w:r>
            <w:r>
              <w:rPr>
                <w:rFonts w:hint="eastAsia" w:ascii="Times New Roman" w:hAnsi="Times New Roman" w:eastAsia="宋体" w:cs="Arial"/>
                <w:color w:val="000000"/>
                <w:kern w:val="2"/>
                <w:sz w:val="21"/>
                <w:szCs w:val="21"/>
                <w:highlight w:val="none"/>
                <w:lang w:val="en-US" w:eastAsia="zh-CN" w:bidi="ar-SA"/>
              </w:rPr>
              <w:t>提供第三方酸化水对器械的腐蚀性检测报告</w:t>
            </w:r>
          </w:p>
          <w:p>
            <w:pPr>
              <w:numPr>
                <w:ilvl w:val="0"/>
                <w:numId w:val="45"/>
              </w:numPr>
              <w:spacing w:line="360" w:lineRule="auto"/>
              <w:ind w:left="360" w:hanging="360"/>
              <w:jc w:val="left"/>
              <w:rPr>
                <w:rFonts w:ascii="Times New Roman" w:hAnsi="Times New Roman" w:eastAsia="宋体" w:cs="Arial"/>
                <w:kern w:val="2"/>
                <w:sz w:val="21"/>
                <w:szCs w:val="21"/>
                <w:highlight w:val="none"/>
                <w:lang w:val="en-US" w:eastAsia="zh-CN" w:bidi="ar-SA"/>
              </w:rPr>
            </w:pPr>
            <w:r>
              <w:rPr>
                <w:rFonts w:ascii="Times New Roman" w:hAnsi="Times New Roman" w:eastAsia="宋体" w:cs="Arial"/>
                <w:kern w:val="2"/>
                <w:sz w:val="21"/>
                <w:szCs w:val="21"/>
                <w:highlight w:val="none"/>
                <w:lang w:val="en-US" w:eastAsia="zh-CN" w:bidi="ar-SA"/>
              </w:rPr>
              <w:t>电解辅助剂：</w:t>
            </w:r>
            <w:r>
              <w:rPr>
                <w:rFonts w:hint="eastAsia" w:ascii="Times New Roman" w:hAnsi="Times New Roman" w:eastAsia="宋体" w:cs="Arial"/>
                <w:kern w:val="2"/>
                <w:sz w:val="21"/>
                <w:szCs w:val="21"/>
                <w:highlight w:val="none"/>
                <w:lang w:val="en-US" w:eastAsia="zh-CN" w:bidi="ar-SA"/>
              </w:rPr>
              <w:t>固体</w:t>
            </w:r>
            <w:r>
              <w:rPr>
                <w:rFonts w:ascii="Times New Roman" w:hAnsi="Times New Roman" w:eastAsia="宋体" w:cs="Arial"/>
                <w:kern w:val="2"/>
                <w:sz w:val="21"/>
                <w:szCs w:val="21"/>
                <w:highlight w:val="none"/>
                <w:lang w:val="en-US" w:eastAsia="zh-CN" w:bidi="ar-SA"/>
              </w:rPr>
              <w:t>电解级氯化钠（</w:t>
            </w:r>
            <w:r>
              <w:rPr>
                <w:rFonts w:hint="eastAsia" w:ascii="Times New Roman" w:hAnsi="Times New Roman" w:eastAsia="宋体" w:cs="Arial"/>
                <w:kern w:val="2"/>
                <w:sz w:val="21"/>
                <w:szCs w:val="21"/>
                <w:highlight w:val="none"/>
                <w:lang w:val="en-US" w:eastAsia="zh-CN" w:bidi="ar-SA"/>
              </w:rPr>
              <w:t>纯度</w:t>
            </w:r>
            <w:r>
              <w:rPr>
                <w:rFonts w:ascii="Times New Roman" w:hAnsi="Times New Roman" w:eastAsia="宋体" w:cs="Arial"/>
                <w:kern w:val="2"/>
                <w:sz w:val="21"/>
                <w:szCs w:val="21"/>
                <w:highlight w:val="none"/>
                <w:lang w:val="en-US" w:eastAsia="zh-CN" w:bidi="ar-SA"/>
              </w:rPr>
              <w:t>大于99%）</w:t>
            </w:r>
          </w:p>
          <w:p>
            <w:pPr>
              <w:numPr>
                <w:ilvl w:val="0"/>
                <w:numId w:val="45"/>
              </w:numPr>
              <w:spacing w:line="360" w:lineRule="auto"/>
              <w:ind w:left="360" w:hanging="360"/>
              <w:jc w:val="left"/>
              <w:rPr>
                <w:rFonts w:ascii="Times New Roman" w:hAnsi="Times New Roman" w:eastAsia="宋体" w:cs="Arial"/>
                <w:kern w:val="2"/>
                <w:sz w:val="21"/>
                <w:szCs w:val="21"/>
                <w:highlight w:val="none"/>
                <w:lang w:val="en-US" w:eastAsia="zh-CN" w:bidi="ar-SA"/>
              </w:rPr>
            </w:pPr>
            <w:r>
              <w:rPr>
                <w:rFonts w:ascii="Times New Roman" w:hAnsi="Times New Roman" w:eastAsia="宋体" w:cs="Arial"/>
                <w:kern w:val="2"/>
                <w:sz w:val="21"/>
                <w:szCs w:val="21"/>
                <w:highlight w:val="none"/>
                <w:lang w:val="en-US" w:eastAsia="zh-CN" w:bidi="ar-SA"/>
              </w:rPr>
              <w:t>电源：220V/50Hz</w:t>
            </w:r>
          </w:p>
          <w:p>
            <w:pPr>
              <w:numPr>
                <w:ilvl w:val="0"/>
                <w:numId w:val="45"/>
              </w:numPr>
              <w:spacing w:line="360" w:lineRule="auto"/>
              <w:ind w:left="360" w:hanging="360"/>
              <w:jc w:val="left"/>
              <w:rPr>
                <w:rFonts w:ascii="Times New Roman" w:hAnsi="Times New Roman" w:eastAsia="宋体" w:cs="Arial"/>
                <w:kern w:val="2"/>
                <w:sz w:val="21"/>
                <w:szCs w:val="21"/>
                <w:highlight w:val="none"/>
                <w:lang w:val="en-US" w:eastAsia="zh-CN" w:bidi="ar-SA"/>
              </w:rPr>
            </w:pPr>
            <w:r>
              <w:rPr>
                <w:rFonts w:hint="eastAsia" w:ascii="Times New Roman" w:hAnsi="Times New Roman" w:eastAsia="宋体" w:cs="Arial"/>
                <w:kern w:val="2"/>
                <w:sz w:val="21"/>
                <w:szCs w:val="21"/>
                <w:highlight w:val="none"/>
                <w:lang w:val="en-US" w:eastAsia="zh-CN" w:bidi="ar-SA"/>
              </w:rPr>
              <w:t>货物高度：≤350mm</w:t>
            </w:r>
          </w:p>
          <w:p>
            <w:pPr>
              <w:numPr>
                <w:ilvl w:val="0"/>
                <w:numId w:val="45"/>
              </w:numPr>
              <w:spacing w:line="360" w:lineRule="auto"/>
              <w:ind w:left="360" w:hanging="360"/>
              <w:jc w:val="left"/>
              <w:rPr>
                <w:rFonts w:ascii="Times New Roman" w:hAnsi="Times New Roman" w:eastAsia="宋体" w:cs="Arial"/>
                <w:kern w:val="2"/>
                <w:sz w:val="21"/>
                <w:szCs w:val="21"/>
                <w:highlight w:val="none"/>
                <w:lang w:val="en-US" w:eastAsia="zh-CN" w:bidi="ar-SA"/>
              </w:rPr>
            </w:pPr>
            <w:r>
              <w:rPr>
                <w:rFonts w:hint="eastAsia" w:ascii="Times New Roman" w:hAnsi="Times New Roman" w:eastAsia="宋体" w:cs="Arial"/>
                <w:kern w:val="2"/>
                <w:sz w:val="21"/>
                <w:szCs w:val="21"/>
                <w:highlight w:val="none"/>
                <w:lang w:val="en-US" w:eastAsia="zh-CN" w:bidi="ar-SA"/>
              </w:rPr>
              <w:t>消耗功率：≤330W</w:t>
            </w:r>
          </w:p>
          <w:p>
            <w:pPr>
              <w:numPr>
                <w:ilvl w:val="0"/>
                <w:numId w:val="45"/>
              </w:numPr>
              <w:spacing w:line="360" w:lineRule="auto"/>
              <w:ind w:left="360" w:hanging="360"/>
              <w:jc w:val="left"/>
              <w:rPr>
                <w:rFonts w:ascii="Times New Roman" w:hAnsi="Times New Roman" w:eastAsia="宋体" w:cs="Arial"/>
                <w:kern w:val="2"/>
                <w:sz w:val="21"/>
                <w:szCs w:val="21"/>
                <w:highlight w:val="none"/>
                <w:lang w:val="en-US" w:eastAsia="zh-CN" w:bidi="ar-SA"/>
              </w:rPr>
            </w:pPr>
            <w:r>
              <w:rPr>
                <w:rFonts w:ascii="Times New Roman" w:hAnsi="Times New Roman" w:eastAsia="宋体" w:cs="Arial"/>
                <w:kern w:val="2"/>
                <w:sz w:val="21"/>
                <w:szCs w:val="21"/>
                <w:highlight w:val="none"/>
                <w:lang w:val="en-US" w:eastAsia="zh-CN" w:bidi="ar-SA"/>
              </w:rPr>
              <w:t>重量</w:t>
            </w:r>
            <w:r>
              <w:rPr>
                <w:rFonts w:hint="eastAsia" w:ascii="Times New Roman" w:hAnsi="Times New Roman" w:eastAsia="宋体" w:cs="Arial"/>
                <w:kern w:val="2"/>
                <w:sz w:val="21"/>
                <w:szCs w:val="21"/>
                <w:highlight w:val="none"/>
                <w:lang w:val="en-US" w:eastAsia="zh-CN" w:bidi="ar-SA"/>
              </w:rPr>
              <w:t>：本体≤15KG</w:t>
            </w:r>
          </w:p>
          <w:p>
            <w:pPr>
              <w:numPr>
                <w:ilvl w:val="0"/>
                <w:numId w:val="45"/>
              </w:numPr>
              <w:tabs>
                <w:tab w:val="left" w:pos="540"/>
              </w:tabs>
              <w:spacing w:line="360" w:lineRule="auto"/>
              <w:ind w:left="360" w:hanging="360"/>
              <w:jc w:val="left"/>
              <w:rPr>
                <w:rFonts w:ascii="Times New Roman" w:hAnsi="Times New Roman" w:eastAsia="宋体" w:cs="Arial"/>
                <w:kern w:val="2"/>
                <w:sz w:val="21"/>
                <w:szCs w:val="21"/>
                <w:highlight w:val="none"/>
                <w:lang w:val="en-US" w:eastAsia="zh-CN" w:bidi="ar-SA"/>
              </w:rPr>
            </w:pPr>
            <w:r>
              <w:rPr>
                <w:rFonts w:ascii="Times New Roman" w:hAnsi="Times New Roman" w:eastAsia="宋体" w:cs="Arial"/>
                <w:kern w:val="2"/>
                <w:sz w:val="21"/>
                <w:szCs w:val="21"/>
                <w:highlight w:val="none"/>
                <w:lang w:val="en-US" w:eastAsia="zh-CN" w:bidi="ar-SA"/>
              </w:rPr>
              <w:t>噪声功率级</w:t>
            </w:r>
            <w:r>
              <w:rPr>
                <w:rFonts w:hint="eastAsia" w:ascii="Times New Roman" w:hAnsi="Times New Roman" w:eastAsia="宋体" w:cs="Arial"/>
                <w:kern w:val="2"/>
                <w:sz w:val="21"/>
                <w:szCs w:val="21"/>
                <w:highlight w:val="none"/>
                <w:lang w:val="en-US" w:eastAsia="zh-CN" w:bidi="ar-SA"/>
              </w:rPr>
              <w:t>：</w:t>
            </w:r>
            <w:r>
              <w:rPr>
                <w:rFonts w:ascii="Times New Roman" w:hAnsi="Times New Roman" w:eastAsia="宋体" w:cs="Arial"/>
                <w:kern w:val="2"/>
                <w:sz w:val="21"/>
                <w:szCs w:val="21"/>
                <w:highlight w:val="none"/>
                <w:lang w:val="en-US" w:eastAsia="zh-CN" w:bidi="ar-SA"/>
              </w:rPr>
              <w:t>≤70db</w:t>
            </w:r>
          </w:p>
          <w:p>
            <w:pPr>
              <w:numPr>
                <w:ilvl w:val="0"/>
                <w:numId w:val="45"/>
              </w:numPr>
              <w:tabs>
                <w:tab w:val="left" w:pos="540"/>
              </w:tabs>
              <w:spacing w:line="360" w:lineRule="auto"/>
              <w:ind w:left="360" w:hanging="360"/>
              <w:jc w:val="left"/>
              <w:rPr>
                <w:rFonts w:ascii="Times New Roman" w:hAnsi="Times New Roman" w:eastAsia="宋体" w:cs="Arial"/>
                <w:kern w:val="2"/>
                <w:sz w:val="21"/>
                <w:szCs w:val="21"/>
                <w:highlight w:val="none"/>
                <w:lang w:val="en-US" w:eastAsia="zh-CN" w:bidi="ar-SA"/>
              </w:rPr>
            </w:pPr>
            <w:r>
              <w:rPr>
                <w:rFonts w:hint="eastAsia" w:ascii="Times New Roman" w:hAnsi="Times New Roman" w:eastAsia="宋体" w:cs="Arial"/>
                <w:kern w:val="2"/>
                <w:sz w:val="21"/>
                <w:szCs w:val="21"/>
                <w:highlight w:val="none"/>
                <w:lang w:val="en-US" w:eastAsia="zh-CN" w:bidi="ar-SA"/>
              </w:rPr>
              <w:t>一体式盐箱和电解剂自动溶解装置，不需手工预溶解</w:t>
            </w:r>
          </w:p>
          <w:p>
            <w:pPr>
              <w:numPr>
                <w:ilvl w:val="0"/>
                <w:numId w:val="45"/>
              </w:numPr>
              <w:tabs>
                <w:tab w:val="left" w:pos="540"/>
              </w:tabs>
              <w:spacing w:line="360" w:lineRule="auto"/>
              <w:ind w:left="360" w:hanging="360"/>
              <w:jc w:val="left"/>
              <w:rPr>
                <w:rFonts w:ascii="Times New Roman" w:hAnsi="Times New Roman" w:eastAsia="宋体" w:cs="Arial"/>
                <w:kern w:val="2"/>
                <w:sz w:val="21"/>
                <w:szCs w:val="21"/>
                <w:highlight w:val="none"/>
                <w:lang w:val="en-US" w:eastAsia="zh-CN" w:bidi="ar-SA"/>
              </w:rPr>
            </w:pPr>
            <w:r>
              <w:rPr>
                <w:rFonts w:hint="eastAsia" w:ascii="Times New Roman" w:hAnsi="Times New Roman" w:eastAsia="宋体" w:cs="Arial"/>
                <w:kern w:val="2"/>
                <w:sz w:val="21"/>
                <w:szCs w:val="21"/>
                <w:highlight w:val="none"/>
                <w:lang w:val="en-US" w:eastAsia="zh-CN" w:bidi="ar-SA"/>
              </w:rPr>
              <w:t>设备具备自动倒极清洗的功能以保证电解效果及电解槽使用寿命</w:t>
            </w:r>
          </w:p>
          <w:p>
            <w:pPr>
              <w:numPr>
                <w:ilvl w:val="0"/>
                <w:numId w:val="45"/>
              </w:numPr>
              <w:tabs>
                <w:tab w:val="left" w:pos="540"/>
              </w:tabs>
              <w:spacing w:line="360" w:lineRule="auto"/>
              <w:ind w:left="360" w:hanging="360"/>
              <w:jc w:val="left"/>
              <w:rPr>
                <w:rFonts w:ascii="Times New Roman" w:hAnsi="Times New Roman" w:eastAsia="宋体" w:cs="Arial"/>
                <w:kern w:val="2"/>
                <w:sz w:val="21"/>
                <w:szCs w:val="21"/>
                <w:highlight w:val="none"/>
                <w:lang w:val="en-US" w:eastAsia="zh-CN" w:bidi="ar-SA"/>
              </w:rPr>
            </w:pPr>
            <w:r>
              <w:rPr>
                <w:rFonts w:hint="eastAsia" w:ascii="Times New Roman" w:hAnsi="Times New Roman" w:eastAsia="宋体" w:cs="Arial"/>
                <w:kern w:val="2"/>
                <w:sz w:val="21"/>
                <w:szCs w:val="21"/>
                <w:highlight w:val="none"/>
                <w:lang w:val="en-US" w:eastAsia="zh-CN" w:bidi="ar-SA"/>
              </w:rPr>
              <w:t>连续电解方式，可24小时不停机连续运行</w:t>
            </w:r>
          </w:p>
          <w:p>
            <w:pPr>
              <w:numPr>
                <w:ilvl w:val="0"/>
                <w:numId w:val="45"/>
              </w:numPr>
              <w:tabs>
                <w:tab w:val="left" w:pos="540"/>
              </w:tabs>
              <w:spacing w:line="360" w:lineRule="auto"/>
              <w:ind w:left="360" w:hanging="360"/>
              <w:jc w:val="left"/>
              <w:rPr>
                <w:rFonts w:ascii="Times New Roman" w:hAnsi="Times New Roman" w:eastAsia="宋体" w:cs="Arial"/>
                <w:kern w:val="2"/>
                <w:sz w:val="21"/>
                <w:szCs w:val="21"/>
                <w:highlight w:val="none"/>
                <w:lang w:val="en-US" w:eastAsia="zh-CN" w:bidi="ar-SA"/>
              </w:rPr>
            </w:pPr>
            <w:r>
              <w:rPr>
                <w:rFonts w:hint="eastAsia" w:ascii="Times New Roman" w:hAnsi="Times New Roman" w:eastAsia="宋体" w:cs="Arial"/>
                <w:kern w:val="2"/>
                <w:sz w:val="21"/>
                <w:szCs w:val="21"/>
                <w:highlight w:val="none"/>
                <w:lang w:val="en-US" w:eastAsia="zh-CN" w:bidi="ar-SA"/>
              </w:rPr>
              <w:t>配管洗净方式：手动/自动/外部洗净</w:t>
            </w:r>
          </w:p>
          <w:p>
            <w:pPr>
              <w:numPr>
                <w:ilvl w:val="0"/>
                <w:numId w:val="45"/>
              </w:numPr>
              <w:tabs>
                <w:tab w:val="left" w:pos="540"/>
              </w:tabs>
              <w:spacing w:line="360" w:lineRule="auto"/>
              <w:ind w:left="360" w:hanging="360"/>
              <w:jc w:val="left"/>
              <w:rPr>
                <w:rFonts w:ascii="Times New Roman" w:hAnsi="Times New Roman" w:eastAsia="宋体" w:cs="Arial"/>
                <w:kern w:val="2"/>
                <w:sz w:val="21"/>
                <w:szCs w:val="21"/>
                <w:highlight w:val="none"/>
                <w:lang w:val="en-US" w:eastAsia="zh-CN" w:bidi="ar-SA"/>
              </w:rPr>
            </w:pPr>
            <w:r>
              <w:rPr>
                <w:rFonts w:hint="eastAsia" w:ascii="Times New Roman" w:hAnsi="Times New Roman" w:eastAsia="宋体" w:cs="Arial"/>
                <w:kern w:val="2"/>
                <w:sz w:val="21"/>
                <w:szCs w:val="21"/>
                <w:highlight w:val="none"/>
                <w:lang w:val="en-US" w:eastAsia="zh-CN" w:bidi="ar-SA"/>
              </w:rPr>
              <w:t>贮水控制方式：系统定时/外部信号</w:t>
            </w:r>
          </w:p>
          <w:p>
            <w:pPr>
              <w:numPr>
                <w:ilvl w:val="0"/>
                <w:numId w:val="45"/>
              </w:numPr>
              <w:tabs>
                <w:tab w:val="left" w:pos="540"/>
              </w:tabs>
              <w:spacing w:line="360" w:lineRule="auto"/>
              <w:ind w:left="360" w:hanging="360"/>
              <w:jc w:val="left"/>
              <w:rPr>
                <w:rFonts w:ascii="Times New Roman" w:hAnsi="Times New Roman" w:eastAsia="宋体" w:cs="Arial"/>
                <w:kern w:val="2"/>
                <w:sz w:val="21"/>
                <w:szCs w:val="21"/>
                <w:highlight w:val="none"/>
                <w:lang w:val="en-US" w:eastAsia="zh-CN" w:bidi="ar-SA"/>
              </w:rPr>
            </w:pPr>
            <w:r>
              <w:rPr>
                <w:rFonts w:hint="eastAsia" w:ascii="Times New Roman" w:hAnsi="Times New Roman" w:eastAsia="宋体" w:cs="Arial"/>
                <w:kern w:val="2"/>
                <w:sz w:val="21"/>
                <w:szCs w:val="21"/>
                <w:highlight w:val="none"/>
                <w:lang w:val="en-US" w:eastAsia="zh-CN" w:bidi="ar-SA"/>
              </w:rPr>
              <w:t>配置进口或同等品质专用有效氯试纸及PH试纸，实时检测酸化水出水指标</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317" w:type="pct"/>
            <w:noWrap w:val="0"/>
            <w:vAlign w:val="center"/>
          </w:tcPr>
          <w:p>
            <w:pPr>
              <w:jc w:val="center"/>
              <w:rPr>
                <w:rFonts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四</w:t>
            </w:r>
          </w:p>
        </w:tc>
        <w:tc>
          <w:tcPr>
            <w:tcW w:w="4683" w:type="pct"/>
            <w:noWrap w:val="0"/>
            <w:vAlign w:val="top"/>
          </w:tcPr>
          <w:p>
            <w:pPr>
              <w:jc w:val="center"/>
              <w:rPr>
                <w:rFonts w:ascii="Times New Roman" w:hAnsi="Times New Roman" w:eastAsia="宋体" w:cs="Times New Roman"/>
                <w:b/>
                <w:color w:val="000000"/>
                <w:kern w:val="2"/>
                <w:sz w:val="21"/>
                <w:szCs w:val="21"/>
                <w:highlight w:val="none"/>
                <w:lang w:val="en-US" w:eastAsia="zh-CN" w:bidi="ar-SA"/>
              </w:rPr>
            </w:pPr>
            <w:r>
              <w:rPr>
                <w:rFonts w:hint="eastAsia" w:ascii="Times New Roman" w:hAnsi="Times New Roman" w:eastAsia="宋体" w:cs="Times New Roman"/>
                <w:b/>
                <w:color w:val="000000"/>
                <w:kern w:val="2"/>
                <w:sz w:val="21"/>
                <w:szCs w:val="21"/>
                <w:highlight w:val="none"/>
                <w:lang w:val="en-US" w:eastAsia="zh-CN" w:bidi="ar-SA"/>
              </w:rPr>
              <w:t>配置清单</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317" w:type="pct"/>
            <w:noWrap w:val="0"/>
            <w:vAlign w:val="center"/>
          </w:tcPr>
          <w:p>
            <w:pPr>
              <w:jc w:val="center"/>
              <w:rPr>
                <w:rFonts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1</w:t>
            </w:r>
          </w:p>
        </w:tc>
        <w:tc>
          <w:tcPr>
            <w:tcW w:w="4683" w:type="pct"/>
            <w:noWrap w:val="0"/>
            <w:vAlign w:val="center"/>
          </w:tcPr>
          <w:p>
            <w:pPr>
              <w:widowControl/>
              <w:rPr>
                <w:rFonts w:ascii="Times New Roman" w:hAnsi="Times New Roman" w:eastAsia="宋体" w:cs="宋体"/>
                <w:kern w:val="0"/>
                <w:sz w:val="21"/>
                <w:szCs w:val="21"/>
                <w:highlight w:val="none"/>
                <w:lang w:val="en-US" w:eastAsia="zh-CN" w:bidi="ar-SA"/>
              </w:rPr>
            </w:pPr>
            <w:r>
              <w:rPr>
                <w:rFonts w:hint="eastAsia" w:ascii="Times New Roman" w:hAnsi="Times New Roman" w:eastAsia="宋体" w:cs="宋体"/>
                <w:kern w:val="0"/>
                <w:sz w:val="21"/>
                <w:szCs w:val="21"/>
                <w:highlight w:val="none"/>
                <w:lang w:val="en-US" w:eastAsia="zh-CN" w:bidi="ar-SA"/>
              </w:rPr>
              <w:t>酸化水发生装置　　　　１台</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317" w:type="pct"/>
            <w:noWrap w:val="0"/>
            <w:vAlign w:val="center"/>
          </w:tcPr>
          <w:p>
            <w:pPr>
              <w:jc w:val="center"/>
              <w:rPr>
                <w:rFonts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2</w:t>
            </w:r>
          </w:p>
        </w:tc>
        <w:tc>
          <w:tcPr>
            <w:tcW w:w="4683" w:type="pct"/>
            <w:noWrap w:val="0"/>
            <w:vAlign w:val="center"/>
          </w:tcPr>
          <w:p>
            <w:pPr>
              <w:widowControl/>
              <w:rPr>
                <w:rFonts w:ascii="Times New Roman" w:hAnsi="Times New Roman" w:eastAsia="宋体" w:cs="宋体"/>
                <w:kern w:val="0"/>
                <w:sz w:val="21"/>
                <w:szCs w:val="21"/>
                <w:highlight w:val="none"/>
                <w:lang w:val="en-US" w:eastAsia="zh-CN" w:bidi="ar-SA"/>
              </w:rPr>
            </w:pPr>
            <w:r>
              <w:rPr>
                <w:rFonts w:hint="eastAsia" w:ascii="Times New Roman" w:hAnsi="Times New Roman" w:eastAsia="宋体" w:cs="宋体"/>
                <w:kern w:val="0"/>
                <w:sz w:val="21"/>
                <w:szCs w:val="21"/>
                <w:highlight w:val="none"/>
                <w:lang w:val="en-US" w:eastAsia="zh-CN" w:bidi="ar-SA"/>
              </w:rPr>
              <w:t>有效氯试纸　　　　　　１盒</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317" w:type="pct"/>
            <w:noWrap w:val="0"/>
            <w:vAlign w:val="center"/>
          </w:tcPr>
          <w:p>
            <w:pPr>
              <w:jc w:val="center"/>
              <w:rPr>
                <w:rFonts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3</w:t>
            </w:r>
          </w:p>
        </w:tc>
        <w:tc>
          <w:tcPr>
            <w:tcW w:w="4683" w:type="pct"/>
            <w:noWrap w:val="0"/>
            <w:vAlign w:val="center"/>
          </w:tcPr>
          <w:p>
            <w:pPr>
              <w:widowControl/>
              <w:rPr>
                <w:rFonts w:ascii="Times New Roman" w:hAnsi="Times New Roman" w:eastAsia="宋体" w:cs="Arial"/>
                <w:kern w:val="0"/>
                <w:sz w:val="21"/>
                <w:szCs w:val="21"/>
                <w:highlight w:val="none"/>
                <w:lang w:val="en-US" w:eastAsia="zh-CN" w:bidi="ar-SA"/>
              </w:rPr>
            </w:pPr>
            <w:r>
              <w:rPr>
                <w:rFonts w:ascii="Times New Roman" w:hAnsi="Times New Roman" w:eastAsia="宋体" w:cs="Arial"/>
                <w:kern w:val="0"/>
                <w:sz w:val="21"/>
                <w:szCs w:val="21"/>
                <w:highlight w:val="none"/>
                <w:lang w:val="en-US" w:eastAsia="zh-CN" w:bidi="ar-SA"/>
              </w:rPr>
              <w:t>PH</w:t>
            </w:r>
            <w:r>
              <w:rPr>
                <w:rFonts w:hint="eastAsia" w:ascii="Times New Roman" w:hAnsi="Times New Roman" w:eastAsia="宋体" w:cs="Arial"/>
                <w:kern w:val="0"/>
                <w:sz w:val="21"/>
                <w:szCs w:val="21"/>
                <w:highlight w:val="none"/>
                <w:lang w:val="en-US" w:eastAsia="zh-CN" w:bidi="ar-SA"/>
              </w:rPr>
              <w:t>试纸　　　　　　　　１盒</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317" w:type="pct"/>
            <w:noWrap w:val="0"/>
            <w:vAlign w:val="center"/>
          </w:tcPr>
          <w:p>
            <w:pPr>
              <w:jc w:val="center"/>
              <w:rPr>
                <w:rFonts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4</w:t>
            </w:r>
          </w:p>
        </w:tc>
        <w:tc>
          <w:tcPr>
            <w:tcW w:w="4683" w:type="pct"/>
            <w:noWrap w:val="0"/>
            <w:vAlign w:val="center"/>
          </w:tcPr>
          <w:p>
            <w:pPr>
              <w:widowControl/>
              <w:rPr>
                <w:rFonts w:ascii="Times New Roman" w:hAnsi="Times New Roman" w:eastAsia="宋体" w:cs="宋体"/>
                <w:kern w:val="0"/>
                <w:sz w:val="21"/>
                <w:szCs w:val="21"/>
                <w:highlight w:val="none"/>
                <w:lang w:val="en-US" w:eastAsia="zh-CN" w:bidi="ar-SA"/>
              </w:rPr>
            </w:pPr>
            <w:r>
              <w:rPr>
                <w:rFonts w:hint="eastAsia" w:ascii="Times New Roman" w:hAnsi="Times New Roman" w:eastAsia="宋体" w:cs="宋体"/>
                <w:kern w:val="0"/>
                <w:sz w:val="21"/>
                <w:szCs w:val="21"/>
                <w:highlight w:val="none"/>
                <w:lang w:val="en-US" w:eastAsia="zh-CN" w:bidi="ar-SA"/>
              </w:rPr>
              <w:t>链接管路　　　　　　　１套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317" w:type="pct"/>
            <w:noWrap w:val="0"/>
            <w:vAlign w:val="center"/>
          </w:tcPr>
          <w:p>
            <w:pPr>
              <w:jc w:val="center"/>
              <w:rPr>
                <w:rFonts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5</w:t>
            </w:r>
          </w:p>
        </w:tc>
        <w:tc>
          <w:tcPr>
            <w:tcW w:w="4683" w:type="pct"/>
            <w:noWrap w:val="0"/>
            <w:vAlign w:val="center"/>
          </w:tcPr>
          <w:p>
            <w:pPr>
              <w:widowControl/>
              <w:rPr>
                <w:rFonts w:ascii="Times New Roman" w:hAnsi="Times New Roman" w:eastAsia="宋体" w:cs="宋体"/>
                <w:kern w:val="0"/>
                <w:sz w:val="21"/>
                <w:szCs w:val="21"/>
                <w:highlight w:val="none"/>
                <w:lang w:val="en-US" w:eastAsia="zh-CN" w:bidi="ar-SA"/>
              </w:rPr>
            </w:pPr>
            <w:r>
              <w:rPr>
                <w:rFonts w:hint="eastAsia" w:ascii="Times New Roman" w:hAnsi="Times New Roman" w:eastAsia="宋体" w:cs="宋体"/>
                <w:kern w:val="0"/>
                <w:sz w:val="21"/>
                <w:szCs w:val="21"/>
                <w:highlight w:val="none"/>
                <w:lang w:val="en-US" w:eastAsia="zh-CN" w:bidi="ar-SA"/>
              </w:rPr>
              <w:t>出水终端　　　　　　　１个</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317" w:type="pct"/>
            <w:noWrap w:val="0"/>
            <w:vAlign w:val="center"/>
          </w:tcPr>
          <w:p>
            <w:pPr>
              <w:jc w:val="center"/>
              <w:rPr>
                <w:rFonts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6</w:t>
            </w:r>
          </w:p>
        </w:tc>
        <w:tc>
          <w:tcPr>
            <w:tcW w:w="4683" w:type="pct"/>
            <w:noWrap w:val="0"/>
            <w:vAlign w:val="center"/>
          </w:tcPr>
          <w:p>
            <w:pPr>
              <w:widowControl/>
              <w:rPr>
                <w:rFonts w:ascii="Times New Roman" w:hAnsi="Times New Roman" w:eastAsia="宋体" w:cs="宋体"/>
                <w:kern w:val="0"/>
                <w:sz w:val="21"/>
                <w:szCs w:val="21"/>
                <w:highlight w:val="none"/>
                <w:lang w:val="en-US" w:eastAsia="zh-CN" w:bidi="ar-SA"/>
              </w:rPr>
            </w:pPr>
            <w:r>
              <w:rPr>
                <w:rFonts w:hint="eastAsia" w:ascii="Times New Roman" w:hAnsi="Times New Roman" w:eastAsia="宋体" w:cs="宋体"/>
                <w:kern w:val="0"/>
                <w:sz w:val="21"/>
                <w:szCs w:val="21"/>
                <w:highlight w:val="none"/>
                <w:lang w:val="en-US" w:eastAsia="zh-CN" w:bidi="ar-SA"/>
              </w:rPr>
              <w:t>贮水罐　　　　　　　　１个</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317" w:type="pct"/>
            <w:noWrap w:val="0"/>
            <w:vAlign w:val="center"/>
          </w:tcPr>
          <w:p>
            <w:pPr>
              <w:jc w:val="center"/>
              <w:rPr>
                <w:rFonts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7</w:t>
            </w:r>
          </w:p>
        </w:tc>
        <w:tc>
          <w:tcPr>
            <w:tcW w:w="4683" w:type="pct"/>
            <w:noWrap w:val="0"/>
            <w:vAlign w:val="center"/>
          </w:tcPr>
          <w:p>
            <w:pPr>
              <w:widowControl/>
              <w:rPr>
                <w:rFonts w:ascii="Times New Roman" w:hAnsi="Times New Roman" w:eastAsia="宋体" w:cs="宋体"/>
                <w:kern w:val="0"/>
                <w:sz w:val="21"/>
                <w:szCs w:val="21"/>
                <w:highlight w:val="none"/>
                <w:lang w:val="en-US" w:eastAsia="zh-CN" w:bidi="ar-SA"/>
              </w:rPr>
            </w:pPr>
            <w:r>
              <w:rPr>
                <w:rFonts w:hint="eastAsia" w:ascii="Times New Roman" w:hAnsi="Times New Roman" w:eastAsia="宋体" w:cs="宋体"/>
                <w:kern w:val="0"/>
                <w:sz w:val="21"/>
                <w:szCs w:val="21"/>
                <w:highlight w:val="none"/>
                <w:lang w:val="en-US" w:eastAsia="zh-CN" w:bidi="ar-SA"/>
              </w:rPr>
              <w:t>电源转换器　　　　　　１个</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317" w:type="pct"/>
            <w:noWrap w:val="0"/>
            <w:vAlign w:val="center"/>
          </w:tcPr>
          <w:p>
            <w:pPr>
              <w:jc w:val="center"/>
              <w:rPr>
                <w:rFonts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8</w:t>
            </w:r>
          </w:p>
        </w:tc>
        <w:tc>
          <w:tcPr>
            <w:tcW w:w="4683" w:type="pct"/>
            <w:noWrap w:val="0"/>
            <w:vAlign w:val="center"/>
          </w:tcPr>
          <w:p>
            <w:pPr>
              <w:widowControl/>
              <w:rPr>
                <w:rFonts w:ascii="Times New Roman" w:hAnsi="Times New Roman" w:eastAsia="宋体" w:cs="宋体"/>
                <w:kern w:val="0"/>
                <w:sz w:val="21"/>
                <w:szCs w:val="21"/>
                <w:highlight w:val="none"/>
                <w:lang w:val="en-US" w:eastAsia="zh-CN" w:bidi="ar-SA"/>
              </w:rPr>
            </w:pPr>
            <w:r>
              <w:rPr>
                <w:rFonts w:hint="eastAsia" w:ascii="Times New Roman" w:hAnsi="Times New Roman" w:eastAsia="宋体" w:cs="宋体"/>
                <w:kern w:val="0"/>
                <w:sz w:val="21"/>
                <w:szCs w:val="21"/>
                <w:highlight w:val="none"/>
                <w:lang w:val="en-US" w:eastAsia="zh-CN" w:bidi="ar-SA"/>
              </w:rPr>
              <w:t>水位传感器　　　　　　１个</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317" w:type="pct"/>
            <w:noWrap w:val="0"/>
            <w:vAlign w:val="center"/>
          </w:tcPr>
          <w:p>
            <w:pPr>
              <w:jc w:val="center"/>
              <w:rPr>
                <w:rFonts w:ascii="Times New Roman" w:hAnsi="Times New Roman" w:eastAsia="宋体" w:cs="Times New Roman"/>
                <w:color w:val="000000"/>
                <w:kern w:val="2"/>
                <w:sz w:val="21"/>
                <w:szCs w:val="21"/>
                <w:highlight w:val="none"/>
                <w:lang w:val="en-US" w:eastAsia="zh-CN" w:bidi="ar-SA"/>
              </w:rPr>
            </w:pPr>
            <w:r>
              <w:rPr>
                <w:rFonts w:hint="eastAsia" w:ascii="Times New Roman" w:hAnsi="Times New Roman" w:eastAsia="宋体" w:cs="Times New Roman"/>
                <w:color w:val="000000"/>
                <w:kern w:val="2"/>
                <w:sz w:val="21"/>
                <w:szCs w:val="21"/>
                <w:highlight w:val="none"/>
                <w:lang w:val="en-US" w:eastAsia="zh-CN" w:bidi="ar-SA"/>
              </w:rPr>
              <w:t>9</w:t>
            </w:r>
          </w:p>
        </w:tc>
        <w:tc>
          <w:tcPr>
            <w:tcW w:w="4683" w:type="pct"/>
            <w:noWrap w:val="0"/>
            <w:vAlign w:val="center"/>
          </w:tcPr>
          <w:p>
            <w:pPr>
              <w:widowControl/>
              <w:rPr>
                <w:rFonts w:ascii="Times New Roman" w:hAnsi="Times New Roman" w:eastAsia="宋体" w:cs="宋体"/>
                <w:kern w:val="0"/>
                <w:sz w:val="21"/>
                <w:szCs w:val="21"/>
                <w:highlight w:val="none"/>
                <w:lang w:val="en-US" w:eastAsia="zh-CN" w:bidi="ar-SA"/>
              </w:rPr>
            </w:pPr>
            <w:r>
              <w:rPr>
                <w:rFonts w:hint="eastAsia" w:ascii="Times New Roman" w:hAnsi="Times New Roman" w:eastAsia="宋体" w:cs="宋体"/>
                <w:kern w:val="0"/>
                <w:sz w:val="21"/>
                <w:szCs w:val="21"/>
                <w:highlight w:val="none"/>
                <w:lang w:val="en-US" w:eastAsia="zh-CN" w:bidi="ar-SA"/>
              </w:rPr>
              <w:t>电解剂　　　　　　　　２瓶</w:t>
            </w:r>
          </w:p>
        </w:tc>
      </w:tr>
    </w:tbl>
    <w:p>
      <w:pPr>
        <w:rPr>
          <w:rFonts w:ascii="Times New Roman" w:hAnsi="Times New Roman" w:eastAsia="宋体" w:cs="Times New Roman"/>
          <w:kern w:val="2"/>
          <w:sz w:val="21"/>
          <w:szCs w:val="22"/>
          <w:highlight w:val="none"/>
          <w:lang w:val="en-US" w:eastAsia="zh-CN" w:bidi="ar-SA"/>
        </w:rPr>
      </w:pPr>
    </w:p>
    <w:p>
      <w:pPr>
        <w:widowControl/>
        <w:numPr>
          <w:ilvl w:val="0"/>
          <w:numId w:val="39"/>
        </w:numPr>
        <w:spacing w:line="480" w:lineRule="auto"/>
        <w:jc w:val="both"/>
        <w:outlineLvl w:val="1"/>
        <w:rPr>
          <w:rFonts w:ascii="Times New Roman" w:hAnsi="Times New Roman" w:eastAsia="宋体" w:cs="Times New Roman"/>
          <w:b/>
          <w:kern w:val="0"/>
          <w:sz w:val="24"/>
          <w:szCs w:val="21"/>
          <w:highlight w:val="none"/>
          <w:lang w:val="en-US" w:eastAsia="zh-CN" w:bidi="ar-SA"/>
        </w:rPr>
      </w:pPr>
      <w:bookmarkStart w:id="446" w:name="_Toc32124"/>
      <w:r>
        <w:rPr>
          <w:rFonts w:hint="eastAsia" w:ascii="Times New Roman" w:hAnsi="Times New Roman" w:eastAsia="宋体" w:cs="Times New Roman"/>
          <w:b/>
          <w:kern w:val="0"/>
          <w:sz w:val="24"/>
          <w:szCs w:val="21"/>
          <w:highlight w:val="none"/>
          <w:lang w:val="en-US" w:eastAsia="zh-CN" w:bidi="ar-SA"/>
        </w:rPr>
        <w:t>设备制造与安装技术要求</w:t>
      </w:r>
      <w:bookmarkEnd w:id="446"/>
    </w:p>
    <w:p>
      <w:pPr>
        <w:keepNext/>
        <w:keepLines/>
        <w:widowControl w:val="0"/>
        <w:numPr>
          <w:ilvl w:val="0"/>
          <w:numId w:val="46"/>
        </w:numPr>
        <w:spacing w:line="480" w:lineRule="auto"/>
        <w:ind w:left="420" w:hanging="420"/>
        <w:jc w:val="both"/>
        <w:outlineLvl w:val="2"/>
        <w:rPr>
          <w:rFonts w:ascii="Times New Roman" w:hAnsi="Times New Roman" w:eastAsia="宋体" w:cs="Times New Roman"/>
          <w:b/>
          <w:bCs/>
          <w:kern w:val="2"/>
          <w:sz w:val="21"/>
          <w:szCs w:val="32"/>
          <w:highlight w:val="none"/>
          <w:lang w:val="en-US" w:eastAsia="zh-CN" w:bidi="ar-SA"/>
        </w:rPr>
      </w:pPr>
      <w:r>
        <w:rPr>
          <w:rFonts w:hint="eastAsia" w:ascii="Times New Roman" w:hAnsi="Times New Roman" w:eastAsia="宋体" w:cs="Times New Roman"/>
          <w:b/>
          <w:bCs/>
          <w:kern w:val="2"/>
          <w:sz w:val="21"/>
          <w:szCs w:val="32"/>
          <w:highlight w:val="none"/>
          <w:lang w:val="en-US" w:eastAsia="zh-CN" w:bidi="ar-SA"/>
        </w:rPr>
        <w:t>材质要求和表面抛光要求</w:t>
      </w:r>
    </w:p>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--与产品接触部件的材料和表面抛光</w:t>
      </w:r>
    </w:p>
    <w:tbl>
      <w:tblPr>
        <w:tblStyle w:val="32"/>
        <w:tblW w:w="0" w:type="auto"/>
        <w:tblInd w:w="637" w:type="dxa"/>
        <w:tblLayout w:type="fixed"/>
        <w:tblCellMar>
          <w:top w:w="28" w:type="dxa"/>
          <w:left w:w="70" w:type="dxa"/>
          <w:bottom w:w="28" w:type="dxa"/>
          <w:right w:w="70" w:type="dxa"/>
        </w:tblCellMar>
      </w:tblPr>
      <w:tblGrid>
        <w:gridCol w:w="1134"/>
        <w:gridCol w:w="6663"/>
      </w:tblGrid>
      <w:tr>
        <w:tc>
          <w:tcPr>
            <w:tcW w:w="1134" w:type="dxa"/>
            <w:tcBorders>
              <w:top w:val="single" w:color="auto" w:sz="4" w:space="0"/>
              <w:left w:val="single" w:color="auto" w:sz="4" w:space="0"/>
              <w:bottom w:val="single" w:color="auto" w:sz="4" w:space="0"/>
              <w:right w:val="single" w:color="auto" w:sz="4" w:space="0"/>
            </w:tcBorders>
            <w:noWrap w:val="0"/>
            <w:vAlign w:val="center"/>
          </w:tcPr>
          <w:p>
            <w:pPr>
              <w:jc w:val="cente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1</w:t>
            </w:r>
          </w:p>
        </w:tc>
        <w:tc>
          <w:tcPr>
            <w:tcW w:w="6663" w:type="dxa"/>
            <w:tcBorders>
              <w:top w:val="single" w:color="auto" w:sz="4" w:space="0"/>
              <w:left w:val="single" w:color="auto" w:sz="4" w:space="0"/>
              <w:bottom w:val="single" w:color="auto" w:sz="4" w:space="0"/>
              <w:right w:val="single" w:color="auto" w:sz="4" w:space="0"/>
            </w:tcBorders>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自原水罐到RO前，全部用304储罐，多介质罐和软化罐、活性碳罐内加防腐涂层。反渗透膜后和产品直接接触的所有部件用不锈钢SS304，内表面抛光至Ra≤0.4</w:t>
            </w:r>
            <w:r>
              <w:rPr>
                <w:rFonts w:hint="eastAsia" w:ascii="Times New Roman" w:hAnsi="Times New Roman" w:eastAsia="宋体" w:cs="Times New Roman"/>
                <w:kern w:val="2"/>
                <w:sz w:val="21"/>
                <w:szCs w:val="22"/>
                <w:highlight w:val="none"/>
                <w:lang w:val="en-US" w:eastAsia="zh-CN" w:bidi="ar-SA"/>
              </w:rPr>
              <w:sym w:font="Symbol" w:char="F06D"/>
            </w:r>
            <w:r>
              <w:rPr>
                <w:rFonts w:hint="eastAsia" w:ascii="Times New Roman" w:hAnsi="Times New Roman" w:eastAsia="宋体" w:cs="Times New Roman"/>
                <w:kern w:val="2"/>
                <w:sz w:val="21"/>
                <w:szCs w:val="22"/>
                <w:highlight w:val="none"/>
                <w:lang w:val="en-US" w:eastAsia="zh-CN" w:bidi="ar-SA"/>
              </w:rPr>
              <w:t>m，外表面Ra≤0.8</w:t>
            </w:r>
            <w:r>
              <w:rPr>
                <w:rFonts w:hint="eastAsia" w:ascii="Times New Roman" w:hAnsi="Times New Roman" w:eastAsia="宋体" w:cs="Times New Roman"/>
                <w:kern w:val="2"/>
                <w:sz w:val="21"/>
                <w:szCs w:val="22"/>
                <w:highlight w:val="none"/>
                <w:lang w:val="en-US" w:eastAsia="zh-CN" w:bidi="ar-SA"/>
              </w:rPr>
              <w:sym w:font="Symbol" w:char="F06D"/>
            </w:r>
            <w:r>
              <w:rPr>
                <w:rFonts w:hint="eastAsia" w:ascii="Times New Roman" w:hAnsi="Times New Roman" w:eastAsia="宋体" w:cs="Times New Roman"/>
                <w:kern w:val="2"/>
                <w:sz w:val="21"/>
                <w:szCs w:val="22"/>
                <w:highlight w:val="none"/>
                <w:lang w:val="en-US" w:eastAsia="zh-CN" w:bidi="ar-SA"/>
              </w:rPr>
              <w:t>m</w:t>
            </w:r>
          </w:p>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外表面抛Ra≤0.8</w:t>
            </w:r>
            <w:r>
              <w:rPr>
                <w:rFonts w:hint="eastAsia" w:ascii="Times New Roman" w:hAnsi="Times New Roman" w:eastAsia="宋体" w:cs="Times New Roman"/>
                <w:kern w:val="2"/>
                <w:sz w:val="21"/>
                <w:szCs w:val="22"/>
                <w:highlight w:val="none"/>
                <w:lang w:val="en-US" w:eastAsia="zh-CN" w:bidi="ar-SA"/>
              </w:rPr>
              <w:sym w:font="Symbol" w:char="F06D"/>
            </w:r>
            <w:r>
              <w:rPr>
                <w:rFonts w:hint="eastAsia" w:ascii="Times New Roman" w:hAnsi="Times New Roman" w:eastAsia="宋体" w:cs="Times New Roman"/>
                <w:kern w:val="2"/>
                <w:sz w:val="21"/>
                <w:szCs w:val="22"/>
                <w:highlight w:val="none"/>
                <w:lang w:val="en-US" w:eastAsia="zh-CN" w:bidi="ar-SA"/>
              </w:rPr>
              <w:t>m,焊口抛光Ra≤1.0</w:t>
            </w:r>
            <w:r>
              <w:rPr>
                <w:rFonts w:hint="eastAsia" w:ascii="Times New Roman" w:hAnsi="Times New Roman" w:eastAsia="宋体" w:cs="Times New Roman"/>
                <w:kern w:val="2"/>
                <w:sz w:val="21"/>
                <w:szCs w:val="22"/>
                <w:highlight w:val="none"/>
                <w:lang w:val="en-US" w:eastAsia="zh-CN" w:bidi="ar-SA"/>
              </w:rPr>
              <w:sym w:font="Symbol" w:char="F06D"/>
            </w:r>
            <w:r>
              <w:rPr>
                <w:rFonts w:hint="eastAsia" w:ascii="Times New Roman" w:hAnsi="Times New Roman" w:eastAsia="宋体" w:cs="Times New Roman"/>
                <w:kern w:val="2"/>
                <w:sz w:val="21"/>
                <w:szCs w:val="22"/>
                <w:highlight w:val="none"/>
                <w:lang w:val="en-US" w:eastAsia="zh-CN" w:bidi="ar-SA"/>
              </w:rPr>
              <w:t>m</w:t>
            </w:r>
            <w:r>
              <w:rPr>
                <w:rFonts w:hint="eastAsia" w:ascii="Times New Roman" w:hAnsi="Times New Roman" w:eastAsia="宋体" w:cs="Times New Roman"/>
                <w:kern w:val="2"/>
                <w:sz w:val="21"/>
                <w:szCs w:val="22"/>
                <w:highlight w:val="none"/>
                <w:lang w:val="en-US" w:eastAsia="zh-CN" w:bidi="ar-SA"/>
              </w:rPr>
              <w:tab/>
            </w:r>
            <w:r>
              <w:rPr>
                <w:rFonts w:hint="eastAsia" w:ascii="Times New Roman" w:hAnsi="Times New Roman" w:eastAsia="宋体" w:cs="Times New Roman"/>
                <w:kern w:val="2"/>
                <w:sz w:val="21"/>
                <w:szCs w:val="22"/>
                <w:highlight w:val="none"/>
                <w:lang w:val="en-US" w:eastAsia="zh-CN" w:bidi="ar-SA"/>
              </w:rPr>
              <w:t>。</w:t>
            </w:r>
          </w:p>
        </w:tc>
      </w:tr>
      <w:tr>
        <w:tblPrEx>
          <w:tblCellMar>
            <w:top w:w="28" w:type="dxa"/>
            <w:left w:w="70" w:type="dxa"/>
            <w:bottom w:w="28" w:type="dxa"/>
            <w:right w:w="70" w:type="dxa"/>
          </w:tblCellMar>
        </w:tblPrEx>
        <w:tc>
          <w:tcPr>
            <w:tcW w:w="1134" w:type="dxa"/>
            <w:tcBorders>
              <w:top w:val="single" w:color="auto" w:sz="4" w:space="0"/>
              <w:left w:val="single" w:color="auto" w:sz="4" w:space="0"/>
              <w:bottom w:val="single" w:color="auto" w:sz="4" w:space="0"/>
              <w:right w:val="single" w:color="auto" w:sz="4" w:space="0"/>
            </w:tcBorders>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2</w:t>
            </w:r>
          </w:p>
        </w:tc>
        <w:tc>
          <w:tcPr>
            <w:tcW w:w="6663" w:type="dxa"/>
            <w:tcBorders>
              <w:top w:val="single" w:color="auto" w:sz="4" w:space="0"/>
              <w:left w:val="single" w:color="auto" w:sz="4" w:space="0"/>
              <w:bottom w:val="single" w:color="auto" w:sz="4" w:space="0"/>
              <w:right w:val="single" w:color="auto" w:sz="4" w:space="0"/>
            </w:tcBorders>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机架用304不锈钢方管制成，表面钝化成非镜面。</w:t>
            </w:r>
          </w:p>
        </w:tc>
      </w:tr>
    </w:tbl>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--和产物不接触部分原料和表面抛光</w:t>
      </w:r>
    </w:p>
    <w:tbl>
      <w:tblPr>
        <w:tblStyle w:val="32"/>
        <w:tblW w:w="0" w:type="auto"/>
        <w:tblInd w:w="63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70" w:type="dxa"/>
          <w:bottom w:w="28" w:type="dxa"/>
          <w:right w:w="70" w:type="dxa"/>
        </w:tblCellMar>
      </w:tblPr>
      <w:tblGrid>
        <w:gridCol w:w="1134"/>
        <w:gridCol w:w="66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70" w:type="dxa"/>
            <w:bottom w:w="28" w:type="dxa"/>
            <w:right w:w="70" w:type="dxa"/>
          </w:tblCellMar>
        </w:tblPrEx>
        <w:tc>
          <w:tcPr>
            <w:tcW w:w="1134" w:type="dxa"/>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1</w:t>
            </w:r>
          </w:p>
        </w:tc>
        <w:tc>
          <w:tcPr>
            <w:tcW w:w="6663" w:type="dxa"/>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与产物不接触而与供水，公共设施等接触的材料为不锈钢304</w:t>
            </w:r>
          </w:p>
        </w:tc>
      </w:tr>
    </w:tbl>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--外表面抛光和材质</w:t>
      </w:r>
    </w:p>
    <w:tbl>
      <w:tblPr>
        <w:tblStyle w:val="32"/>
        <w:tblW w:w="0" w:type="auto"/>
        <w:tblInd w:w="637" w:type="dxa"/>
        <w:tblLayout w:type="fixed"/>
        <w:tblCellMar>
          <w:top w:w="28" w:type="dxa"/>
          <w:left w:w="70" w:type="dxa"/>
          <w:bottom w:w="28" w:type="dxa"/>
          <w:right w:w="70" w:type="dxa"/>
        </w:tblCellMar>
      </w:tblPr>
      <w:tblGrid>
        <w:gridCol w:w="1134"/>
        <w:gridCol w:w="6663"/>
      </w:tblGrid>
      <w:tr>
        <w:tblPrEx>
          <w:tblCellMar>
            <w:top w:w="28" w:type="dxa"/>
            <w:left w:w="70" w:type="dxa"/>
            <w:bottom w:w="28" w:type="dxa"/>
            <w:right w:w="70" w:type="dxa"/>
          </w:tblCellMar>
        </w:tblPrEx>
        <w:tc>
          <w:tcPr>
            <w:tcW w:w="1134" w:type="dxa"/>
            <w:tcBorders>
              <w:top w:val="single" w:color="auto" w:sz="4" w:space="0"/>
              <w:left w:val="single" w:color="auto" w:sz="4" w:space="0"/>
              <w:bottom w:val="single" w:color="auto" w:sz="4" w:space="0"/>
              <w:right w:val="single" w:color="auto" w:sz="4" w:space="0"/>
            </w:tcBorders>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1</w:t>
            </w:r>
          </w:p>
        </w:tc>
        <w:tc>
          <w:tcPr>
            <w:tcW w:w="6663" w:type="dxa"/>
            <w:tcBorders>
              <w:top w:val="single" w:color="auto" w:sz="4" w:space="0"/>
              <w:left w:val="single" w:color="auto" w:sz="4" w:space="0"/>
              <w:bottom w:val="single" w:color="auto" w:sz="4" w:space="0"/>
              <w:right w:val="single" w:color="auto" w:sz="4" w:space="0"/>
            </w:tcBorders>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所有项目材料为耐用型，外表面抛Ra≤0.8</w:t>
            </w:r>
            <w:r>
              <w:rPr>
                <w:rFonts w:hint="eastAsia" w:ascii="Times New Roman" w:hAnsi="Times New Roman" w:eastAsia="宋体" w:cs="Times New Roman"/>
                <w:kern w:val="2"/>
                <w:sz w:val="21"/>
                <w:szCs w:val="22"/>
                <w:highlight w:val="none"/>
                <w:lang w:val="en-US" w:eastAsia="zh-CN" w:bidi="ar-SA"/>
              </w:rPr>
              <w:sym w:font="Symbol" w:char="F06D"/>
            </w:r>
            <w:r>
              <w:rPr>
                <w:rFonts w:hint="eastAsia" w:ascii="Times New Roman" w:hAnsi="Times New Roman" w:eastAsia="宋体" w:cs="Times New Roman"/>
                <w:kern w:val="2"/>
                <w:sz w:val="21"/>
                <w:szCs w:val="22"/>
                <w:highlight w:val="none"/>
                <w:lang w:val="en-US" w:eastAsia="zh-CN" w:bidi="ar-SA"/>
              </w:rPr>
              <w:t>m,焊口抛Ra≤1.0</w:t>
            </w:r>
            <w:r>
              <w:rPr>
                <w:rFonts w:hint="eastAsia" w:ascii="Times New Roman" w:hAnsi="Times New Roman" w:eastAsia="宋体" w:cs="Times New Roman"/>
                <w:kern w:val="2"/>
                <w:sz w:val="21"/>
                <w:szCs w:val="22"/>
                <w:highlight w:val="none"/>
                <w:lang w:val="en-US" w:eastAsia="zh-CN" w:bidi="ar-SA"/>
              </w:rPr>
              <w:sym w:font="Symbol" w:char="F06D"/>
            </w:r>
            <w:r>
              <w:rPr>
                <w:rFonts w:hint="eastAsia" w:ascii="Times New Roman" w:hAnsi="Times New Roman" w:eastAsia="宋体" w:cs="Times New Roman"/>
                <w:kern w:val="2"/>
                <w:sz w:val="21"/>
                <w:szCs w:val="22"/>
                <w:highlight w:val="none"/>
                <w:lang w:val="en-US" w:eastAsia="zh-CN" w:bidi="ar-SA"/>
              </w:rPr>
              <w:t>m。</w:t>
            </w:r>
          </w:p>
        </w:tc>
      </w:tr>
      <w:tr>
        <w:tblPrEx>
          <w:tblCellMar>
            <w:top w:w="28" w:type="dxa"/>
            <w:left w:w="70" w:type="dxa"/>
            <w:bottom w:w="28" w:type="dxa"/>
            <w:right w:w="70" w:type="dxa"/>
          </w:tblCellMar>
        </w:tblPrEx>
        <w:tc>
          <w:tcPr>
            <w:tcW w:w="1134" w:type="dxa"/>
            <w:tcBorders>
              <w:top w:val="single" w:color="auto" w:sz="4" w:space="0"/>
              <w:left w:val="single" w:color="auto" w:sz="4" w:space="0"/>
              <w:bottom w:val="single" w:color="auto" w:sz="4" w:space="0"/>
              <w:right w:val="single" w:color="auto" w:sz="4" w:space="0"/>
            </w:tcBorders>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2</w:t>
            </w:r>
          </w:p>
        </w:tc>
        <w:tc>
          <w:tcPr>
            <w:tcW w:w="6663" w:type="dxa"/>
            <w:tcBorders>
              <w:top w:val="single" w:color="auto" w:sz="4" w:space="0"/>
              <w:left w:val="single" w:color="auto" w:sz="4" w:space="0"/>
              <w:bottom w:val="single" w:color="auto" w:sz="4" w:space="0"/>
              <w:right w:val="single" w:color="auto" w:sz="4" w:space="0"/>
            </w:tcBorders>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外表面易于清理。耐水擦洗。</w:t>
            </w:r>
          </w:p>
        </w:tc>
      </w:tr>
    </w:tbl>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--非金属原料</w:t>
      </w:r>
    </w:p>
    <w:tbl>
      <w:tblPr>
        <w:tblStyle w:val="32"/>
        <w:tblW w:w="0" w:type="auto"/>
        <w:tblInd w:w="63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70" w:type="dxa"/>
          <w:bottom w:w="28" w:type="dxa"/>
          <w:right w:w="70" w:type="dxa"/>
        </w:tblCellMar>
      </w:tblPr>
      <w:tblGrid>
        <w:gridCol w:w="1134"/>
        <w:gridCol w:w="66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134" w:type="dxa"/>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1</w:t>
            </w:r>
          </w:p>
        </w:tc>
        <w:tc>
          <w:tcPr>
            <w:tcW w:w="6663" w:type="dxa"/>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反渗透膜后直接和产品水接触的人造橡胶依据GMP要求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70" w:type="dxa"/>
            <w:bottom w:w="28" w:type="dxa"/>
            <w:right w:w="70" w:type="dxa"/>
          </w:tblCellMar>
        </w:tblPrEx>
        <w:tc>
          <w:tcPr>
            <w:tcW w:w="1134" w:type="dxa"/>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2</w:t>
            </w:r>
          </w:p>
        </w:tc>
        <w:tc>
          <w:tcPr>
            <w:tcW w:w="6663" w:type="dxa"/>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所有非金属原料为耐用型并可承受70%酒精和清洁剂。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70" w:type="dxa"/>
            <w:bottom w:w="28" w:type="dxa"/>
            <w:right w:w="70" w:type="dxa"/>
          </w:tblCellMar>
        </w:tblPrEx>
        <w:tc>
          <w:tcPr>
            <w:tcW w:w="1134" w:type="dxa"/>
            <w:noWrap w:val="0"/>
            <w:vAlign w:val="center"/>
          </w:tcPr>
          <w:p>
            <w:pPr>
              <w:jc w:val="cente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3</w:t>
            </w:r>
          </w:p>
        </w:tc>
        <w:tc>
          <w:tcPr>
            <w:tcW w:w="6663" w:type="dxa"/>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反渗透膜后衬垫，震动膜和O型环等和产物接触的部件为PTFE，EPDM或硅树脂。</w:t>
            </w:r>
          </w:p>
        </w:tc>
      </w:tr>
    </w:tbl>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--电气材料</w:t>
      </w:r>
    </w:p>
    <w:tbl>
      <w:tblPr>
        <w:tblStyle w:val="32"/>
        <w:tblW w:w="0" w:type="auto"/>
        <w:tblInd w:w="63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70" w:type="dxa"/>
          <w:bottom w:w="28" w:type="dxa"/>
          <w:right w:w="70" w:type="dxa"/>
        </w:tblCellMar>
      </w:tblPr>
      <w:tblGrid>
        <w:gridCol w:w="1134"/>
        <w:gridCol w:w="66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70" w:type="dxa"/>
            <w:bottom w:w="28" w:type="dxa"/>
            <w:right w:w="70" w:type="dxa"/>
          </w:tblCellMar>
        </w:tblPrEx>
        <w:tc>
          <w:tcPr>
            <w:tcW w:w="1134" w:type="dxa"/>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1</w:t>
            </w:r>
          </w:p>
        </w:tc>
        <w:tc>
          <w:tcPr>
            <w:tcW w:w="6663" w:type="dxa"/>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项目的绝缘由厂商</w:t>
            </w:r>
            <w:r>
              <w:rPr>
                <w:rFonts w:hint="eastAsia" w:ascii="Times New Roman" w:hAnsi="Times New Roman" w:eastAsia="宋体" w:cs="Arial"/>
                <w:kern w:val="2"/>
                <w:sz w:val="21"/>
                <w:szCs w:val="21"/>
                <w:highlight w:val="none"/>
                <w:lang w:val="en-US" w:eastAsia="zh-CN" w:bidi="ar-SA"/>
              </w:rPr>
              <w:t>供货时随产品</w:t>
            </w:r>
            <w:r>
              <w:rPr>
                <w:rFonts w:hint="eastAsia" w:ascii="Times New Roman" w:hAnsi="Times New Roman" w:eastAsia="宋体" w:cs="Times New Roman"/>
                <w:kern w:val="2"/>
                <w:sz w:val="21"/>
                <w:szCs w:val="22"/>
                <w:highlight w:val="none"/>
                <w:lang w:val="en-US" w:eastAsia="zh-CN" w:bidi="ar-SA"/>
              </w:rPr>
              <w:t>提供说明，血液透析用制水设备的电气要求应符合GB9706.1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70" w:type="dxa"/>
            <w:bottom w:w="28" w:type="dxa"/>
            <w:right w:w="70" w:type="dxa"/>
          </w:tblCellMar>
        </w:tblPrEx>
        <w:tc>
          <w:tcPr>
            <w:tcW w:w="1134" w:type="dxa"/>
            <w:noWrap w:val="0"/>
            <w:vAlign w:val="center"/>
          </w:tcPr>
          <w:p>
            <w:pPr>
              <w:jc w:val="cente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2</w:t>
            </w:r>
          </w:p>
        </w:tc>
        <w:tc>
          <w:tcPr>
            <w:tcW w:w="6663" w:type="dxa"/>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12寸触摸屏。配同级品牌之控制组件。</w:t>
            </w:r>
          </w:p>
        </w:tc>
      </w:tr>
    </w:tbl>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--标记和铭牌材料</w:t>
      </w:r>
    </w:p>
    <w:tbl>
      <w:tblPr>
        <w:tblStyle w:val="32"/>
        <w:tblW w:w="0" w:type="auto"/>
        <w:tblInd w:w="63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70" w:type="dxa"/>
          <w:bottom w:w="28" w:type="dxa"/>
          <w:right w:w="70" w:type="dxa"/>
        </w:tblCellMar>
      </w:tblPr>
      <w:tblGrid>
        <w:gridCol w:w="1134"/>
        <w:gridCol w:w="66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70" w:type="dxa"/>
            <w:bottom w:w="28" w:type="dxa"/>
            <w:right w:w="70" w:type="dxa"/>
          </w:tblCellMar>
        </w:tblPrEx>
        <w:tc>
          <w:tcPr>
            <w:tcW w:w="1134" w:type="dxa"/>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1</w:t>
            </w:r>
          </w:p>
        </w:tc>
        <w:tc>
          <w:tcPr>
            <w:tcW w:w="6663" w:type="dxa"/>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所有项目用到的原料为耐用型并能承受70%酒精和清洁剂,相关指示在项目上有显眼标识。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134" w:type="dxa"/>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2</w:t>
            </w:r>
          </w:p>
        </w:tc>
        <w:tc>
          <w:tcPr>
            <w:tcW w:w="6663" w:type="dxa"/>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标记和铭牌用蓝底白字防水标牌。</w:t>
            </w:r>
          </w:p>
        </w:tc>
      </w:tr>
    </w:tbl>
    <w:p>
      <w:pPr>
        <w:rPr>
          <w:rFonts w:ascii="Times New Roman" w:hAnsi="Times New Roman" w:eastAsia="宋体" w:cs="Times New Roman"/>
          <w:kern w:val="2"/>
          <w:sz w:val="21"/>
          <w:szCs w:val="22"/>
          <w:highlight w:val="none"/>
          <w:lang w:val="en-US" w:eastAsia="zh-CN" w:bidi="ar-SA"/>
        </w:rPr>
      </w:pPr>
    </w:p>
    <w:p>
      <w:pPr>
        <w:keepNext/>
        <w:keepLines/>
        <w:widowControl w:val="0"/>
        <w:numPr>
          <w:ilvl w:val="0"/>
          <w:numId w:val="40"/>
        </w:numPr>
        <w:spacing w:line="480" w:lineRule="auto"/>
        <w:jc w:val="both"/>
        <w:outlineLvl w:val="2"/>
        <w:rPr>
          <w:rFonts w:ascii="Times New Roman" w:hAnsi="Times New Roman" w:eastAsia="宋体" w:cs="Times New Roman"/>
          <w:b/>
          <w:bCs/>
          <w:kern w:val="2"/>
          <w:sz w:val="21"/>
          <w:szCs w:val="32"/>
          <w:highlight w:val="none"/>
          <w:lang w:val="en-US" w:eastAsia="zh-CN" w:bidi="ar-SA"/>
        </w:rPr>
      </w:pPr>
      <w:r>
        <w:rPr>
          <w:rFonts w:hint="eastAsia" w:ascii="Times New Roman" w:hAnsi="Times New Roman" w:eastAsia="宋体" w:cs="Times New Roman"/>
          <w:b/>
          <w:bCs/>
          <w:kern w:val="2"/>
          <w:sz w:val="21"/>
          <w:szCs w:val="32"/>
          <w:highlight w:val="none"/>
          <w:lang w:val="en-US" w:eastAsia="zh-CN" w:bidi="ar-SA"/>
        </w:rPr>
        <w:t>结构要求</w:t>
      </w:r>
    </w:p>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--概述</w:t>
      </w:r>
    </w:p>
    <w:tbl>
      <w:tblPr>
        <w:tblStyle w:val="32"/>
        <w:tblW w:w="0" w:type="auto"/>
        <w:tblInd w:w="63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70" w:type="dxa"/>
          <w:bottom w:w="28" w:type="dxa"/>
          <w:right w:w="70" w:type="dxa"/>
        </w:tblCellMar>
      </w:tblPr>
      <w:tblGrid>
        <w:gridCol w:w="1134"/>
        <w:gridCol w:w="66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70" w:type="dxa"/>
            <w:bottom w:w="28" w:type="dxa"/>
            <w:right w:w="70" w:type="dxa"/>
          </w:tblCellMar>
        </w:tblPrEx>
        <w:tc>
          <w:tcPr>
            <w:tcW w:w="1134" w:type="dxa"/>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1</w:t>
            </w:r>
          </w:p>
        </w:tc>
        <w:tc>
          <w:tcPr>
            <w:tcW w:w="6663" w:type="dxa"/>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纯水主机为落地式可调固定架，应接地。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70" w:type="dxa"/>
            <w:bottom w:w="28" w:type="dxa"/>
            <w:right w:w="70" w:type="dxa"/>
          </w:tblCellMar>
        </w:tblPrEx>
        <w:tc>
          <w:tcPr>
            <w:tcW w:w="1134" w:type="dxa"/>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2</w:t>
            </w:r>
          </w:p>
        </w:tc>
        <w:tc>
          <w:tcPr>
            <w:tcW w:w="6663" w:type="dxa"/>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除水箱外所有单元集成在一起。要求仪表柜置于RO主机机架上，成套柜置于控制室或指定位置内。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70" w:type="dxa"/>
            <w:bottom w:w="28" w:type="dxa"/>
            <w:right w:w="70" w:type="dxa"/>
          </w:tblCellMar>
        </w:tblPrEx>
        <w:tc>
          <w:tcPr>
            <w:tcW w:w="1134" w:type="dxa"/>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3</w:t>
            </w:r>
          </w:p>
        </w:tc>
        <w:tc>
          <w:tcPr>
            <w:tcW w:w="6663" w:type="dxa"/>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纯化水机装备有减压装置。压力释放到安全地方。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70" w:type="dxa"/>
            <w:bottom w:w="28" w:type="dxa"/>
            <w:right w:w="70" w:type="dxa"/>
          </w:tblCellMar>
        </w:tblPrEx>
        <w:tc>
          <w:tcPr>
            <w:tcW w:w="1134" w:type="dxa"/>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4</w:t>
            </w:r>
          </w:p>
        </w:tc>
        <w:tc>
          <w:tcPr>
            <w:tcW w:w="6663" w:type="dxa"/>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所有和纯化水接触的连接处优先采用焊接，不用能采用丝扣连接结构。</w:t>
            </w:r>
          </w:p>
        </w:tc>
      </w:tr>
    </w:tbl>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--管道</w:t>
      </w:r>
    </w:p>
    <w:tbl>
      <w:tblPr>
        <w:tblStyle w:val="32"/>
        <w:tblW w:w="0" w:type="auto"/>
        <w:tblInd w:w="63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70" w:type="dxa"/>
          <w:bottom w:w="28" w:type="dxa"/>
          <w:right w:w="70" w:type="dxa"/>
        </w:tblCellMar>
      </w:tblPr>
      <w:tblGrid>
        <w:gridCol w:w="1134"/>
        <w:gridCol w:w="66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70" w:type="dxa"/>
            <w:bottom w:w="28" w:type="dxa"/>
            <w:right w:w="70" w:type="dxa"/>
          </w:tblCellMar>
        </w:tblPrEx>
        <w:tc>
          <w:tcPr>
            <w:tcW w:w="1134" w:type="dxa"/>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1</w:t>
            </w:r>
          </w:p>
        </w:tc>
        <w:tc>
          <w:tcPr>
            <w:tcW w:w="6663" w:type="dxa"/>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从项目排出的各式液体在机架内汇总后接入排水沟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70" w:type="dxa"/>
            <w:bottom w:w="28" w:type="dxa"/>
            <w:right w:w="70" w:type="dxa"/>
          </w:tblCellMar>
        </w:tblPrEx>
        <w:tc>
          <w:tcPr>
            <w:tcW w:w="1134" w:type="dxa"/>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2</w:t>
            </w:r>
          </w:p>
        </w:tc>
        <w:tc>
          <w:tcPr>
            <w:tcW w:w="6663" w:type="dxa"/>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在排水管道上有50mm左右的空隙来保证不会虹吸。</w:t>
            </w:r>
          </w:p>
        </w:tc>
      </w:tr>
    </w:tbl>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--卫生设计</w:t>
      </w:r>
    </w:p>
    <w:tbl>
      <w:tblPr>
        <w:tblStyle w:val="32"/>
        <w:tblW w:w="0" w:type="auto"/>
        <w:tblInd w:w="63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70" w:type="dxa"/>
          <w:bottom w:w="28" w:type="dxa"/>
          <w:right w:w="70" w:type="dxa"/>
        </w:tblCellMar>
      </w:tblPr>
      <w:tblGrid>
        <w:gridCol w:w="1134"/>
        <w:gridCol w:w="66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134" w:type="dxa"/>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1</w:t>
            </w:r>
          </w:p>
        </w:tc>
        <w:tc>
          <w:tcPr>
            <w:tcW w:w="6663" w:type="dxa"/>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在机器和地板之间有多于150mm的空间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70" w:type="dxa"/>
            <w:bottom w:w="28" w:type="dxa"/>
            <w:right w:w="70" w:type="dxa"/>
          </w:tblCellMar>
        </w:tblPrEx>
        <w:tc>
          <w:tcPr>
            <w:tcW w:w="1134" w:type="dxa"/>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2</w:t>
            </w:r>
          </w:p>
        </w:tc>
        <w:tc>
          <w:tcPr>
            <w:tcW w:w="6663" w:type="dxa"/>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距周围墙壁至少500mm空间</w:t>
            </w:r>
          </w:p>
        </w:tc>
      </w:tr>
    </w:tbl>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--保温</w:t>
      </w:r>
    </w:p>
    <w:tbl>
      <w:tblPr>
        <w:tblStyle w:val="32"/>
        <w:tblW w:w="0" w:type="auto"/>
        <w:tblInd w:w="637" w:type="dxa"/>
        <w:tblLayout w:type="fixed"/>
        <w:tblCellMar>
          <w:top w:w="28" w:type="dxa"/>
          <w:left w:w="70" w:type="dxa"/>
          <w:bottom w:w="28" w:type="dxa"/>
          <w:right w:w="70" w:type="dxa"/>
        </w:tblCellMar>
      </w:tblPr>
      <w:tblGrid>
        <w:gridCol w:w="1134"/>
        <w:gridCol w:w="6663"/>
      </w:tblGrid>
      <w:tr>
        <w:tc>
          <w:tcPr>
            <w:tcW w:w="1134" w:type="dxa"/>
            <w:tcBorders>
              <w:top w:val="single" w:color="auto" w:sz="4" w:space="0"/>
              <w:left w:val="single" w:color="auto" w:sz="4" w:space="0"/>
              <w:bottom w:val="single" w:color="auto" w:sz="4" w:space="0"/>
              <w:right w:val="single" w:color="auto" w:sz="4" w:space="0"/>
            </w:tcBorders>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1</w:t>
            </w:r>
          </w:p>
        </w:tc>
        <w:tc>
          <w:tcPr>
            <w:tcW w:w="6663" w:type="dxa"/>
            <w:tcBorders>
              <w:top w:val="single" w:color="auto" w:sz="4" w:space="0"/>
              <w:left w:val="single" w:color="auto" w:sz="4" w:space="0"/>
              <w:bottom w:val="single" w:color="auto" w:sz="4" w:space="0"/>
              <w:right w:val="single" w:color="auto" w:sz="4" w:space="0"/>
            </w:tcBorders>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所有可能引起人员伤害的冷热表面，必须保温或采用适当方式保护</w:t>
            </w:r>
          </w:p>
        </w:tc>
      </w:tr>
      <w:tr>
        <w:tblPrEx>
          <w:tblCellMar>
            <w:top w:w="28" w:type="dxa"/>
            <w:left w:w="70" w:type="dxa"/>
            <w:bottom w:w="28" w:type="dxa"/>
            <w:right w:w="70" w:type="dxa"/>
          </w:tblCellMar>
        </w:tblPrEx>
        <w:tc>
          <w:tcPr>
            <w:tcW w:w="1134" w:type="dxa"/>
            <w:tcBorders>
              <w:top w:val="single" w:color="auto" w:sz="4" w:space="0"/>
              <w:left w:val="single" w:color="auto" w:sz="4" w:space="0"/>
              <w:bottom w:val="single" w:color="auto" w:sz="4" w:space="0"/>
              <w:right w:val="single" w:color="auto" w:sz="4" w:space="0"/>
            </w:tcBorders>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2</w:t>
            </w:r>
          </w:p>
        </w:tc>
        <w:tc>
          <w:tcPr>
            <w:tcW w:w="6663" w:type="dxa"/>
            <w:tcBorders>
              <w:top w:val="single" w:color="auto" w:sz="4" w:space="0"/>
              <w:left w:val="single" w:color="auto" w:sz="4" w:space="0"/>
              <w:bottom w:val="single" w:color="auto" w:sz="4" w:space="0"/>
              <w:right w:val="single" w:color="auto" w:sz="4" w:space="0"/>
            </w:tcBorders>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厂商详细说明血透水机最大运行温度时的散热量。</w:t>
            </w:r>
          </w:p>
        </w:tc>
      </w:tr>
    </w:tbl>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--项目铭牌安装</w:t>
      </w:r>
    </w:p>
    <w:tbl>
      <w:tblPr>
        <w:tblStyle w:val="32"/>
        <w:tblW w:w="0" w:type="auto"/>
        <w:tblInd w:w="63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70" w:type="dxa"/>
          <w:bottom w:w="28" w:type="dxa"/>
          <w:right w:w="70" w:type="dxa"/>
        </w:tblCellMar>
      </w:tblPr>
      <w:tblGrid>
        <w:gridCol w:w="1134"/>
        <w:gridCol w:w="66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134" w:type="dxa"/>
            <w:noWrap w:val="0"/>
            <w:vAlign w:val="center"/>
          </w:tcPr>
          <w:p>
            <w:pPr>
              <w:jc w:val="cente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1</w:t>
            </w:r>
          </w:p>
        </w:tc>
        <w:tc>
          <w:tcPr>
            <w:tcW w:w="6663" w:type="dxa"/>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铭牌固定安装在机架操作面，应该至少包含以下信息：买方</w:t>
            </w:r>
            <w:r>
              <w:rPr>
                <w:rFonts w:hint="eastAsia" w:ascii="Times New Roman" w:hAnsi="Times New Roman" w:eastAsia="宋体" w:cs="Arial"/>
                <w:kern w:val="2"/>
                <w:sz w:val="21"/>
                <w:szCs w:val="21"/>
                <w:highlight w:val="none"/>
                <w:lang w:val="en-US" w:eastAsia="zh-CN" w:bidi="ar-SA"/>
              </w:rPr>
              <w:t>供货时随产品</w:t>
            </w:r>
            <w:r>
              <w:rPr>
                <w:rFonts w:hint="eastAsia" w:ascii="Times New Roman" w:hAnsi="Times New Roman" w:eastAsia="宋体" w:cs="Times New Roman"/>
                <w:kern w:val="2"/>
                <w:sz w:val="21"/>
                <w:szCs w:val="22"/>
                <w:highlight w:val="none"/>
                <w:lang w:val="en-US" w:eastAsia="zh-CN" w:bidi="ar-SA"/>
              </w:rPr>
              <w:t>提供的项目号，厂商类型，尺寸和序列号，生产日期，材料和政府要求提供的其它信息。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70" w:type="dxa"/>
            <w:bottom w:w="28" w:type="dxa"/>
            <w:right w:w="70" w:type="dxa"/>
          </w:tblCellMar>
        </w:tblPrEx>
        <w:trPr>
          <w:trHeight w:val="612" w:hRule="atLeast"/>
        </w:trPr>
        <w:tc>
          <w:tcPr>
            <w:tcW w:w="1134" w:type="dxa"/>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2</w:t>
            </w:r>
          </w:p>
        </w:tc>
        <w:tc>
          <w:tcPr>
            <w:tcW w:w="6663" w:type="dxa"/>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象电动机，传动箱，测量仪器，阀门等单独部件应该有项目铭牌，均固定安装。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70" w:type="dxa"/>
            <w:bottom w:w="28" w:type="dxa"/>
            <w:right w:w="70" w:type="dxa"/>
          </w:tblCellMar>
        </w:tblPrEx>
        <w:tc>
          <w:tcPr>
            <w:tcW w:w="1134" w:type="dxa"/>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3</w:t>
            </w:r>
          </w:p>
        </w:tc>
        <w:tc>
          <w:tcPr>
            <w:tcW w:w="6663" w:type="dxa"/>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本条还包括所有原器件的挂牌，这些挂牌包括取样口等信息。</w:t>
            </w:r>
          </w:p>
        </w:tc>
      </w:tr>
    </w:tbl>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--噪音水平</w:t>
      </w:r>
    </w:p>
    <w:tbl>
      <w:tblPr>
        <w:tblStyle w:val="32"/>
        <w:tblW w:w="0" w:type="auto"/>
        <w:tblInd w:w="63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70" w:type="dxa"/>
          <w:bottom w:w="0" w:type="dxa"/>
          <w:right w:w="70" w:type="dxa"/>
        </w:tblCellMar>
      </w:tblPr>
      <w:tblGrid>
        <w:gridCol w:w="1134"/>
        <w:gridCol w:w="66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134" w:type="dxa"/>
            <w:noWrap w:val="0"/>
            <w:vAlign w:val="center"/>
          </w:tcPr>
          <w:p>
            <w:pPr>
              <w:rPr>
                <w:rFonts w:ascii="Times New Roman" w:hAnsi="Times New Roman" w:eastAsia="宋体" w:cs="Times New Roman"/>
                <w:bCs/>
                <w:kern w:val="2"/>
                <w:sz w:val="21"/>
                <w:szCs w:val="22"/>
                <w:highlight w:val="none"/>
                <w:lang w:val="en-US" w:eastAsia="zh-CN" w:bidi="ar-SA"/>
              </w:rPr>
            </w:pPr>
          </w:p>
        </w:tc>
        <w:tc>
          <w:tcPr>
            <w:tcW w:w="6663" w:type="dxa"/>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纯化水机的噪音等级应该尽可能的低。</w:t>
            </w:r>
          </w:p>
        </w:tc>
      </w:tr>
    </w:tbl>
    <w:p>
      <w:pPr>
        <w:rPr>
          <w:rFonts w:ascii="Times New Roman" w:hAnsi="Times New Roman" w:eastAsia="宋体" w:cs="Times New Roman"/>
          <w:kern w:val="2"/>
          <w:sz w:val="21"/>
          <w:szCs w:val="22"/>
          <w:highlight w:val="none"/>
          <w:lang w:val="en-US" w:eastAsia="zh-CN" w:bidi="ar-SA"/>
        </w:rPr>
      </w:pPr>
    </w:p>
    <w:p>
      <w:pPr>
        <w:keepNext/>
        <w:keepLines/>
        <w:widowControl w:val="0"/>
        <w:numPr>
          <w:ilvl w:val="0"/>
          <w:numId w:val="40"/>
        </w:numPr>
        <w:spacing w:line="480" w:lineRule="auto"/>
        <w:jc w:val="both"/>
        <w:outlineLvl w:val="2"/>
        <w:rPr>
          <w:rFonts w:ascii="Times New Roman" w:hAnsi="Times New Roman" w:eastAsia="宋体" w:cs="Times New Roman"/>
          <w:b/>
          <w:bCs/>
          <w:kern w:val="2"/>
          <w:sz w:val="21"/>
          <w:szCs w:val="32"/>
          <w:highlight w:val="none"/>
          <w:lang w:val="en-US" w:eastAsia="zh-CN" w:bidi="ar-SA"/>
        </w:rPr>
      </w:pPr>
      <w:r>
        <w:rPr>
          <w:rFonts w:hint="eastAsia" w:ascii="Times New Roman" w:hAnsi="Times New Roman" w:eastAsia="宋体" w:cs="Times New Roman"/>
          <w:b/>
          <w:bCs/>
          <w:kern w:val="2"/>
          <w:sz w:val="21"/>
          <w:szCs w:val="32"/>
          <w:highlight w:val="none"/>
          <w:lang w:val="en-US" w:eastAsia="zh-CN" w:bidi="ar-SA"/>
        </w:rPr>
        <w:t>仪器要求</w:t>
      </w:r>
    </w:p>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--概述</w:t>
      </w:r>
    </w:p>
    <w:tbl>
      <w:tblPr>
        <w:tblStyle w:val="32"/>
        <w:tblW w:w="0" w:type="auto"/>
        <w:tblInd w:w="63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70" w:type="dxa"/>
          <w:bottom w:w="28" w:type="dxa"/>
          <w:right w:w="70" w:type="dxa"/>
        </w:tblCellMar>
      </w:tblPr>
      <w:tblGrid>
        <w:gridCol w:w="1134"/>
        <w:gridCol w:w="66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70" w:type="dxa"/>
            <w:bottom w:w="28" w:type="dxa"/>
            <w:right w:w="70" w:type="dxa"/>
          </w:tblCellMar>
        </w:tblPrEx>
        <w:tc>
          <w:tcPr>
            <w:tcW w:w="1134" w:type="dxa"/>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1</w:t>
            </w:r>
          </w:p>
        </w:tc>
        <w:tc>
          <w:tcPr>
            <w:tcW w:w="6663" w:type="dxa"/>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关键阀门装备有位置显示器。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70" w:type="dxa"/>
            <w:bottom w:w="28" w:type="dxa"/>
            <w:right w:w="70" w:type="dxa"/>
          </w:tblCellMar>
        </w:tblPrEx>
        <w:tc>
          <w:tcPr>
            <w:tcW w:w="1134" w:type="dxa"/>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2</w:t>
            </w:r>
          </w:p>
        </w:tc>
        <w:tc>
          <w:tcPr>
            <w:tcW w:w="6663" w:type="dxa"/>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位置显示器为互感PNP型。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70" w:type="dxa"/>
            <w:bottom w:w="28" w:type="dxa"/>
            <w:right w:w="70" w:type="dxa"/>
          </w:tblCellMar>
        </w:tblPrEx>
        <w:tc>
          <w:tcPr>
            <w:tcW w:w="1134" w:type="dxa"/>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3</w:t>
            </w:r>
          </w:p>
        </w:tc>
        <w:tc>
          <w:tcPr>
            <w:tcW w:w="6663" w:type="dxa"/>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可以对现场电导率、电阻率计传感器校准。校准接线在管道中尽可能的接近测量点。总的测量误差</w:t>
            </w:r>
            <w:r>
              <w:rPr>
                <w:rFonts w:hint="eastAsia" w:ascii="Times New Roman" w:hAnsi="Times New Roman" w:eastAsia="宋体" w:cs="Times New Roman"/>
                <w:kern w:val="2"/>
                <w:sz w:val="21"/>
                <w:szCs w:val="22"/>
                <w:highlight w:val="none"/>
                <w:lang w:val="en-US" w:eastAsia="zh-CN" w:bidi="ar-SA"/>
              </w:rPr>
              <w:sym w:font="Symbol" w:char="F0A3"/>
            </w:r>
            <w:r>
              <w:rPr>
                <w:rFonts w:hint="eastAsia" w:ascii="Times New Roman" w:hAnsi="Times New Roman" w:eastAsia="宋体" w:cs="Times New Roman"/>
                <w:kern w:val="2"/>
                <w:sz w:val="21"/>
                <w:szCs w:val="22"/>
                <w:highlight w:val="none"/>
                <w:lang w:val="en-US" w:eastAsia="zh-CN" w:bidi="ar-SA"/>
              </w:rPr>
              <w:sym w:font="Symbol" w:char="F0B1"/>
            </w:r>
            <w:r>
              <w:rPr>
                <w:rFonts w:hint="eastAsia" w:ascii="Times New Roman" w:hAnsi="Times New Roman" w:eastAsia="宋体" w:cs="Times New Roman"/>
                <w:kern w:val="2"/>
                <w:sz w:val="21"/>
                <w:szCs w:val="22"/>
                <w:highlight w:val="none"/>
                <w:lang w:val="en-US" w:eastAsia="zh-CN" w:bidi="ar-SA"/>
              </w:rPr>
              <w:t>0.1</w:t>
            </w:r>
            <w:r>
              <w:rPr>
                <w:rFonts w:hint="eastAsia" w:ascii="Times New Roman" w:hAnsi="Times New Roman" w:eastAsia="宋体" w:cs="Times New Roman"/>
                <w:kern w:val="2"/>
                <w:sz w:val="21"/>
                <w:szCs w:val="22"/>
                <w:highlight w:val="none"/>
                <w:lang w:val="en-US" w:eastAsia="zh-CN" w:bidi="ar-SA"/>
              </w:rPr>
              <w:sym w:font="Symbol" w:char="F06D"/>
            </w:r>
            <w:r>
              <w:rPr>
                <w:rFonts w:hint="eastAsia" w:ascii="Times New Roman" w:hAnsi="Times New Roman" w:eastAsia="宋体" w:cs="Times New Roman"/>
                <w:kern w:val="2"/>
                <w:sz w:val="21"/>
                <w:szCs w:val="22"/>
                <w:highlight w:val="none"/>
                <w:lang w:val="en-US" w:eastAsia="zh-CN" w:bidi="ar-SA"/>
              </w:rPr>
              <w:t>S/cm。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70" w:type="dxa"/>
            <w:bottom w:w="28" w:type="dxa"/>
            <w:right w:w="70" w:type="dxa"/>
          </w:tblCellMar>
        </w:tblPrEx>
        <w:tc>
          <w:tcPr>
            <w:tcW w:w="1134" w:type="dxa"/>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4</w:t>
            </w:r>
          </w:p>
        </w:tc>
        <w:tc>
          <w:tcPr>
            <w:tcW w:w="6663" w:type="dxa"/>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其它测量仪器的误差为量程的1.0%。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70" w:type="dxa"/>
            <w:bottom w:w="28" w:type="dxa"/>
            <w:right w:w="70" w:type="dxa"/>
          </w:tblCellMar>
        </w:tblPrEx>
        <w:tc>
          <w:tcPr>
            <w:tcW w:w="1134" w:type="dxa"/>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5</w:t>
            </w:r>
          </w:p>
        </w:tc>
        <w:tc>
          <w:tcPr>
            <w:tcW w:w="6663" w:type="dxa"/>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仪器最小保护等级为IP54。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70" w:type="dxa"/>
            <w:bottom w:w="28" w:type="dxa"/>
            <w:right w:w="70" w:type="dxa"/>
          </w:tblCellMar>
        </w:tblPrEx>
        <w:tc>
          <w:tcPr>
            <w:tcW w:w="1134" w:type="dxa"/>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6</w:t>
            </w:r>
          </w:p>
        </w:tc>
        <w:tc>
          <w:tcPr>
            <w:tcW w:w="6663" w:type="dxa"/>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仪器本体材料为耐用性，并可承受70%的酒精和消毒剂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70" w:type="dxa"/>
            <w:bottom w:w="28" w:type="dxa"/>
            <w:right w:w="70" w:type="dxa"/>
          </w:tblCellMar>
        </w:tblPrEx>
        <w:tc>
          <w:tcPr>
            <w:tcW w:w="1134" w:type="dxa"/>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7</w:t>
            </w:r>
          </w:p>
        </w:tc>
        <w:tc>
          <w:tcPr>
            <w:tcW w:w="6663" w:type="dxa"/>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仪器支持材料包括线缆，支架，夹具和其它组件，为耐用性，并可承受70%的酒精和消毒剂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70" w:type="dxa"/>
            <w:bottom w:w="28" w:type="dxa"/>
            <w:right w:w="70" w:type="dxa"/>
          </w:tblCellMar>
        </w:tblPrEx>
        <w:tc>
          <w:tcPr>
            <w:tcW w:w="1134" w:type="dxa"/>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8</w:t>
            </w:r>
          </w:p>
        </w:tc>
        <w:tc>
          <w:tcPr>
            <w:tcW w:w="6663" w:type="dxa"/>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所有配线安装两端的连接有处标记。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70" w:type="dxa"/>
            <w:bottom w:w="28" w:type="dxa"/>
            <w:right w:w="70" w:type="dxa"/>
          </w:tblCellMar>
        </w:tblPrEx>
        <w:tc>
          <w:tcPr>
            <w:tcW w:w="1134" w:type="dxa"/>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9</w:t>
            </w:r>
          </w:p>
        </w:tc>
        <w:tc>
          <w:tcPr>
            <w:tcW w:w="6663" w:type="dxa"/>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有足够的接线点用来进行现场校准。</w:t>
            </w:r>
          </w:p>
        </w:tc>
      </w:tr>
    </w:tbl>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--卫生情况</w:t>
      </w:r>
    </w:p>
    <w:tbl>
      <w:tblPr>
        <w:tblStyle w:val="32"/>
        <w:tblW w:w="0" w:type="auto"/>
        <w:tblInd w:w="63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70" w:type="dxa"/>
          <w:bottom w:w="28" w:type="dxa"/>
          <w:right w:w="70" w:type="dxa"/>
        </w:tblCellMar>
      </w:tblPr>
      <w:tblGrid>
        <w:gridCol w:w="1134"/>
        <w:gridCol w:w="66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70" w:type="dxa"/>
            <w:bottom w:w="28" w:type="dxa"/>
            <w:right w:w="70" w:type="dxa"/>
          </w:tblCellMar>
        </w:tblPrEx>
        <w:tc>
          <w:tcPr>
            <w:tcW w:w="1134" w:type="dxa"/>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1</w:t>
            </w:r>
          </w:p>
        </w:tc>
        <w:tc>
          <w:tcPr>
            <w:tcW w:w="6663" w:type="dxa"/>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仪器应放置于易于维修和清洁的位置。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134" w:type="dxa"/>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2</w:t>
            </w:r>
          </w:p>
        </w:tc>
        <w:tc>
          <w:tcPr>
            <w:tcW w:w="6663" w:type="dxa"/>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仪器接线盒子应是密封的并能清洁。</w:t>
            </w:r>
          </w:p>
        </w:tc>
      </w:tr>
    </w:tbl>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--校准</w:t>
      </w:r>
    </w:p>
    <w:tbl>
      <w:tblPr>
        <w:tblStyle w:val="32"/>
        <w:tblW w:w="0" w:type="auto"/>
        <w:tblInd w:w="63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70" w:type="dxa"/>
          <w:bottom w:w="28" w:type="dxa"/>
          <w:right w:w="70" w:type="dxa"/>
        </w:tblCellMar>
      </w:tblPr>
      <w:tblGrid>
        <w:gridCol w:w="1134"/>
        <w:gridCol w:w="66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70" w:type="dxa"/>
            <w:bottom w:w="28" w:type="dxa"/>
            <w:right w:w="70" w:type="dxa"/>
          </w:tblCellMar>
        </w:tblPrEx>
        <w:tc>
          <w:tcPr>
            <w:tcW w:w="1134" w:type="dxa"/>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1</w:t>
            </w:r>
          </w:p>
        </w:tc>
        <w:tc>
          <w:tcPr>
            <w:tcW w:w="6663" w:type="dxa"/>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在交货时进行。所有仪器在制造前有测量精度约定。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70" w:type="dxa"/>
            <w:bottom w:w="28" w:type="dxa"/>
            <w:right w:w="70" w:type="dxa"/>
          </w:tblCellMar>
        </w:tblPrEx>
        <w:tc>
          <w:tcPr>
            <w:tcW w:w="1134" w:type="dxa"/>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2</w:t>
            </w:r>
          </w:p>
        </w:tc>
        <w:tc>
          <w:tcPr>
            <w:tcW w:w="6663" w:type="dxa"/>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所有显示仪器现场进行检查。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70" w:type="dxa"/>
            <w:bottom w:w="28" w:type="dxa"/>
            <w:right w:w="70" w:type="dxa"/>
          </w:tblCellMar>
        </w:tblPrEx>
        <w:tc>
          <w:tcPr>
            <w:tcW w:w="1134" w:type="dxa"/>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3</w:t>
            </w:r>
          </w:p>
        </w:tc>
        <w:tc>
          <w:tcPr>
            <w:tcW w:w="6663" w:type="dxa"/>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供货时，制造厂商提供再次标准校准操作程序所需的基本数据。如果确实需要委托权威机构较准的，需由制造厂提供有效的检测较准的报告。并提供再次较准的周期及操作规程。</w:t>
            </w:r>
          </w:p>
        </w:tc>
      </w:tr>
    </w:tbl>
    <w:p>
      <w:pPr>
        <w:rPr>
          <w:rFonts w:ascii="Times New Roman" w:hAnsi="Times New Roman" w:eastAsia="宋体" w:cs="Times New Roman"/>
          <w:kern w:val="2"/>
          <w:sz w:val="21"/>
          <w:szCs w:val="22"/>
          <w:highlight w:val="none"/>
          <w:lang w:val="en-US" w:eastAsia="zh-CN" w:bidi="ar-SA"/>
        </w:rPr>
      </w:pPr>
    </w:p>
    <w:p>
      <w:pPr>
        <w:keepNext/>
        <w:keepLines/>
        <w:widowControl w:val="0"/>
        <w:numPr>
          <w:ilvl w:val="0"/>
          <w:numId w:val="40"/>
        </w:numPr>
        <w:spacing w:line="480" w:lineRule="auto"/>
        <w:jc w:val="both"/>
        <w:outlineLvl w:val="2"/>
        <w:rPr>
          <w:rFonts w:ascii="Times New Roman" w:hAnsi="Times New Roman" w:eastAsia="宋体" w:cs="Times New Roman"/>
          <w:b/>
          <w:bCs/>
          <w:kern w:val="2"/>
          <w:sz w:val="21"/>
          <w:szCs w:val="32"/>
          <w:highlight w:val="none"/>
          <w:lang w:val="en-US" w:eastAsia="zh-CN" w:bidi="ar-SA"/>
        </w:rPr>
      </w:pPr>
      <w:r>
        <w:rPr>
          <w:rFonts w:hint="eastAsia" w:ascii="Times New Roman" w:hAnsi="Times New Roman" w:eastAsia="宋体" w:cs="Times New Roman"/>
          <w:b/>
          <w:bCs/>
          <w:kern w:val="2"/>
          <w:sz w:val="21"/>
          <w:szCs w:val="32"/>
          <w:highlight w:val="none"/>
          <w:lang w:val="en-US" w:eastAsia="zh-CN" w:bidi="ar-SA"/>
        </w:rPr>
        <w:t>控制项目要求</w:t>
      </w:r>
    </w:p>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--概述</w:t>
      </w:r>
    </w:p>
    <w:tbl>
      <w:tblPr>
        <w:tblStyle w:val="32"/>
        <w:tblW w:w="0" w:type="auto"/>
        <w:tblInd w:w="63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70" w:type="dxa"/>
          <w:bottom w:w="28" w:type="dxa"/>
          <w:right w:w="70" w:type="dxa"/>
        </w:tblCellMar>
      </w:tblPr>
      <w:tblGrid>
        <w:gridCol w:w="1134"/>
        <w:gridCol w:w="66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134" w:type="dxa"/>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1</w:t>
            </w:r>
          </w:p>
        </w:tc>
        <w:tc>
          <w:tcPr>
            <w:tcW w:w="6663" w:type="dxa"/>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控制项目最好采用高质量的工业组件。部份参考品牌本文件已有说明。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70" w:type="dxa"/>
            <w:bottom w:w="28" w:type="dxa"/>
            <w:right w:w="70" w:type="dxa"/>
          </w:tblCellMar>
        </w:tblPrEx>
        <w:tc>
          <w:tcPr>
            <w:tcW w:w="1134" w:type="dxa"/>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2</w:t>
            </w:r>
          </w:p>
        </w:tc>
        <w:tc>
          <w:tcPr>
            <w:tcW w:w="6663" w:type="dxa"/>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机器装备PLC单元。</w:t>
            </w:r>
          </w:p>
        </w:tc>
      </w:tr>
    </w:tbl>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人机交互界面</w:t>
      </w:r>
    </w:p>
    <w:tbl>
      <w:tblPr>
        <w:tblStyle w:val="32"/>
        <w:tblW w:w="0" w:type="auto"/>
        <w:tblInd w:w="63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70" w:type="dxa"/>
          <w:bottom w:w="28" w:type="dxa"/>
          <w:right w:w="70" w:type="dxa"/>
        </w:tblCellMar>
      </w:tblPr>
      <w:tblGrid>
        <w:gridCol w:w="1134"/>
        <w:gridCol w:w="66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70" w:type="dxa"/>
            <w:bottom w:w="28" w:type="dxa"/>
            <w:right w:w="70" w:type="dxa"/>
          </w:tblCellMar>
        </w:tblPrEx>
        <w:tc>
          <w:tcPr>
            <w:tcW w:w="1134" w:type="dxa"/>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1</w:t>
            </w:r>
          </w:p>
        </w:tc>
        <w:tc>
          <w:tcPr>
            <w:tcW w:w="6663" w:type="dxa"/>
            <w:noWrap w:val="0"/>
            <w:vAlign w:val="bottom"/>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对操作人员来说，触摸屏上的图形文字设计必须清晰。包括流程图，动态显示各功能单元或各仪器仪表的工作状态。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70" w:type="dxa"/>
            <w:bottom w:w="28" w:type="dxa"/>
            <w:right w:w="70" w:type="dxa"/>
          </w:tblCellMar>
        </w:tblPrEx>
        <w:tc>
          <w:tcPr>
            <w:tcW w:w="1134" w:type="dxa"/>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2</w:t>
            </w:r>
          </w:p>
        </w:tc>
        <w:tc>
          <w:tcPr>
            <w:tcW w:w="6663" w:type="dxa"/>
            <w:noWrap w:val="0"/>
            <w:vAlign w:val="bottom"/>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屏幕刷新时间必须小于10秒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70" w:type="dxa"/>
            <w:bottom w:w="28" w:type="dxa"/>
            <w:right w:w="70" w:type="dxa"/>
          </w:tblCellMar>
        </w:tblPrEx>
        <w:tc>
          <w:tcPr>
            <w:tcW w:w="1134" w:type="dxa"/>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3</w:t>
            </w:r>
          </w:p>
        </w:tc>
        <w:tc>
          <w:tcPr>
            <w:tcW w:w="6663" w:type="dxa"/>
            <w:noWrap w:val="0"/>
            <w:vAlign w:val="bottom"/>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项目必须有至少3个不同的访问级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70" w:type="dxa"/>
            <w:bottom w:w="28" w:type="dxa"/>
            <w:right w:w="70" w:type="dxa"/>
          </w:tblCellMar>
        </w:tblPrEx>
        <w:tc>
          <w:tcPr>
            <w:tcW w:w="1134" w:type="dxa"/>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4</w:t>
            </w:r>
          </w:p>
        </w:tc>
        <w:tc>
          <w:tcPr>
            <w:tcW w:w="6663" w:type="dxa"/>
            <w:noWrap w:val="0"/>
            <w:vAlign w:val="bottom"/>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第一级操作员</w:t>
            </w:r>
          </w:p>
          <w:p>
            <w:pPr>
              <w:numPr>
                <w:ilvl w:val="0"/>
                <w:numId w:val="47"/>
              </w:numPr>
              <w:ind w:left="1191" w:hanging="340"/>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操作员口令输入口</w:t>
            </w:r>
          </w:p>
          <w:p>
            <w:pPr>
              <w:numPr>
                <w:ilvl w:val="0"/>
                <w:numId w:val="48"/>
              </w:num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项目运行</w:t>
            </w:r>
          </w:p>
          <w:p>
            <w:pPr>
              <w:numPr>
                <w:ilvl w:val="0"/>
                <w:numId w:val="48"/>
              </w:num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允许观察重新设定所有项目的报警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70" w:type="dxa"/>
            <w:bottom w:w="28" w:type="dxa"/>
            <w:right w:w="70" w:type="dxa"/>
          </w:tblCellMar>
        </w:tblPrEx>
        <w:tc>
          <w:tcPr>
            <w:tcW w:w="1134" w:type="dxa"/>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5</w:t>
            </w:r>
          </w:p>
        </w:tc>
        <w:tc>
          <w:tcPr>
            <w:tcW w:w="6663" w:type="dxa"/>
            <w:noWrap w:val="0"/>
            <w:vAlign w:val="bottom"/>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第二级维修员</w:t>
            </w:r>
          </w:p>
          <w:p>
            <w:pPr>
              <w:numPr>
                <w:ilvl w:val="0"/>
                <w:numId w:val="49"/>
              </w:numPr>
              <w:ind w:left="1191" w:hanging="340"/>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对操作员口令进行检查</w:t>
            </w:r>
          </w:p>
          <w:p>
            <w:pPr>
              <w:numPr>
                <w:ilvl w:val="0"/>
                <w:numId w:val="49"/>
              </w:numPr>
              <w:ind w:left="1191" w:hanging="340"/>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检查和重新设定产品计数器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70" w:type="dxa"/>
            <w:bottom w:w="28" w:type="dxa"/>
            <w:right w:w="70" w:type="dxa"/>
          </w:tblCellMar>
        </w:tblPrEx>
        <w:tc>
          <w:tcPr>
            <w:tcW w:w="1134" w:type="dxa"/>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6</w:t>
            </w:r>
          </w:p>
        </w:tc>
        <w:tc>
          <w:tcPr>
            <w:tcW w:w="6663" w:type="dxa"/>
            <w:noWrap w:val="0"/>
            <w:vAlign w:val="bottom"/>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第三等级管理者访问级</w:t>
            </w:r>
          </w:p>
          <w:p>
            <w:pPr>
              <w:numPr>
                <w:ilvl w:val="0"/>
                <w:numId w:val="50"/>
              </w:numPr>
              <w:ind w:left="1191" w:hanging="340"/>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允许所有项目设定点包括报警点的变更</w:t>
            </w:r>
          </w:p>
          <w:p>
            <w:pPr>
              <w:numPr>
                <w:ilvl w:val="0"/>
                <w:numId w:val="51"/>
              </w:numPr>
              <w:ind w:left="1191" w:hanging="340"/>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改变项目时钟</w:t>
            </w:r>
          </w:p>
          <w:p>
            <w:pPr>
              <w:numPr>
                <w:ilvl w:val="0"/>
                <w:numId w:val="51"/>
              </w:numPr>
              <w:ind w:left="1191" w:hanging="340"/>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允许观察所有项目的设定点（包括报警点）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70" w:type="dxa"/>
            <w:bottom w:w="28" w:type="dxa"/>
            <w:right w:w="70" w:type="dxa"/>
          </w:tblCellMar>
        </w:tblPrEx>
        <w:tc>
          <w:tcPr>
            <w:tcW w:w="1134" w:type="dxa"/>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7</w:t>
            </w:r>
          </w:p>
        </w:tc>
        <w:tc>
          <w:tcPr>
            <w:tcW w:w="6663" w:type="dxa"/>
            <w:noWrap w:val="0"/>
            <w:vAlign w:val="bottom"/>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触摸屏在规定时间内无操作动作应能自动注消。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70" w:type="dxa"/>
            <w:bottom w:w="28" w:type="dxa"/>
            <w:right w:w="70" w:type="dxa"/>
          </w:tblCellMar>
        </w:tblPrEx>
        <w:tc>
          <w:tcPr>
            <w:tcW w:w="1134" w:type="dxa"/>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8</w:t>
            </w:r>
          </w:p>
        </w:tc>
        <w:tc>
          <w:tcPr>
            <w:tcW w:w="6663" w:type="dxa"/>
            <w:noWrap w:val="0"/>
            <w:vAlign w:val="bottom"/>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（正确访问级的用户）凡是能自动运行的步骤都能在屏幕上按顺序手动步进。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70" w:type="dxa"/>
            <w:bottom w:w="28" w:type="dxa"/>
            <w:right w:w="70" w:type="dxa"/>
          </w:tblCellMar>
        </w:tblPrEx>
        <w:tc>
          <w:tcPr>
            <w:tcW w:w="1134" w:type="dxa"/>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9</w:t>
            </w:r>
          </w:p>
        </w:tc>
        <w:tc>
          <w:tcPr>
            <w:tcW w:w="6663" w:type="dxa"/>
            <w:noWrap w:val="0"/>
            <w:vAlign w:val="bottom"/>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最近的报警必须显示在触摸屏的报警清单上。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70" w:type="dxa"/>
            <w:bottom w:w="28" w:type="dxa"/>
            <w:right w:w="70" w:type="dxa"/>
          </w:tblCellMar>
        </w:tblPrEx>
        <w:tc>
          <w:tcPr>
            <w:tcW w:w="1134" w:type="dxa"/>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10</w:t>
            </w:r>
          </w:p>
        </w:tc>
        <w:tc>
          <w:tcPr>
            <w:tcW w:w="6663" w:type="dxa"/>
            <w:noWrap w:val="0"/>
            <w:vAlign w:val="bottom"/>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报警信息至少包括时间和日期，报警解释。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70" w:type="dxa"/>
            <w:bottom w:w="28" w:type="dxa"/>
            <w:right w:w="70" w:type="dxa"/>
          </w:tblCellMar>
        </w:tblPrEx>
        <w:tc>
          <w:tcPr>
            <w:tcW w:w="1134" w:type="dxa"/>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11</w:t>
            </w:r>
          </w:p>
        </w:tc>
        <w:tc>
          <w:tcPr>
            <w:tcW w:w="6663" w:type="dxa"/>
            <w:noWrap w:val="0"/>
            <w:vAlign w:val="bottom"/>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能定义报警限定。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70" w:type="dxa"/>
            <w:bottom w:w="28" w:type="dxa"/>
            <w:right w:w="70" w:type="dxa"/>
          </w:tblCellMar>
        </w:tblPrEx>
        <w:tc>
          <w:tcPr>
            <w:tcW w:w="1134" w:type="dxa"/>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12</w:t>
            </w:r>
          </w:p>
        </w:tc>
        <w:tc>
          <w:tcPr>
            <w:tcW w:w="6663" w:type="dxa"/>
            <w:noWrap w:val="0"/>
            <w:vAlign w:val="bottom"/>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触摸屏上有一个报警页码显示所有的报警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70" w:type="dxa"/>
            <w:bottom w:w="28" w:type="dxa"/>
            <w:right w:w="70" w:type="dxa"/>
          </w:tblCellMar>
        </w:tblPrEx>
        <w:tc>
          <w:tcPr>
            <w:tcW w:w="1134" w:type="dxa"/>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13</w:t>
            </w:r>
          </w:p>
        </w:tc>
        <w:tc>
          <w:tcPr>
            <w:tcW w:w="6663" w:type="dxa"/>
            <w:noWrap w:val="0"/>
            <w:vAlign w:val="bottom"/>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可以设定报警界限时间延迟和测量滞后防止反复报警。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70" w:type="dxa"/>
            <w:bottom w:w="28" w:type="dxa"/>
            <w:right w:w="70" w:type="dxa"/>
          </w:tblCellMar>
        </w:tblPrEx>
        <w:tc>
          <w:tcPr>
            <w:tcW w:w="1134" w:type="dxa"/>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14</w:t>
            </w:r>
          </w:p>
        </w:tc>
        <w:tc>
          <w:tcPr>
            <w:tcW w:w="6663" w:type="dxa"/>
            <w:noWrap w:val="0"/>
            <w:vAlign w:val="bottom"/>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口令的最少字符长度为8，最长使用时间为60天（可设定参数）。</w:t>
            </w:r>
          </w:p>
        </w:tc>
      </w:tr>
    </w:tbl>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控制柜</w:t>
      </w:r>
    </w:p>
    <w:tbl>
      <w:tblPr>
        <w:tblStyle w:val="32"/>
        <w:tblW w:w="0" w:type="auto"/>
        <w:tblInd w:w="63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70" w:type="dxa"/>
          <w:bottom w:w="28" w:type="dxa"/>
          <w:right w:w="70" w:type="dxa"/>
        </w:tblCellMar>
      </w:tblPr>
      <w:tblGrid>
        <w:gridCol w:w="1134"/>
        <w:gridCol w:w="66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70" w:type="dxa"/>
            <w:bottom w:w="28" w:type="dxa"/>
            <w:right w:w="70" w:type="dxa"/>
          </w:tblCellMar>
        </w:tblPrEx>
        <w:tc>
          <w:tcPr>
            <w:tcW w:w="1134" w:type="dxa"/>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1</w:t>
            </w:r>
          </w:p>
        </w:tc>
        <w:tc>
          <w:tcPr>
            <w:tcW w:w="6663" w:type="dxa"/>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控制柜最少保护等级为IP54，烤漆电柜。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70" w:type="dxa"/>
            <w:bottom w:w="28" w:type="dxa"/>
            <w:right w:w="70" w:type="dxa"/>
          </w:tblCellMar>
        </w:tblPrEx>
        <w:tc>
          <w:tcPr>
            <w:tcW w:w="1134" w:type="dxa"/>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2</w:t>
            </w:r>
          </w:p>
        </w:tc>
        <w:tc>
          <w:tcPr>
            <w:tcW w:w="6663" w:type="dxa"/>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有20%的余量空间为将来安装完成后项目和接线扩展作准备。特别是预留循环项目的开关和接点。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70" w:type="dxa"/>
            <w:bottom w:w="28" w:type="dxa"/>
            <w:right w:w="70" w:type="dxa"/>
          </w:tblCellMar>
        </w:tblPrEx>
        <w:tc>
          <w:tcPr>
            <w:tcW w:w="1134" w:type="dxa"/>
            <w:noWrap w:val="0"/>
            <w:vAlign w:val="center"/>
          </w:tcPr>
          <w:p>
            <w:pPr>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3</w:t>
            </w:r>
          </w:p>
        </w:tc>
        <w:tc>
          <w:tcPr>
            <w:tcW w:w="6663" w:type="dxa"/>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柜内有照明和220VAC维修出口。他们不可以被主电源开关切断，地面柜应有地基。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70" w:type="dxa"/>
            <w:bottom w:w="28" w:type="dxa"/>
            <w:right w:w="70" w:type="dxa"/>
          </w:tblCellMar>
        </w:tblPrEx>
        <w:tc>
          <w:tcPr>
            <w:tcW w:w="1134" w:type="dxa"/>
            <w:noWrap w:val="0"/>
            <w:vAlign w:val="center"/>
          </w:tcPr>
          <w:p>
            <w:pPr>
              <w:tabs>
                <w:tab w:val="left" w:pos="360"/>
              </w:tabs>
              <w:jc w:val="center"/>
              <w:rPr>
                <w:rFonts w:ascii="Times New Roman" w:hAnsi="Times New Roman" w:eastAsia="宋体" w:cs="Times New Roman"/>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4</w:t>
            </w:r>
          </w:p>
        </w:tc>
        <w:tc>
          <w:tcPr>
            <w:tcW w:w="6663" w:type="dxa"/>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柜内持续温度不能超过35</w:t>
            </w:r>
            <w:r>
              <w:rPr>
                <w:rFonts w:hint="eastAsia" w:ascii="Times New Roman" w:hAnsi="Times New Roman" w:eastAsia="宋体" w:cs="Times New Roman"/>
                <w:kern w:val="2"/>
                <w:sz w:val="21"/>
                <w:szCs w:val="22"/>
                <w:highlight w:val="none"/>
                <w:lang w:val="en-US" w:eastAsia="zh-CN" w:bidi="ar-SA"/>
              </w:rPr>
              <w:sym w:font="Romantic" w:char="F0B0"/>
            </w:r>
            <w:r>
              <w:rPr>
                <w:rFonts w:hint="eastAsia" w:ascii="Times New Roman" w:hAnsi="Times New Roman" w:eastAsia="宋体" w:cs="Times New Roman"/>
                <w:kern w:val="2"/>
                <w:sz w:val="21"/>
                <w:szCs w:val="22"/>
                <w:highlight w:val="none"/>
                <w:lang w:val="en-US" w:eastAsia="zh-CN" w:bidi="ar-SA"/>
              </w:rPr>
              <w:t>C，外界最大温度25</w:t>
            </w:r>
            <w:r>
              <w:rPr>
                <w:rFonts w:hint="eastAsia" w:ascii="Times New Roman" w:hAnsi="Times New Roman" w:eastAsia="宋体" w:cs="Times New Roman"/>
                <w:kern w:val="2"/>
                <w:sz w:val="21"/>
                <w:szCs w:val="22"/>
                <w:highlight w:val="none"/>
                <w:lang w:val="en-US" w:eastAsia="zh-CN" w:bidi="ar-SA"/>
              </w:rPr>
              <w:sym w:font="Romantic" w:char="F0B0"/>
            </w:r>
            <w:r>
              <w:rPr>
                <w:rFonts w:hint="eastAsia" w:ascii="Times New Roman" w:hAnsi="Times New Roman" w:eastAsia="宋体" w:cs="Times New Roman"/>
                <w:kern w:val="2"/>
                <w:sz w:val="21"/>
                <w:szCs w:val="22"/>
                <w:highlight w:val="none"/>
                <w:lang w:val="en-US" w:eastAsia="zh-CN" w:bidi="ar-SA"/>
              </w:rPr>
              <w:t>C.</w:t>
            </w:r>
          </w:p>
        </w:tc>
      </w:tr>
    </w:tbl>
    <w:p>
      <w:pPr>
        <w:rPr>
          <w:rFonts w:ascii="Times New Roman" w:hAnsi="Times New Roman" w:eastAsia="宋体" w:cs="Times New Roman"/>
          <w:kern w:val="2"/>
          <w:sz w:val="21"/>
          <w:szCs w:val="22"/>
          <w:highlight w:val="none"/>
          <w:lang w:val="en-US" w:eastAsia="zh-CN" w:bidi="ar-SA"/>
        </w:rPr>
      </w:pPr>
    </w:p>
    <w:p>
      <w:pPr>
        <w:keepNext/>
        <w:keepLines/>
        <w:widowControl w:val="0"/>
        <w:numPr>
          <w:ilvl w:val="0"/>
          <w:numId w:val="40"/>
        </w:numPr>
        <w:spacing w:line="480" w:lineRule="auto"/>
        <w:jc w:val="both"/>
        <w:outlineLvl w:val="2"/>
        <w:rPr>
          <w:rFonts w:ascii="Times New Roman" w:hAnsi="Times New Roman" w:eastAsia="宋体" w:cs="Times New Roman"/>
          <w:b/>
          <w:bCs/>
          <w:kern w:val="2"/>
          <w:sz w:val="21"/>
          <w:szCs w:val="32"/>
          <w:highlight w:val="none"/>
          <w:lang w:val="en-US" w:eastAsia="zh-CN" w:bidi="ar-SA"/>
        </w:rPr>
      </w:pPr>
      <w:r>
        <w:rPr>
          <w:rFonts w:hint="eastAsia" w:ascii="Times New Roman" w:hAnsi="Times New Roman" w:eastAsia="宋体" w:cs="Times New Roman"/>
          <w:b/>
          <w:bCs/>
          <w:kern w:val="2"/>
          <w:sz w:val="21"/>
          <w:szCs w:val="32"/>
          <w:highlight w:val="none"/>
          <w:lang w:val="en-US" w:eastAsia="zh-CN" w:bidi="ar-SA"/>
        </w:rPr>
        <w:t>维护和培训</w:t>
      </w:r>
    </w:p>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维修</w:t>
      </w:r>
    </w:p>
    <w:tbl>
      <w:tblPr>
        <w:tblStyle w:val="32"/>
        <w:tblW w:w="0" w:type="auto"/>
        <w:tblInd w:w="637" w:type="dxa"/>
        <w:tblLayout w:type="fixed"/>
        <w:tblCellMar>
          <w:top w:w="0" w:type="dxa"/>
          <w:left w:w="70" w:type="dxa"/>
          <w:bottom w:w="0" w:type="dxa"/>
          <w:right w:w="70" w:type="dxa"/>
        </w:tblCellMar>
      </w:tblPr>
      <w:tblGrid>
        <w:gridCol w:w="1134"/>
        <w:gridCol w:w="6663"/>
      </w:tblGrid>
      <w:tr>
        <w:tblPrEx>
          <w:tblCellMar>
            <w:top w:w="0" w:type="dxa"/>
            <w:left w:w="70" w:type="dxa"/>
            <w:bottom w:w="0" w:type="dxa"/>
            <w:right w:w="70" w:type="dxa"/>
          </w:tblCellMar>
        </w:tblPrEx>
        <w:tc>
          <w:tcPr>
            <w:tcW w:w="1134" w:type="dxa"/>
            <w:tcBorders>
              <w:top w:val="single" w:color="auto" w:sz="4" w:space="0"/>
              <w:left w:val="single" w:color="auto" w:sz="4" w:space="0"/>
              <w:bottom w:val="single" w:color="auto" w:sz="4" w:space="0"/>
              <w:right w:val="single" w:color="auto" w:sz="4" w:space="0"/>
            </w:tcBorders>
            <w:noWrap w:val="0"/>
            <w:vAlign w:val="center"/>
          </w:tcPr>
          <w:p>
            <w:pPr>
              <w:jc w:val="center"/>
              <w:rPr>
                <w:rFonts w:ascii="Times New Roman" w:hAnsi="Times New Roman" w:eastAsia="宋体" w:cs="Times New Roman"/>
                <w:b/>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1</w:t>
            </w:r>
          </w:p>
        </w:tc>
        <w:tc>
          <w:tcPr>
            <w:tcW w:w="6663" w:type="dxa"/>
            <w:tcBorders>
              <w:top w:val="single" w:color="auto" w:sz="4" w:space="0"/>
              <w:left w:val="single" w:color="auto" w:sz="4" w:space="0"/>
              <w:bottom w:val="single" w:color="auto" w:sz="4" w:space="0"/>
              <w:right w:val="single" w:color="auto" w:sz="4" w:space="0"/>
            </w:tcBorders>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机器建造应该有利于快速简单的维修保养。</w:t>
            </w:r>
          </w:p>
        </w:tc>
      </w:tr>
      <w:tr>
        <w:tblPrEx>
          <w:tblCellMar>
            <w:top w:w="0" w:type="dxa"/>
            <w:left w:w="70" w:type="dxa"/>
            <w:bottom w:w="0" w:type="dxa"/>
            <w:right w:w="70" w:type="dxa"/>
          </w:tblCellMar>
        </w:tblPrEx>
        <w:tc>
          <w:tcPr>
            <w:tcW w:w="1134" w:type="dxa"/>
            <w:tcBorders>
              <w:top w:val="single" w:color="auto" w:sz="4" w:space="0"/>
              <w:left w:val="single" w:color="auto" w:sz="4" w:space="0"/>
              <w:bottom w:val="single" w:color="auto" w:sz="4" w:space="0"/>
              <w:right w:val="single" w:color="auto" w:sz="4" w:space="0"/>
            </w:tcBorders>
            <w:noWrap w:val="0"/>
            <w:vAlign w:val="center"/>
          </w:tcPr>
          <w:p>
            <w:pPr>
              <w:jc w:val="center"/>
              <w:rPr>
                <w:rFonts w:ascii="Times New Roman" w:hAnsi="Times New Roman" w:eastAsia="宋体" w:cs="Times New Roman"/>
                <w:b/>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2</w:t>
            </w:r>
          </w:p>
        </w:tc>
        <w:tc>
          <w:tcPr>
            <w:tcW w:w="6663" w:type="dxa"/>
            <w:tcBorders>
              <w:top w:val="single" w:color="auto" w:sz="4" w:space="0"/>
              <w:left w:val="single" w:color="auto" w:sz="4" w:space="0"/>
              <w:bottom w:val="single" w:color="auto" w:sz="4" w:space="0"/>
              <w:right w:val="single" w:color="auto" w:sz="4" w:space="0"/>
            </w:tcBorders>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厂商负责现场指导机器的安装调试。</w:t>
            </w:r>
          </w:p>
        </w:tc>
      </w:tr>
      <w:tr>
        <w:tblPrEx>
          <w:tblCellMar>
            <w:top w:w="0" w:type="dxa"/>
            <w:left w:w="70" w:type="dxa"/>
            <w:bottom w:w="0" w:type="dxa"/>
            <w:right w:w="70" w:type="dxa"/>
          </w:tblCellMar>
        </w:tblPrEx>
        <w:tc>
          <w:tcPr>
            <w:tcW w:w="1134" w:type="dxa"/>
            <w:tcBorders>
              <w:top w:val="single" w:color="auto" w:sz="4" w:space="0"/>
              <w:left w:val="single" w:color="auto" w:sz="4" w:space="0"/>
              <w:bottom w:val="single" w:color="auto" w:sz="4" w:space="0"/>
              <w:right w:val="single" w:color="auto" w:sz="4" w:space="0"/>
            </w:tcBorders>
            <w:noWrap w:val="0"/>
            <w:vAlign w:val="center"/>
          </w:tcPr>
          <w:p>
            <w:pPr>
              <w:jc w:val="center"/>
              <w:rPr>
                <w:rFonts w:ascii="Times New Roman" w:hAnsi="Times New Roman" w:eastAsia="宋体" w:cs="Times New Roman"/>
                <w:b/>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3</w:t>
            </w:r>
          </w:p>
        </w:tc>
        <w:tc>
          <w:tcPr>
            <w:tcW w:w="6663" w:type="dxa"/>
            <w:tcBorders>
              <w:top w:val="single" w:color="auto" w:sz="4" w:space="0"/>
              <w:left w:val="single" w:color="auto" w:sz="4" w:space="0"/>
              <w:bottom w:val="single" w:color="auto" w:sz="4" w:space="0"/>
              <w:right w:val="single" w:color="auto" w:sz="4" w:space="0"/>
            </w:tcBorders>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合同履行期间由厂商提供保养计划。</w:t>
            </w:r>
          </w:p>
        </w:tc>
      </w:tr>
    </w:tbl>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备件</w:t>
      </w:r>
    </w:p>
    <w:tbl>
      <w:tblPr>
        <w:tblStyle w:val="32"/>
        <w:tblW w:w="0" w:type="auto"/>
        <w:tblInd w:w="637" w:type="dxa"/>
        <w:tblLayout w:type="fixed"/>
        <w:tblCellMar>
          <w:top w:w="0" w:type="dxa"/>
          <w:left w:w="70" w:type="dxa"/>
          <w:bottom w:w="0" w:type="dxa"/>
          <w:right w:w="70" w:type="dxa"/>
        </w:tblCellMar>
      </w:tblPr>
      <w:tblGrid>
        <w:gridCol w:w="1134"/>
        <w:gridCol w:w="6663"/>
      </w:tblGrid>
      <w:tr>
        <w:tblPrEx>
          <w:tblCellMar>
            <w:top w:w="0" w:type="dxa"/>
            <w:left w:w="70" w:type="dxa"/>
            <w:bottom w:w="0" w:type="dxa"/>
            <w:right w:w="70" w:type="dxa"/>
          </w:tblCellMar>
        </w:tblPrEx>
        <w:tc>
          <w:tcPr>
            <w:tcW w:w="1134" w:type="dxa"/>
            <w:tcBorders>
              <w:top w:val="single" w:color="auto" w:sz="4" w:space="0"/>
              <w:left w:val="single" w:color="auto" w:sz="4" w:space="0"/>
              <w:bottom w:val="single" w:color="auto" w:sz="4" w:space="0"/>
              <w:right w:val="single" w:color="auto" w:sz="4" w:space="0"/>
            </w:tcBorders>
            <w:noWrap w:val="0"/>
            <w:vAlign w:val="center"/>
          </w:tcPr>
          <w:p>
            <w:pPr>
              <w:jc w:val="center"/>
              <w:rPr>
                <w:rFonts w:ascii="Times New Roman" w:hAnsi="Times New Roman" w:eastAsia="宋体" w:cs="Times New Roman"/>
                <w:b/>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2</w:t>
            </w:r>
          </w:p>
        </w:tc>
        <w:tc>
          <w:tcPr>
            <w:tcW w:w="6663" w:type="dxa"/>
            <w:tcBorders>
              <w:top w:val="single" w:color="auto" w:sz="4" w:space="0"/>
              <w:left w:val="single" w:color="auto" w:sz="4" w:space="0"/>
              <w:bottom w:val="single" w:color="auto" w:sz="4" w:space="0"/>
              <w:right w:val="single" w:color="auto" w:sz="4" w:space="0"/>
            </w:tcBorders>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维修保养所需的特殊工具应与机器一起配送。并列出清单。</w:t>
            </w:r>
          </w:p>
        </w:tc>
      </w:tr>
      <w:tr>
        <w:tblPrEx>
          <w:tblCellMar>
            <w:top w:w="0" w:type="dxa"/>
            <w:left w:w="70" w:type="dxa"/>
            <w:bottom w:w="0" w:type="dxa"/>
            <w:right w:w="70" w:type="dxa"/>
          </w:tblCellMar>
        </w:tblPrEx>
        <w:tc>
          <w:tcPr>
            <w:tcW w:w="1134" w:type="dxa"/>
            <w:tcBorders>
              <w:top w:val="single" w:color="auto" w:sz="4" w:space="0"/>
              <w:left w:val="single" w:color="auto" w:sz="4" w:space="0"/>
              <w:bottom w:val="single" w:color="auto" w:sz="4" w:space="0"/>
              <w:right w:val="single" w:color="auto" w:sz="4" w:space="0"/>
            </w:tcBorders>
            <w:noWrap w:val="0"/>
            <w:vAlign w:val="center"/>
          </w:tcPr>
          <w:p>
            <w:pPr>
              <w:jc w:val="center"/>
              <w:rPr>
                <w:rFonts w:ascii="Times New Roman" w:hAnsi="Times New Roman" w:eastAsia="宋体" w:cs="Times New Roman"/>
                <w:b/>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3</w:t>
            </w:r>
          </w:p>
        </w:tc>
        <w:tc>
          <w:tcPr>
            <w:tcW w:w="6663" w:type="dxa"/>
            <w:tcBorders>
              <w:top w:val="single" w:color="auto" w:sz="4" w:space="0"/>
              <w:left w:val="single" w:color="auto" w:sz="4" w:space="0"/>
              <w:bottom w:val="single" w:color="auto" w:sz="4" w:space="0"/>
              <w:right w:val="single" w:color="auto" w:sz="4" w:space="0"/>
            </w:tcBorders>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厂商随产品提供控制项目推荐备件清单.</w:t>
            </w:r>
          </w:p>
        </w:tc>
      </w:tr>
    </w:tbl>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培训</w:t>
      </w:r>
    </w:p>
    <w:tbl>
      <w:tblPr>
        <w:tblStyle w:val="32"/>
        <w:tblW w:w="0" w:type="auto"/>
        <w:tblInd w:w="637" w:type="dxa"/>
        <w:tblLayout w:type="fixed"/>
        <w:tblCellMar>
          <w:top w:w="0" w:type="dxa"/>
          <w:left w:w="70" w:type="dxa"/>
          <w:bottom w:w="0" w:type="dxa"/>
          <w:right w:w="70" w:type="dxa"/>
        </w:tblCellMar>
      </w:tblPr>
      <w:tblGrid>
        <w:gridCol w:w="1134"/>
        <w:gridCol w:w="6663"/>
      </w:tblGrid>
      <w:tr>
        <w:tblPrEx>
          <w:tblCellMar>
            <w:top w:w="0" w:type="dxa"/>
            <w:left w:w="70" w:type="dxa"/>
            <w:bottom w:w="0" w:type="dxa"/>
            <w:right w:w="70" w:type="dxa"/>
          </w:tblCellMar>
        </w:tblPrEx>
        <w:tc>
          <w:tcPr>
            <w:tcW w:w="1134" w:type="dxa"/>
            <w:tcBorders>
              <w:top w:val="single" w:color="auto" w:sz="4" w:space="0"/>
              <w:left w:val="single" w:color="auto" w:sz="4" w:space="0"/>
              <w:bottom w:val="single" w:color="auto" w:sz="4" w:space="0"/>
              <w:right w:val="single" w:color="auto" w:sz="4" w:space="0"/>
            </w:tcBorders>
            <w:noWrap w:val="0"/>
            <w:vAlign w:val="center"/>
          </w:tcPr>
          <w:p>
            <w:pPr>
              <w:jc w:val="center"/>
              <w:rPr>
                <w:rFonts w:ascii="Times New Roman" w:hAnsi="Times New Roman" w:eastAsia="宋体" w:cs="Times New Roman"/>
                <w:b/>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1</w:t>
            </w:r>
          </w:p>
        </w:tc>
        <w:tc>
          <w:tcPr>
            <w:tcW w:w="6663" w:type="dxa"/>
            <w:tcBorders>
              <w:top w:val="single" w:color="auto" w:sz="4" w:space="0"/>
              <w:left w:val="single" w:color="auto" w:sz="4" w:space="0"/>
              <w:bottom w:val="single" w:color="auto" w:sz="4" w:space="0"/>
              <w:right w:val="single" w:color="auto" w:sz="4" w:space="0"/>
            </w:tcBorders>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不少于4小时培训，讲加工过程，项目组装，材质和控制元器件的相关知识和注意事项。</w:t>
            </w:r>
          </w:p>
        </w:tc>
      </w:tr>
      <w:tr>
        <w:tblPrEx>
          <w:tblCellMar>
            <w:top w:w="0" w:type="dxa"/>
            <w:left w:w="70" w:type="dxa"/>
            <w:bottom w:w="0" w:type="dxa"/>
            <w:right w:w="70" w:type="dxa"/>
          </w:tblCellMar>
        </w:tblPrEx>
        <w:tc>
          <w:tcPr>
            <w:tcW w:w="1134" w:type="dxa"/>
            <w:tcBorders>
              <w:top w:val="single" w:color="auto" w:sz="4" w:space="0"/>
              <w:left w:val="single" w:color="auto" w:sz="4" w:space="0"/>
              <w:bottom w:val="single" w:color="auto" w:sz="4" w:space="0"/>
              <w:right w:val="single" w:color="auto" w:sz="4" w:space="0"/>
            </w:tcBorders>
            <w:noWrap w:val="0"/>
            <w:vAlign w:val="center"/>
          </w:tcPr>
          <w:p>
            <w:pPr>
              <w:jc w:val="center"/>
              <w:rPr>
                <w:rFonts w:ascii="Times New Roman" w:hAnsi="Times New Roman" w:eastAsia="宋体" w:cs="Times New Roman"/>
                <w:b/>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2</w:t>
            </w:r>
          </w:p>
        </w:tc>
        <w:tc>
          <w:tcPr>
            <w:tcW w:w="6663" w:type="dxa"/>
            <w:tcBorders>
              <w:top w:val="single" w:color="auto" w:sz="4" w:space="0"/>
              <w:left w:val="single" w:color="auto" w:sz="4" w:space="0"/>
              <w:bottom w:val="single" w:color="auto" w:sz="4" w:space="0"/>
              <w:right w:val="single" w:color="auto" w:sz="4" w:space="0"/>
            </w:tcBorders>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在安装现场进行操作和维护保养方面培训。</w:t>
            </w:r>
          </w:p>
        </w:tc>
      </w:tr>
      <w:tr>
        <w:tblPrEx>
          <w:tblCellMar>
            <w:top w:w="0" w:type="dxa"/>
            <w:left w:w="70" w:type="dxa"/>
            <w:bottom w:w="0" w:type="dxa"/>
            <w:right w:w="70" w:type="dxa"/>
          </w:tblCellMar>
        </w:tblPrEx>
        <w:tc>
          <w:tcPr>
            <w:tcW w:w="1134" w:type="dxa"/>
            <w:tcBorders>
              <w:top w:val="single" w:color="auto" w:sz="4" w:space="0"/>
              <w:left w:val="single" w:color="auto" w:sz="4" w:space="0"/>
              <w:bottom w:val="single" w:color="auto" w:sz="4" w:space="0"/>
              <w:right w:val="single" w:color="auto" w:sz="4" w:space="0"/>
            </w:tcBorders>
            <w:noWrap w:val="0"/>
            <w:vAlign w:val="center"/>
          </w:tcPr>
          <w:p>
            <w:pPr>
              <w:jc w:val="center"/>
              <w:rPr>
                <w:rFonts w:ascii="Times New Roman" w:hAnsi="Times New Roman" w:eastAsia="宋体" w:cs="Times New Roman"/>
                <w:b/>
                <w:bCs/>
                <w:kern w:val="2"/>
                <w:sz w:val="21"/>
                <w:szCs w:val="22"/>
                <w:highlight w:val="none"/>
                <w:lang w:val="en-US" w:eastAsia="zh-CN" w:bidi="ar-SA"/>
              </w:rPr>
            </w:pPr>
            <w:r>
              <w:rPr>
                <w:rFonts w:hint="eastAsia" w:ascii="Times New Roman" w:hAnsi="Times New Roman" w:eastAsia="宋体" w:cs="Times New Roman"/>
                <w:bCs/>
                <w:kern w:val="2"/>
                <w:sz w:val="21"/>
                <w:szCs w:val="22"/>
                <w:highlight w:val="none"/>
                <w:lang w:val="en-US" w:eastAsia="zh-CN" w:bidi="ar-SA"/>
              </w:rPr>
              <w:t>3</w:t>
            </w:r>
          </w:p>
        </w:tc>
        <w:tc>
          <w:tcPr>
            <w:tcW w:w="6663" w:type="dxa"/>
            <w:tcBorders>
              <w:top w:val="single" w:color="auto" w:sz="4" w:space="0"/>
              <w:left w:val="single" w:color="auto" w:sz="4" w:space="0"/>
              <w:bottom w:val="single" w:color="auto" w:sz="4" w:space="0"/>
              <w:right w:val="single" w:color="auto" w:sz="4" w:space="0"/>
            </w:tcBorders>
            <w:noWrap w:val="0"/>
            <w:vAlign w:val="top"/>
          </w:tcPr>
          <w:p>
            <w:pPr>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2"/>
                <w:highlight w:val="none"/>
                <w:lang w:val="en-US" w:eastAsia="zh-CN" w:bidi="ar-SA"/>
              </w:rPr>
              <w:t>对所提供的文件进行培训。</w:t>
            </w:r>
          </w:p>
        </w:tc>
      </w:tr>
    </w:tbl>
    <w:p>
      <w:pPr>
        <w:widowControl/>
        <w:jc w:val="left"/>
        <w:rPr>
          <w:rFonts w:ascii="Times New Roman" w:hAnsi="Times New Roman" w:eastAsia="宋体" w:cs="Times New Roman"/>
          <w:kern w:val="2"/>
          <w:sz w:val="21"/>
          <w:szCs w:val="22"/>
          <w:highlight w:val="none"/>
          <w:lang w:val="en-US" w:eastAsia="zh-CN" w:bidi="ar-SA"/>
        </w:rPr>
      </w:pPr>
    </w:p>
    <w:p>
      <w:pPr>
        <w:widowControl/>
        <w:numPr>
          <w:ilvl w:val="0"/>
          <w:numId w:val="39"/>
        </w:numPr>
        <w:spacing w:line="480" w:lineRule="auto"/>
        <w:jc w:val="both"/>
        <w:outlineLvl w:val="1"/>
        <w:rPr>
          <w:rFonts w:ascii="Times New Roman" w:hAnsi="Times New Roman" w:eastAsia="宋体" w:cs="Times New Roman"/>
          <w:b/>
          <w:kern w:val="0"/>
          <w:sz w:val="24"/>
          <w:szCs w:val="21"/>
          <w:highlight w:val="none"/>
          <w:lang w:val="en-US" w:eastAsia="zh-CN" w:bidi="ar-SA"/>
        </w:rPr>
      </w:pPr>
      <w:bookmarkStart w:id="447" w:name="_Toc22650"/>
      <w:r>
        <w:rPr>
          <w:rFonts w:hint="eastAsia" w:ascii="Times New Roman" w:hAnsi="Times New Roman" w:eastAsia="宋体" w:cs="Times New Roman"/>
          <w:b/>
          <w:kern w:val="0"/>
          <w:sz w:val="24"/>
          <w:szCs w:val="21"/>
          <w:highlight w:val="none"/>
          <w:lang w:val="en-US" w:eastAsia="zh-CN" w:bidi="ar-SA"/>
        </w:rPr>
        <w:t>项目实施要求</w:t>
      </w:r>
      <w:bookmarkEnd w:id="447"/>
    </w:p>
    <w:p>
      <w:pPr>
        <w:keepNext/>
        <w:keepLines/>
        <w:widowControl w:val="0"/>
        <w:numPr>
          <w:ilvl w:val="0"/>
          <w:numId w:val="52"/>
        </w:numPr>
        <w:spacing w:line="480" w:lineRule="auto"/>
        <w:ind w:left="420" w:hanging="420"/>
        <w:jc w:val="both"/>
        <w:outlineLvl w:val="2"/>
        <w:rPr>
          <w:rFonts w:ascii="Times New Roman" w:hAnsi="Times New Roman" w:eastAsia="宋体" w:cs="Times New Roman"/>
          <w:b/>
          <w:bCs/>
          <w:kern w:val="2"/>
          <w:sz w:val="21"/>
          <w:szCs w:val="32"/>
          <w:highlight w:val="none"/>
          <w:lang w:val="en-US" w:eastAsia="zh-CN" w:bidi="ar-SA"/>
        </w:rPr>
      </w:pPr>
      <w:r>
        <w:rPr>
          <w:rFonts w:hint="eastAsia" w:ascii="Times New Roman" w:hAnsi="Times New Roman" w:eastAsia="宋体" w:cs="Times New Roman"/>
          <w:b/>
          <w:bCs/>
          <w:kern w:val="2"/>
          <w:sz w:val="21"/>
          <w:szCs w:val="32"/>
          <w:highlight w:val="none"/>
          <w:lang w:val="en-US" w:eastAsia="zh-CN" w:bidi="ar-SA"/>
        </w:rPr>
        <w:t>制造、安装及协调</w:t>
      </w:r>
    </w:p>
    <w:p>
      <w:pPr>
        <w:adjustRightInd w:val="0"/>
        <w:snapToGrid w:val="0"/>
        <w:spacing w:line="360" w:lineRule="auto"/>
        <w:rPr>
          <w:rFonts w:ascii="Times New Roman" w:hAnsi="Times New Roman" w:eastAsia="宋体" w:cs="Times New Roman"/>
          <w:kern w:val="2"/>
          <w:sz w:val="21"/>
          <w:szCs w:val="21"/>
          <w:highlight w:val="none"/>
          <w:lang w:val="en-US" w:eastAsia="zh-CN" w:bidi="ar-SA"/>
        </w:rPr>
      </w:pPr>
      <w:r>
        <w:rPr>
          <w:rFonts w:ascii="Times New Roman" w:hAnsi="Times New Roman" w:eastAsia="宋体" w:cs="Times New Roman"/>
          <w:kern w:val="2"/>
          <w:sz w:val="21"/>
          <w:szCs w:val="21"/>
          <w:highlight w:val="none"/>
          <w:lang w:val="en-US" w:eastAsia="zh-CN" w:bidi="ar-SA"/>
        </w:rPr>
        <w:t xml:space="preserve">(1) </w:t>
      </w:r>
      <w:r>
        <w:rPr>
          <w:rFonts w:hint="eastAsia" w:ascii="Times New Roman" w:hAnsi="Times New Roman" w:eastAsia="宋体" w:cs="Times New Roman"/>
          <w:kern w:val="2"/>
          <w:sz w:val="21"/>
          <w:szCs w:val="21"/>
          <w:highlight w:val="none"/>
          <w:lang w:val="en-US" w:eastAsia="zh-CN" w:bidi="ar-SA"/>
        </w:rPr>
        <w:t>安装工作</w:t>
      </w:r>
    </w:p>
    <w:p>
      <w:pPr>
        <w:adjustRightInd w:val="0"/>
        <w:snapToGrid w:val="0"/>
        <w:spacing w:line="360" w:lineRule="auto"/>
        <w:rPr>
          <w:rFonts w:ascii="Times New Roman" w:hAnsi="Times New Roman" w:eastAsia="宋体" w:cs="Times New Roman"/>
          <w:kern w:val="2"/>
          <w:sz w:val="21"/>
          <w:szCs w:val="21"/>
          <w:highlight w:val="none"/>
          <w:lang w:val="en-US" w:eastAsia="zh-CN" w:bidi="ar-SA"/>
        </w:rPr>
      </w:pPr>
      <w:r>
        <w:rPr>
          <w:rFonts w:hint="eastAsia" w:ascii="Times New Roman" w:hAnsi="Times New Roman" w:eastAsia="宋体" w:cs="Times New Roman"/>
          <w:kern w:val="2"/>
          <w:sz w:val="21"/>
          <w:szCs w:val="21"/>
          <w:highlight w:val="none"/>
          <w:lang w:val="en-US" w:eastAsia="zh-CN" w:bidi="ar-SA"/>
        </w:rPr>
        <w:t>投标人对安装、调试、试运行等负责，直至拿到相关部门验收证书。验收费用包括在总价中。</w:t>
      </w:r>
    </w:p>
    <w:p>
      <w:pPr>
        <w:adjustRightInd w:val="0"/>
        <w:snapToGrid w:val="0"/>
        <w:spacing w:line="360" w:lineRule="auto"/>
        <w:rPr>
          <w:rFonts w:ascii="Times New Roman" w:hAnsi="Times New Roman" w:eastAsia="宋体" w:cs="Times New Roman"/>
          <w:kern w:val="2"/>
          <w:sz w:val="21"/>
          <w:szCs w:val="21"/>
          <w:highlight w:val="none"/>
          <w:lang w:val="en-US" w:eastAsia="zh-CN" w:bidi="ar-SA"/>
        </w:rPr>
      </w:pPr>
      <w:r>
        <w:rPr>
          <w:rFonts w:ascii="Times New Roman" w:hAnsi="Times New Roman" w:eastAsia="宋体" w:cs="Times New Roman"/>
          <w:kern w:val="2"/>
          <w:sz w:val="21"/>
          <w:szCs w:val="21"/>
          <w:highlight w:val="none"/>
          <w:lang w:val="en-US" w:eastAsia="zh-CN" w:bidi="ar-SA"/>
        </w:rPr>
        <w:t xml:space="preserve">(2) </w:t>
      </w:r>
      <w:r>
        <w:rPr>
          <w:rFonts w:hint="eastAsia" w:ascii="Times New Roman" w:hAnsi="Times New Roman" w:eastAsia="宋体" w:cs="Times New Roman"/>
          <w:kern w:val="2"/>
          <w:sz w:val="21"/>
          <w:szCs w:val="21"/>
          <w:highlight w:val="none"/>
          <w:lang w:val="en-US" w:eastAsia="zh-CN" w:bidi="ar-SA"/>
        </w:rPr>
        <w:t>设备的各个部件须防火、耐压、漏电保护，易清洗及易维修，并符合有关规定。</w:t>
      </w:r>
    </w:p>
    <w:p>
      <w:pPr>
        <w:adjustRightInd w:val="0"/>
        <w:snapToGrid w:val="0"/>
        <w:spacing w:line="360" w:lineRule="auto"/>
        <w:rPr>
          <w:rFonts w:ascii="Times New Roman" w:hAnsi="Times New Roman" w:eastAsia="宋体" w:cs="Times New Roman"/>
          <w:kern w:val="2"/>
          <w:sz w:val="21"/>
          <w:szCs w:val="21"/>
          <w:highlight w:val="none"/>
          <w:lang w:val="en-US" w:eastAsia="zh-CN" w:bidi="ar-SA"/>
        </w:rPr>
      </w:pPr>
      <w:r>
        <w:rPr>
          <w:rFonts w:ascii="Times New Roman" w:hAnsi="Times New Roman" w:eastAsia="宋体" w:cs="Times New Roman"/>
          <w:kern w:val="2"/>
          <w:sz w:val="21"/>
          <w:szCs w:val="21"/>
          <w:highlight w:val="none"/>
          <w:lang w:val="en-US" w:eastAsia="zh-CN" w:bidi="ar-SA"/>
        </w:rPr>
        <w:t xml:space="preserve">(3) </w:t>
      </w:r>
      <w:r>
        <w:rPr>
          <w:rFonts w:hint="eastAsia" w:ascii="Times New Roman" w:hAnsi="Times New Roman" w:eastAsia="宋体" w:cs="Times New Roman"/>
          <w:kern w:val="2"/>
          <w:sz w:val="21"/>
          <w:szCs w:val="21"/>
          <w:highlight w:val="none"/>
          <w:lang w:val="en-US" w:eastAsia="zh-CN" w:bidi="ar-SA"/>
        </w:rPr>
        <w:t>沟槽与通道</w:t>
      </w:r>
    </w:p>
    <w:p>
      <w:pPr>
        <w:adjustRightInd w:val="0"/>
        <w:snapToGrid w:val="0"/>
        <w:spacing w:line="360" w:lineRule="auto"/>
        <w:rPr>
          <w:rFonts w:ascii="Times New Roman" w:hAnsi="Times New Roman" w:eastAsia="宋体" w:cs="Times New Roman"/>
          <w:kern w:val="2"/>
          <w:sz w:val="21"/>
          <w:szCs w:val="21"/>
          <w:highlight w:val="none"/>
          <w:lang w:val="en-US" w:eastAsia="zh-CN" w:bidi="ar-SA"/>
        </w:rPr>
      </w:pPr>
      <w:r>
        <w:rPr>
          <w:rFonts w:hint="eastAsia" w:ascii="Times New Roman" w:hAnsi="Times New Roman" w:eastAsia="宋体" w:cs="Times New Roman"/>
          <w:kern w:val="2"/>
          <w:sz w:val="21"/>
          <w:szCs w:val="21"/>
          <w:highlight w:val="none"/>
          <w:lang w:val="en-US" w:eastAsia="zh-CN" w:bidi="ar-SA"/>
        </w:rPr>
        <w:t>任何在土建结构内的挖掘，都须在具体施工图中标明，并提交招标人认可。</w:t>
      </w:r>
    </w:p>
    <w:p>
      <w:pPr>
        <w:adjustRightInd w:val="0"/>
        <w:snapToGrid w:val="0"/>
        <w:spacing w:line="360" w:lineRule="auto"/>
        <w:rPr>
          <w:rFonts w:ascii="Times New Roman" w:hAnsi="Times New Roman" w:eastAsia="宋体" w:cs="Times New Roman"/>
          <w:kern w:val="2"/>
          <w:sz w:val="21"/>
          <w:szCs w:val="21"/>
          <w:highlight w:val="none"/>
          <w:lang w:val="en-US" w:eastAsia="zh-CN" w:bidi="ar-SA"/>
        </w:rPr>
      </w:pPr>
      <w:r>
        <w:rPr>
          <w:rFonts w:ascii="Times New Roman" w:hAnsi="Times New Roman" w:eastAsia="宋体" w:cs="Times New Roman"/>
          <w:kern w:val="2"/>
          <w:sz w:val="21"/>
          <w:szCs w:val="21"/>
          <w:highlight w:val="none"/>
          <w:lang w:val="en-US" w:eastAsia="zh-CN" w:bidi="ar-SA"/>
        </w:rPr>
        <w:t xml:space="preserve">(4) </w:t>
      </w:r>
      <w:r>
        <w:rPr>
          <w:rFonts w:hint="eastAsia" w:ascii="Times New Roman" w:hAnsi="Times New Roman" w:eastAsia="宋体" w:cs="Times New Roman"/>
          <w:kern w:val="2"/>
          <w:sz w:val="21"/>
          <w:szCs w:val="21"/>
          <w:highlight w:val="none"/>
          <w:lang w:val="en-US" w:eastAsia="zh-CN" w:bidi="ar-SA"/>
        </w:rPr>
        <w:t>认可</w:t>
      </w:r>
    </w:p>
    <w:p>
      <w:pPr>
        <w:adjustRightInd w:val="0"/>
        <w:snapToGrid w:val="0"/>
        <w:spacing w:line="360" w:lineRule="auto"/>
        <w:rPr>
          <w:rFonts w:ascii="Times New Roman" w:hAnsi="Times New Roman" w:eastAsia="宋体" w:cs="Times New Roman"/>
          <w:kern w:val="2"/>
          <w:sz w:val="21"/>
          <w:szCs w:val="21"/>
          <w:highlight w:val="none"/>
          <w:lang w:val="en-US" w:eastAsia="zh-CN" w:bidi="ar-SA"/>
        </w:rPr>
      </w:pPr>
      <w:r>
        <w:rPr>
          <w:rFonts w:hint="eastAsia" w:ascii="Times New Roman" w:hAnsi="Times New Roman" w:eastAsia="宋体" w:cs="Times New Roman"/>
          <w:kern w:val="2"/>
          <w:sz w:val="21"/>
          <w:szCs w:val="21"/>
          <w:highlight w:val="none"/>
          <w:lang w:val="en-US" w:eastAsia="zh-CN" w:bidi="ar-SA"/>
        </w:rPr>
        <w:t>设备制造须取得有关部门的认可，中标人有责任提供相关的认可文件及证书。</w:t>
      </w:r>
    </w:p>
    <w:p>
      <w:pPr>
        <w:adjustRightInd w:val="0"/>
        <w:snapToGrid w:val="0"/>
        <w:spacing w:line="360" w:lineRule="auto"/>
        <w:rPr>
          <w:rFonts w:ascii="Times New Roman" w:hAnsi="Times New Roman" w:eastAsia="宋体" w:cs="Times New Roman"/>
          <w:kern w:val="2"/>
          <w:sz w:val="21"/>
          <w:szCs w:val="21"/>
          <w:highlight w:val="none"/>
          <w:lang w:val="en-US" w:eastAsia="zh-CN" w:bidi="ar-SA"/>
        </w:rPr>
      </w:pPr>
      <w:r>
        <w:rPr>
          <w:rFonts w:ascii="Times New Roman" w:hAnsi="Times New Roman" w:eastAsia="宋体" w:cs="Times New Roman"/>
          <w:kern w:val="2"/>
          <w:sz w:val="21"/>
          <w:szCs w:val="21"/>
          <w:highlight w:val="none"/>
          <w:lang w:val="en-US" w:eastAsia="zh-CN" w:bidi="ar-SA"/>
        </w:rPr>
        <w:t xml:space="preserve">(5) </w:t>
      </w:r>
      <w:r>
        <w:rPr>
          <w:rFonts w:hint="eastAsia" w:ascii="Times New Roman" w:hAnsi="Times New Roman" w:eastAsia="宋体" w:cs="Times New Roman"/>
          <w:kern w:val="2"/>
          <w:sz w:val="21"/>
          <w:szCs w:val="21"/>
          <w:highlight w:val="none"/>
          <w:lang w:val="en-US" w:eastAsia="zh-CN" w:bidi="ar-SA"/>
        </w:rPr>
        <w:t>保证设备在起吊、运输装卸过程中的安全。</w:t>
      </w:r>
    </w:p>
    <w:p>
      <w:pPr>
        <w:adjustRightInd w:val="0"/>
        <w:snapToGrid w:val="0"/>
        <w:spacing w:line="360" w:lineRule="auto"/>
        <w:rPr>
          <w:rFonts w:ascii="Times New Roman" w:hAnsi="Times New Roman" w:eastAsia="宋体" w:cs="Times New Roman"/>
          <w:kern w:val="2"/>
          <w:sz w:val="21"/>
          <w:szCs w:val="21"/>
          <w:highlight w:val="none"/>
          <w:lang w:val="en-US" w:eastAsia="zh-CN" w:bidi="ar-SA"/>
        </w:rPr>
      </w:pPr>
      <w:r>
        <w:rPr>
          <w:rFonts w:hint="eastAsia" w:ascii="Times New Roman" w:hAnsi="Times New Roman" w:eastAsia="宋体" w:cs="Times New Roman"/>
          <w:kern w:val="2"/>
          <w:sz w:val="21"/>
          <w:szCs w:val="21"/>
          <w:highlight w:val="none"/>
          <w:lang w:val="en-US" w:eastAsia="zh-CN" w:bidi="ar-SA"/>
        </w:rPr>
        <w:t>在交货期间，中标人负责运输、卸货、就位中需要的起重、运输所需辅助设备，所有这些设备都须符合安全作业要求。</w:t>
      </w:r>
    </w:p>
    <w:p>
      <w:pPr>
        <w:keepNext/>
        <w:keepLines/>
        <w:widowControl w:val="0"/>
        <w:numPr>
          <w:ilvl w:val="0"/>
          <w:numId w:val="40"/>
        </w:numPr>
        <w:spacing w:line="480" w:lineRule="auto"/>
        <w:jc w:val="both"/>
        <w:outlineLvl w:val="2"/>
        <w:rPr>
          <w:rFonts w:ascii="Times New Roman" w:hAnsi="Times New Roman" w:eastAsia="宋体" w:cs="Times New Roman"/>
          <w:b/>
          <w:bCs/>
          <w:kern w:val="2"/>
          <w:sz w:val="21"/>
          <w:szCs w:val="32"/>
          <w:highlight w:val="none"/>
          <w:lang w:val="en-US" w:eastAsia="zh-CN" w:bidi="ar-SA"/>
        </w:rPr>
      </w:pPr>
      <w:r>
        <w:rPr>
          <w:rFonts w:hint="eastAsia" w:ascii="Times New Roman" w:hAnsi="Times New Roman" w:eastAsia="宋体" w:cs="Times New Roman"/>
          <w:b/>
          <w:bCs/>
          <w:kern w:val="2"/>
          <w:sz w:val="21"/>
          <w:szCs w:val="32"/>
          <w:highlight w:val="none"/>
          <w:lang w:val="en-US" w:eastAsia="zh-CN" w:bidi="ar-SA"/>
        </w:rPr>
        <w:t>测试和试运行</w:t>
      </w:r>
    </w:p>
    <w:p>
      <w:pPr>
        <w:adjustRightInd w:val="0"/>
        <w:snapToGrid w:val="0"/>
        <w:spacing w:line="360" w:lineRule="auto"/>
        <w:rPr>
          <w:rFonts w:ascii="Times New Roman" w:hAnsi="Times New Roman" w:eastAsia="宋体" w:cs="Times New Roman"/>
          <w:kern w:val="2"/>
          <w:sz w:val="21"/>
          <w:szCs w:val="21"/>
          <w:highlight w:val="none"/>
          <w:lang w:val="en-US" w:eastAsia="zh-CN" w:bidi="ar-SA"/>
        </w:rPr>
      </w:pPr>
      <w:r>
        <w:rPr>
          <w:rFonts w:ascii="Times New Roman" w:hAnsi="Times New Roman" w:eastAsia="宋体" w:cs="Times New Roman"/>
          <w:kern w:val="2"/>
          <w:sz w:val="21"/>
          <w:szCs w:val="21"/>
          <w:highlight w:val="none"/>
          <w:lang w:val="en-US" w:eastAsia="zh-CN" w:bidi="ar-SA"/>
        </w:rPr>
        <w:t xml:space="preserve">(1) </w:t>
      </w:r>
      <w:r>
        <w:rPr>
          <w:rFonts w:hint="eastAsia" w:ascii="Times New Roman" w:hAnsi="Times New Roman" w:eastAsia="宋体" w:cs="Times New Roman"/>
          <w:kern w:val="2"/>
          <w:sz w:val="21"/>
          <w:szCs w:val="21"/>
          <w:highlight w:val="none"/>
          <w:lang w:val="en-US" w:eastAsia="zh-CN" w:bidi="ar-SA"/>
        </w:rPr>
        <w:t>工具、材料、仪器设备和劳务人员</w:t>
      </w:r>
    </w:p>
    <w:p>
      <w:pPr>
        <w:adjustRightInd w:val="0"/>
        <w:snapToGrid w:val="0"/>
        <w:spacing w:line="360" w:lineRule="auto"/>
        <w:rPr>
          <w:rFonts w:ascii="Times New Roman" w:hAnsi="Times New Roman" w:eastAsia="宋体" w:cs="Times New Roman"/>
          <w:kern w:val="2"/>
          <w:sz w:val="21"/>
          <w:szCs w:val="21"/>
          <w:highlight w:val="none"/>
          <w:lang w:val="en-US" w:eastAsia="zh-CN" w:bidi="ar-SA"/>
        </w:rPr>
      </w:pPr>
      <w:r>
        <w:rPr>
          <w:rFonts w:hint="eastAsia" w:ascii="Times New Roman" w:hAnsi="Times New Roman" w:eastAsia="宋体" w:cs="Times New Roman"/>
          <w:kern w:val="2"/>
          <w:sz w:val="21"/>
          <w:szCs w:val="21"/>
          <w:highlight w:val="none"/>
          <w:lang w:val="en-US" w:eastAsia="zh-CN" w:bidi="ar-SA"/>
        </w:rPr>
        <w:t>中标人应派有五年以上工作经验的工程师在现场负责测试和调试，以检测其设计、制造、运行效果等。并提供所有测试和调试所需的工具、材料、仪器和劳务人员。</w:t>
      </w:r>
    </w:p>
    <w:p>
      <w:pPr>
        <w:adjustRightInd w:val="0"/>
        <w:snapToGrid w:val="0"/>
        <w:spacing w:line="360" w:lineRule="auto"/>
        <w:rPr>
          <w:rFonts w:ascii="Times New Roman" w:hAnsi="Times New Roman" w:eastAsia="宋体" w:cs="Times New Roman"/>
          <w:kern w:val="2"/>
          <w:sz w:val="21"/>
          <w:szCs w:val="21"/>
          <w:highlight w:val="none"/>
          <w:lang w:val="en-US" w:eastAsia="zh-CN" w:bidi="ar-SA"/>
        </w:rPr>
      </w:pPr>
      <w:r>
        <w:rPr>
          <w:rFonts w:ascii="Times New Roman" w:hAnsi="Times New Roman" w:eastAsia="宋体" w:cs="Times New Roman"/>
          <w:kern w:val="2"/>
          <w:sz w:val="21"/>
          <w:szCs w:val="21"/>
          <w:highlight w:val="none"/>
          <w:lang w:val="en-US" w:eastAsia="zh-CN" w:bidi="ar-SA"/>
        </w:rPr>
        <w:t xml:space="preserve">(2) </w:t>
      </w:r>
      <w:r>
        <w:rPr>
          <w:rFonts w:hint="eastAsia" w:ascii="Times New Roman" w:hAnsi="Times New Roman" w:eastAsia="宋体" w:cs="Times New Roman"/>
          <w:kern w:val="2"/>
          <w:sz w:val="21"/>
          <w:szCs w:val="21"/>
          <w:highlight w:val="none"/>
          <w:lang w:val="en-US" w:eastAsia="zh-CN" w:bidi="ar-SA"/>
        </w:rPr>
        <w:t>程序和表格</w:t>
      </w:r>
    </w:p>
    <w:p>
      <w:pPr>
        <w:adjustRightInd w:val="0"/>
        <w:snapToGrid w:val="0"/>
        <w:spacing w:line="360" w:lineRule="auto"/>
        <w:rPr>
          <w:rFonts w:ascii="Times New Roman" w:hAnsi="Times New Roman" w:eastAsia="宋体" w:cs="Times New Roman"/>
          <w:kern w:val="2"/>
          <w:sz w:val="21"/>
          <w:szCs w:val="21"/>
          <w:highlight w:val="none"/>
          <w:lang w:val="en-US" w:eastAsia="zh-CN" w:bidi="ar-SA"/>
        </w:rPr>
      </w:pPr>
      <w:r>
        <w:rPr>
          <w:rFonts w:hint="eastAsia" w:ascii="Times New Roman" w:hAnsi="Times New Roman" w:eastAsia="宋体" w:cs="Times New Roman"/>
          <w:kern w:val="2"/>
          <w:sz w:val="21"/>
          <w:szCs w:val="21"/>
          <w:highlight w:val="none"/>
          <w:lang w:val="en-US" w:eastAsia="zh-CN" w:bidi="ar-SA"/>
        </w:rPr>
        <w:t>中标人须在安装结束前</w:t>
      </w:r>
      <w:r>
        <w:rPr>
          <w:rFonts w:ascii="Times New Roman" w:hAnsi="Times New Roman" w:eastAsia="宋体" w:cs="Times New Roman"/>
          <w:kern w:val="2"/>
          <w:sz w:val="21"/>
          <w:szCs w:val="21"/>
          <w:highlight w:val="none"/>
          <w:lang w:val="en-US" w:eastAsia="zh-CN" w:bidi="ar-SA"/>
        </w:rPr>
        <w:t xml:space="preserve">4 </w:t>
      </w:r>
      <w:r>
        <w:rPr>
          <w:rFonts w:hint="eastAsia" w:ascii="Times New Roman" w:hAnsi="Times New Roman" w:eastAsia="宋体" w:cs="Times New Roman"/>
          <w:kern w:val="2"/>
          <w:sz w:val="21"/>
          <w:szCs w:val="21"/>
          <w:highlight w:val="none"/>
          <w:lang w:val="en-US" w:eastAsia="zh-CN" w:bidi="ar-SA"/>
        </w:rPr>
        <w:t>个星期，提交测试和调试方法及记录表格给招标人。</w:t>
      </w:r>
    </w:p>
    <w:p>
      <w:pPr>
        <w:adjustRightInd w:val="0"/>
        <w:snapToGrid w:val="0"/>
        <w:spacing w:line="360" w:lineRule="auto"/>
        <w:rPr>
          <w:rFonts w:ascii="Times New Roman" w:hAnsi="Times New Roman" w:eastAsia="宋体" w:cs="Times New Roman"/>
          <w:kern w:val="2"/>
          <w:sz w:val="21"/>
          <w:szCs w:val="21"/>
          <w:highlight w:val="none"/>
          <w:lang w:val="en-US" w:eastAsia="zh-CN" w:bidi="ar-SA"/>
        </w:rPr>
      </w:pPr>
      <w:r>
        <w:rPr>
          <w:rFonts w:ascii="Times New Roman" w:hAnsi="Times New Roman" w:eastAsia="宋体" w:cs="Times New Roman"/>
          <w:kern w:val="2"/>
          <w:sz w:val="21"/>
          <w:szCs w:val="21"/>
          <w:highlight w:val="none"/>
          <w:lang w:val="en-US" w:eastAsia="zh-CN" w:bidi="ar-SA"/>
        </w:rPr>
        <w:t xml:space="preserve">(3) </w:t>
      </w:r>
      <w:r>
        <w:rPr>
          <w:rFonts w:hint="eastAsia" w:ascii="Times New Roman" w:hAnsi="Times New Roman" w:eastAsia="宋体" w:cs="Times New Roman"/>
          <w:kern w:val="2"/>
          <w:sz w:val="21"/>
          <w:szCs w:val="21"/>
          <w:highlight w:val="none"/>
          <w:lang w:val="en-US" w:eastAsia="zh-CN" w:bidi="ar-SA"/>
        </w:rPr>
        <w:t>测试</w:t>
      </w:r>
    </w:p>
    <w:p>
      <w:pPr>
        <w:adjustRightInd w:val="0"/>
        <w:snapToGrid w:val="0"/>
        <w:spacing w:line="360" w:lineRule="auto"/>
        <w:rPr>
          <w:rFonts w:ascii="Times New Roman" w:hAnsi="Times New Roman" w:eastAsia="宋体" w:cs="Times New Roman"/>
          <w:kern w:val="2"/>
          <w:sz w:val="21"/>
          <w:szCs w:val="21"/>
          <w:highlight w:val="none"/>
          <w:lang w:val="en-US" w:eastAsia="zh-CN" w:bidi="ar-SA"/>
        </w:rPr>
      </w:pPr>
      <w:r>
        <w:rPr>
          <w:rFonts w:hint="eastAsia" w:ascii="Times New Roman" w:hAnsi="Times New Roman" w:eastAsia="宋体" w:cs="Times New Roman"/>
          <w:kern w:val="2"/>
          <w:sz w:val="21"/>
          <w:szCs w:val="21"/>
          <w:highlight w:val="none"/>
          <w:lang w:val="en-US" w:eastAsia="zh-CN" w:bidi="ar-SA"/>
        </w:rPr>
        <w:t>部分或全部测试需根据实际情况在安装期内或后进行，中标人在调试测试后</w:t>
      </w:r>
      <w:r>
        <w:rPr>
          <w:rFonts w:ascii="Times New Roman" w:hAnsi="Times New Roman" w:eastAsia="宋体" w:cs="Times New Roman"/>
          <w:kern w:val="2"/>
          <w:sz w:val="21"/>
          <w:szCs w:val="21"/>
          <w:highlight w:val="none"/>
          <w:lang w:val="en-US" w:eastAsia="zh-CN" w:bidi="ar-SA"/>
        </w:rPr>
        <w:t xml:space="preserve">5 </w:t>
      </w:r>
      <w:r>
        <w:rPr>
          <w:rFonts w:hint="eastAsia" w:ascii="Times New Roman" w:hAnsi="Times New Roman" w:eastAsia="宋体" w:cs="Times New Roman"/>
          <w:kern w:val="2"/>
          <w:sz w:val="21"/>
          <w:szCs w:val="21"/>
          <w:highlight w:val="none"/>
          <w:lang w:val="en-US" w:eastAsia="zh-CN" w:bidi="ar-SA"/>
        </w:rPr>
        <w:t>个工作日内提交测试报告给招标人。如招标人对测试报告有疑问，招标人有权指定有关部门进行测试，如所疑属实，测试费用由中标方负责，中标方负责处理问题，直至合格。如所疑不实，测试费用由招标人自负。</w:t>
      </w:r>
    </w:p>
    <w:p>
      <w:pPr>
        <w:adjustRightInd w:val="0"/>
        <w:snapToGrid w:val="0"/>
        <w:spacing w:line="360" w:lineRule="auto"/>
        <w:rPr>
          <w:rFonts w:ascii="Times New Roman" w:hAnsi="Times New Roman" w:eastAsia="宋体" w:cs="Times New Roman"/>
          <w:kern w:val="2"/>
          <w:sz w:val="21"/>
          <w:szCs w:val="21"/>
          <w:highlight w:val="none"/>
          <w:lang w:val="en-US" w:eastAsia="zh-CN" w:bidi="ar-SA"/>
        </w:rPr>
      </w:pPr>
      <w:r>
        <w:rPr>
          <w:rFonts w:ascii="Times New Roman" w:hAnsi="Times New Roman" w:eastAsia="宋体" w:cs="Times New Roman"/>
          <w:kern w:val="2"/>
          <w:sz w:val="21"/>
          <w:szCs w:val="21"/>
          <w:highlight w:val="none"/>
          <w:lang w:val="en-US" w:eastAsia="zh-CN" w:bidi="ar-SA"/>
        </w:rPr>
        <w:t xml:space="preserve">(4) </w:t>
      </w:r>
      <w:r>
        <w:rPr>
          <w:rFonts w:hint="eastAsia" w:ascii="Times New Roman" w:hAnsi="Times New Roman" w:eastAsia="宋体" w:cs="Times New Roman"/>
          <w:kern w:val="2"/>
          <w:sz w:val="21"/>
          <w:szCs w:val="21"/>
          <w:highlight w:val="none"/>
          <w:lang w:val="en-US" w:eastAsia="zh-CN" w:bidi="ar-SA"/>
        </w:rPr>
        <w:t>试运行</w:t>
      </w:r>
    </w:p>
    <w:p>
      <w:pPr>
        <w:adjustRightInd w:val="0"/>
        <w:snapToGrid w:val="0"/>
        <w:spacing w:line="360" w:lineRule="auto"/>
        <w:rPr>
          <w:rFonts w:ascii="Times New Roman" w:hAnsi="Times New Roman" w:eastAsia="宋体" w:cs="Times New Roman"/>
          <w:kern w:val="2"/>
          <w:sz w:val="21"/>
          <w:szCs w:val="21"/>
          <w:highlight w:val="none"/>
          <w:lang w:val="en-US" w:eastAsia="zh-CN" w:bidi="ar-SA"/>
        </w:rPr>
      </w:pPr>
      <w:r>
        <w:rPr>
          <w:rFonts w:hint="eastAsia" w:ascii="Times New Roman" w:hAnsi="Times New Roman" w:eastAsia="宋体" w:cs="Times New Roman"/>
          <w:kern w:val="2"/>
          <w:sz w:val="21"/>
          <w:szCs w:val="21"/>
          <w:highlight w:val="none"/>
          <w:lang w:val="en-US" w:eastAsia="zh-CN" w:bidi="ar-SA"/>
        </w:rPr>
        <w:t>设备试运行应在有关部门及招标人的监督下进行。</w:t>
      </w:r>
    </w:p>
    <w:p>
      <w:pPr>
        <w:keepNext/>
        <w:keepLines/>
        <w:widowControl w:val="0"/>
        <w:numPr>
          <w:ilvl w:val="0"/>
          <w:numId w:val="40"/>
        </w:numPr>
        <w:spacing w:line="480" w:lineRule="auto"/>
        <w:jc w:val="both"/>
        <w:outlineLvl w:val="2"/>
        <w:rPr>
          <w:rFonts w:ascii="Times New Roman" w:hAnsi="Times New Roman" w:eastAsia="宋体" w:cs="Times New Roman"/>
          <w:b/>
          <w:bCs/>
          <w:kern w:val="2"/>
          <w:sz w:val="21"/>
          <w:szCs w:val="32"/>
          <w:highlight w:val="none"/>
          <w:lang w:val="en-US" w:eastAsia="zh-CN" w:bidi="ar-SA"/>
        </w:rPr>
      </w:pPr>
      <w:r>
        <w:rPr>
          <w:rFonts w:hint="eastAsia" w:ascii="Times New Roman" w:hAnsi="Times New Roman" w:eastAsia="宋体" w:cs="Times New Roman"/>
          <w:b/>
          <w:bCs/>
          <w:kern w:val="2"/>
          <w:sz w:val="21"/>
          <w:szCs w:val="32"/>
          <w:highlight w:val="none"/>
          <w:lang w:val="en-US" w:eastAsia="zh-CN" w:bidi="ar-SA"/>
        </w:rPr>
        <w:t>验收</w:t>
      </w:r>
    </w:p>
    <w:p>
      <w:pPr>
        <w:adjustRightInd w:val="0"/>
        <w:snapToGrid w:val="0"/>
        <w:spacing w:line="360" w:lineRule="auto"/>
        <w:rPr>
          <w:rFonts w:ascii="Times New Roman" w:hAnsi="Times New Roman" w:eastAsia="宋体" w:cs="Times New Roman"/>
          <w:kern w:val="2"/>
          <w:sz w:val="21"/>
          <w:szCs w:val="21"/>
          <w:highlight w:val="none"/>
          <w:lang w:val="en-US" w:eastAsia="zh-CN" w:bidi="ar-SA"/>
        </w:rPr>
      </w:pPr>
      <w:r>
        <w:rPr>
          <w:rFonts w:ascii="Times New Roman" w:hAnsi="Times New Roman" w:eastAsia="宋体" w:cs="Times New Roman"/>
          <w:kern w:val="2"/>
          <w:sz w:val="21"/>
          <w:szCs w:val="21"/>
          <w:highlight w:val="none"/>
          <w:lang w:val="en-US" w:eastAsia="zh-CN" w:bidi="ar-SA"/>
        </w:rPr>
        <w:t xml:space="preserve">(1) </w:t>
      </w:r>
      <w:r>
        <w:rPr>
          <w:rFonts w:hint="eastAsia" w:ascii="Times New Roman" w:hAnsi="Times New Roman" w:eastAsia="宋体" w:cs="Times New Roman"/>
          <w:kern w:val="2"/>
          <w:sz w:val="21"/>
          <w:szCs w:val="21"/>
          <w:highlight w:val="none"/>
          <w:lang w:val="en-US" w:eastAsia="zh-CN" w:bidi="ar-SA"/>
        </w:rPr>
        <w:t>产品保护</w:t>
      </w:r>
    </w:p>
    <w:p>
      <w:pPr>
        <w:adjustRightInd w:val="0"/>
        <w:snapToGrid w:val="0"/>
        <w:spacing w:line="360" w:lineRule="auto"/>
        <w:rPr>
          <w:rFonts w:ascii="Times New Roman" w:hAnsi="Times New Roman" w:eastAsia="宋体" w:cs="Times New Roman"/>
          <w:kern w:val="2"/>
          <w:sz w:val="21"/>
          <w:szCs w:val="21"/>
          <w:highlight w:val="none"/>
          <w:lang w:val="en-US" w:eastAsia="zh-CN" w:bidi="ar-SA"/>
        </w:rPr>
      </w:pPr>
      <w:r>
        <w:rPr>
          <w:rFonts w:hint="eastAsia" w:ascii="Times New Roman" w:hAnsi="Times New Roman" w:cs="Times New Roman"/>
          <w:kern w:val="2"/>
          <w:sz w:val="21"/>
          <w:szCs w:val="21"/>
          <w:highlight w:val="none"/>
          <w:lang w:val="en-US" w:eastAsia="zh-CN" w:bidi="ar-SA"/>
        </w:rPr>
        <w:t>项目</w:t>
      </w:r>
      <w:r>
        <w:rPr>
          <w:rFonts w:hint="eastAsia" w:ascii="Times New Roman" w:hAnsi="Times New Roman" w:eastAsia="宋体" w:cs="Times New Roman"/>
          <w:kern w:val="2"/>
          <w:sz w:val="21"/>
          <w:szCs w:val="21"/>
          <w:highlight w:val="none"/>
          <w:lang w:val="en-US" w:eastAsia="zh-CN" w:bidi="ar-SA"/>
        </w:rPr>
        <w:t>完成后，中标人须负责全部设备的保护和清洁工作，直至设备验收合格并正常运行后为止。在安装过程中，如由于中标方原因导致建筑结构或其它设备被损坏，中标人将要负责修理或赔偿损失。</w:t>
      </w:r>
    </w:p>
    <w:p>
      <w:pPr>
        <w:adjustRightInd w:val="0"/>
        <w:snapToGrid w:val="0"/>
        <w:spacing w:line="360" w:lineRule="auto"/>
        <w:rPr>
          <w:rFonts w:ascii="Times New Roman" w:hAnsi="Times New Roman" w:eastAsia="宋体" w:cs="Times New Roman"/>
          <w:kern w:val="2"/>
          <w:sz w:val="21"/>
          <w:szCs w:val="21"/>
          <w:highlight w:val="none"/>
          <w:lang w:val="en-US" w:eastAsia="zh-CN" w:bidi="ar-SA"/>
        </w:rPr>
      </w:pPr>
      <w:r>
        <w:rPr>
          <w:rFonts w:ascii="Times New Roman" w:hAnsi="Times New Roman" w:eastAsia="宋体" w:cs="Times New Roman"/>
          <w:kern w:val="2"/>
          <w:sz w:val="21"/>
          <w:szCs w:val="21"/>
          <w:highlight w:val="none"/>
          <w:lang w:val="en-US" w:eastAsia="zh-CN" w:bidi="ar-SA"/>
        </w:rPr>
        <w:t xml:space="preserve">(2) </w:t>
      </w:r>
      <w:r>
        <w:rPr>
          <w:rFonts w:hint="eastAsia" w:ascii="Times New Roman" w:hAnsi="Times New Roman" w:eastAsia="宋体" w:cs="Times New Roman"/>
          <w:kern w:val="2"/>
          <w:sz w:val="21"/>
          <w:szCs w:val="21"/>
          <w:highlight w:val="none"/>
          <w:lang w:val="en-US" w:eastAsia="zh-CN" w:bidi="ar-SA"/>
        </w:rPr>
        <w:t>验收合格条件</w:t>
      </w:r>
    </w:p>
    <w:p>
      <w:pPr>
        <w:adjustRightInd w:val="0"/>
        <w:snapToGrid w:val="0"/>
        <w:spacing w:line="360" w:lineRule="auto"/>
        <w:rPr>
          <w:rFonts w:ascii="Times New Roman" w:hAnsi="Times New Roman" w:eastAsia="宋体" w:cs="Times New Roman"/>
          <w:kern w:val="2"/>
          <w:sz w:val="21"/>
          <w:szCs w:val="21"/>
          <w:highlight w:val="none"/>
          <w:lang w:val="en-US" w:eastAsia="zh-CN" w:bidi="ar-SA"/>
        </w:rPr>
      </w:pPr>
      <w:r>
        <w:rPr>
          <w:rFonts w:ascii="Times New Roman" w:hAnsi="Times New Roman" w:eastAsia="宋体" w:cs="Times New Roman"/>
          <w:kern w:val="2"/>
          <w:sz w:val="21"/>
          <w:szCs w:val="21"/>
          <w:highlight w:val="none"/>
          <w:lang w:val="en-US" w:eastAsia="zh-CN" w:bidi="ar-SA"/>
        </w:rPr>
        <w:t>a</w:t>
      </w:r>
      <w:r>
        <w:rPr>
          <w:rFonts w:hint="eastAsia" w:ascii="Times New Roman" w:hAnsi="Times New Roman" w:eastAsia="宋体" w:cs="Times New Roman"/>
          <w:kern w:val="2"/>
          <w:sz w:val="21"/>
          <w:szCs w:val="21"/>
          <w:highlight w:val="none"/>
          <w:lang w:val="en-US" w:eastAsia="zh-CN" w:bidi="ar-SA"/>
        </w:rPr>
        <w:t>．运行结果符合产品标准和技术规格书及合同要求。</w:t>
      </w:r>
    </w:p>
    <w:p>
      <w:pPr>
        <w:adjustRightInd w:val="0"/>
        <w:snapToGrid w:val="0"/>
        <w:spacing w:line="360" w:lineRule="auto"/>
        <w:rPr>
          <w:rFonts w:ascii="Times New Roman" w:hAnsi="Times New Roman" w:eastAsia="宋体" w:cs="Times New Roman"/>
          <w:kern w:val="2"/>
          <w:sz w:val="21"/>
          <w:szCs w:val="21"/>
          <w:highlight w:val="none"/>
          <w:lang w:val="en-US" w:eastAsia="zh-CN" w:bidi="ar-SA"/>
        </w:rPr>
      </w:pPr>
      <w:r>
        <w:rPr>
          <w:rFonts w:ascii="Times New Roman" w:hAnsi="Times New Roman" w:eastAsia="宋体" w:cs="Times New Roman"/>
          <w:kern w:val="2"/>
          <w:sz w:val="21"/>
          <w:szCs w:val="21"/>
          <w:highlight w:val="none"/>
          <w:lang w:val="en-US" w:eastAsia="zh-CN" w:bidi="ar-SA"/>
        </w:rPr>
        <w:t>b</w:t>
      </w:r>
      <w:r>
        <w:rPr>
          <w:rFonts w:hint="eastAsia" w:ascii="Times New Roman" w:hAnsi="Times New Roman" w:eastAsia="宋体" w:cs="Times New Roman"/>
          <w:kern w:val="2"/>
          <w:sz w:val="21"/>
          <w:szCs w:val="21"/>
          <w:highlight w:val="none"/>
          <w:lang w:val="en-US" w:eastAsia="zh-CN" w:bidi="ar-SA"/>
        </w:rPr>
        <w:t>．在进行测试和验收运行过程中发生的故障已被消除并得到招标人的认可。</w:t>
      </w:r>
    </w:p>
    <w:p>
      <w:pPr>
        <w:adjustRightInd w:val="0"/>
        <w:snapToGrid w:val="0"/>
        <w:spacing w:line="360" w:lineRule="auto"/>
        <w:rPr>
          <w:rFonts w:ascii="Times New Roman" w:hAnsi="Times New Roman" w:eastAsia="宋体" w:cs="Times New Roman"/>
          <w:kern w:val="2"/>
          <w:sz w:val="21"/>
          <w:szCs w:val="21"/>
          <w:highlight w:val="none"/>
          <w:lang w:val="en-US" w:eastAsia="zh-CN" w:bidi="ar-SA"/>
        </w:rPr>
      </w:pPr>
      <w:r>
        <w:rPr>
          <w:rFonts w:ascii="Times New Roman" w:hAnsi="Times New Roman" w:eastAsia="宋体" w:cs="Times New Roman"/>
          <w:kern w:val="2"/>
          <w:sz w:val="21"/>
          <w:szCs w:val="21"/>
          <w:highlight w:val="none"/>
          <w:lang w:val="en-US" w:eastAsia="zh-CN" w:bidi="ar-SA"/>
        </w:rPr>
        <w:t>c</w:t>
      </w:r>
      <w:r>
        <w:rPr>
          <w:rFonts w:hint="eastAsia" w:ascii="Times New Roman" w:hAnsi="Times New Roman" w:eastAsia="宋体" w:cs="Times New Roman"/>
          <w:kern w:val="2"/>
          <w:sz w:val="21"/>
          <w:szCs w:val="21"/>
          <w:highlight w:val="none"/>
          <w:lang w:val="en-US" w:eastAsia="zh-CN" w:bidi="ar-SA"/>
        </w:rPr>
        <w:t>．所有合同中规定的货物和材料都已提交。</w:t>
      </w:r>
    </w:p>
    <w:p>
      <w:pPr>
        <w:adjustRightInd w:val="0"/>
        <w:snapToGrid w:val="0"/>
        <w:spacing w:line="360" w:lineRule="auto"/>
        <w:rPr>
          <w:rFonts w:ascii="Times New Roman" w:hAnsi="Times New Roman" w:eastAsia="宋体" w:cs="Times New Roman"/>
          <w:kern w:val="2"/>
          <w:sz w:val="21"/>
          <w:szCs w:val="21"/>
          <w:highlight w:val="none"/>
          <w:lang w:val="en-US" w:eastAsia="zh-CN" w:bidi="ar-SA"/>
        </w:rPr>
      </w:pPr>
      <w:r>
        <w:rPr>
          <w:rFonts w:ascii="Times New Roman" w:hAnsi="Times New Roman" w:eastAsia="宋体" w:cs="Times New Roman"/>
          <w:kern w:val="2"/>
          <w:sz w:val="21"/>
          <w:szCs w:val="21"/>
          <w:highlight w:val="none"/>
          <w:lang w:val="en-US" w:eastAsia="zh-CN" w:bidi="ar-SA"/>
        </w:rPr>
        <w:t>d</w:t>
      </w:r>
      <w:r>
        <w:rPr>
          <w:rFonts w:hint="eastAsia" w:ascii="Times New Roman" w:hAnsi="Times New Roman" w:eastAsia="宋体" w:cs="Times New Roman"/>
          <w:kern w:val="2"/>
          <w:sz w:val="21"/>
          <w:szCs w:val="21"/>
          <w:highlight w:val="none"/>
          <w:lang w:val="en-US" w:eastAsia="zh-CN" w:bidi="ar-SA"/>
        </w:rPr>
        <w:t>．设备在交由招标人使用之前已通过技术监督局及有关部门的验收并得到使用证书。</w:t>
      </w:r>
    </w:p>
    <w:p>
      <w:pPr>
        <w:adjustRightInd w:val="0"/>
        <w:snapToGrid w:val="0"/>
        <w:spacing w:line="360" w:lineRule="auto"/>
        <w:rPr>
          <w:rFonts w:ascii="Times New Roman" w:hAnsi="Times New Roman" w:eastAsia="宋体" w:cs="Times New Roman"/>
          <w:kern w:val="2"/>
          <w:sz w:val="21"/>
          <w:szCs w:val="21"/>
          <w:highlight w:val="none"/>
          <w:lang w:val="en-US" w:eastAsia="zh-CN" w:bidi="ar-SA"/>
        </w:rPr>
      </w:pPr>
      <w:r>
        <w:rPr>
          <w:rFonts w:ascii="Times New Roman" w:hAnsi="Times New Roman" w:eastAsia="宋体" w:cs="Times New Roman"/>
          <w:kern w:val="2"/>
          <w:sz w:val="21"/>
          <w:szCs w:val="21"/>
          <w:highlight w:val="none"/>
          <w:lang w:val="en-US" w:eastAsia="zh-CN" w:bidi="ar-SA"/>
        </w:rPr>
        <w:t>e</w:t>
      </w:r>
      <w:r>
        <w:rPr>
          <w:rFonts w:hint="eastAsia" w:ascii="Times New Roman" w:hAnsi="Times New Roman" w:eastAsia="宋体" w:cs="Times New Roman"/>
          <w:kern w:val="2"/>
          <w:sz w:val="21"/>
          <w:szCs w:val="21"/>
          <w:highlight w:val="none"/>
          <w:lang w:val="en-US" w:eastAsia="zh-CN" w:bidi="ar-SA"/>
        </w:rPr>
        <w:t>．整套设备图纸及技术文件都已提交并得到接受。</w:t>
      </w:r>
    </w:p>
    <w:p>
      <w:pPr>
        <w:keepNext/>
        <w:keepLines/>
        <w:widowControl w:val="0"/>
        <w:numPr>
          <w:ilvl w:val="0"/>
          <w:numId w:val="40"/>
        </w:numPr>
        <w:spacing w:line="480" w:lineRule="auto"/>
        <w:jc w:val="both"/>
        <w:outlineLvl w:val="2"/>
        <w:rPr>
          <w:rFonts w:ascii="Times New Roman" w:hAnsi="Times New Roman" w:eastAsia="宋体" w:cs="Times New Roman"/>
          <w:b/>
          <w:bCs/>
          <w:kern w:val="2"/>
          <w:sz w:val="21"/>
          <w:szCs w:val="32"/>
          <w:highlight w:val="none"/>
          <w:lang w:val="en-US" w:eastAsia="zh-CN" w:bidi="ar-SA"/>
        </w:rPr>
      </w:pPr>
      <w:r>
        <w:rPr>
          <w:rFonts w:hint="eastAsia" w:ascii="Times New Roman" w:hAnsi="Times New Roman" w:eastAsia="宋体" w:cs="Times New Roman"/>
          <w:b/>
          <w:bCs/>
          <w:kern w:val="2"/>
          <w:sz w:val="21"/>
          <w:szCs w:val="32"/>
          <w:highlight w:val="none"/>
          <w:lang w:val="en-US" w:eastAsia="zh-CN" w:bidi="ar-SA"/>
        </w:rPr>
        <w:t>售后服务</w:t>
      </w:r>
    </w:p>
    <w:p>
      <w:pPr>
        <w:adjustRightInd w:val="0"/>
        <w:snapToGrid w:val="0"/>
        <w:spacing w:line="360" w:lineRule="auto"/>
        <w:rPr>
          <w:rFonts w:ascii="Times New Roman" w:hAnsi="Times New Roman" w:eastAsia="宋体" w:cs="Times New Roman"/>
          <w:kern w:val="2"/>
          <w:sz w:val="21"/>
          <w:szCs w:val="21"/>
          <w:highlight w:val="none"/>
          <w:lang w:val="en-US" w:eastAsia="zh-CN" w:bidi="ar-SA"/>
        </w:rPr>
      </w:pPr>
      <w:r>
        <w:rPr>
          <w:rFonts w:ascii="Times New Roman" w:hAnsi="Times New Roman" w:eastAsia="宋体" w:cs="Times New Roman"/>
          <w:kern w:val="2"/>
          <w:sz w:val="21"/>
          <w:szCs w:val="21"/>
          <w:highlight w:val="none"/>
          <w:lang w:val="en-US" w:eastAsia="zh-CN" w:bidi="ar-SA"/>
        </w:rPr>
        <w:t xml:space="preserve">(1) </w:t>
      </w:r>
      <w:r>
        <w:rPr>
          <w:rFonts w:hint="eastAsia" w:ascii="Times New Roman" w:hAnsi="Times New Roman" w:eastAsia="宋体" w:cs="Times New Roman"/>
          <w:kern w:val="2"/>
          <w:sz w:val="21"/>
          <w:szCs w:val="21"/>
          <w:highlight w:val="none"/>
          <w:lang w:val="en-US" w:eastAsia="zh-CN" w:bidi="ar-SA"/>
        </w:rPr>
        <w:t>中标品牌的制造商具备</w:t>
      </w:r>
      <w:r>
        <w:rPr>
          <w:rFonts w:ascii="Times New Roman" w:hAnsi="Times New Roman" w:eastAsia="宋体" w:cs="Times New Roman"/>
          <w:kern w:val="2"/>
          <w:sz w:val="21"/>
          <w:szCs w:val="21"/>
          <w:highlight w:val="none"/>
          <w:lang w:val="en-US" w:eastAsia="zh-CN" w:bidi="ar-SA"/>
        </w:rPr>
        <w:t xml:space="preserve">24 </w:t>
      </w:r>
      <w:r>
        <w:rPr>
          <w:rFonts w:hint="eastAsia" w:ascii="Times New Roman" w:hAnsi="Times New Roman" w:eastAsia="宋体" w:cs="Times New Roman"/>
          <w:kern w:val="2"/>
          <w:sz w:val="21"/>
          <w:szCs w:val="21"/>
          <w:highlight w:val="none"/>
          <w:lang w:val="en-US" w:eastAsia="zh-CN" w:bidi="ar-SA"/>
        </w:rPr>
        <w:t>小时服务和承担所有维修服务的能力。维修人员接到维修电话后须在4小时内赶到现场，并提供不间断的服务直到结束。维修点需提供足够的备件以适应维修需求。</w:t>
      </w:r>
    </w:p>
    <w:p>
      <w:pPr>
        <w:adjustRightInd w:val="0"/>
        <w:snapToGrid w:val="0"/>
        <w:spacing w:line="360" w:lineRule="auto"/>
        <w:rPr>
          <w:rFonts w:ascii="Times New Roman" w:hAnsi="Times New Roman" w:eastAsia="宋体" w:cs="Times New Roman"/>
          <w:kern w:val="2"/>
          <w:sz w:val="21"/>
          <w:szCs w:val="21"/>
          <w:highlight w:val="none"/>
          <w:lang w:val="en-US" w:eastAsia="zh-CN" w:bidi="ar-SA"/>
        </w:rPr>
      </w:pPr>
      <w:r>
        <w:rPr>
          <w:rFonts w:ascii="Times New Roman" w:hAnsi="Times New Roman" w:eastAsia="宋体" w:cs="Times New Roman"/>
          <w:kern w:val="2"/>
          <w:sz w:val="21"/>
          <w:szCs w:val="21"/>
          <w:highlight w:val="none"/>
          <w:lang w:val="en-US" w:eastAsia="zh-CN" w:bidi="ar-SA"/>
        </w:rPr>
        <w:t xml:space="preserve">(2) </w:t>
      </w:r>
      <w:r>
        <w:rPr>
          <w:rFonts w:hint="eastAsia" w:ascii="Times New Roman" w:hAnsi="Times New Roman" w:eastAsia="宋体" w:cs="Times New Roman"/>
          <w:kern w:val="2"/>
          <w:sz w:val="21"/>
          <w:szCs w:val="21"/>
          <w:highlight w:val="none"/>
          <w:lang w:val="en-US" w:eastAsia="zh-CN" w:bidi="ar-SA"/>
        </w:rPr>
        <w:t>中标人须对合同中规定的整套系统提供至少</w:t>
      </w:r>
      <w:r>
        <w:rPr>
          <w:rFonts w:ascii="Times New Roman" w:hAnsi="Times New Roman" w:eastAsia="宋体" w:cs="Times New Roman"/>
          <w:kern w:val="2"/>
          <w:sz w:val="21"/>
          <w:szCs w:val="21"/>
          <w:highlight w:val="none"/>
          <w:lang w:val="en-US" w:eastAsia="zh-CN" w:bidi="ar-SA"/>
        </w:rPr>
        <w:t xml:space="preserve">24 </w:t>
      </w:r>
      <w:r>
        <w:rPr>
          <w:rFonts w:hint="eastAsia" w:ascii="Times New Roman" w:hAnsi="Times New Roman" w:eastAsia="宋体" w:cs="Times New Roman"/>
          <w:kern w:val="2"/>
          <w:sz w:val="21"/>
          <w:szCs w:val="21"/>
          <w:highlight w:val="none"/>
          <w:lang w:val="en-US" w:eastAsia="zh-CN" w:bidi="ar-SA"/>
        </w:rPr>
        <w:t>个月的质保期及免费维修和保养，时间从验收通过或</w:t>
      </w:r>
      <w:r>
        <w:rPr>
          <w:rFonts w:hint="eastAsia" w:ascii="Times New Roman" w:hAnsi="Times New Roman" w:eastAsia="宋体" w:cs="宋体"/>
          <w:kern w:val="2"/>
          <w:sz w:val="21"/>
          <w:szCs w:val="24"/>
          <w:highlight w:val="none"/>
          <w:lang w:val="en-US" w:eastAsia="zh-CN" w:bidi="ar-SA"/>
        </w:rPr>
        <w:t>招标人使用</w:t>
      </w:r>
      <w:r>
        <w:rPr>
          <w:rFonts w:hint="eastAsia" w:ascii="Times New Roman" w:hAnsi="Times New Roman" w:eastAsia="宋体" w:cs="Times New Roman"/>
          <w:kern w:val="2"/>
          <w:sz w:val="21"/>
          <w:szCs w:val="21"/>
          <w:highlight w:val="none"/>
          <w:lang w:val="en-US" w:eastAsia="zh-CN" w:bidi="ar-SA"/>
        </w:rPr>
        <w:t>之日算起，以先到者为准。</w:t>
      </w:r>
    </w:p>
    <w:p>
      <w:pPr>
        <w:adjustRightInd w:val="0"/>
        <w:snapToGrid w:val="0"/>
        <w:spacing w:line="360" w:lineRule="auto"/>
        <w:rPr>
          <w:rFonts w:ascii="Times New Roman" w:hAnsi="Times New Roman" w:eastAsia="宋体" w:cs="Times New Roman"/>
          <w:kern w:val="2"/>
          <w:sz w:val="21"/>
          <w:szCs w:val="21"/>
          <w:highlight w:val="none"/>
          <w:lang w:val="en-US" w:eastAsia="zh-CN" w:bidi="ar-SA"/>
        </w:rPr>
      </w:pPr>
      <w:r>
        <w:rPr>
          <w:rFonts w:ascii="Times New Roman" w:hAnsi="Times New Roman" w:eastAsia="宋体" w:cs="Times New Roman"/>
          <w:kern w:val="2"/>
          <w:sz w:val="21"/>
          <w:szCs w:val="21"/>
          <w:highlight w:val="none"/>
          <w:lang w:val="en-US" w:eastAsia="zh-CN" w:bidi="ar-SA"/>
        </w:rPr>
        <w:t xml:space="preserve">(3) </w:t>
      </w:r>
      <w:r>
        <w:rPr>
          <w:rFonts w:hint="eastAsia" w:ascii="Times New Roman" w:hAnsi="Times New Roman" w:eastAsia="宋体" w:cs="Times New Roman"/>
          <w:kern w:val="2"/>
          <w:sz w:val="21"/>
          <w:szCs w:val="21"/>
          <w:highlight w:val="none"/>
          <w:lang w:val="en-US" w:eastAsia="zh-CN" w:bidi="ar-SA"/>
        </w:rPr>
        <w:t>在质保期内的工作应包括对所有设备进行常规检查、调整和润滑。具体的操作程序和内容须在投标时说明。</w:t>
      </w:r>
    </w:p>
    <w:p>
      <w:pPr>
        <w:adjustRightInd w:val="0"/>
        <w:snapToGrid w:val="0"/>
        <w:spacing w:line="360" w:lineRule="auto"/>
        <w:rPr>
          <w:rFonts w:ascii="Times New Roman" w:hAnsi="Times New Roman" w:eastAsia="宋体" w:cs="Times New Roman"/>
          <w:kern w:val="2"/>
          <w:sz w:val="21"/>
          <w:szCs w:val="21"/>
          <w:highlight w:val="none"/>
          <w:lang w:val="en-US" w:eastAsia="zh-CN" w:bidi="ar-SA"/>
        </w:rPr>
      </w:pPr>
      <w:r>
        <w:rPr>
          <w:rFonts w:ascii="Times New Roman" w:hAnsi="Times New Roman" w:eastAsia="宋体" w:cs="Times New Roman"/>
          <w:kern w:val="2"/>
          <w:sz w:val="21"/>
          <w:szCs w:val="21"/>
          <w:highlight w:val="none"/>
          <w:lang w:val="en-US" w:eastAsia="zh-CN" w:bidi="ar-SA"/>
        </w:rPr>
        <w:t xml:space="preserve">(4) </w:t>
      </w:r>
      <w:r>
        <w:rPr>
          <w:rFonts w:hint="eastAsia" w:ascii="Times New Roman" w:hAnsi="Times New Roman" w:eastAsia="宋体" w:cs="Times New Roman"/>
          <w:kern w:val="2"/>
          <w:sz w:val="21"/>
          <w:szCs w:val="21"/>
          <w:highlight w:val="none"/>
          <w:lang w:val="en-US" w:eastAsia="zh-CN" w:bidi="ar-SA"/>
        </w:rPr>
        <w:t>质保期内投标人须自行付费，负责修理和替换任何由于设备自身的质量问题造成的损坏及故障。</w:t>
      </w:r>
    </w:p>
    <w:p>
      <w:pPr>
        <w:keepNext/>
        <w:keepLines/>
        <w:widowControl w:val="0"/>
        <w:numPr>
          <w:ilvl w:val="0"/>
          <w:numId w:val="40"/>
        </w:numPr>
        <w:spacing w:line="480" w:lineRule="auto"/>
        <w:jc w:val="both"/>
        <w:outlineLvl w:val="2"/>
        <w:rPr>
          <w:rFonts w:ascii="Times New Roman" w:hAnsi="Times New Roman" w:eastAsia="宋体" w:cs="Times New Roman"/>
          <w:b/>
          <w:bCs/>
          <w:kern w:val="2"/>
          <w:sz w:val="21"/>
          <w:szCs w:val="32"/>
          <w:highlight w:val="none"/>
          <w:lang w:val="en-US" w:eastAsia="zh-CN" w:bidi="ar-SA"/>
        </w:rPr>
      </w:pPr>
      <w:r>
        <w:rPr>
          <w:rFonts w:hint="eastAsia" w:ascii="Times New Roman" w:hAnsi="Times New Roman" w:eastAsia="宋体" w:cs="Times New Roman"/>
          <w:b/>
          <w:bCs/>
          <w:kern w:val="2"/>
          <w:sz w:val="21"/>
          <w:szCs w:val="32"/>
          <w:highlight w:val="none"/>
          <w:lang w:val="en-US" w:eastAsia="zh-CN" w:bidi="ar-SA"/>
        </w:rPr>
        <w:t>备件供应</w:t>
      </w:r>
    </w:p>
    <w:p>
      <w:pPr>
        <w:adjustRightInd w:val="0"/>
        <w:snapToGrid w:val="0"/>
        <w:spacing w:line="360" w:lineRule="auto"/>
        <w:rPr>
          <w:rFonts w:ascii="Times New Roman" w:hAnsi="Times New Roman" w:eastAsia="宋体" w:cs="Times New Roman"/>
          <w:kern w:val="2"/>
          <w:sz w:val="21"/>
          <w:szCs w:val="21"/>
          <w:highlight w:val="none"/>
          <w:lang w:val="en-US" w:eastAsia="zh-CN" w:bidi="ar-SA"/>
        </w:rPr>
      </w:pPr>
      <w:r>
        <w:rPr>
          <w:rFonts w:hint="eastAsia" w:ascii="Times New Roman" w:hAnsi="Times New Roman" w:eastAsia="宋体" w:cs="Times New Roman"/>
          <w:kern w:val="2"/>
          <w:sz w:val="21"/>
          <w:szCs w:val="21"/>
          <w:highlight w:val="none"/>
          <w:lang w:val="en-US" w:eastAsia="zh-CN" w:bidi="ar-SA"/>
        </w:rPr>
        <w:t>投标人对各种型号的设备须提供足够的备件、附件和易损件并保证是原厂生产的产品，以满足设备正常运行的需要。</w:t>
      </w:r>
    </w:p>
    <w:p>
      <w:pPr>
        <w:keepNext/>
        <w:keepLines/>
        <w:widowControl w:val="0"/>
        <w:numPr>
          <w:ilvl w:val="0"/>
          <w:numId w:val="40"/>
        </w:numPr>
        <w:spacing w:line="480" w:lineRule="auto"/>
        <w:jc w:val="both"/>
        <w:outlineLvl w:val="2"/>
        <w:rPr>
          <w:rFonts w:ascii="Times New Roman" w:hAnsi="Times New Roman" w:eastAsia="宋体" w:cs="Times New Roman"/>
          <w:b/>
          <w:bCs/>
          <w:kern w:val="2"/>
          <w:sz w:val="21"/>
          <w:szCs w:val="32"/>
          <w:highlight w:val="none"/>
          <w:lang w:val="en-US" w:eastAsia="zh-CN" w:bidi="ar-SA"/>
        </w:rPr>
      </w:pPr>
      <w:r>
        <w:rPr>
          <w:rFonts w:hint="eastAsia" w:ascii="Times New Roman" w:hAnsi="Times New Roman" w:eastAsia="宋体" w:cs="Times New Roman"/>
          <w:b/>
          <w:bCs/>
          <w:kern w:val="2"/>
          <w:sz w:val="21"/>
          <w:szCs w:val="32"/>
          <w:highlight w:val="none"/>
          <w:lang w:val="en-US" w:eastAsia="zh-CN" w:bidi="ar-SA"/>
        </w:rPr>
        <w:t>检验和维修设备及工具</w:t>
      </w:r>
    </w:p>
    <w:p>
      <w:pPr>
        <w:adjustRightInd w:val="0"/>
        <w:snapToGrid w:val="0"/>
        <w:spacing w:line="360" w:lineRule="auto"/>
        <w:rPr>
          <w:rFonts w:ascii="Times New Roman" w:hAnsi="Times New Roman" w:eastAsia="宋体" w:cs="Times New Roman"/>
          <w:kern w:val="2"/>
          <w:sz w:val="21"/>
          <w:szCs w:val="21"/>
          <w:highlight w:val="none"/>
          <w:lang w:val="en-US" w:eastAsia="zh-CN" w:bidi="ar-SA"/>
        </w:rPr>
      </w:pPr>
      <w:r>
        <w:rPr>
          <w:rFonts w:ascii="Times New Roman" w:hAnsi="Times New Roman" w:eastAsia="宋体" w:cs="Times New Roman"/>
          <w:kern w:val="2"/>
          <w:sz w:val="21"/>
          <w:szCs w:val="21"/>
          <w:highlight w:val="none"/>
          <w:lang w:val="en-US" w:eastAsia="zh-CN" w:bidi="ar-SA"/>
        </w:rPr>
        <w:t xml:space="preserve">(1) </w:t>
      </w:r>
      <w:r>
        <w:rPr>
          <w:rFonts w:hint="eastAsia" w:ascii="Times New Roman" w:hAnsi="Times New Roman" w:eastAsia="宋体" w:cs="Times New Roman"/>
          <w:kern w:val="2"/>
          <w:sz w:val="21"/>
          <w:szCs w:val="21"/>
          <w:highlight w:val="none"/>
          <w:lang w:val="en-US" w:eastAsia="zh-CN" w:bidi="ar-SA"/>
        </w:rPr>
        <w:t>须提供足够的常用检修设备。推荐的检修设备须在投标书中说明。这些设备及工具不能在安装时使用。</w:t>
      </w:r>
    </w:p>
    <w:p>
      <w:pPr>
        <w:adjustRightInd w:val="0"/>
        <w:snapToGrid w:val="0"/>
        <w:spacing w:line="360" w:lineRule="auto"/>
        <w:rPr>
          <w:rFonts w:ascii="Times New Roman" w:hAnsi="Times New Roman" w:eastAsia="宋体" w:cs="Times New Roman"/>
          <w:kern w:val="2"/>
          <w:sz w:val="21"/>
          <w:szCs w:val="21"/>
          <w:highlight w:val="none"/>
          <w:lang w:val="en-US" w:eastAsia="zh-CN" w:bidi="ar-SA"/>
        </w:rPr>
      </w:pPr>
      <w:r>
        <w:rPr>
          <w:rFonts w:ascii="Times New Roman" w:hAnsi="Times New Roman" w:eastAsia="宋体" w:cs="Times New Roman"/>
          <w:kern w:val="2"/>
          <w:sz w:val="21"/>
          <w:szCs w:val="21"/>
          <w:highlight w:val="none"/>
          <w:lang w:val="en-US" w:eastAsia="zh-CN" w:bidi="ar-SA"/>
        </w:rPr>
        <w:t xml:space="preserve">(2) </w:t>
      </w:r>
      <w:r>
        <w:rPr>
          <w:rFonts w:hint="eastAsia" w:ascii="Times New Roman" w:hAnsi="Times New Roman" w:eastAsia="宋体" w:cs="Times New Roman"/>
          <w:kern w:val="2"/>
          <w:sz w:val="21"/>
          <w:szCs w:val="21"/>
          <w:highlight w:val="none"/>
          <w:lang w:val="en-US" w:eastAsia="zh-CN" w:bidi="ar-SA"/>
        </w:rPr>
        <w:t>所有测试需要的附件、零部件和中文操作维修手册应与检修设备一并免费提供。</w:t>
      </w:r>
    </w:p>
    <w:p>
      <w:pPr>
        <w:adjustRightInd w:val="0"/>
        <w:snapToGrid w:val="0"/>
        <w:spacing w:line="360" w:lineRule="auto"/>
        <w:rPr>
          <w:rFonts w:ascii="Times New Roman" w:hAnsi="Times New Roman" w:eastAsia="宋体" w:cs="Times New Roman"/>
          <w:kern w:val="2"/>
          <w:sz w:val="21"/>
          <w:szCs w:val="21"/>
          <w:highlight w:val="none"/>
          <w:lang w:val="en-US" w:eastAsia="zh-CN" w:bidi="ar-SA"/>
        </w:rPr>
      </w:pPr>
      <w:r>
        <w:rPr>
          <w:rFonts w:ascii="Times New Roman" w:hAnsi="Times New Roman" w:eastAsia="宋体" w:cs="Times New Roman"/>
          <w:kern w:val="2"/>
          <w:sz w:val="21"/>
          <w:szCs w:val="21"/>
          <w:highlight w:val="none"/>
          <w:lang w:val="en-US" w:eastAsia="zh-CN" w:bidi="ar-SA"/>
        </w:rPr>
        <w:t xml:space="preserve">(3) </w:t>
      </w:r>
      <w:r>
        <w:rPr>
          <w:rFonts w:hint="eastAsia" w:ascii="Times New Roman" w:hAnsi="Times New Roman" w:eastAsia="宋体" w:cs="Times New Roman"/>
          <w:kern w:val="2"/>
          <w:sz w:val="21"/>
          <w:szCs w:val="21"/>
          <w:highlight w:val="none"/>
          <w:lang w:val="en-US" w:eastAsia="zh-CN" w:bidi="ar-SA"/>
        </w:rPr>
        <w:t>所有检修设备使用的交流电应为</w:t>
      </w:r>
      <w:r>
        <w:rPr>
          <w:rFonts w:ascii="Times New Roman" w:hAnsi="Times New Roman" w:eastAsia="宋体" w:cs="Times New Roman"/>
          <w:kern w:val="2"/>
          <w:sz w:val="21"/>
          <w:szCs w:val="21"/>
          <w:highlight w:val="none"/>
          <w:lang w:val="en-US" w:eastAsia="zh-CN" w:bidi="ar-SA"/>
        </w:rPr>
        <w:t>50Hz</w:t>
      </w:r>
      <w:r>
        <w:rPr>
          <w:rFonts w:hint="eastAsia" w:ascii="Times New Roman" w:hAnsi="Times New Roman" w:eastAsia="宋体" w:cs="Times New Roman"/>
          <w:kern w:val="2"/>
          <w:sz w:val="21"/>
          <w:szCs w:val="21"/>
          <w:highlight w:val="none"/>
          <w:lang w:val="en-US" w:eastAsia="zh-CN" w:bidi="ar-SA"/>
        </w:rPr>
        <w:t>、</w:t>
      </w:r>
      <w:r>
        <w:rPr>
          <w:rFonts w:ascii="Times New Roman" w:hAnsi="Times New Roman" w:eastAsia="宋体" w:cs="Times New Roman"/>
          <w:kern w:val="2"/>
          <w:sz w:val="21"/>
          <w:szCs w:val="21"/>
          <w:highlight w:val="none"/>
          <w:lang w:val="en-US" w:eastAsia="zh-CN" w:bidi="ar-SA"/>
        </w:rPr>
        <w:t>220V</w:t>
      </w:r>
      <w:r>
        <w:rPr>
          <w:rFonts w:hint="eastAsia" w:ascii="Times New Roman" w:hAnsi="Times New Roman" w:eastAsia="宋体" w:cs="Times New Roman"/>
          <w:kern w:val="2"/>
          <w:sz w:val="21"/>
          <w:szCs w:val="21"/>
          <w:highlight w:val="none"/>
          <w:lang w:val="en-US" w:eastAsia="zh-CN" w:bidi="ar-SA"/>
        </w:rPr>
        <w:t>、单相、三线，并能在±</w:t>
      </w:r>
      <w:r>
        <w:rPr>
          <w:rFonts w:ascii="Times New Roman" w:hAnsi="Times New Roman" w:eastAsia="宋体" w:cs="Times New Roman"/>
          <w:kern w:val="2"/>
          <w:sz w:val="21"/>
          <w:szCs w:val="21"/>
          <w:highlight w:val="none"/>
          <w:lang w:val="en-US" w:eastAsia="zh-CN" w:bidi="ar-SA"/>
        </w:rPr>
        <w:t>7%</w:t>
      </w:r>
      <w:r>
        <w:rPr>
          <w:rFonts w:hint="eastAsia" w:ascii="Times New Roman" w:hAnsi="Times New Roman" w:eastAsia="宋体" w:cs="Times New Roman"/>
          <w:kern w:val="2"/>
          <w:sz w:val="21"/>
          <w:szCs w:val="21"/>
          <w:highlight w:val="none"/>
          <w:lang w:val="en-US" w:eastAsia="zh-CN" w:bidi="ar-SA"/>
        </w:rPr>
        <w:t>的压差下正常运行。</w:t>
      </w:r>
    </w:p>
    <w:p>
      <w:pPr>
        <w:keepNext/>
        <w:keepLines/>
        <w:widowControl w:val="0"/>
        <w:numPr>
          <w:ilvl w:val="0"/>
          <w:numId w:val="40"/>
        </w:numPr>
        <w:spacing w:line="480" w:lineRule="auto"/>
        <w:jc w:val="both"/>
        <w:outlineLvl w:val="2"/>
        <w:rPr>
          <w:rFonts w:ascii="Times New Roman" w:hAnsi="Times New Roman" w:eastAsia="宋体" w:cs="Times New Roman"/>
          <w:b/>
          <w:bCs/>
          <w:kern w:val="2"/>
          <w:sz w:val="21"/>
          <w:szCs w:val="32"/>
          <w:highlight w:val="none"/>
          <w:lang w:val="en-US" w:eastAsia="zh-CN" w:bidi="ar-SA"/>
        </w:rPr>
      </w:pPr>
      <w:r>
        <w:rPr>
          <w:rFonts w:hint="eastAsia" w:ascii="Times New Roman" w:hAnsi="Times New Roman" w:eastAsia="宋体" w:cs="Times New Roman"/>
          <w:b/>
          <w:bCs/>
          <w:kern w:val="2"/>
          <w:sz w:val="21"/>
          <w:szCs w:val="32"/>
          <w:highlight w:val="none"/>
          <w:lang w:val="en-US" w:eastAsia="zh-CN" w:bidi="ar-SA"/>
        </w:rPr>
        <w:t>商标与铭牌</w:t>
      </w:r>
    </w:p>
    <w:p>
      <w:pPr>
        <w:adjustRightInd w:val="0"/>
        <w:snapToGrid w:val="0"/>
        <w:spacing w:line="360" w:lineRule="auto"/>
        <w:rPr>
          <w:rFonts w:ascii="Times New Roman" w:hAnsi="Times New Roman" w:eastAsia="宋体" w:cs="Times New Roman"/>
          <w:kern w:val="2"/>
          <w:sz w:val="21"/>
          <w:szCs w:val="21"/>
          <w:highlight w:val="none"/>
          <w:lang w:val="en-US" w:eastAsia="zh-CN" w:bidi="ar-SA"/>
        </w:rPr>
      </w:pPr>
      <w:r>
        <w:rPr>
          <w:rFonts w:hint="eastAsia" w:ascii="Times New Roman" w:hAnsi="Times New Roman" w:eastAsia="宋体" w:cs="Times New Roman"/>
          <w:kern w:val="2"/>
          <w:sz w:val="21"/>
          <w:szCs w:val="21"/>
          <w:highlight w:val="none"/>
          <w:lang w:val="en-US" w:eastAsia="zh-CN" w:bidi="ar-SA"/>
        </w:rPr>
        <w:t>投标人提供的设备，其铭牌、使用标记、警示标记都应表示清楚。</w:t>
      </w:r>
    </w:p>
    <w:p>
      <w:pPr>
        <w:keepNext/>
        <w:keepLines/>
        <w:widowControl w:val="0"/>
        <w:numPr>
          <w:ilvl w:val="0"/>
          <w:numId w:val="40"/>
        </w:numPr>
        <w:spacing w:line="480" w:lineRule="auto"/>
        <w:jc w:val="both"/>
        <w:outlineLvl w:val="2"/>
        <w:rPr>
          <w:rFonts w:ascii="Times New Roman" w:hAnsi="Times New Roman" w:eastAsia="宋体" w:cs="Times New Roman"/>
          <w:b/>
          <w:bCs/>
          <w:kern w:val="2"/>
          <w:sz w:val="21"/>
          <w:szCs w:val="32"/>
          <w:highlight w:val="none"/>
          <w:lang w:val="en-US" w:eastAsia="zh-CN" w:bidi="ar-SA"/>
        </w:rPr>
      </w:pPr>
      <w:r>
        <w:rPr>
          <w:rFonts w:hint="eastAsia" w:ascii="Times New Roman" w:hAnsi="Times New Roman" w:eastAsia="宋体" w:cs="Times New Roman"/>
          <w:b/>
          <w:bCs/>
          <w:kern w:val="2"/>
          <w:sz w:val="21"/>
          <w:szCs w:val="32"/>
          <w:highlight w:val="none"/>
          <w:lang w:val="en-US" w:eastAsia="zh-CN" w:bidi="ar-SA"/>
        </w:rPr>
        <w:t>培训</w:t>
      </w:r>
    </w:p>
    <w:p>
      <w:pPr>
        <w:adjustRightInd w:val="0"/>
        <w:snapToGrid w:val="0"/>
        <w:spacing w:line="360" w:lineRule="auto"/>
        <w:ind w:firstLine="424" w:firstLineChars="202"/>
        <w:rPr>
          <w:rFonts w:ascii="Times New Roman" w:hAnsi="Times New Roman" w:eastAsia="宋体" w:cs="Times New Roman"/>
          <w:kern w:val="2"/>
          <w:sz w:val="21"/>
          <w:szCs w:val="22"/>
          <w:highlight w:val="none"/>
          <w:lang w:val="en-US" w:eastAsia="zh-CN" w:bidi="ar-SA"/>
        </w:rPr>
      </w:pPr>
      <w:r>
        <w:rPr>
          <w:rFonts w:hint="eastAsia" w:ascii="Times New Roman" w:hAnsi="Times New Roman" w:eastAsia="宋体" w:cs="Times New Roman"/>
          <w:kern w:val="2"/>
          <w:sz w:val="21"/>
          <w:szCs w:val="21"/>
          <w:highlight w:val="none"/>
          <w:lang w:val="en-US" w:eastAsia="zh-CN" w:bidi="ar-SA"/>
        </w:rPr>
        <w:t>免费为甲方的维修人员提供现场培训，使受培训人员至少达到以下水平：掌握一般运行原理、使用方法、紧急救援及日常维护等常用技能</w:t>
      </w:r>
    </w:p>
    <w:p>
      <w:pPr>
        <w:pStyle w:val="3"/>
        <w:spacing w:line="360" w:lineRule="auto"/>
        <w:jc w:val="center"/>
        <w:rPr>
          <w:rFonts w:hint="eastAsia" w:ascii="宋体" w:hAnsi="宋体" w:eastAsia="宋体" w:cs="宋体"/>
          <w:color w:val="auto"/>
          <w:highlight w:val="none"/>
          <w:lang w:eastAsia="zh-CN"/>
        </w:rPr>
      </w:pPr>
      <w:r>
        <w:rPr>
          <w:rFonts w:hint="eastAsia" w:ascii="宋体" w:hAnsi="宋体" w:eastAsia="宋体" w:cs="宋体"/>
          <w:color w:val="auto"/>
          <w:sz w:val="28"/>
          <w:szCs w:val="28"/>
          <w:highlight w:val="none"/>
        </w:rPr>
        <w:br w:type="page"/>
      </w:r>
      <w:bookmarkStart w:id="448" w:name="_Toc15106"/>
      <w:r>
        <w:rPr>
          <w:rFonts w:hint="eastAsia" w:ascii="宋体" w:hAnsi="宋体" w:eastAsia="宋体" w:cs="宋体"/>
          <w:color w:val="auto"/>
          <w:sz w:val="28"/>
          <w:szCs w:val="28"/>
          <w:highlight w:val="none"/>
        </w:rPr>
        <w:t>第</w:t>
      </w:r>
      <w:r>
        <w:rPr>
          <w:rFonts w:hint="eastAsia" w:eastAsia="宋体" w:cs="宋体"/>
          <w:color w:val="auto"/>
          <w:sz w:val="28"/>
          <w:szCs w:val="28"/>
          <w:highlight w:val="none"/>
          <w:lang w:eastAsia="zh-CN"/>
        </w:rPr>
        <w:t>三</w:t>
      </w:r>
      <w:r>
        <w:rPr>
          <w:rFonts w:hint="eastAsia" w:ascii="宋体" w:hAnsi="宋体" w:eastAsia="宋体" w:cs="宋体"/>
          <w:color w:val="auto"/>
          <w:sz w:val="28"/>
          <w:szCs w:val="28"/>
          <w:highlight w:val="none"/>
        </w:rPr>
        <w:t>章</w:t>
      </w:r>
      <w:r>
        <w:rPr>
          <w:rFonts w:hint="eastAsia" w:ascii="宋体" w:hAnsi="宋体" w:eastAsia="宋体" w:cs="宋体"/>
          <w:color w:val="auto"/>
          <w:highlight w:val="none"/>
        </w:rPr>
        <w:t>　</w:t>
      </w:r>
      <w:r>
        <w:rPr>
          <w:rFonts w:hint="eastAsia" w:ascii="宋体" w:hAnsi="宋体" w:eastAsia="宋体" w:cs="宋体"/>
          <w:color w:val="auto"/>
          <w:highlight w:val="none"/>
          <w:lang w:eastAsia="zh-CN"/>
        </w:rPr>
        <w:t>其他要求</w:t>
      </w:r>
      <w:bookmarkEnd w:id="448"/>
    </w:p>
    <w:p>
      <w:pPr>
        <w:snapToGrid w:val="0"/>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除第二章规定的技术要求外，采购人对本项目的实施作如下其他要求，其他要求是对技术要求的补充和完善。</w:t>
      </w:r>
    </w:p>
    <w:p>
      <w:pPr>
        <w:pStyle w:val="3"/>
        <w:spacing w:line="360" w:lineRule="auto"/>
        <w:jc w:val="both"/>
        <w:rPr>
          <w:rFonts w:hint="eastAsia" w:cs="宋体"/>
          <w:color w:val="auto"/>
          <w:sz w:val="28"/>
          <w:szCs w:val="28"/>
          <w:highlight w:val="none"/>
          <w:lang w:val="en-US" w:eastAsia="zh-CN"/>
        </w:rPr>
      </w:pPr>
      <w:bookmarkStart w:id="449" w:name="_Toc591"/>
      <w:r>
        <w:rPr>
          <w:rFonts w:hint="eastAsia" w:eastAsia="宋体" w:cs="宋体"/>
          <w:color w:val="auto"/>
          <w:sz w:val="28"/>
          <w:szCs w:val="28"/>
          <w:highlight w:val="none"/>
          <w:lang w:eastAsia="zh-CN"/>
        </w:rPr>
        <w:t>一、</w:t>
      </w:r>
      <w:r>
        <w:rPr>
          <w:rFonts w:hint="eastAsia" w:cs="宋体"/>
          <w:color w:val="auto"/>
          <w:sz w:val="28"/>
          <w:szCs w:val="28"/>
          <w:highlight w:val="none"/>
          <w:lang w:val="en-US" w:eastAsia="zh-CN"/>
        </w:rPr>
        <w:t>项目组人员安排</w:t>
      </w:r>
    </w:p>
    <w:p>
      <w:pPr>
        <w:snapToGrid w:val="0"/>
        <w:spacing w:line="360" w:lineRule="auto"/>
        <w:ind w:firstLine="480" w:firstLineChars="200"/>
        <w:rPr>
          <w:rFonts w:hint="eastAsia"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签订合同前，中标人应当组建项目组具体负责实施本项目，投标时项目组人员组成不作要求，中标后由中标人向采购人提交项目组人员组成表进行审核。项目组人员包括但不限于：项目负责人、</w:t>
      </w:r>
      <w:r>
        <w:rPr>
          <w:rFonts w:hint="eastAsia" w:cs="宋体"/>
          <w:color w:val="auto"/>
          <w:sz w:val="24"/>
          <w:szCs w:val="24"/>
          <w:highlight w:val="none"/>
          <w:lang w:val="en-US" w:eastAsia="zh-CN"/>
        </w:rPr>
        <w:t>技术负责人、</w:t>
      </w:r>
      <w:r>
        <w:rPr>
          <w:rFonts w:hint="eastAsia" w:ascii="宋体" w:hAnsi="宋体" w:eastAsia="宋体" w:cs="宋体"/>
          <w:color w:val="auto"/>
          <w:sz w:val="24"/>
          <w:szCs w:val="24"/>
          <w:highlight w:val="none"/>
          <w:lang w:val="en-US" w:eastAsia="zh-CN"/>
        </w:rPr>
        <w:t>采购人员、安装人员、售后人员等，其中，项目负责人</w:t>
      </w:r>
      <w:r>
        <w:rPr>
          <w:rFonts w:hint="eastAsia" w:cs="宋体"/>
          <w:color w:val="auto"/>
          <w:sz w:val="24"/>
          <w:szCs w:val="24"/>
          <w:highlight w:val="none"/>
          <w:lang w:val="en-US" w:eastAsia="zh-CN"/>
        </w:rPr>
        <w:t>及技术负责人</w:t>
      </w:r>
      <w:r>
        <w:rPr>
          <w:rFonts w:hint="eastAsia" w:ascii="宋体" w:hAnsi="宋体" w:eastAsia="宋体" w:cs="宋体"/>
          <w:color w:val="auto"/>
          <w:sz w:val="24"/>
          <w:szCs w:val="24"/>
          <w:highlight w:val="none"/>
          <w:lang w:val="en-US" w:eastAsia="zh-CN"/>
        </w:rPr>
        <w:t>至少应当具备机电安装工程类注册执业资格或机电安装工程类高级及以上技术职称，并具备同类项目5年以上工作经验，安装人员应当具备国家规定的相应操作证书，随项目组人员组成表附项目负责人、</w:t>
      </w:r>
      <w:r>
        <w:rPr>
          <w:rFonts w:hint="eastAsia" w:cs="宋体"/>
          <w:color w:val="auto"/>
          <w:sz w:val="24"/>
          <w:szCs w:val="24"/>
          <w:highlight w:val="none"/>
          <w:lang w:val="en-US" w:eastAsia="zh-CN"/>
        </w:rPr>
        <w:t>技术负责人、</w:t>
      </w:r>
      <w:r>
        <w:rPr>
          <w:rFonts w:hint="eastAsia" w:ascii="宋体" w:hAnsi="宋体" w:eastAsia="宋体" w:cs="宋体"/>
          <w:color w:val="auto"/>
          <w:sz w:val="24"/>
          <w:szCs w:val="24"/>
          <w:highlight w:val="none"/>
          <w:lang w:val="en-US" w:eastAsia="zh-CN"/>
        </w:rPr>
        <w:t>安装人员有关证书及项目负责人</w:t>
      </w:r>
      <w:r>
        <w:rPr>
          <w:rFonts w:hint="eastAsia" w:cs="宋体"/>
          <w:color w:val="auto"/>
          <w:sz w:val="24"/>
          <w:szCs w:val="24"/>
          <w:highlight w:val="none"/>
          <w:lang w:val="en-US" w:eastAsia="zh-CN"/>
        </w:rPr>
        <w:t>、技术负责人</w:t>
      </w:r>
      <w:r>
        <w:rPr>
          <w:rFonts w:hint="eastAsia" w:ascii="宋体" w:hAnsi="宋体" w:eastAsia="宋体" w:cs="宋体"/>
          <w:color w:val="auto"/>
          <w:sz w:val="24"/>
          <w:szCs w:val="24"/>
          <w:highlight w:val="none"/>
          <w:lang w:val="en-US" w:eastAsia="zh-CN"/>
        </w:rPr>
        <w:t>工作简历。具体人员组成以采购人审核确认为准。项目组人员须根据采购人要求定期或长期驻场并随时响应采购人针对本项目发出的各项指令，服从采购人及其委托的有关单位进行的现场管理。</w:t>
      </w:r>
    </w:p>
    <w:p>
      <w:pPr>
        <w:snapToGrid w:val="0"/>
        <w:spacing w:line="360" w:lineRule="auto"/>
        <w:ind w:firstLine="480" w:firstLineChars="200"/>
        <w:rPr>
          <w:rFonts w:hint="default" w:ascii="宋体" w:hAnsi="宋体" w:eastAsia="宋体" w:cs="宋体"/>
          <w:color w:val="auto"/>
          <w:sz w:val="24"/>
          <w:szCs w:val="24"/>
          <w:highlight w:val="none"/>
          <w:lang w:val="en-US" w:eastAsia="zh-CN"/>
        </w:rPr>
      </w:pPr>
    </w:p>
    <w:p>
      <w:pPr>
        <w:pStyle w:val="3"/>
        <w:spacing w:line="360" w:lineRule="auto"/>
        <w:jc w:val="both"/>
        <w:rPr>
          <w:rFonts w:hint="eastAsia" w:ascii="宋体" w:hAnsi="宋体" w:eastAsia="宋体" w:cs="宋体"/>
          <w:color w:val="auto"/>
          <w:sz w:val="28"/>
          <w:szCs w:val="28"/>
          <w:highlight w:val="none"/>
          <w:lang w:eastAsia="zh-CN"/>
        </w:rPr>
      </w:pPr>
      <w:r>
        <w:rPr>
          <w:rFonts w:hint="eastAsia" w:cs="宋体"/>
          <w:color w:val="auto"/>
          <w:sz w:val="28"/>
          <w:szCs w:val="28"/>
          <w:highlight w:val="none"/>
          <w:lang w:val="en-US" w:eastAsia="zh-CN"/>
        </w:rPr>
        <w:t>二、</w:t>
      </w:r>
      <w:r>
        <w:rPr>
          <w:rFonts w:hint="eastAsia" w:ascii="宋体" w:hAnsi="宋体" w:eastAsia="宋体" w:cs="宋体"/>
          <w:color w:val="auto"/>
          <w:sz w:val="28"/>
          <w:szCs w:val="28"/>
          <w:highlight w:val="none"/>
        </w:rPr>
        <w:t>制造监制和出厂检验</w:t>
      </w:r>
      <w:bookmarkEnd w:id="438"/>
      <w:bookmarkEnd w:id="449"/>
    </w:p>
    <w:p>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1、在设备制造期间，</w:t>
      </w:r>
      <w:r>
        <w:rPr>
          <w:rFonts w:hint="eastAsia" w:eastAsia="宋体" w:cs="宋体"/>
          <w:b w:val="0"/>
          <w:bCs/>
          <w:color w:val="auto"/>
          <w:sz w:val="24"/>
          <w:highlight w:val="none"/>
          <w:lang w:val="en-US" w:eastAsia="zh-CN"/>
        </w:rPr>
        <w:t>采购人</w:t>
      </w:r>
      <w:r>
        <w:rPr>
          <w:rFonts w:hint="eastAsia" w:ascii="宋体" w:hAnsi="宋体" w:eastAsia="宋体" w:cs="宋体"/>
          <w:color w:val="auto"/>
          <w:sz w:val="24"/>
          <w:szCs w:val="24"/>
          <w:highlight w:val="none"/>
        </w:rPr>
        <w:t>有权在适当的时间到制造厂进行制造监制。在制造监制期间，制造商有责任提供有关设备包括各种数据，设备结构图和部件图的详细中文资料。但</w:t>
      </w:r>
      <w:r>
        <w:rPr>
          <w:rFonts w:hint="eastAsia" w:eastAsia="宋体" w:cs="宋体"/>
          <w:b w:val="0"/>
          <w:bCs/>
          <w:color w:val="auto"/>
          <w:sz w:val="24"/>
          <w:highlight w:val="none"/>
          <w:lang w:val="en-US" w:eastAsia="zh-CN"/>
        </w:rPr>
        <w:t>采购人</w:t>
      </w:r>
      <w:r>
        <w:rPr>
          <w:rFonts w:hint="eastAsia" w:ascii="宋体" w:hAnsi="宋体" w:eastAsia="宋体" w:cs="宋体"/>
          <w:color w:val="auto"/>
          <w:sz w:val="24"/>
          <w:szCs w:val="24"/>
          <w:highlight w:val="none"/>
        </w:rPr>
        <w:t>监制并不解除制造商对所有产品在制造质量上应负的全部责任。</w:t>
      </w:r>
    </w:p>
    <w:p>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2、主要部件和电气部件及整机设备的检验都应在制造厂内结束。</w:t>
      </w:r>
      <w:r>
        <w:rPr>
          <w:rFonts w:hint="eastAsia" w:eastAsia="宋体" w:cs="宋体"/>
          <w:b w:val="0"/>
          <w:bCs/>
          <w:color w:val="auto"/>
          <w:sz w:val="24"/>
          <w:highlight w:val="none"/>
          <w:lang w:val="en-US" w:eastAsia="zh-CN"/>
        </w:rPr>
        <w:t>中标人</w:t>
      </w:r>
      <w:r>
        <w:rPr>
          <w:rFonts w:hint="eastAsia" w:ascii="宋体" w:hAnsi="宋体" w:eastAsia="宋体" w:cs="宋体"/>
          <w:color w:val="auto"/>
          <w:sz w:val="24"/>
          <w:szCs w:val="24"/>
          <w:highlight w:val="none"/>
        </w:rPr>
        <w:t>须提供由</w:t>
      </w:r>
      <w:r>
        <w:rPr>
          <w:rFonts w:hint="eastAsia" w:eastAsia="宋体" w:cs="宋体"/>
          <w:b w:val="0"/>
          <w:bCs/>
          <w:color w:val="auto"/>
          <w:sz w:val="24"/>
          <w:highlight w:val="none"/>
          <w:lang w:val="en-US" w:eastAsia="zh-CN"/>
        </w:rPr>
        <w:t>采购人</w:t>
      </w:r>
      <w:r>
        <w:rPr>
          <w:rFonts w:hint="eastAsia" w:ascii="宋体" w:hAnsi="宋体" w:eastAsia="宋体" w:cs="宋体"/>
          <w:color w:val="auto"/>
          <w:sz w:val="24"/>
          <w:szCs w:val="24"/>
          <w:highlight w:val="none"/>
        </w:rPr>
        <w:t>工程师认可的一整套检验标准和计划。所有检验应严格地按照</w:t>
      </w:r>
      <w:r>
        <w:rPr>
          <w:rFonts w:hint="eastAsia" w:eastAsia="宋体" w:cs="宋体"/>
          <w:color w:val="auto"/>
          <w:sz w:val="24"/>
          <w:szCs w:val="24"/>
          <w:highlight w:val="none"/>
          <w:lang w:eastAsia="zh-CN"/>
        </w:rPr>
        <w:t>国家、行业有关标准及采购人</w:t>
      </w:r>
      <w:r>
        <w:rPr>
          <w:rFonts w:hint="eastAsia" w:ascii="宋体" w:hAnsi="宋体" w:eastAsia="宋体" w:cs="宋体"/>
          <w:color w:val="auto"/>
          <w:sz w:val="24"/>
          <w:szCs w:val="24"/>
          <w:highlight w:val="none"/>
        </w:rPr>
        <w:t>认可的方式进行。</w:t>
      </w:r>
    </w:p>
    <w:p>
      <w:pPr>
        <w:pStyle w:val="31"/>
        <w:spacing w:line="360" w:lineRule="auto"/>
        <w:ind w:left="0" w:leftChars="0" w:firstLine="0" w:firstLineChars="0"/>
        <w:rPr>
          <w:rFonts w:hint="eastAsia" w:ascii="宋体" w:hAnsi="宋体" w:eastAsia="宋体" w:cs="宋体"/>
          <w:color w:val="auto"/>
          <w:sz w:val="24"/>
          <w:szCs w:val="24"/>
          <w:highlight w:val="none"/>
        </w:rPr>
      </w:pPr>
    </w:p>
    <w:p>
      <w:pPr>
        <w:pStyle w:val="3"/>
        <w:spacing w:line="360" w:lineRule="auto"/>
        <w:jc w:val="both"/>
        <w:rPr>
          <w:rFonts w:hint="eastAsia" w:ascii="宋体" w:hAnsi="宋体" w:eastAsia="宋体" w:cs="宋体"/>
          <w:color w:val="auto"/>
          <w:sz w:val="28"/>
          <w:szCs w:val="28"/>
          <w:highlight w:val="none"/>
          <w:lang w:val="en-US" w:eastAsia="zh-CN"/>
        </w:rPr>
      </w:pPr>
      <w:bookmarkStart w:id="450" w:name="_Toc43050419"/>
      <w:bookmarkStart w:id="451" w:name="_Toc25366"/>
      <w:bookmarkStart w:id="452" w:name="_Toc17258"/>
      <w:r>
        <w:rPr>
          <w:rFonts w:hint="eastAsia" w:cs="宋体"/>
          <w:color w:val="auto"/>
          <w:sz w:val="28"/>
          <w:szCs w:val="28"/>
          <w:highlight w:val="none"/>
          <w:lang w:val="en-US" w:eastAsia="zh-CN"/>
        </w:rPr>
        <w:t>三</w:t>
      </w:r>
      <w:r>
        <w:rPr>
          <w:rFonts w:hint="eastAsia" w:eastAsia="宋体" w:cs="宋体"/>
          <w:color w:val="auto"/>
          <w:sz w:val="28"/>
          <w:szCs w:val="28"/>
          <w:highlight w:val="none"/>
          <w:lang w:eastAsia="zh-CN"/>
        </w:rPr>
        <w:t>、</w:t>
      </w:r>
      <w:bookmarkEnd w:id="450"/>
      <w:r>
        <w:rPr>
          <w:rFonts w:hint="eastAsia" w:eastAsia="宋体" w:cs="宋体"/>
          <w:color w:val="auto"/>
          <w:sz w:val="28"/>
          <w:szCs w:val="28"/>
          <w:highlight w:val="none"/>
          <w:lang w:eastAsia="zh-CN"/>
        </w:rPr>
        <w:t>开箱检验</w:t>
      </w:r>
      <w:r>
        <w:rPr>
          <w:rFonts w:hint="eastAsia" w:ascii="宋体" w:hAnsi="宋体" w:eastAsia="宋体" w:cs="宋体"/>
          <w:color w:val="auto"/>
          <w:sz w:val="28"/>
          <w:szCs w:val="28"/>
          <w:highlight w:val="none"/>
          <w:lang w:val="en-US" w:eastAsia="zh-CN"/>
        </w:rPr>
        <w:t>及安装</w:t>
      </w:r>
      <w:bookmarkEnd w:id="451"/>
      <w:bookmarkEnd w:id="452"/>
    </w:p>
    <w:p>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1、设备到达现场后，</w:t>
      </w:r>
      <w:r>
        <w:rPr>
          <w:rFonts w:hint="eastAsia" w:eastAsia="宋体" w:cs="宋体"/>
          <w:b w:val="0"/>
          <w:bCs/>
          <w:color w:val="auto"/>
          <w:sz w:val="24"/>
          <w:highlight w:val="none"/>
          <w:lang w:val="en-US" w:eastAsia="zh-CN"/>
        </w:rPr>
        <w:t>中标人</w:t>
      </w:r>
      <w:r>
        <w:rPr>
          <w:rFonts w:hint="eastAsia" w:ascii="宋体" w:hAnsi="宋体" w:eastAsia="宋体" w:cs="宋体"/>
          <w:color w:val="auto"/>
          <w:sz w:val="24"/>
          <w:szCs w:val="24"/>
          <w:highlight w:val="none"/>
        </w:rPr>
        <w:t>应共同参与设备的开箱检验工作。若发现货物与装箱单数目不符，由</w:t>
      </w:r>
      <w:r>
        <w:rPr>
          <w:rFonts w:hint="eastAsia" w:eastAsia="宋体" w:cs="宋体"/>
          <w:b w:val="0"/>
          <w:bCs/>
          <w:color w:val="auto"/>
          <w:sz w:val="24"/>
          <w:highlight w:val="none"/>
          <w:lang w:val="en-US" w:eastAsia="zh-CN"/>
        </w:rPr>
        <w:t>中标人</w:t>
      </w:r>
      <w:r>
        <w:rPr>
          <w:rFonts w:hint="eastAsia" w:ascii="宋体" w:hAnsi="宋体" w:eastAsia="宋体" w:cs="宋体"/>
          <w:color w:val="auto"/>
          <w:sz w:val="24"/>
          <w:szCs w:val="24"/>
          <w:highlight w:val="none"/>
        </w:rPr>
        <w:t>负责补齐或收回，如</w:t>
      </w:r>
      <w:r>
        <w:rPr>
          <w:rFonts w:hint="eastAsia" w:eastAsia="宋体" w:cs="宋体"/>
          <w:b w:val="0"/>
          <w:bCs/>
          <w:color w:val="auto"/>
          <w:sz w:val="24"/>
          <w:highlight w:val="none"/>
          <w:lang w:val="en-US" w:eastAsia="zh-CN"/>
        </w:rPr>
        <w:t>采购人</w:t>
      </w:r>
      <w:r>
        <w:rPr>
          <w:rFonts w:hint="eastAsia" w:ascii="宋体" w:hAnsi="宋体" w:eastAsia="宋体" w:cs="宋体"/>
          <w:color w:val="auto"/>
          <w:sz w:val="24"/>
          <w:szCs w:val="24"/>
          <w:highlight w:val="none"/>
        </w:rPr>
        <w:t>对质量有异议，</w:t>
      </w:r>
      <w:r>
        <w:rPr>
          <w:rFonts w:hint="eastAsia" w:eastAsia="宋体" w:cs="宋体"/>
          <w:b w:val="0"/>
          <w:bCs/>
          <w:color w:val="auto"/>
          <w:sz w:val="24"/>
          <w:highlight w:val="none"/>
          <w:lang w:val="en-US" w:eastAsia="zh-CN"/>
        </w:rPr>
        <w:t>中标人</w:t>
      </w:r>
      <w:r>
        <w:rPr>
          <w:rFonts w:hint="eastAsia" w:ascii="宋体" w:hAnsi="宋体" w:eastAsia="宋体" w:cs="宋体"/>
          <w:color w:val="auto"/>
          <w:sz w:val="24"/>
          <w:szCs w:val="24"/>
          <w:highlight w:val="none"/>
        </w:rPr>
        <w:t>负责解释及处理，直到符合合同约定为止，同时，</w:t>
      </w:r>
      <w:r>
        <w:rPr>
          <w:rFonts w:hint="eastAsia" w:eastAsia="宋体" w:cs="宋体"/>
          <w:b w:val="0"/>
          <w:bCs/>
          <w:color w:val="auto"/>
          <w:sz w:val="24"/>
          <w:highlight w:val="none"/>
          <w:lang w:val="en-US" w:eastAsia="zh-CN"/>
        </w:rPr>
        <w:t>采购人</w:t>
      </w:r>
      <w:r>
        <w:rPr>
          <w:rFonts w:hint="eastAsia" w:ascii="宋体" w:hAnsi="宋体" w:eastAsia="宋体" w:cs="宋体"/>
          <w:color w:val="auto"/>
          <w:sz w:val="24"/>
          <w:szCs w:val="24"/>
          <w:highlight w:val="none"/>
        </w:rPr>
        <w:t>保留依法追究</w:t>
      </w:r>
      <w:r>
        <w:rPr>
          <w:rFonts w:hint="eastAsia" w:eastAsia="宋体" w:cs="宋体"/>
          <w:b w:val="0"/>
          <w:bCs/>
          <w:color w:val="auto"/>
          <w:sz w:val="24"/>
          <w:highlight w:val="none"/>
          <w:lang w:val="en-US" w:eastAsia="zh-CN"/>
        </w:rPr>
        <w:t>中标人</w:t>
      </w:r>
      <w:r>
        <w:rPr>
          <w:rFonts w:hint="eastAsia" w:ascii="宋体" w:hAnsi="宋体" w:eastAsia="宋体" w:cs="宋体"/>
          <w:color w:val="auto"/>
          <w:sz w:val="24"/>
          <w:szCs w:val="24"/>
          <w:highlight w:val="none"/>
        </w:rPr>
        <w:t>违约责任的权利。该检验为初步清点验收，方式如下：</w:t>
      </w:r>
    </w:p>
    <w:p>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eastAsia="宋体" w:cs="宋体"/>
          <w:b w:val="0"/>
          <w:bCs/>
          <w:color w:val="auto"/>
          <w:sz w:val="24"/>
          <w:highlight w:val="none"/>
          <w:lang w:val="en-US" w:eastAsia="zh-CN"/>
        </w:rPr>
        <w:t>中标人</w:t>
      </w:r>
      <w:r>
        <w:rPr>
          <w:rFonts w:hint="eastAsia" w:ascii="宋体" w:hAnsi="宋体" w:eastAsia="宋体" w:cs="宋体"/>
          <w:color w:val="auto"/>
          <w:sz w:val="24"/>
          <w:szCs w:val="24"/>
          <w:highlight w:val="none"/>
        </w:rPr>
        <w:t>在将货物运</w:t>
      </w:r>
      <w:r>
        <w:rPr>
          <w:rFonts w:hint="eastAsia" w:eastAsia="宋体" w:cs="宋体"/>
          <w:color w:val="auto"/>
          <w:sz w:val="24"/>
          <w:szCs w:val="24"/>
          <w:highlight w:val="none"/>
          <w:lang w:eastAsia="zh-CN"/>
        </w:rPr>
        <w:t>达</w:t>
      </w:r>
      <w:r>
        <w:rPr>
          <w:rFonts w:hint="eastAsia" w:eastAsia="宋体" w:cs="宋体"/>
          <w:b w:val="0"/>
          <w:bCs/>
          <w:color w:val="auto"/>
          <w:sz w:val="24"/>
          <w:highlight w:val="none"/>
          <w:lang w:val="en-US" w:eastAsia="zh-CN"/>
        </w:rPr>
        <w:t>采购人</w:t>
      </w:r>
      <w:r>
        <w:rPr>
          <w:rFonts w:hint="eastAsia" w:ascii="宋体" w:hAnsi="宋体" w:eastAsia="宋体" w:cs="宋体"/>
          <w:color w:val="auto"/>
          <w:sz w:val="24"/>
          <w:szCs w:val="24"/>
          <w:highlight w:val="none"/>
        </w:rPr>
        <w:t>指定地点时，买卖双方及</w:t>
      </w:r>
      <w:r>
        <w:rPr>
          <w:rFonts w:hint="eastAsia" w:eastAsia="宋体" w:cs="宋体"/>
          <w:b w:val="0"/>
          <w:bCs/>
          <w:color w:val="auto"/>
          <w:sz w:val="24"/>
          <w:highlight w:val="none"/>
          <w:lang w:val="en-US" w:eastAsia="zh-CN"/>
        </w:rPr>
        <w:t>采购人</w:t>
      </w:r>
      <w:r>
        <w:rPr>
          <w:rFonts w:hint="eastAsia" w:ascii="宋体" w:hAnsi="宋体" w:eastAsia="宋体" w:cs="宋体"/>
          <w:color w:val="auto"/>
          <w:sz w:val="24"/>
          <w:szCs w:val="24"/>
          <w:highlight w:val="none"/>
        </w:rPr>
        <w:t>委托的验收参与人员根据合同约定的计量方式、技术标准和质量要求对</w:t>
      </w:r>
      <w:r>
        <w:rPr>
          <w:rFonts w:hint="eastAsia" w:eastAsia="宋体" w:cs="宋体"/>
          <w:b w:val="0"/>
          <w:bCs/>
          <w:color w:val="auto"/>
          <w:sz w:val="24"/>
          <w:highlight w:val="none"/>
          <w:lang w:val="en-US" w:eastAsia="zh-CN"/>
        </w:rPr>
        <w:t>中标人</w:t>
      </w:r>
      <w:r>
        <w:rPr>
          <w:rFonts w:hint="eastAsia" w:ascii="宋体" w:hAnsi="宋体" w:eastAsia="宋体" w:cs="宋体"/>
          <w:color w:val="auto"/>
          <w:sz w:val="24"/>
          <w:szCs w:val="24"/>
          <w:highlight w:val="none"/>
        </w:rPr>
        <w:t>交付的货物进行初步清点，主要核对：数量、规格型号、产地、</w:t>
      </w:r>
      <w:r>
        <w:rPr>
          <w:rFonts w:hint="eastAsia" w:eastAsia="宋体" w:cs="宋体"/>
          <w:color w:val="auto"/>
          <w:sz w:val="24"/>
          <w:szCs w:val="24"/>
          <w:highlight w:val="none"/>
          <w:lang w:eastAsia="zh-CN"/>
        </w:rPr>
        <w:t>品牌、</w:t>
      </w:r>
      <w:r>
        <w:rPr>
          <w:rFonts w:hint="eastAsia" w:ascii="宋体" w:hAnsi="宋体" w:eastAsia="宋体" w:cs="宋体"/>
          <w:color w:val="auto"/>
          <w:sz w:val="24"/>
          <w:szCs w:val="24"/>
          <w:highlight w:val="none"/>
        </w:rPr>
        <w:t>质量等级、尺寸、颜色、铭牌参数、包装及标识完整、完好程度、交货资料</w:t>
      </w:r>
      <w:r>
        <w:rPr>
          <w:rFonts w:hint="eastAsia" w:eastAsia="宋体" w:cs="宋体"/>
          <w:color w:val="auto"/>
          <w:sz w:val="24"/>
          <w:szCs w:val="24"/>
          <w:highlight w:val="none"/>
          <w:lang w:eastAsia="zh-CN"/>
        </w:rPr>
        <w:t>等</w:t>
      </w:r>
      <w:r>
        <w:rPr>
          <w:rFonts w:hint="eastAsia" w:ascii="宋体" w:hAnsi="宋体" w:eastAsia="宋体" w:cs="宋体"/>
          <w:color w:val="auto"/>
          <w:sz w:val="24"/>
          <w:szCs w:val="24"/>
          <w:highlight w:val="none"/>
        </w:rPr>
        <w:t>，各方</w:t>
      </w:r>
      <w:r>
        <w:rPr>
          <w:rFonts w:hint="eastAsia" w:eastAsia="宋体" w:cs="宋体"/>
          <w:color w:val="auto"/>
          <w:sz w:val="24"/>
          <w:szCs w:val="24"/>
          <w:highlight w:val="none"/>
          <w:lang w:eastAsia="zh-CN"/>
        </w:rPr>
        <w:t>经对初步验收结果</w:t>
      </w:r>
      <w:r>
        <w:rPr>
          <w:rFonts w:hint="eastAsia" w:ascii="宋体" w:hAnsi="宋体" w:eastAsia="宋体" w:cs="宋体"/>
          <w:color w:val="auto"/>
          <w:sz w:val="24"/>
          <w:szCs w:val="24"/>
          <w:highlight w:val="none"/>
        </w:rPr>
        <w:t>签字</w:t>
      </w:r>
      <w:r>
        <w:rPr>
          <w:rFonts w:hint="eastAsia" w:eastAsia="宋体" w:cs="宋体"/>
          <w:color w:val="auto"/>
          <w:sz w:val="24"/>
          <w:szCs w:val="24"/>
          <w:highlight w:val="none"/>
          <w:lang w:eastAsia="zh-CN"/>
        </w:rPr>
        <w:t>确认</w:t>
      </w:r>
      <w:r>
        <w:rPr>
          <w:rFonts w:hint="eastAsia" w:ascii="宋体" w:hAnsi="宋体" w:eastAsia="宋体" w:cs="宋体"/>
          <w:color w:val="auto"/>
          <w:sz w:val="24"/>
          <w:szCs w:val="24"/>
          <w:highlight w:val="none"/>
        </w:rPr>
        <w:t>后即表示初步验收清点完成，可以</w:t>
      </w:r>
      <w:r>
        <w:rPr>
          <w:rFonts w:hint="eastAsia" w:eastAsia="宋体" w:cs="宋体"/>
          <w:color w:val="auto"/>
          <w:sz w:val="24"/>
          <w:szCs w:val="24"/>
          <w:highlight w:val="none"/>
          <w:lang w:eastAsia="zh-CN"/>
        </w:rPr>
        <w:t>组织</w:t>
      </w:r>
      <w:r>
        <w:rPr>
          <w:rFonts w:hint="eastAsia" w:ascii="宋体" w:hAnsi="宋体" w:eastAsia="宋体" w:cs="宋体"/>
          <w:color w:val="auto"/>
          <w:sz w:val="24"/>
          <w:szCs w:val="24"/>
          <w:highlight w:val="none"/>
        </w:rPr>
        <w:t>进行</w:t>
      </w:r>
      <w:r>
        <w:rPr>
          <w:rFonts w:hint="eastAsia" w:eastAsia="宋体" w:cs="宋体"/>
          <w:color w:val="auto"/>
          <w:sz w:val="24"/>
          <w:szCs w:val="24"/>
          <w:highlight w:val="none"/>
          <w:lang w:eastAsia="zh-CN"/>
        </w:rPr>
        <w:t>安装</w:t>
      </w:r>
      <w:r>
        <w:rPr>
          <w:rFonts w:hint="eastAsia" w:ascii="宋体" w:hAnsi="宋体" w:eastAsia="宋体" w:cs="宋体"/>
          <w:color w:val="auto"/>
          <w:sz w:val="24"/>
          <w:szCs w:val="24"/>
          <w:highlight w:val="none"/>
        </w:rPr>
        <w:t>施工，但</w:t>
      </w:r>
      <w:r>
        <w:rPr>
          <w:rFonts w:hint="eastAsia" w:eastAsia="宋体" w:cs="宋体"/>
          <w:color w:val="auto"/>
          <w:sz w:val="24"/>
          <w:szCs w:val="24"/>
          <w:highlight w:val="none"/>
          <w:lang w:eastAsia="zh-CN"/>
        </w:rPr>
        <w:t>初步验收清点</w:t>
      </w:r>
      <w:r>
        <w:rPr>
          <w:rFonts w:hint="eastAsia" w:ascii="宋体" w:hAnsi="宋体" w:eastAsia="宋体" w:cs="宋体"/>
          <w:color w:val="auto"/>
          <w:sz w:val="24"/>
          <w:szCs w:val="24"/>
          <w:highlight w:val="none"/>
        </w:rPr>
        <w:t>并不免除任何</w:t>
      </w:r>
      <w:r>
        <w:rPr>
          <w:rFonts w:hint="eastAsia" w:eastAsia="宋体" w:cs="宋体"/>
          <w:b w:val="0"/>
          <w:bCs/>
          <w:color w:val="auto"/>
          <w:sz w:val="24"/>
          <w:highlight w:val="none"/>
          <w:lang w:val="en-US" w:eastAsia="zh-CN"/>
        </w:rPr>
        <w:t>中标人</w:t>
      </w:r>
      <w:r>
        <w:rPr>
          <w:rFonts w:hint="eastAsia" w:ascii="宋体" w:hAnsi="宋体" w:eastAsia="宋体" w:cs="宋体"/>
          <w:color w:val="auto"/>
          <w:sz w:val="24"/>
          <w:szCs w:val="24"/>
          <w:highlight w:val="none"/>
        </w:rPr>
        <w:t>对产品存在质量、制造、设计、性能、零部件的完整性等各方面的缺陷和不合格的责任、违约责任和对</w:t>
      </w:r>
      <w:r>
        <w:rPr>
          <w:rFonts w:hint="eastAsia" w:eastAsia="宋体" w:cs="宋体"/>
          <w:b w:val="0"/>
          <w:bCs/>
          <w:color w:val="auto"/>
          <w:sz w:val="24"/>
          <w:highlight w:val="none"/>
          <w:lang w:val="en-US" w:eastAsia="zh-CN"/>
        </w:rPr>
        <w:t>采购人</w:t>
      </w:r>
      <w:r>
        <w:rPr>
          <w:rFonts w:hint="eastAsia" w:ascii="宋体" w:hAnsi="宋体" w:eastAsia="宋体" w:cs="宋体"/>
          <w:color w:val="auto"/>
          <w:sz w:val="24"/>
          <w:szCs w:val="24"/>
          <w:highlight w:val="none"/>
        </w:rPr>
        <w:t>造成损失的赔偿。</w:t>
      </w:r>
    </w:p>
    <w:p>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（2）买卖双方及</w:t>
      </w:r>
      <w:r>
        <w:rPr>
          <w:rFonts w:hint="eastAsia" w:eastAsia="宋体" w:cs="宋体"/>
          <w:b w:val="0"/>
          <w:bCs/>
          <w:color w:val="auto"/>
          <w:sz w:val="24"/>
          <w:highlight w:val="none"/>
          <w:lang w:val="en-US" w:eastAsia="zh-CN"/>
        </w:rPr>
        <w:t>采购人</w:t>
      </w:r>
      <w:r>
        <w:rPr>
          <w:rFonts w:hint="eastAsia" w:ascii="宋体" w:hAnsi="宋体" w:eastAsia="宋体" w:cs="宋体"/>
          <w:color w:val="auto"/>
          <w:sz w:val="24"/>
          <w:szCs w:val="24"/>
          <w:highlight w:val="none"/>
        </w:rPr>
        <w:t>委托的验收参与人员初步清点时，若发现存在数量、规格型号、产地、</w:t>
      </w:r>
      <w:r>
        <w:rPr>
          <w:rFonts w:hint="eastAsia" w:eastAsia="宋体" w:cs="宋体"/>
          <w:color w:val="auto"/>
          <w:sz w:val="24"/>
          <w:szCs w:val="24"/>
          <w:highlight w:val="none"/>
          <w:lang w:eastAsia="zh-CN"/>
        </w:rPr>
        <w:t>品牌、</w:t>
      </w:r>
      <w:r>
        <w:rPr>
          <w:rFonts w:hint="eastAsia" w:ascii="宋体" w:hAnsi="宋体" w:eastAsia="宋体" w:cs="宋体"/>
          <w:color w:val="auto"/>
          <w:sz w:val="24"/>
          <w:szCs w:val="24"/>
          <w:highlight w:val="none"/>
        </w:rPr>
        <w:t>质量等级、尺寸、颜色、铭牌参数、包装及标识完整、完好程度、交货资料</w:t>
      </w:r>
      <w:r>
        <w:rPr>
          <w:rFonts w:hint="eastAsia" w:eastAsia="宋体" w:cs="宋体"/>
          <w:color w:val="auto"/>
          <w:sz w:val="24"/>
          <w:szCs w:val="24"/>
          <w:highlight w:val="none"/>
          <w:lang w:eastAsia="zh-CN"/>
        </w:rPr>
        <w:t>等</w:t>
      </w:r>
      <w:r>
        <w:rPr>
          <w:rFonts w:hint="eastAsia" w:ascii="宋体" w:hAnsi="宋体" w:eastAsia="宋体" w:cs="宋体"/>
          <w:color w:val="auto"/>
          <w:sz w:val="24"/>
          <w:szCs w:val="24"/>
          <w:highlight w:val="none"/>
        </w:rPr>
        <w:t>方面不合格情况的，</w:t>
      </w:r>
      <w:r>
        <w:rPr>
          <w:rFonts w:hint="eastAsia" w:eastAsia="宋体" w:cs="宋体"/>
          <w:b w:val="0"/>
          <w:bCs/>
          <w:color w:val="auto"/>
          <w:sz w:val="24"/>
          <w:highlight w:val="none"/>
          <w:lang w:val="en-US" w:eastAsia="zh-CN"/>
        </w:rPr>
        <w:t>采购人</w:t>
      </w:r>
      <w:r>
        <w:rPr>
          <w:rFonts w:hint="eastAsia" w:ascii="宋体" w:hAnsi="宋体" w:eastAsia="宋体" w:cs="宋体"/>
          <w:color w:val="auto"/>
          <w:sz w:val="24"/>
          <w:szCs w:val="24"/>
          <w:highlight w:val="none"/>
        </w:rPr>
        <w:t>有权</w:t>
      </w:r>
      <w:r>
        <w:rPr>
          <w:rFonts w:hint="eastAsia" w:eastAsia="宋体" w:cs="宋体"/>
          <w:color w:val="auto"/>
          <w:sz w:val="24"/>
          <w:szCs w:val="24"/>
          <w:highlight w:val="none"/>
          <w:lang w:eastAsia="zh-CN"/>
        </w:rPr>
        <w:t>现场作出：</w:t>
      </w:r>
      <w:r>
        <w:rPr>
          <w:rFonts w:hint="eastAsia" w:ascii="宋体" w:hAnsi="宋体" w:eastAsia="宋体" w:cs="宋体"/>
          <w:color w:val="auto"/>
          <w:sz w:val="24"/>
          <w:szCs w:val="24"/>
          <w:highlight w:val="none"/>
        </w:rPr>
        <w:t>拒收、部分拒收、退货、部分退货、拒付货款</w:t>
      </w:r>
      <w:r>
        <w:rPr>
          <w:rFonts w:hint="eastAsia" w:eastAsia="宋体" w:cs="宋体"/>
          <w:color w:val="auto"/>
          <w:sz w:val="24"/>
          <w:szCs w:val="24"/>
          <w:highlight w:val="none"/>
          <w:lang w:eastAsia="zh-CN"/>
        </w:rPr>
        <w:t>以及</w:t>
      </w:r>
      <w:r>
        <w:rPr>
          <w:rFonts w:hint="eastAsia" w:ascii="宋体" w:hAnsi="宋体" w:eastAsia="宋体" w:cs="宋体"/>
          <w:color w:val="auto"/>
          <w:sz w:val="24"/>
          <w:szCs w:val="24"/>
          <w:highlight w:val="none"/>
        </w:rPr>
        <w:t>解除合同</w:t>
      </w:r>
      <w:r>
        <w:rPr>
          <w:rFonts w:hint="eastAsia" w:eastAsia="宋体" w:cs="宋体"/>
          <w:color w:val="auto"/>
          <w:sz w:val="24"/>
          <w:szCs w:val="24"/>
          <w:highlight w:val="none"/>
          <w:lang w:eastAsia="zh-CN"/>
        </w:rPr>
        <w:t>等处理决定</w:t>
      </w:r>
      <w:r>
        <w:rPr>
          <w:rFonts w:hint="eastAsia" w:ascii="宋体" w:hAnsi="宋体" w:eastAsia="宋体" w:cs="宋体"/>
          <w:color w:val="auto"/>
          <w:sz w:val="24"/>
          <w:szCs w:val="24"/>
          <w:highlight w:val="none"/>
        </w:rPr>
        <w:t>，并</w:t>
      </w:r>
      <w:r>
        <w:rPr>
          <w:rFonts w:hint="eastAsia" w:eastAsia="宋体" w:cs="宋体"/>
          <w:color w:val="auto"/>
          <w:sz w:val="24"/>
          <w:szCs w:val="24"/>
          <w:highlight w:val="none"/>
          <w:lang w:eastAsia="zh-CN"/>
        </w:rPr>
        <w:t>依法追究中标人的违约责任和</w:t>
      </w:r>
      <w:r>
        <w:rPr>
          <w:rFonts w:hint="eastAsia" w:ascii="宋体" w:hAnsi="宋体" w:eastAsia="宋体" w:cs="宋体"/>
          <w:color w:val="auto"/>
          <w:sz w:val="24"/>
          <w:szCs w:val="24"/>
          <w:highlight w:val="none"/>
        </w:rPr>
        <w:t>向</w:t>
      </w:r>
      <w:r>
        <w:rPr>
          <w:rFonts w:hint="eastAsia" w:eastAsia="宋体" w:cs="宋体"/>
          <w:b w:val="0"/>
          <w:bCs/>
          <w:color w:val="auto"/>
          <w:sz w:val="24"/>
          <w:highlight w:val="none"/>
          <w:lang w:val="en-US" w:eastAsia="zh-CN"/>
        </w:rPr>
        <w:t>中标人</w:t>
      </w:r>
      <w:r>
        <w:rPr>
          <w:rFonts w:hint="eastAsia" w:ascii="宋体" w:hAnsi="宋体" w:eastAsia="宋体" w:cs="宋体"/>
          <w:color w:val="auto"/>
          <w:sz w:val="24"/>
          <w:szCs w:val="24"/>
          <w:highlight w:val="none"/>
        </w:rPr>
        <w:t>索赔因此造成的损失。如</w:t>
      </w:r>
      <w:r>
        <w:rPr>
          <w:rFonts w:hint="eastAsia" w:eastAsia="宋体" w:cs="宋体"/>
          <w:b w:val="0"/>
          <w:bCs/>
          <w:color w:val="auto"/>
          <w:sz w:val="24"/>
          <w:highlight w:val="none"/>
          <w:lang w:val="en-US" w:eastAsia="zh-CN"/>
        </w:rPr>
        <w:t>采购人</w:t>
      </w:r>
      <w:r>
        <w:rPr>
          <w:rFonts w:hint="eastAsia" w:ascii="宋体" w:hAnsi="宋体" w:eastAsia="宋体" w:cs="宋体"/>
          <w:color w:val="auto"/>
          <w:sz w:val="24"/>
          <w:szCs w:val="24"/>
          <w:highlight w:val="none"/>
        </w:rPr>
        <w:t>选择不解除合同但要求</w:t>
      </w:r>
      <w:r>
        <w:rPr>
          <w:rFonts w:hint="eastAsia" w:eastAsia="宋体" w:cs="宋体"/>
          <w:b w:val="0"/>
          <w:bCs/>
          <w:color w:val="auto"/>
          <w:sz w:val="24"/>
          <w:highlight w:val="none"/>
          <w:lang w:val="en-US" w:eastAsia="zh-CN"/>
        </w:rPr>
        <w:t>中标人</w:t>
      </w:r>
      <w:r>
        <w:rPr>
          <w:rFonts w:hint="eastAsia" w:ascii="宋体" w:hAnsi="宋体" w:eastAsia="宋体" w:cs="宋体"/>
          <w:color w:val="auto"/>
          <w:sz w:val="24"/>
          <w:szCs w:val="24"/>
          <w:highlight w:val="none"/>
        </w:rPr>
        <w:t>重新供货的，</w:t>
      </w:r>
      <w:r>
        <w:rPr>
          <w:rFonts w:hint="eastAsia" w:eastAsia="宋体" w:cs="宋体"/>
          <w:b w:val="0"/>
          <w:bCs/>
          <w:color w:val="auto"/>
          <w:sz w:val="24"/>
          <w:highlight w:val="none"/>
          <w:lang w:val="en-US" w:eastAsia="zh-CN"/>
        </w:rPr>
        <w:t>中标人</w:t>
      </w:r>
      <w:r>
        <w:rPr>
          <w:rFonts w:hint="eastAsia" w:ascii="宋体" w:hAnsi="宋体" w:eastAsia="宋体" w:cs="宋体"/>
          <w:color w:val="auto"/>
          <w:sz w:val="24"/>
          <w:szCs w:val="24"/>
          <w:highlight w:val="none"/>
        </w:rPr>
        <w:t>应当无条件重新供货，且交货期限不顺延，由此导致逾期交货的，</w:t>
      </w:r>
      <w:r>
        <w:rPr>
          <w:rFonts w:hint="eastAsia" w:eastAsia="宋体" w:cs="宋体"/>
          <w:b w:val="0"/>
          <w:bCs/>
          <w:color w:val="auto"/>
          <w:sz w:val="24"/>
          <w:highlight w:val="none"/>
          <w:lang w:val="en-US" w:eastAsia="zh-CN"/>
        </w:rPr>
        <w:t>中标人</w:t>
      </w:r>
      <w:r>
        <w:rPr>
          <w:rFonts w:hint="eastAsia" w:ascii="宋体" w:hAnsi="宋体" w:eastAsia="宋体" w:cs="宋体"/>
          <w:color w:val="auto"/>
          <w:sz w:val="24"/>
          <w:szCs w:val="24"/>
          <w:highlight w:val="none"/>
        </w:rPr>
        <w:t>应承担相应的违约责任。</w:t>
      </w:r>
    </w:p>
    <w:p>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eastAsia="宋体" w:cs="宋体"/>
          <w:b w:val="0"/>
          <w:bCs/>
          <w:color w:val="auto"/>
          <w:sz w:val="24"/>
          <w:highlight w:val="none"/>
          <w:lang w:val="en-US" w:eastAsia="zh-CN"/>
        </w:rPr>
        <w:t>中标人</w:t>
      </w:r>
      <w:r>
        <w:rPr>
          <w:rFonts w:hint="eastAsia" w:eastAsia="宋体" w:cs="宋体"/>
          <w:color w:val="auto"/>
          <w:sz w:val="24"/>
          <w:szCs w:val="24"/>
          <w:highlight w:val="none"/>
          <w:lang w:eastAsia="zh-CN"/>
        </w:rPr>
        <w:t>在将货物运抵现场</w:t>
      </w:r>
      <w:r>
        <w:rPr>
          <w:rFonts w:hint="eastAsia" w:ascii="宋体" w:hAnsi="宋体" w:eastAsia="宋体" w:cs="宋体"/>
          <w:color w:val="auto"/>
          <w:sz w:val="24"/>
          <w:szCs w:val="24"/>
          <w:highlight w:val="none"/>
        </w:rPr>
        <w:t>前应按合同规定的检验方法，作出全面检测，其记录附在质量证明书内。但有关质量、规格、性能、数量或重量的检验不应视为最终检验。</w:t>
      </w:r>
      <w:r>
        <w:rPr>
          <w:rFonts w:hint="eastAsia" w:eastAsia="宋体" w:cs="宋体"/>
          <w:b w:val="0"/>
          <w:bCs/>
          <w:color w:val="auto"/>
          <w:sz w:val="24"/>
          <w:highlight w:val="none"/>
          <w:lang w:val="en-US" w:eastAsia="zh-CN"/>
        </w:rPr>
        <w:t>中标人</w:t>
      </w:r>
      <w:r>
        <w:rPr>
          <w:rFonts w:hint="eastAsia" w:ascii="宋体" w:hAnsi="宋体" w:eastAsia="宋体" w:cs="宋体"/>
          <w:color w:val="auto"/>
          <w:sz w:val="24"/>
          <w:szCs w:val="24"/>
          <w:highlight w:val="none"/>
        </w:rPr>
        <w:t>检验的结果和详细要求应在质量说明书中加以说明。</w:t>
      </w:r>
    </w:p>
    <w:p>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3、系统的就位、安装、调试结束后，经过一个月的试运转考核无故障，并经有关部门的检验合格后，买卖双方共同签署验收合格证书。</w:t>
      </w:r>
    </w:p>
    <w:p>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4、其中</w:t>
      </w:r>
      <w:r>
        <w:rPr>
          <w:rFonts w:hint="eastAsia" w:eastAsia="宋体" w:cs="宋体"/>
          <w:b w:val="0"/>
          <w:bCs/>
          <w:color w:val="auto"/>
          <w:sz w:val="24"/>
          <w:highlight w:val="none"/>
          <w:lang w:val="en-US" w:eastAsia="zh-CN"/>
        </w:rPr>
        <w:t>采购人</w:t>
      </w:r>
      <w:r>
        <w:rPr>
          <w:rFonts w:hint="eastAsia" w:ascii="宋体" w:hAnsi="宋体" w:eastAsia="宋体" w:cs="宋体"/>
          <w:color w:val="auto"/>
          <w:sz w:val="24"/>
          <w:szCs w:val="24"/>
          <w:highlight w:val="none"/>
        </w:rPr>
        <w:t>认为的重要部件不论何时（验收时或日后维修时）发现</w:t>
      </w:r>
      <w:r>
        <w:rPr>
          <w:rFonts w:hint="eastAsia" w:eastAsia="宋体" w:cs="宋体"/>
          <w:color w:val="auto"/>
          <w:sz w:val="24"/>
          <w:szCs w:val="24"/>
          <w:highlight w:val="none"/>
          <w:lang w:eastAsia="zh-CN"/>
        </w:rPr>
        <w:t>与合同约定</w:t>
      </w:r>
      <w:r>
        <w:rPr>
          <w:rFonts w:hint="eastAsia" w:ascii="宋体" w:hAnsi="宋体" w:eastAsia="宋体" w:cs="宋体"/>
          <w:color w:val="auto"/>
          <w:sz w:val="24"/>
          <w:szCs w:val="24"/>
          <w:highlight w:val="none"/>
        </w:rPr>
        <w:t>的</w:t>
      </w:r>
      <w:r>
        <w:rPr>
          <w:rFonts w:hint="eastAsia" w:eastAsia="宋体" w:cs="宋体"/>
          <w:color w:val="auto"/>
          <w:sz w:val="24"/>
          <w:szCs w:val="24"/>
          <w:highlight w:val="none"/>
          <w:lang w:eastAsia="zh-CN"/>
        </w:rPr>
        <w:t>技术规格不相符的</w:t>
      </w:r>
      <w:r>
        <w:rPr>
          <w:rFonts w:hint="eastAsia" w:ascii="宋体" w:hAnsi="宋体" w:eastAsia="宋体" w:cs="宋体"/>
          <w:color w:val="auto"/>
          <w:sz w:val="24"/>
          <w:szCs w:val="24"/>
          <w:highlight w:val="none"/>
        </w:rPr>
        <w:t>，</w:t>
      </w:r>
      <w:r>
        <w:rPr>
          <w:rFonts w:hint="eastAsia" w:eastAsia="宋体" w:cs="宋体"/>
          <w:b w:val="0"/>
          <w:bCs/>
          <w:color w:val="auto"/>
          <w:sz w:val="24"/>
          <w:highlight w:val="none"/>
          <w:lang w:val="en-US" w:eastAsia="zh-CN"/>
        </w:rPr>
        <w:t>中标人</w:t>
      </w:r>
      <w:r>
        <w:rPr>
          <w:rFonts w:hint="eastAsia" w:ascii="宋体" w:hAnsi="宋体" w:eastAsia="宋体" w:cs="宋体"/>
          <w:color w:val="auto"/>
          <w:sz w:val="24"/>
          <w:szCs w:val="24"/>
          <w:highlight w:val="none"/>
        </w:rPr>
        <w:t>均将承担违约责任。</w:t>
      </w:r>
      <w:r>
        <w:rPr>
          <w:rFonts w:hint="eastAsia" w:eastAsia="宋体" w:cs="宋体"/>
          <w:b w:val="0"/>
          <w:bCs/>
          <w:color w:val="auto"/>
          <w:sz w:val="24"/>
          <w:highlight w:val="none"/>
          <w:lang w:val="en-US" w:eastAsia="zh-CN"/>
        </w:rPr>
        <w:t>中标人</w:t>
      </w:r>
      <w:r>
        <w:rPr>
          <w:rFonts w:hint="eastAsia" w:ascii="宋体" w:hAnsi="宋体" w:eastAsia="宋体" w:cs="宋体"/>
          <w:color w:val="auto"/>
          <w:sz w:val="24"/>
          <w:szCs w:val="24"/>
          <w:highlight w:val="none"/>
        </w:rPr>
        <w:t>必须更换与</w:t>
      </w:r>
      <w:r>
        <w:rPr>
          <w:rFonts w:hint="eastAsia" w:eastAsia="宋体" w:cs="宋体"/>
          <w:color w:val="auto"/>
          <w:sz w:val="24"/>
          <w:szCs w:val="24"/>
          <w:highlight w:val="none"/>
          <w:lang w:eastAsia="zh-CN"/>
        </w:rPr>
        <w:t>合同约定的技术规格</w:t>
      </w:r>
      <w:r>
        <w:rPr>
          <w:rFonts w:hint="eastAsia" w:ascii="宋体" w:hAnsi="宋体" w:eastAsia="宋体" w:cs="宋体"/>
          <w:color w:val="auto"/>
          <w:sz w:val="24"/>
          <w:szCs w:val="24"/>
          <w:highlight w:val="none"/>
        </w:rPr>
        <w:t>相一致的部件并</w:t>
      </w:r>
      <w:r>
        <w:rPr>
          <w:rFonts w:hint="eastAsia" w:eastAsia="宋体" w:cs="宋体"/>
          <w:color w:val="auto"/>
          <w:sz w:val="24"/>
          <w:szCs w:val="24"/>
          <w:highlight w:val="none"/>
          <w:lang w:eastAsia="zh-CN"/>
        </w:rPr>
        <w:t>承担</w:t>
      </w:r>
      <w:r>
        <w:rPr>
          <w:rFonts w:hint="eastAsia" w:ascii="宋体" w:hAnsi="宋体" w:eastAsia="宋体" w:cs="宋体"/>
          <w:color w:val="auto"/>
          <w:sz w:val="24"/>
          <w:szCs w:val="24"/>
          <w:highlight w:val="none"/>
        </w:rPr>
        <w:t>包括</w:t>
      </w:r>
      <w:r>
        <w:rPr>
          <w:rFonts w:hint="eastAsia" w:eastAsia="宋体" w:cs="宋体"/>
          <w:color w:val="auto"/>
          <w:sz w:val="24"/>
          <w:szCs w:val="24"/>
          <w:highlight w:val="none"/>
          <w:lang w:eastAsia="zh-CN"/>
        </w:rPr>
        <w:t>安装</w:t>
      </w:r>
      <w:r>
        <w:rPr>
          <w:rFonts w:hint="eastAsia" w:ascii="宋体" w:hAnsi="宋体" w:eastAsia="宋体" w:cs="宋体"/>
          <w:color w:val="auto"/>
          <w:sz w:val="24"/>
          <w:szCs w:val="24"/>
          <w:highlight w:val="none"/>
        </w:rPr>
        <w:t>就位在内的一切费用和相关责任。如</w:t>
      </w:r>
      <w:r>
        <w:rPr>
          <w:rFonts w:hint="eastAsia" w:eastAsia="宋体" w:cs="宋体"/>
          <w:b w:val="0"/>
          <w:bCs/>
          <w:color w:val="auto"/>
          <w:sz w:val="24"/>
          <w:highlight w:val="none"/>
          <w:lang w:val="en-US" w:eastAsia="zh-CN"/>
        </w:rPr>
        <w:t>中标人</w:t>
      </w:r>
      <w:r>
        <w:rPr>
          <w:rFonts w:hint="eastAsia" w:ascii="宋体" w:hAnsi="宋体" w:eastAsia="宋体" w:cs="宋体"/>
          <w:color w:val="auto"/>
          <w:sz w:val="24"/>
          <w:szCs w:val="24"/>
          <w:highlight w:val="none"/>
        </w:rPr>
        <w:t>拒不更换的，</w:t>
      </w:r>
      <w:r>
        <w:rPr>
          <w:rFonts w:hint="eastAsia" w:eastAsia="宋体" w:cs="宋体"/>
          <w:b w:val="0"/>
          <w:bCs/>
          <w:color w:val="auto"/>
          <w:sz w:val="24"/>
          <w:highlight w:val="none"/>
          <w:lang w:val="en-US" w:eastAsia="zh-CN"/>
        </w:rPr>
        <w:t>采购人</w:t>
      </w:r>
      <w:r>
        <w:rPr>
          <w:rFonts w:hint="eastAsia" w:ascii="宋体" w:hAnsi="宋体" w:eastAsia="宋体" w:cs="宋体"/>
          <w:color w:val="auto"/>
          <w:sz w:val="24"/>
          <w:szCs w:val="24"/>
          <w:highlight w:val="none"/>
        </w:rPr>
        <w:t>有权要求</w:t>
      </w:r>
      <w:r>
        <w:rPr>
          <w:rFonts w:hint="eastAsia" w:eastAsia="宋体" w:cs="宋体"/>
          <w:b w:val="0"/>
          <w:bCs/>
          <w:color w:val="auto"/>
          <w:sz w:val="24"/>
          <w:highlight w:val="none"/>
          <w:lang w:val="en-US" w:eastAsia="zh-CN"/>
        </w:rPr>
        <w:t>中标人</w:t>
      </w:r>
      <w:r>
        <w:rPr>
          <w:rFonts w:hint="eastAsia" w:ascii="宋体" w:hAnsi="宋体" w:eastAsia="宋体" w:cs="宋体"/>
          <w:color w:val="auto"/>
          <w:sz w:val="24"/>
          <w:szCs w:val="24"/>
          <w:highlight w:val="none"/>
        </w:rPr>
        <w:t>按该重要部件所在设备的整体价款的一倍支付违约金。所有</w:t>
      </w:r>
      <w:r>
        <w:rPr>
          <w:rFonts w:hint="eastAsia" w:eastAsia="宋体" w:cs="宋体"/>
          <w:b w:val="0"/>
          <w:bCs/>
          <w:color w:val="auto"/>
          <w:sz w:val="24"/>
          <w:highlight w:val="none"/>
          <w:lang w:val="en-US" w:eastAsia="zh-CN"/>
        </w:rPr>
        <w:t>采购人</w:t>
      </w:r>
      <w:r>
        <w:rPr>
          <w:rFonts w:hint="eastAsia" w:ascii="宋体" w:hAnsi="宋体" w:eastAsia="宋体" w:cs="宋体"/>
          <w:color w:val="auto"/>
          <w:sz w:val="24"/>
          <w:szCs w:val="24"/>
          <w:highlight w:val="none"/>
        </w:rPr>
        <w:t>认为的重要部件和零件</w:t>
      </w:r>
      <w:r>
        <w:rPr>
          <w:rFonts w:hint="eastAsia" w:eastAsia="宋体" w:cs="宋体"/>
          <w:color w:val="auto"/>
          <w:sz w:val="24"/>
          <w:szCs w:val="24"/>
          <w:highlight w:val="none"/>
          <w:lang w:eastAsia="zh-CN"/>
        </w:rPr>
        <w:t>都</w:t>
      </w:r>
      <w:r>
        <w:rPr>
          <w:rFonts w:hint="eastAsia" w:ascii="宋体" w:hAnsi="宋体" w:eastAsia="宋体" w:cs="宋体"/>
          <w:color w:val="auto"/>
          <w:sz w:val="24"/>
          <w:szCs w:val="24"/>
          <w:highlight w:val="none"/>
        </w:rPr>
        <w:t>必须提供相应的</w:t>
      </w:r>
      <w:r>
        <w:rPr>
          <w:rFonts w:hint="eastAsia" w:eastAsia="宋体" w:cs="宋体"/>
          <w:color w:val="auto"/>
          <w:sz w:val="24"/>
          <w:szCs w:val="24"/>
          <w:highlight w:val="none"/>
          <w:lang w:eastAsia="zh-CN"/>
        </w:rPr>
        <w:t>质量合格</w:t>
      </w:r>
      <w:r>
        <w:rPr>
          <w:rFonts w:hint="eastAsia" w:ascii="宋体" w:hAnsi="宋体" w:eastAsia="宋体" w:cs="宋体"/>
          <w:color w:val="auto"/>
          <w:sz w:val="24"/>
          <w:szCs w:val="24"/>
          <w:highlight w:val="none"/>
        </w:rPr>
        <w:t>证明材料，供货时如为进口部件需提供原装原产地五大单据（原产地当局出具的原产地证书正本、原产地出厂合格证正本、原产地装船单正本、中国海关报关证明文件</w:t>
      </w:r>
      <w:r>
        <w:rPr>
          <w:rFonts w:hint="eastAsia" w:ascii="宋体" w:hAnsi="宋体" w:eastAsia="宋体" w:cs="宋体"/>
          <w:color w:val="auto"/>
          <w:sz w:val="24"/>
          <w:szCs w:val="24"/>
          <w:highlight w:val="none"/>
          <w:lang w:eastAsia="zh-CN"/>
        </w:rPr>
        <w:t>复制</w:t>
      </w:r>
      <w:r>
        <w:rPr>
          <w:rFonts w:hint="eastAsia" w:ascii="宋体" w:hAnsi="宋体" w:eastAsia="宋体" w:cs="宋体"/>
          <w:color w:val="auto"/>
          <w:sz w:val="24"/>
          <w:szCs w:val="24"/>
          <w:highlight w:val="none"/>
        </w:rPr>
        <w:t>件、中国商检检验合格证明文件正本）。</w:t>
      </w:r>
    </w:p>
    <w:p>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r>
        <w:rPr>
          <w:rFonts w:hint="eastAsia" w:eastAsia="宋体" w:cs="宋体"/>
          <w:b w:val="0"/>
          <w:bCs/>
          <w:color w:val="auto"/>
          <w:sz w:val="24"/>
          <w:highlight w:val="none"/>
          <w:lang w:val="en-US" w:eastAsia="zh-CN"/>
        </w:rPr>
        <w:t>中标人</w:t>
      </w:r>
      <w:r>
        <w:rPr>
          <w:rFonts w:hint="eastAsia" w:ascii="宋体" w:hAnsi="宋体" w:eastAsia="宋体" w:cs="宋体"/>
          <w:color w:val="auto"/>
          <w:sz w:val="24"/>
          <w:szCs w:val="24"/>
          <w:highlight w:val="none"/>
        </w:rPr>
        <w:t>在交付设备时必须同时向</w:t>
      </w:r>
      <w:r>
        <w:rPr>
          <w:rFonts w:hint="eastAsia" w:eastAsia="宋体" w:cs="宋体"/>
          <w:b w:val="0"/>
          <w:bCs/>
          <w:color w:val="auto"/>
          <w:sz w:val="24"/>
          <w:highlight w:val="none"/>
          <w:lang w:val="en-US" w:eastAsia="zh-CN"/>
        </w:rPr>
        <w:t>采购人</w:t>
      </w:r>
      <w:r>
        <w:rPr>
          <w:rFonts w:hint="eastAsia" w:ascii="宋体" w:hAnsi="宋体" w:eastAsia="宋体" w:cs="宋体"/>
          <w:color w:val="auto"/>
          <w:sz w:val="24"/>
          <w:szCs w:val="24"/>
          <w:highlight w:val="none"/>
        </w:rPr>
        <w:t>移交</w:t>
      </w:r>
      <w:r>
        <w:rPr>
          <w:rFonts w:hint="eastAsia" w:eastAsia="宋体" w:cs="宋体"/>
          <w:color w:val="auto"/>
          <w:sz w:val="24"/>
          <w:szCs w:val="24"/>
          <w:highlight w:val="none"/>
          <w:lang w:eastAsia="zh-CN"/>
        </w:rPr>
        <w:t>其投标</w:t>
      </w:r>
      <w:r>
        <w:rPr>
          <w:rFonts w:hint="eastAsia" w:ascii="宋体" w:hAnsi="宋体" w:eastAsia="宋体" w:cs="宋体"/>
          <w:color w:val="auto"/>
          <w:sz w:val="24"/>
          <w:szCs w:val="24"/>
          <w:highlight w:val="none"/>
        </w:rPr>
        <w:t>文件所列的备品备件、维修工具（该备品备件不作为保修期内所使用的维保耗材）。</w:t>
      </w:r>
    </w:p>
    <w:p>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r>
        <w:rPr>
          <w:rFonts w:hint="eastAsia" w:eastAsia="宋体" w:cs="宋体"/>
          <w:b w:val="0"/>
          <w:bCs/>
          <w:color w:val="auto"/>
          <w:sz w:val="24"/>
          <w:highlight w:val="none"/>
          <w:lang w:val="en-US" w:eastAsia="zh-CN"/>
        </w:rPr>
        <w:t>采购人</w:t>
      </w:r>
      <w:r>
        <w:rPr>
          <w:rFonts w:hint="eastAsia" w:ascii="宋体" w:hAnsi="宋体" w:eastAsia="宋体" w:cs="宋体"/>
          <w:color w:val="auto"/>
          <w:sz w:val="24"/>
          <w:szCs w:val="24"/>
          <w:highlight w:val="none"/>
        </w:rPr>
        <w:t>有权派出不超过4人的专业人员赴</w:t>
      </w:r>
      <w:r>
        <w:rPr>
          <w:rFonts w:hint="eastAsia" w:eastAsia="宋体" w:cs="宋体"/>
          <w:b w:val="0"/>
          <w:bCs/>
          <w:color w:val="auto"/>
          <w:sz w:val="24"/>
          <w:highlight w:val="none"/>
          <w:lang w:val="en-US" w:eastAsia="zh-CN"/>
        </w:rPr>
        <w:t>中标人</w:t>
      </w:r>
      <w:r>
        <w:rPr>
          <w:rFonts w:hint="eastAsia" w:ascii="宋体" w:hAnsi="宋体" w:eastAsia="宋体" w:cs="宋体"/>
          <w:color w:val="auto"/>
          <w:sz w:val="24"/>
          <w:szCs w:val="24"/>
          <w:highlight w:val="none"/>
        </w:rPr>
        <w:t>生产厂地进行</w:t>
      </w:r>
      <w:r>
        <w:rPr>
          <w:rFonts w:hint="eastAsia" w:eastAsia="宋体" w:cs="宋体"/>
          <w:color w:val="auto"/>
          <w:sz w:val="24"/>
          <w:szCs w:val="24"/>
          <w:highlight w:val="none"/>
          <w:lang w:eastAsia="zh-CN"/>
        </w:rPr>
        <w:t>为期不低于</w:t>
      </w:r>
      <w:r>
        <w:rPr>
          <w:rFonts w:hint="eastAsia" w:ascii="宋体" w:hAnsi="宋体" w:eastAsia="宋体" w:cs="宋体"/>
          <w:color w:val="auto"/>
          <w:sz w:val="24"/>
          <w:szCs w:val="24"/>
          <w:highlight w:val="none"/>
        </w:rPr>
        <w:t>5</w:t>
      </w:r>
      <w:r>
        <w:rPr>
          <w:rFonts w:hint="eastAsia" w:ascii="宋体" w:hAnsi="宋体" w:eastAsia="宋体" w:cs="宋体"/>
          <w:color w:val="auto"/>
          <w:sz w:val="24"/>
          <w:szCs w:val="24"/>
          <w:highlight w:val="none"/>
          <w:lang w:eastAsia="zh-CN"/>
        </w:rPr>
        <w:t>个</w:t>
      </w:r>
      <w:r>
        <w:rPr>
          <w:rFonts w:hint="eastAsia" w:ascii="宋体" w:hAnsi="宋体" w:eastAsia="宋体" w:cs="宋体"/>
          <w:color w:val="auto"/>
          <w:sz w:val="24"/>
          <w:szCs w:val="24"/>
          <w:highlight w:val="none"/>
        </w:rPr>
        <w:t>工作日</w:t>
      </w:r>
      <w:r>
        <w:rPr>
          <w:rFonts w:hint="eastAsia" w:ascii="宋体" w:hAnsi="宋体" w:eastAsia="宋体" w:cs="宋体"/>
          <w:color w:val="auto"/>
          <w:sz w:val="24"/>
          <w:szCs w:val="24"/>
          <w:highlight w:val="none"/>
          <w:lang w:eastAsia="zh-CN"/>
        </w:rPr>
        <w:t>的</w:t>
      </w:r>
      <w:r>
        <w:rPr>
          <w:rFonts w:hint="eastAsia" w:ascii="宋体" w:hAnsi="宋体" w:eastAsia="宋体" w:cs="宋体"/>
          <w:color w:val="auto"/>
          <w:sz w:val="24"/>
          <w:szCs w:val="24"/>
          <w:highlight w:val="none"/>
        </w:rPr>
        <w:t>设计联络和监造</w:t>
      </w:r>
      <w:r>
        <w:rPr>
          <w:rFonts w:hint="eastAsia" w:eastAsia="宋体" w:cs="宋体"/>
          <w:color w:val="auto"/>
          <w:sz w:val="24"/>
          <w:szCs w:val="24"/>
          <w:highlight w:val="none"/>
          <w:lang w:eastAsia="zh-CN"/>
        </w:rPr>
        <w:t>工作</w:t>
      </w:r>
      <w:r>
        <w:rPr>
          <w:rFonts w:hint="eastAsia" w:ascii="宋体" w:hAnsi="宋体" w:eastAsia="宋体" w:cs="宋体"/>
          <w:color w:val="auto"/>
          <w:sz w:val="24"/>
          <w:szCs w:val="24"/>
          <w:highlight w:val="none"/>
        </w:rPr>
        <w:t>，相关费用已包含在合同价中。如在监造中发现技术指标不能满足招标文件和投标文件承诺要求的，</w:t>
      </w:r>
      <w:r>
        <w:rPr>
          <w:rFonts w:hint="eastAsia" w:eastAsia="宋体" w:cs="宋体"/>
          <w:b w:val="0"/>
          <w:bCs/>
          <w:color w:val="auto"/>
          <w:sz w:val="24"/>
          <w:highlight w:val="none"/>
          <w:lang w:val="en-US" w:eastAsia="zh-CN"/>
        </w:rPr>
        <w:t>采购人</w:t>
      </w:r>
      <w:r>
        <w:rPr>
          <w:rFonts w:hint="eastAsia" w:ascii="宋体" w:hAnsi="宋体" w:eastAsia="宋体" w:cs="宋体"/>
          <w:color w:val="auto"/>
          <w:sz w:val="24"/>
          <w:szCs w:val="24"/>
          <w:highlight w:val="none"/>
        </w:rPr>
        <w:t>有权拒付货款或解除合同。</w:t>
      </w:r>
    </w:p>
    <w:p>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7、经</w:t>
      </w:r>
      <w:r>
        <w:rPr>
          <w:rFonts w:hint="eastAsia" w:eastAsia="宋体" w:cs="宋体"/>
          <w:b w:val="0"/>
          <w:bCs/>
          <w:color w:val="auto"/>
          <w:sz w:val="24"/>
          <w:highlight w:val="none"/>
          <w:lang w:val="en-US" w:eastAsia="zh-CN"/>
        </w:rPr>
        <w:t>采购人</w:t>
      </w:r>
      <w:r>
        <w:rPr>
          <w:rFonts w:hint="eastAsia" w:ascii="宋体" w:hAnsi="宋体" w:eastAsia="宋体" w:cs="宋体"/>
          <w:color w:val="auto"/>
          <w:sz w:val="24"/>
          <w:szCs w:val="24"/>
          <w:highlight w:val="none"/>
        </w:rPr>
        <w:t>要求或征得</w:t>
      </w:r>
      <w:r>
        <w:rPr>
          <w:rFonts w:hint="eastAsia" w:eastAsia="宋体" w:cs="宋体"/>
          <w:b w:val="0"/>
          <w:bCs/>
          <w:color w:val="auto"/>
          <w:sz w:val="24"/>
          <w:highlight w:val="none"/>
          <w:lang w:val="en-US" w:eastAsia="zh-CN"/>
        </w:rPr>
        <w:t>采购人</w:t>
      </w:r>
      <w:r>
        <w:rPr>
          <w:rFonts w:hint="eastAsia" w:ascii="宋体" w:hAnsi="宋体" w:eastAsia="宋体" w:cs="宋体"/>
          <w:color w:val="auto"/>
          <w:sz w:val="24"/>
          <w:szCs w:val="24"/>
          <w:highlight w:val="none"/>
        </w:rPr>
        <w:t>书面同意后，</w:t>
      </w:r>
      <w:r>
        <w:rPr>
          <w:rFonts w:hint="eastAsia" w:eastAsia="宋体" w:cs="宋体"/>
          <w:b w:val="0"/>
          <w:bCs/>
          <w:color w:val="auto"/>
          <w:sz w:val="24"/>
          <w:highlight w:val="none"/>
          <w:lang w:val="en-US" w:eastAsia="zh-CN"/>
        </w:rPr>
        <w:t>中标人</w:t>
      </w:r>
      <w:r>
        <w:rPr>
          <w:rFonts w:hint="eastAsia" w:ascii="宋体" w:hAnsi="宋体" w:eastAsia="宋体" w:cs="宋体"/>
          <w:color w:val="auto"/>
          <w:sz w:val="24"/>
          <w:szCs w:val="24"/>
          <w:highlight w:val="none"/>
        </w:rPr>
        <w:t>可分批发货，</w:t>
      </w:r>
      <w:r>
        <w:rPr>
          <w:rFonts w:hint="eastAsia" w:eastAsia="宋体" w:cs="宋体"/>
          <w:color w:val="auto"/>
          <w:sz w:val="24"/>
          <w:szCs w:val="24"/>
          <w:highlight w:val="none"/>
          <w:lang w:eastAsia="zh-CN"/>
        </w:rPr>
        <w:t>采购人可根据实际情况分批次检验、验收</w:t>
      </w:r>
      <w:r>
        <w:rPr>
          <w:rFonts w:hint="eastAsia" w:ascii="宋体" w:hAnsi="宋体" w:eastAsia="宋体" w:cs="宋体"/>
          <w:color w:val="auto"/>
          <w:sz w:val="24"/>
          <w:szCs w:val="24"/>
          <w:highlight w:val="none"/>
        </w:rPr>
        <w:t>。</w:t>
      </w:r>
    </w:p>
    <w:p>
      <w:pPr>
        <w:snapToGrid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8、设备安装完成后中标人应及时通知采购人组织验收和试运行，验收和试运行合格后交付采购人即视为交货完毕，但交货完毕并不能免除合同约定的中标人的质保期责任和售后服务要求。</w:t>
      </w:r>
    </w:p>
    <w:p>
      <w:pPr>
        <w:snapToGrid w:val="0"/>
        <w:spacing w:line="360" w:lineRule="auto"/>
        <w:ind w:firstLine="480" w:firstLineChars="20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9、交货完毕前，中标人须自行承担包括但不限于设备物资、人员、车辆、仓储等的安全责任和一切风险。</w:t>
      </w:r>
    </w:p>
    <w:p>
      <w:pPr>
        <w:snapToGrid w:val="0"/>
        <w:spacing w:line="360" w:lineRule="auto"/>
        <w:ind w:firstLine="480" w:firstLineChars="200"/>
        <w:rPr>
          <w:rFonts w:hint="eastAsia" w:ascii="宋体" w:hAnsi="宋体" w:eastAsia="宋体" w:cs="宋体"/>
          <w:color w:val="auto"/>
          <w:sz w:val="24"/>
          <w:szCs w:val="24"/>
          <w:highlight w:val="none"/>
        </w:rPr>
      </w:pPr>
    </w:p>
    <w:p>
      <w:pPr>
        <w:pStyle w:val="3"/>
        <w:spacing w:line="360" w:lineRule="auto"/>
        <w:jc w:val="both"/>
        <w:rPr>
          <w:rFonts w:hint="eastAsia" w:ascii="宋体" w:hAnsi="宋体" w:eastAsia="宋体" w:cs="宋体"/>
          <w:color w:val="auto"/>
          <w:sz w:val="28"/>
          <w:szCs w:val="28"/>
          <w:highlight w:val="none"/>
          <w:lang w:eastAsia="zh-CN"/>
        </w:rPr>
      </w:pPr>
      <w:bookmarkStart w:id="453" w:name="_Toc43050420"/>
      <w:bookmarkStart w:id="454" w:name="_Toc867"/>
      <w:bookmarkStart w:id="455" w:name="_Toc20487"/>
      <w:r>
        <w:rPr>
          <w:rFonts w:hint="eastAsia" w:cs="宋体"/>
          <w:color w:val="auto"/>
          <w:sz w:val="28"/>
          <w:szCs w:val="28"/>
          <w:highlight w:val="none"/>
          <w:lang w:val="en-US" w:eastAsia="zh-CN"/>
        </w:rPr>
        <w:t>四</w:t>
      </w:r>
      <w:r>
        <w:rPr>
          <w:rFonts w:hint="eastAsia" w:eastAsia="宋体" w:cs="宋体"/>
          <w:color w:val="auto"/>
          <w:sz w:val="28"/>
          <w:szCs w:val="28"/>
          <w:highlight w:val="none"/>
          <w:lang w:eastAsia="zh-CN"/>
        </w:rPr>
        <w:t>、</w:t>
      </w:r>
      <w:r>
        <w:rPr>
          <w:rFonts w:hint="eastAsia" w:ascii="宋体" w:hAnsi="宋体" w:eastAsia="宋体" w:cs="宋体"/>
          <w:color w:val="auto"/>
          <w:sz w:val="28"/>
          <w:szCs w:val="28"/>
          <w:highlight w:val="none"/>
        </w:rPr>
        <w:t>调试、试运行及验收</w:t>
      </w:r>
      <w:bookmarkEnd w:id="453"/>
      <w:bookmarkEnd w:id="454"/>
      <w:bookmarkEnd w:id="455"/>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1、负责安装及调试</w:t>
      </w:r>
      <w:r>
        <w:rPr>
          <w:rFonts w:hint="eastAsia" w:eastAsia="宋体" w:cs="宋体"/>
          <w:color w:val="auto"/>
          <w:sz w:val="24"/>
          <w:szCs w:val="24"/>
          <w:highlight w:val="none"/>
          <w:lang w:eastAsia="zh-CN"/>
        </w:rPr>
        <w:t>包含在本次采购的采购范围之内</w:t>
      </w:r>
      <w:r>
        <w:rPr>
          <w:rFonts w:hint="eastAsia" w:ascii="宋体" w:hAnsi="宋体" w:eastAsia="宋体" w:cs="宋体"/>
          <w:color w:val="auto"/>
          <w:sz w:val="24"/>
          <w:szCs w:val="24"/>
          <w:highlight w:val="none"/>
        </w:rPr>
        <w:t>，不再</w:t>
      </w:r>
      <w:r>
        <w:rPr>
          <w:rFonts w:hint="eastAsia" w:eastAsia="宋体" w:cs="宋体"/>
          <w:color w:val="auto"/>
          <w:sz w:val="24"/>
          <w:szCs w:val="24"/>
          <w:highlight w:val="none"/>
          <w:lang w:eastAsia="zh-CN"/>
        </w:rPr>
        <w:t>另行采购</w:t>
      </w:r>
      <w:r>
        <w:rPr>
          <w:rFonts w:hint="eastAsia" w:ascii="宋体" w:hAnsi="宋体" w:eastAsia="宋体" w:cs="宋体"/>
          <w:color w:val="auto"/>
          <w:sz w:val="24"/>
          <w:szCs w:val="24"/>
          <w:highlight w:val="none"/>
        </w:rPr>
        <w:t>；接到</w:t>
      </w:r>
      <w:r>
        <w:rPr>
          <w:rFonts w:hint="eastAsia" w:eastAsia="宋体" w:cs="宋体"/>
          <w:b w:val="0"/>
          <w:bCs/>
          <w:color w:val="auto"/>
          <w:sz w:val="24"/>
          <w:highlight w:val="none"/>
          <w:lang w:val="en-US" w:eastAsia="zh-CN"/>
        </w:rPr>
        <w:t>采购人</w:t>
      </w:r>
      <w:r>
        <w:rPr>
          <w:rFonts w:hint="eastAsia" w:ascii="宋体" w:hAnsi="宋体" w:eastAsia="宋体" w:cs="宋体"/>
          <w:color w:val="auto"/>
          <w:sz w:val="24"/>
          <w:szCs w:val="24"/>
          <w:highlight w:val="none"/>
        </w:rPr>
        <w:t>书面通知后，</w:t>
      </w:r>
      <w:r>
        <w:rPr>
          <w:rFonts w:hint="eastAsia" w:eastAsia="宋体" w:cs="宋体"/>
          <w:b w:val="0"/>
          <w:bCs/>
          <w:color w:val="auto"/>
          <w:sz w:val="24"/>
          <w:highlight w:val="none"/>
          <w:lang w:val="en-US" w:eastAsia="zh-CN"/>
        </w:rPr>
        <w:t>中标人</w:t>
      </w:r>
      <w:r>
        <w:rPr>
          <w:rFonts w:hint="eastAsia" w:ascii="宋体" w:hAnsi="宋体" w:eastAsia="宋体" w:cs="宋体"/>
          <w:color w:val="auto"/>
          <w:sz w:val="24"/>
          <w:szCs w:val="24"/>
          <w:highlight w:val="none"/>
        </w:rPr>
        <w:t>应按照通知指定日期派员免费赶赴现场负责设备的安装工作，并</w:t>
      </w:r>
      <w:r>
        <w:rPr>
          <w:rFonts w:hint="eastAsia" w:eastAsia="宋体" w:cs="宋体"/>
          <w:color w:val="auto"/>
          <w:sz w:val="24"/>
          <w:szCs w:val="24"/>
          <w:highlight w:val="none"/>
          <w:lang w:eastAsia="zh-CN"/>
        </w:rPr>
        <w:t>保证</w:t>
      </w:r>
      <w:r>
        <w:rPr>
          <w:rFonts w:hint="eastAsia" w:ascii="宋体" w:hAnsi="宋体" w:eastAsia="宋体" w:cs="宋体"/>
          <w:color w:val="auto"/>
          <w:sz w:val="24"/>
          <w:szCs w:val="24"/>
          <w:highlight w:val="none"/>
        </w:rPr>
        <w:t>通过验收。如因</w:t>
      </w:r>
      <w:r>
        <w:rPr>
          <w:rFonts w:hint="eastAsia" w:eastAsia="宋体" w:cs="宋体"/>
          <w:b w:val="0"/>
          <w:bCs/>
          <w:color w:val="auto"/>
          <w:sz w:val="24"/>
          <w:highlight w:val="none"/>
          <w:lang w:val="en-US" w:eastAsia="zh-CN"/>
        </w:rPr>
        <w:t>中标人</w:t>
      </w:r>
      <w:r>
        <w:rPr>
          <w:rFonts w:hint="eastAsia" w:ascii="宋体" w:hAnsi="宋体" w:eastAsia="宋体" w:cs="宋体"/>
          <w:color w:val="auto"/>
          <w:sz w:val="24"/>
          <w:szCs w:val="24"/>
          <w:highlight w:val="none"/>
        </w:rPr>
        <w:t>原因导致未能一次通过验收的，整改产生的</w:t>
      </w:r>
      <w:r>
        <w:rPr>
          <w:rFonts w:hint="eastAsia" w:eastAsia="宋体" w:cs="宋体"/>
          <w:color w:val="auto"/>
          <w:sz w:val="24"/>
          <w:szCs w:val="24"/>
          <w:highlight w:val="none"/>
          <w:lang w:eastAsia="zh-CN"/>
        </w:rPr>
        <w:t>费用及</w:t>
      </w:r>
      <w:r>
        <w:rPr>
          <w:rFonts w:hint="eastAsia" w:ascii="宋体" w:hAnsi="宋体" w:eastAsia="宋体" w:cs="宋体"/>
          <w:color w:val="auto"/>
          <w:sz w:val="24"/>
          <w:szCs w:val="24"/>
          <w:highlight w:val="none"/>
        </w:rPr>
        <w:t>工期延误</w:t>
      </w:r>
      <w:r>
        <w:rPr>
          <w:rFonts w:hint="eastAsia" w:eastAsia="宋体" w:cs="宋体"/>
          <w:color w:val="auto"/>
          <w:sz w:val="24"/>
          <w:szCs w:val="24"/>
          <w:highlight w:val="none"/>
          <w:lang w:eastAsia="zh-CN"/>
        </w:rPr>
        <w:t>等</w:t>
      </w:r>
      <w:r>
        <w:rPr>
          <w:rFonts w:hint="eastAsia" w:ascii="宋体" w:hAnsi="宋体" w:eastAsia="宋体" w:cs="宋体"/>
          <w:color w:val="auto"/>
          <w:sz w:val="24"/>
          <w:szCs w:val="24"/>
          <w:highlight w:val="none"/>
        </w:rPr>
        <w:t>责任由</w:t>
      </w:r>
      <w:r>
        <w:rPr>
          <w:rFonts w:hint="eastAsia" w:eastAsia="宋体" w:cs="宋体"/>
          <w:b w:val="0"/>
          <w:bCs/>
          <w:color w:val="auto"/>
          <w:sz w:val="24"/>
          <w:highlight w:val="none"/>
          <w:lang w:val="en-US" w:eastAsia="zh-CN"/>
        </w:rPr>
        <w:t>中标人</w:t>
      </w:r>
      <w:r>
        <w:rPr>
          <w:rFonts w:hint="eastAsia" w:ascii="宋体" w:hAnsi="宋体" w:eastAsia="宋体" w:cs="宋体"/>
          <w:color w:val="auto"/>
          <w:sz w:val="24"/>
          <w:szCs w:val="24"/>
          <w:highlight w:val="none"/>
        </w:rPr>
        <w:t>承担。</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2、整体</w:t>
      </w:r>
      <w:r>
        <w:rPr>
          <w:rFonts w:hint="eastAsia" w:cs="宋体"/>
          <w:color w:val="auto"/>
          <w:sz w:val="24"/>
          <w:szCs w:val="24"/>
          <w:highlight w:val="none"/>
          <w:lang w:eastAsia="zh-CN"/>
        </w:rPr>
        <w:t>项目</w:t>
      </w:r>
      <w:r>
        <w:rPr>
          <w:rFonts w:hint="eastAsia" w:ascii="宋体" w:hAnsi="宋体" w:eastAsia="宋体" w:cs="宋体"/>
          <w:color w:val="auto"/>
          <w:sz w:val="24"/>
          <w:szCs w:val="24"/>
          <w:highlight w:val="none"/>
        </w:rPr>
        <w:t>的</w:t>
      </w:r>
      <w:r>
        <w:rPr>
          <w:rFonts w:hint="eastAsia" w:cs="宋体"/>
          <w:color w:val="auto"/>
          <w:sz w:val="24"/>
          <w:szCs w:val="24"/>
          <w:highlight w:val="none"/>
          <w:lang w:val="en-US" w:eastAsia="zh-CN"/>
        </w:rPr>
        <w:t>安装</w:t>
      </w:r>
      <w:r>
        <w:rPr>
          <w:rFonts w:hint="eastAsia" w:ascii="宋体" w:hAnsi="宋体" w:eastAsia="宋体" w:cs="宋体"/>
          <w:color w:val="auto"/>
          <w:sz w:val="24"/>
          <w:szCs w:val="24"/>
          <w:highlight w:val="none"/>
        </w:rPr>
        <w:t>过程中，</w:t>
      </w:r>
      <w:r>
        <w:rPr>
          <w:rFonts w:hint="eastAsia" w:eastAsia="宋体" w:cs="宋体"/>
          <w:b w:val="0"/>
          <w:bCs/>
          <w:color w:val="auto"/>
          <w:sz w:val="24"/>
          <w:highlight w:val="none"/>
          <w:lang w:val="en-US" w:eastAsia="zh-CN"/>
        </w:rPr>
        <w:t>中标人</w:t>
      </w:r>
      <w:r>
        <w:rPr>
          <w:rFonts w:hint="eastAsia" w:ascii="宋体" w:hAnsi="宋体" w:eastAsia="宋体" w:cs="宋体"/>
          <w:color w:val="auto"/>
          <w:sz w:val="24"/>
          <w:szCs w:val="24"/>
          <w:highlight w:val="none"/>
        </w:rPr>
        <w:t>应委派技术人员参与检查有关设备安装部位的施工，如发现可能影响今后设备安装情况的，应及时向</w:t>
      </w:r>
      <w:r>
        <w:rPr>
          <w:rFonts w:hint="eastAsia" w:eastAsia="宋体" w:cs="宋体"/>
          <w:b w:val="0"/>
          <w:bCs/>
          <w:color w:val="auto"/>
          <w:sz w:val="24"/>
          <w:highlight w:val="none"/>
          <w:lang w:val="en-US" w:eastAsia="zh-CN"/>
        </w:rPr>
        <w:t>采购人</w:t>
      </w:r>
      <w:r>
        <w:rPr>
          <w:rFonts w:hint="eastAsia" w:ascii="宋体" w:hAnsi="宋体" w:eastAsia="宋体" w:cs="宋体"/>
          <w:color w:val="auto"/>
          <w:sz w:val="24"/>
          <w:szCs w:val="24"/>
          <w:highlight w:val="none"/>
        </w:rPr>
        <w:t>反映相关情况，以防止在实际安装时出现土建施工不符合设备安装要求</w:t>
      </w:r>
      <w:r>
        <w:rPr>
          <w:rFonts w:hint="eastAsia" w:eastAsia="宋体" w:cs="宋体"/>
          <w:color w:val="auto"/>
          <w:sz w:val="24"/>
          <w:szCs w:val="24"/>
          <w:highlight w:val="none"/>
          <w:lang w:eastAsia="zh-CN"/>
        </w:rPr>
        <w:t>的情况</w:t>
      </w:r>
      <w:r>
        <w:rPr>
          <w:rFonts w:hint="eastAsia" w:ascii="宋体" w:hAnsi="宋体" w:eastAsia="宋体" w:cs="宋体"/>
          <w:color w:val="auto"/>
          <w:sz w:val="24"/>
          <w:szCs w:val="24"/>
          <w:highlight w:val="none"/>
        </w:rPr>
        <w:t>。如</w:t>
      </w:r>
      <w:r>
        <w:rPr>
          <w:rFonts w:hint="eastAsia" w:eastAsia="宋体" w:cs="宋体"/>
          <w:b w:val="0"/>
          <w:bCs/>
          <w:color w:val="auto"/>
          <w:sz w:val="24"/>
          <w:highlight w:val="none"/>
          <w:lang w:val="en-US" w:eastAsia="zh-CN"/>
        </w:rPr>
        <w:t>中标人</w:t>
      </w:r>
      <w:r>
        <w:rPr>
          <w:rFonts w:hint="eastAsia" w:ascii="宋体" w:hAnsi="宋体" w:eastAsia="宋体" w:cs="宋体"/>
          <w:color w:val="auto"/>
          <w:sz w:val="24"/>
          <w:szCs w:val="24"/>
          <w:highlight w:val="none"/>
        </w:rPr>
        <w:t>未及时发现相应情况的，则在实际安装过程中额外发生的土建返工</w:t>
      </w:r>
      <w:r>
        <w:rPr>
          <w:rFonts w:hint="eastAsia" w:eastAsia="宋体" w:cs="宋体"/>
          <w:color w:val="auto"/>
          <w:sz w:val="24"/>
          <w:szCs w:val="24"/>
          <w:highlight w:val="none"/>
          <w:lang w:eastAsia="zh-CN"/>
        </w:rPr>
        <w:t>费用</w:t>
      </w:r>
      <w:r>
        <w:rPr>
          <w:rFonts w:hint="eastAsia" w:ascii="宋体" w:hAnsi="宋体" w:eastAsia="宋体" w:cs="宋体"/>
          <w:color w:val="auto"/>
          <w:sz w:val="24"/>
          <w:szCs w:val="24"/>
          <w:highlight w:val="none"/>
        </w:rPr>
        <w:t>和设备安装工期延误等责任均由</w:t>
      </w:r>
      <w:r>
        <w:rPr>
          <w:rFonts w:hint="eastAsia" w:eastAsia="宋体" w:cs="宋体"/>
          <w:b w:val="0"/>
          <w:bCs/>
          <w:color w:val="auto"/>
          <w:sz w:val="24"/>
          <w:highlight w:val="none"/>
          <w:lang w:val="en-US" w:eastAsia="zh-CN"/>
        </w:rPr>
        <w:t>中标人</w:t>
      </w:r>
      <w:r>
        <w:rPr>
          <w:rFonts w:hint="eastAsia" w:ascii="宋体" w:hAnsi="宋体" w:eastAsia="宋体" w:cs="宋体"/>
          <w:color w:val="auto"/>
          <w:sz w:val="24"/>
          <w:szCs w:val="24"/>
          <w:highlight w:val="none"/>
        </w:rPr>
        <w:t>承担。</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3、安装及调试工作要求如下：</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（1）具备安装条件后，</w:t>
      </w:r>
      <w:r>
        <w:rPr>
          <w:rFonts w:hint="eastAsia" w:eastAsia="宋体" w:cs="宋体"/>
          <w:b w:val="0"/>
          <w:bCs/>
          <w:color w:val="auto"/>
          <w:sz w:val="24"/>
          <w:highlight w:val="none"/>
          <w:lang w:val="en-US" w:eastAsia="zh-CN"/>
        </w:rPr>
        <w:t>中标人</w:t>
      </w:r>
      <w:r>
        <w:rPr>
          <w:rFonts w:hint="eastAsia" w:ascii="宋体" w:hAnsi="宋体" w:eastAsia="宋体" w:cs="宋体"/>
          <w:color w:val="auto"/>
          <w:sz w:val="24"/>
          <w:szCs w:val="24"/>
          <w:highlight w:val="none"/>
        </w:rPr>
        <w:t>须派有丰富安装经验的人员进场安装，直至</w:t>
      </w:r>
      <w:r>
        <w:rPr>
          <w:rFonts w:hint="eastAsia" w:eastAsia="宋体" w:cs="宋体"/>
          <w:color w:val="auto"/>
          <w:sz w:val="24"/>
          <w:szCs w:val="24"/>
          <w:highlight w:val="none"/>
          <w:lang w:eastAsia="zh-CN"/>
        </w:rPr>
        <w:t>经验收合格</w:t>
      </w:r>
      <w:r>
        <w:rPr>
          <w:rFonts w:hint="eastAsia" w:ascii="宋体" w:hAnsi="宋体" w:eastAsia="宋体" w:cs="宋体"/>
          <w:color w:val="auto"/>
          <w:sz w:val="24"/>
          <w:szCs w:val="24"/>
          <w:highlight w:val="none"/>
        </w:rPr>
        <w:t>。设备安装应包括但不仅限于以下内容：</w:t>
      </w:r>
    </w:p>
    <w:p>
      <w:pPr>
        <w:keepNext w:val="0"/>
        <w:keepLines w:val="0"/>
        <w:pageBreakBefore w:val="0"/>
        <w:widowControl w:val="0"/>
        <w:numPr>
          <w:ilvl w:val="0"/>
          <w:numId w:val="53"/>
        </w:numPr>
        <w:kinsoku/>
        <w:wordWrap/>
        <w:overflowPunct/>
        <w:topLinePunct w:val="0"/>
        <w:autoSpaceDE/>
        <w:autoSpaceDN/>
        <w:bidi w:val="0"/>
        <w:adjustRightInd/>
        <w:snapToGrid w:val="0"/>
        <w:spacing w:line="360" w:lineRule="auto"/>
        <w:ind w:left="425"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参与设备开箱，并放置于正确位置；</w:t>
      </w:r>
    </w:p>
    <w:p>
      <w:pPr>
        <w:keepNext w:val="0"/>
        <w:keepLines w:val="0"/>
        <w:pageBreakBefore w:val="0"/>
        <w:widowControl w:val="0"/>
        <w:numPr>
          <w:ilvl w:val="0"/>
          <w:numId w:val="53"/>
        </w:numPr>
        <w:kinsoku/>
        <w:wordWrap/>
        <w:overflowPunct/>
        <w:topLinePunct w:val="0"/>
        <w:autoSpaceDE/>
        <w:autoSpaceDN/>
        <w:bidi w:val="0"/>
        <w:adjustRightInd/>
        <w:snapToGrid w:val="0"/>
        <w:spacing w:line="360" w:lineRule="auto"/>
        <w:ind w:left="425"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设备安装；</w:t>
      </w:r>
    </w:p>
    <w:p>
      <w:pPr>
        <w:keepNext w:val="0"/>
        <w:keepLines w:val="0"/>
        <w:pageBreakBefore w:val="0"/>
        <w:widowControl w:val="0"/>
        <w:numPr>
          <w:ilvl w:val="0"/>
          <w:numId w:val="53"/>
        </w:numPr>
        <w:kinsoku/>
        <w:wordWrap/>
        <w:overflowPunct/>
        <w:topLinePunct w:val="0"/>
        <w:autoSpaceDE/>
        <w:autoSpaceDN/>
        <w:bidi w:val="0"/>
        <w:adjustRightInd/>
        <w:snapToGrid w:val="0"/>
        <w:spacing w:line="360" w:lineRule="auto"/>
        <w:ind w:left="425"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调试和试运行；</w:t>
      </w:r>
    </w:p>
    <w:p>
      <w:pPr>
        <w:keepNext w:val="0"/>
        <w:keepLines w:val="0"/>
        <w:pageBreakBefore w:val="0"/>
        <w:widowControl w:val="0"/>
        <w:numPr>
          <w:ilvl w:val="0"/>
          <w:numId w:val="53"/>
        </w:numPr>
        <w:kinsoku/>
        <w:wordWrap/>
        <w:overflowPunct/>
        <w:topLinePunct w:val="0"/>
        <w:autoSpaceDE/>
        <w:autoSpaceDN/>
        <w:bidi w:val="0"/>
        <w:adjustRightInd/>
        <w:snapToGrid w:val="0"/>
        <w:spacing w:line="360" w:lineRule="auto"/>
        <w:ind w:left="425"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提供特殊和专用工具；</w:t>
      </w:r>
    </w:p>
    <w:p>
      <w:pPr>
        <w:keepNext w:val="0"/>
        <w:keepLines w:val="0"/>
        <w:pageBreakBefore w:val="0"/>
        <w:widowControl w:val="0"/>
        <w:numPr>
          <w:ilvl w:val="0"/>
          <w:numId w:val="53"/>
        </w:numPr>
        <w:kinsoku/>
        <w:wordWrap/>
        <w:overflowPunct/>
        <w:topLinePunct w:val="0"/>
        <w:autoSpaceDE/>
        <w:autoSpaceDN/>
        <w:bidi w:val="0"/>
        <w:adjustRightInd/>
        <w:snapToGrid w:val="0"/>
        <w:spacing w:line="360" w:lineRule="auto"/>
        <w:ind w:left="425"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提供设备维护方法及紧急修理措施；</w:t>
      </w:r>
    </w:p>
    <w:p>
      <w:pPr>
        <w:keepNext w:val="0"/>
        <w:keepLines w:val="0"/>
        <w:pageBreakBefore w:val="0"/>
        <w:widowControl w:val="0"/>
        <w:numPr>
          <w:ilvl w:val="0"/>
          <w:numId w:val="53"/>
        </w:numPr>
        <w:kinsoku/>
        <w:wordWrap/>
        <w:overflowPunct/>
        <w:topLinePunct w:val="0"/>
        <w:autoSpaceDE/>
        <w:autoSpaceDN/>
        <w:bidi w:val="0"/>
        <w:adjustRightInd/>
        <w:snapToGrid w:val="0"/>
        <w:spacing w:line="360" w:lineRule="auto"/>
        <w:ind w:left="425"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安装时与其它供应商协作。</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（2）安装工作由</w:t>
      </w:r>
      <w:r>
        <w:rPr>
          <w:rFonts w:hint="eastAsia" w:eastAsia="宋体" w:cs="宋体"/>
          <w:b w:val="0"/>
          <w:bCs/>
          <w:color w:val="auto"/>
          <w:sz w:val="24"/>
          <w:highlight w:val="none"/>
          <w:lang w:val="en-US" w:eastAsia="zh-CN"/>
        </w:rPr>
        <w:t>中标人</w:t>
      </w:r>
      <w:r>
        <w:rPr>
          <w:rFonts w:hint="eastAsia" w:ascii="宋体" w:hAnsi="宋体" w:eastAsia="宋体" w:cs="宋体"/>
          <w:color w:val="auto"/>
          <w:sz w:val="24"/>
          <w:szCs w:val="24"/>
          <w:highlight w:val="none"/>
        </w:rPr>
        <w:t>负责。在设备安装之前，</w:t>
      </w:r>
      <w:r>
        <w:rPr>
          <w:rFonts w:hint="eastAsia" w:eastAsia="宋体" w:cs="宋体"/>
          <w:b w:val="0"/>
          <w:bCs/>
          <w:color w:val="auto"/>
          <w:sz w:val="24"/>
          <w:highlight w:val="none"/>
          <w:lang w:val="en-US" w:eastAsia="zh-CN"/>
        </w:rPr>
        <w:t>中标人</w:t>
      </w:r>
      <w:r>
        <w:rPr>
          <w:rFonts w:hint="eastAsia" w:ascii="宋体" w:hAnsi="宋体" w:eastAsia="宋体" w:cs="宋体"/>
          <w:color w:val="auto"/>
          <w:sz w:val="24"/>
          <w:szCs w:val="24"/>
          <w:highlight w:val="none"/>
        </w:rPr>
        <w:t>应对设备就位处的土建、结构基础进行检查。由于</w:t>
      </w:r>
      <w:r>
        <w:rPr>
          <w:rFonts w:hint="eastAsia" w:eastAsia="宋体" w:cs="宋体"/>
          <w:b w:val="0"/>
          <w:bCs/>
          <w:color w:val="auto"/>
          <w:sz w:val="24"/>
          <w:highlight w:val="none"/>
          <w:lang w:val="en-US" w:eastAsia="zh-CN"/>
        </w:rPr>
        <w:t>中标人</w:t>
      </w:r>
      <w:r>
        <w:rPr>
          <w:rFonts w:hint="eastAsia" w:ascii="宋体" w:hAnsi="宋体" w:eastAsia="宋体" w:cs="宋体"/>
          <w:color w:val="auto"/>
          <w:sz w:val="24"/>
          <w:szCs w:val="24"/>
          <w:highlight w:val="none"/>
        </w:rPr>
        <w:t>设备</w:t>
      </w:r>
      <w:r>
        <w:rPr>
          <w:rFonts w:hint="eastAsia" w:eastAsia="宋体" w:cs="宋体"/>
          <w:color w:val="auto"/>
          <w:sz w:val="24"/>
          <w:szCs w:val="24"/>
          <w:highlight w:val="none"/>
          <w:lang w:eastAsia="zh-CN"/>
        </w:rPr>
        <w:t>的原因造成安装位置和条件</w:t>
      </w:r>
      <w:r>
        <w:rPr>
          <w:rFonts w:hint="eastAsia" w:ascii="宋体" w:hAnsi="宋体" w:eastAsia="宋体" w:cs="宋体"/>
          <w:color w:val="auto"/>
          <w:sz w:val="24"/>
          <w:szCs w:val="24"/>
          <w:highlight w:val="none"/>
        </w:rPr>
        <w:t>变动而引起的费用由</w:t>
      </w:r>
      <w:r>
        <w:rPr>
          <w:rFonts w:hint="eastAsia" w:eastAsia="宋体" w:cs="宋体"/>
          <w:b w:val="0"/>
          <w:bCs/>
          <w:color w:val="auto"/>
          <w:sz w:val="24"/>
          <w:highlight w:val="none"/>
          <w:lang w:val="en-US" w:eastAsia="zh-CN"/>
        </w:rPr>
        <w:t>中标人</w:t>
      </w:r>
      <w:r>
        <w:rPr>
          <w:rFonts w:hint="eastAsia" w:ascii="宋体" w:hAnsi="宋体" w:eastAsia="宋体" w:cs="宋体"/>
          <w:color w:val="auto"/>
          <w:sz w:val="24"/>
          <w:szCs w:val="24"/>
          <w:highlight w:val="none"/>
        </w:rPr>
        <w:t>承担。在整个安装过程中，</w:t>
      </w:r>
      <w:r>
        <w:rPr>
          <w:rFonts w:hint="eastAsia" w:eastAsia="宋体" w:cs="宋体"/>
          <w:b w:val="0"/>
          <w:bCs/>
          <w:color w:val="auto"/>
          <w:sz w:val="24"/>
          <w:highlight w:val="none"/>
          <w:lang w:val="en-US" w:eastAsia="zh-CN"/>
        </w:rPr>
        <w:t>中标人</w:t>
      </w:r>
      <w:r>
        <w:rPr>
          <w:rFonts w:hint="eastAsia" w:ascii="宋体" w:hAnsi="宋体" w:eastAsia="宋体" w:cs="宋体"/>
          <w:color w:val="auto"/>
          <w:sz w:val="24"/>
          <w:szCs w:val="24"/>
          <w:highlight w:val="none"/>
        </w:rPr>
        <w:t>应</w:t>
      </w:r>
      <w:r>
        <w:rPr>
          <w:rFonts w:hint="eastAsia" w:eastAsia="宋体" w:cs="宋体"/>
          <w:color w:val="auto"/>
          <w:sz w:val="24"/>
          <w:szCs w:val="24"/>
          <w:highlight w:val="none"/>
          <w:lang w:eastAsia="zh-CN"/>
        </w:rPr>
        <w:t>委派</w:t>
      </w:r>
      <w:r>
        <w:rPr>
          <w:rFonts w:hint="eastAsia" w:ascii="宋体" w:hAnsi="宋体" w:eastAsia="宋体" w:cs="宋体"/>
          <w:color w:val="auto"/>
          <w:sz w:val="24"/>
          <w:szCs w:val="24"/>
          <w:highlight w:val="none"/>
        </w:rPr>
        <w:t>从事同类工作有五年以上实践经验的工程技术人员对设备的正确位置及系统之间的连接在现场指导服务。</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（3）在</w:t>
      </w:r>
      <w:r>
        <w:rPr>
          <w:rFonts w:hint="eastAsia" w:eastAsia="宋体" w:cs="宋体"/>
          <w:color w:val="auto"/>
          <w:sz w:val="24"/>
          <w:szCs w:val="24"/>
          <w:highlight w:val="none"/>
          <w:lang w:eastAsia="zh-CN"/>
        </w:rPr>
        <w:t>设备就位</w:t>
      </w:r>
      <w:r>
        <w:rPr>
          <w:rFonts w:hint="eastAsia" w:ascii="宋体" w:hAnsi="宋体" w:eastAsia="宋体" w:cs="宋体"/>
          <w:color w:val="auto"/>
          <w:sz w:val="24"/>
          <w:szCs w:val="24"/>
          <w:highlight w:val="none"/>
        </w:rPr>
        <w:t>前，</w:t>
      </w:r>
      <w:r>
        <w:rPr>
          <w:rFonts w:hint="eastAsia" w:eastAsia="宋体" w:cs="宋体"/>
          <w:b w:val="0"/>
          <w:bCs/>
          <w:color w:val="auto"/>
          <w:sz w:val="24"/>
          <w:highlight w:val="none"/>
          <w:lang w:val="en-US" w:eastAsia="zh-CN"/>
        </w:rPr>
        <w:t>中标人</w:t>
      </w:r>
      <w:r>
        <w:rPr>
          <w:rFonts w:hint="eastAsia" w:ascii="宋体" w:hAnsi="宋体" w:eastAsia="宋体" w:cs="宋体"/>
          <w:color w:val="auto"/>
          <w:sz w:val="24"/>
          <w:szCs w:val="24"/>
          <w:highlight w:val="none"/>
        </w:rPr>
        <w:t>工程师应与</w:t>
      </w:r>
      <w:r>
        <w:rPr>
          <w:rFonts w:hint="eastAsia" w:eastAsia="宋体" w:cs="宋体"/>
          <w:b w:val="0"/>
          <w:bCs/>
          <w:color w:val="auto"/>
          <w:sz w:val="24"/>
          <w:highlight w:val="none"/>
          <w:lang w:val="en-US" w:eastAsia="zh-CN"/>
        </w:rPr>
        <w:t>采购人</w:t>
      </w:r>
      <w:r>
        <w:rPr>
          <w:rFonts w:hint="eastAsia" w:ascii="宋体" w:hAnsi="宋体" w:eastAsia="宋体" w:cs="宋体"/>
          <w:color w:val="auto"/>
          <w:sz w:val="24"/>
          <w:szCs w:val="24"/>
          <w:highlight w:val="none"/>
        </w:rPr>
        <w:t>一起在现场开箱检查已</w:t>
      </w:r>
      <w:r>
        <w:rPr>
          <w:rFonts w:hint="eastAsia" w:eastAsia="宋体" w:cs="宋体"/>
          <w:color w:val="auto"/>
          <w:sz w:val="24"/>
          <w:szCs w:val="24"/>
          <w:highlight w:val="none"/>
          <w:lang w:eastAsia="zh-CN"/>
        </w:rPr>
        <w:t>进场</w:t>
      </w:r>
      <w:r>
        <w:rPr>
          <w:rFonts w:hint="eastAsia" w:ascii="宋体" w:hAnsi="宋体" w:eastAsia="宋体" w:cs="宋体"/>
          <w:color w:val="auto"/>
          <w:sz w:val="24"/>
          <w:szCs w:val="24"/>
          <w:highlight w:val="none"/>
        </w:rPr>
        <w:t>的设备，确认设备的完好程度及运输</w:t>
      </w:r>
      <w:r>
        <w:rPr>
          <w:rFonts w:hint="eastAsia" w:eastAsia="宋体" w:cs="宋体"/>
          <w:color w:val="auto"/>
          <w:sz w:val="24"/>
          <w:szCs w:val="24"/>
          <w:highlight w:val="none"/>
          <w:lang w:eastAsia="zh-CN"/>
        </w:rPr>
        <w:t>、仓储</w:t>
      </w:r>
      <w:r>
        <w:rPr>
          <w:rFonts w:hint="eastAsia" w:ascii="宋体" w:hAnsi="宋体" w:eastAsia="宋体" w:cs="宋体"/>
          <w:color w:val="auto"/>
          <w:sz w:val="24"/>
          <w:szCs w:val="24"/>
          <w:highlight w:val="none"/>
        </w:rPr>
        <w:t>中有无损坏，一旦发现任何缺陷，</w:t>
      </w:r>
      <w:r>
        <w:rPr>
          <w:rFonts w:hint="eastAsia" w:eastAsia="宋体" w:cs="宋体"/>
          <w:b w:val="0"/>
          <w:bCs/>
          <w:color w:val="auto"/>
          <w:sz w:val="24"/>
          <w:highlight w:val="none"/>
          <w:lang w:val="en-US" w:eastAsia="zh-CN"/>
        </w:rPr>
        <w:t>中标人</w:t>
      </w:r>
      <w:r>
        <w:rPr>
          <w:rFonts w:hint="eastAsia" w:ascii="宋体" w:hAnsi="宋体" w:eastAsia="宋体" w:cs="宋体"/>
          <w:color w:val="auto"/>
          <w:sz w:val="24"/>
          <w:szCs w:val="24"/>
          <w:highlight w:val="none"/>
        </w:rPr>
        <w:t>应立即修理、补充</w:t>
      </w:r>
      <w:r>
        <w:rPr>
          <w:rFonts w:hint="eastAsia" w:eastAsia="宋体" w:cs="宋体"/>
          <w:color w:val="auto"/>
          <w:sz w:val="24"/>
          <w:szCs w:val="24"/>
          <w:highlight w:val="none"/>
          <w:lang w:eastAsia="zh-CN"/>
        </w:rPr>
        <w:t>或</w:t>
      </w:r>
      <w:r>
        <w:rPr>
          <w:rFonts w:hint="eastAsia" w:ascii="宋体" w:hAnsi="宋体" w:eastAsia="宋体" w:cs="宋体"/>
          <w:color w:val="auto"/>
          <w:sz w:val="24"/>
          <w:szCs w:val="24"/>
          <w:highlight w:val="none"/>
        </w:rPr>
        <w:t>更换。</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eastAsia="宋体" w:cs="宋体"/>
          <w:b w:val="0"/>
          <w:bCs/>
          <w:color w:val="auto"/>
          <w:sz w:val="24"/>
          <w:highlight w:val="none"/>
          <w:lang w:val="en-US" w:eastAsia="zh-CN"/>
        </w:rPr>
        <w:t>中标人</w:t>
      </w:r>
      <w:r>
        <w:rPr>
          <w:rFonts w:hint="eastAsia" w:ascii="宋体" w:hAnsi="宋体" w:eastAsia="宋体" w:cs="宋体"/>
          <w:color w:val="auto"/>
          <w:sz w:val="24"/>
          <w:szCs w:val="24"/>
          <w:highlight w:val="none"/>
        </w:rPr>
        <w:t>应在就位、安装前提出就位注意要点，并负责就位及安装全过程。由于</w:t>
      </w:r>
      <w:r>
        <w:rPr>
          <w:rFonts w:hint="eastAsia" w:eastAsia="宋体" w:cs="宋体"/>
          <w:b w:val="0"/>
          <w:bCs/>
          <w:color w:val="auto"/>
          <w:sz w:val="24"/>
          <w:highlight w:val="none"/>
          <w:lang w:val="en-US" w:eastAsia="zh-CN"/>
        </w:rPr>
        <w:t>中标人</w:t>
      </w:r>
      <w:r>
        <w:rPr>
          <w:rFonts w:hint="eastAsia" w:ascii="宋体" w:hAnsi="宋体" w:eastAsia="宋体" w:cs="宋体"/>
          <w:color w:val="auto"/>
          <w:sz w:val="24"/>
          <w:szCs w:val="24"/>
          <w:highlight w:val="none"/>
        </w:rPr>
        <w:t>安装</w:t>
      </w:r>
      <w:r>
        <w:rPr>
          <w:rFonts w:hint="eastAsia" w:eastAsia="宋体" w:cs="宋体"/>
          <w:color w:val="auto"/>
          <w:sz w:val="24"/>
          <w:szCs w:val="24"/>
          <w:highlight w:val="none"/>
          <w:lang w:eastAsia="zh-CN"/>
        </w:rPr>
        <w:t>过程中的</w:t>
      </w:r>
      <w:r>
        <w:rPr>
          <w:rFonts w:hint="eastAsia" w:ascii="宋体" w:hAnsi="宋体" w:eastAsia="宋体" w:cs="宋体"/>
          <w:color w:val="auto"/>
          <w:sz w:val="24"/>
          <w:szCs w:val="24"/>
          <w:highlight w:val="none"/>
        </w:rPr>
        <w:t>失误引起的损失，</w:t>
      </w:r>
      <w:r>
        <w:rPr>
          <w:rFonts w:hint="eastAsia" w:eastAsia="宋体" w:cs="宋体"/>
          <w:b w:val="0"/>
          <w:bCs/>
          <w:color w:val="auto"/>
          <w:sz w:val="24"/>
          <w:highlight w:val="none"/>
          <w:lang w:val="en-US" w:eastAsia="zh-CN"/>
        </w:rPr>
        <w:t>中标人</w:t>
      </w:r>
      <w:r>
        <w:rPr>
          <w:rFonts w:hint="eastAsia" w:ascii="宋体" w:hAnsi="宋体" w:eastAsia="宋体" w:cs="宋体"/>
          <w:color w:val="auto"/>
          <w:sz w:val="24"/>
          <w:szCs w:val="24"/>
          <w:highlight w:val="none"/>
        </w:rPr>
        <w:t>承担全部责任和费用。</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r>
        <w:rPr>
          <w:rFonts w:hint="eastAsia" w:eastAsia="宋体" w:cs="宋体"/>
          <w:b w:val="0"/>
          <w:bCs/>
          <w:color w:val="auto"/>
          <w:sz w:val="24"/>
          <w:highlight w:val="none"/>
          <w:lang w:val="en-US" w:eastAsia="zh-CN"/>
        </w:rPr>
        <w:t>中标人</w:t>
      </w:r>
      <w:r>
        <w:rPr>
          <w:rFonts w:hint="eastAsia" w:ascii="宋体" w:hAnsi="宋体" w:eastAsia="宋体" w:cs="宋体"/>
          <w:color w:val="auto"/>
          <w:sz w:val="24"/>
          <w:szCs w:val="24"/>
          <w:highlight w:val="none"/>
        </w:rPr>
        <w:t>应承担安装过程中的自身所有的费用。</w:t>
      </w:r>
    </w:p>
    <w:p>
      <w:pPr>
        <w:snapToGrid w:val="0"/>
        <w:spacing w:line="360" w:lineRule="auto"/>
        <w:rPr>
          <w:rFonts w:hint="eastAsia" w:ascii="宋体" w:hAnsi="宋体" w:eastAsia="宋体" w:cs="宋体"/>
          <w:color w:val="auto"/>
          <w:sz w:val="24"/>
          <w:szCs w:val="24"/>
          <w:highlight w:val="none"/>
        </w:rPr>
      </w:pPr>
    </w:p>
    <w:p>
      <w:pPr>
        <w:pStyle w:val="3"/>
        <w:spacing w:line="360" w:lineRule="auto"/>
        <w:jc w:val="both"/>
        <w:rPr>
          <w:rFonts w:hint="eastAsia" w:ascii="宋体" w:hAnsi="宋体" w:eastAsia="宋体" w:cs="宋体"/>
          <w:color w:val="auto"/>
          <w:sz w:val="28"/>
          <w:szCs w:val="28"/>
          <w:highlight w:val="none"/>
        </w:rPr>
      </w:pPr>
      <w:bookmarkStart w:id="456" w:name="_Toc43050421"/>
      <w:bookmarkStart w:id="457" w:name="_Toc3166"/>
      <w:bookmarkStart w:id="458" w:name="_Toc15252"/>
      <w:r>
        <w:rPr>
          <w:rFonts w:hint="eastAsia" w:cs="宋体"/>
          <w:color w:val="auto"/>
          <w:sz w:val="28"/>
          <w:szCs w:val="28"/>
          <w:highlight w:val="none"/>
          <w:lang w:val="en-US" w:eastAsia="zh-CN"/>
        </w:rPr>
        <w:t>五</w:t>
      </w:r>
      <w:r>
        <w:rPr>
          <w:rFonts w:hint="eastAsia" w:eastAsia="宋体" w:cs="宋体"/>
          <w:color w:val="auto"/>
          <w:sz w:val="28"/>
          <w:szCs w:val="28"/>
          <w:highlight w:val="none"/>
          <w:lang w:eastAsia="zh-CN"/>
        </w:rPr>
        <w:t>、</w:t>
      </w:r>
      <w:r>
        <w:rPr>
          <w:rFonts w:hint="eastAsia" w:ascii="宋体" w:hAnsi="宋体" w:eastAsia="宋体" w:cs="宋体"/>
          <w:color w:val="auto"/>
          <w:sz w:val="28"/>
          <w:szCs w:val="28"/>
          <w:highlight w:val="none"/>
        </w:rPr>
        <w:t>培训</w:t>
      </w:r>
      <w:bookmarkEnd w:id="456"/>
      <w:bookmarkEnd w:id="457"/>
      <w:bookmarkEnd w:id="458"/>
    </w:p>
    <w:p>
      <w:pPr>
        <w:tabs>
          <w:tab w:val="left" w:pos="0"/>
        </w:tabs>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1、培训内容：</w:t>
      </w:r>
    </w:p>
    <w:p>
      <w:pPr>
        <w:tabs>
          <w:tab w:val="left" w:pos="0"/>
        </w:tabs>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1.1技术人员管理、安装培训；</w:t>
      </w:r>
    </w:p>
    <w:p>
      <w:pPr>
        <w:tabs>
          <w:tab w:val="left" w:pos="0"/>
        </w:tabs>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1.2维修人员维护、保养培训。</w:t>
      </w:r>
    </w:p>
    <w:p>
      <w:pPr>
        <w:tabs>
          <w:tab w:val="left" w:pos="0"/>
        </w:tabs>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2、技术人员管理、安装培训：中标人应为</w:t>
      </w:r>
      <w:r>
        <w:rPr>
          <w:rFonts w:hint="eastAsia" w:eastAsia="宋体" w:cs="宋体"/>
          <w:color w:val="auto"/>
          <w:sz w:val="24"/>
          <w:szCs w:val="24"/>
          <w:highlight w:val="none"/>
          <w:lang w:val="en-US" w:eastAsia="zh-CN"/>
        </w:rPr>
        <w:t>采购人</w:t>
      </w:r>
      <w:r>
        <w:rPr>
          <w:rFonts w:hint="eastAsia" w:ascii="宋体" w:hAnsi="宋体" w:eastAsia="宋体" w:cs="宋体"/>
          <w:color w:val="auto"/>
          <w:sz w:val="24"/>
          <w:szCs w:val="24"/>
          <w:highlight w:val="none"/>
        </w:rPr>
        <w:t>受训人员（5名）提供培训，培训前应提供中文操作手册，经过培训，使受训人员能够了解设备结构、工作原理、工作性能，主要掌握设备</w:t>
      </w:r>
      <w:r>
        <w:rPr>
          <w:rFonts w:hint="eastAsia" w:eastAsia="宋体" w:cs="宋体"/>
          <w:color w:val="auto"/>
          <w:sz w:val="24"/>
          <w:szCs w:val="24"/>
          <w:highlight w:val="none"/>
          <w:lang w:eastAsia="zh-CN"/>
        </w:rPr>
        <w:t>操作、管理和安装</w:t>
      </w:r>
      <w:r>
        <w:rPr>
          <w:rFonts w:hint="eastAsia" w:ascii="宋体" w:hAnsi="宋体" w:eastAsia="宋体" w:cs="宋体"/>
          <w:color w:val="auto"/>
          <w:sz w:val="24"/>
          <w:szCs w:val="24"/>
          <w:highlight w:val="none"/>
        </w:rPr>
        <w:t>的相关技术。</w:t>
      </w:r>
    </w:p>
    <w:p>
      <w:pPr>
        <w:tabs>
          <w:tab w:val="left" w:pos="0"/>
        </w:tabs>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3、维修人员维护、保养培训：中标人应为</w:t>
      </w:r>
      <w:r>
        <w:rPr>
          <w:rFonts w:hint="eastAsia" w:eastAsia="宋体" w:cs="宋体"/>
          <w:color w:val="auto"/>
          <w:sz w:val="24"/>
          <w:szCs w:val="24"/>
          <w:highlight w:val="none"/>
          <w:lang w:val="en-US" w:eastAsia="zh-CN"/>
        </w:rPr>
        <w:t>采购人</w:t>
      </w:r>
      <w:r>
        <w:rPr>
          <w:rFonts w:hint="eastAsia" w:ascii="宋体" w:hAnsi="宋体" w:eastAsia="宋体" w:cs="宋体"/>
          <w:color w:val="auto"/>
          <w:sz w:val="24"/>
          <w:szCs w:val="24"/>
          <w:highlight w:val="none"/>
        </w:rPr>
        <w:t>受训人员（5名）提供培训，进行实际操作培训、一般故障排除培训和一般维护维修培训。现场培训一切费用由中标人负责。</w:t>
      </w:r>
    </w:p>
    <w:p>
      <w:pPr>
        <w:tabs>
          <w:tab w:val="left" w:pos="0"/>
        </w:tabs>
        <w:spacing w:line="360" w:lineRule="auto"/>
        <w:rPr>
          <w:rFonts w:hint="eastAsia" w:ascii="宋体" w:hAnsi="宋体" w:eastAsia="宋体" w:cs="宋体"/>
          <w:color w:val="auto"/>
          <w:sz w:val="28"/>
          <w:szCs w:val="28"/>
          <w:highlight w:val="none"/>
        </w:rPr>
      </w:pPr>
    </w:p>
    <w:p>
      <w:pPr>
        <w:pStyle w:val="3"/>
        <w:spacing w:line="360" w:lineRule="auto"/>
        <w:jc w:val="both"/>
        <w:rPr>
          <w:rFonts w:hint="eastAsia" w:ascii="宋体" w:hAnsi="宋体" w:eastAsia="宋体" w:cs="宋体"/>
          <w:color w:val="auto"/>
          <w:sz w:val="28"/>
          <w:szCs w:val="28"/>
          <w:highlight w:val="none"/>
        </w:rPr>
      </w:pPr>
      <w:bookmarkStart w:id="459" w:name="_Toc303"/>
      <w:bookmarkStart w:id="460" w:name="_Toc43050422"/>
      <w:bookmarkStart w:id="461" w:name="_Toc26677"/>
      <w:r>
        <w:rPr>
          <w:rFonts w:hint="eastAsia" w:cs="宋体"/>
          <w:color w:val="auto"/>
          <w:sz w:val="28"/>
          <w:szCs w:val="28"/>
          <w:highlight w:val="none"/>
          <w:lang w:val="en-US" w:eastAsia="zh-CN"/>
        </w:rPr>
        <w:t>六</w:t>
      </w:r>
      <w:r>
        <w:rPr>
          <w:rFonts w:hint="eastAsia" w:eastAsia="宋体" w:cs="宋体"/>
          <w:color w:val="auto"/>
          <w:sz w:val="28"/>
          <w:szCs w:val="28"/>
          <w:highlight w:val="none"/>
          <w:lang w:eastAsia="zh-CN"/>
        </w:rPr>
        <w:t>、</w:t>
      </w:r>
      <w:r>
        <w:rPr>
          <w:rFonts w:hint="eastAsia" w:ascii="宋体" w:hAnsi="宋体" w:eastAsia="宋体" w:cs="宋体"/>
          <w:color w:val="auto"/>
          <w:sz w:val="28"/>
          <w:szCs w:val="28"/>
          <w:highlight w:val="none"/>
        </w:rPr>
        <w:t>质量保证</w:t>
      </w:r>
      <w:bookmarkEnd w:id="459"/>
      <w:bookmarkEnd w:id="460"/>
      <w:bookmarkEnd w:id="461"/>
    </w:p>
    <w:p>
      <w:pPr>
        <w:tabs>
          <w:tab w:val="left" w:pos="0"/>
        </w:tabs>
        <w:spacing w:line="360" w:lineRule="auto"/>
        <w:ind w:firstLine="480" w:firstLineChars="200"/>
        <w:rPr>
          <w:rFonts w:hint="eastAsia" w:ascii="宋体" w:hAnsi="宋体" w:eastAsia="宋体" w:cs="宋体"/>
          <w:color w:val="auto"/>
          <w:sz w:val="24"/>
          <w:szCs w:val="24"/>
          <w:highlight w:val="none"/>
          <w:lang w:eastAsia="zh-CN"/>
        </w:rPr>
      </w:pPr>
      <w:r>
        <w:rPr>
          <w:rFonts w:hint="eastAsia" w:eastAsia="宋体" w:cs="宋体"/>
          <w:color w:val="auto"/>
          <w:sz w:val="24"/>
          <w:szCs w:val="24"/>
          <w:highlight w:val="none"/>
          <w:lang w:eastAsia="zh-CN"/>
        </w:rPr>
        <w:t>供应商的产品质量和施工安装质量等须满足或优于招标文件及国家有关标准规范的要求，并有助于总体建设项目达到</w:t>
      </w:r>
      <w:r>
        <w:rPr>
          <w:rFonts w:hint="eastAsia" w:eastAsia="宋体" w:cs="宋体"/>
          <w:b/>
          <w:bCs/>
          <w:color w:val="auto"/>
          <w:sz w:val="24"/>
          <w:szCs w:val="24"/>
          <w:highlight w:val="none"/>
          <w:lang w:eastAsia="zh-CN"/>
        </w:rPr>
        <w:t>符合国家施工质量验收规范合格标准，确保“钱江杯”，争创“鲁班奖”</w:t>
      </w:r>
      <w:r>
        <w:rPr>
          <w:rFonts w:hint="eastAsia" w:eastAsia="宋体" w:cs="宋体"/>
          <w:color w:val="auto"/>
          <w:sz w:val="24"/>
          <w:szCs w:val="24"/>
          <w:highlight w:val="none"/>
          <w:lang w:eastAsia="zh-CN"/>
        </w:rPr>
        <w:t>的总体质量要求。</w:t>
      </w:r>
    </w:p>
    <w:p>
      <w:pPr>
        <w:tabs>
          <w:tab w:val="left" w:pos="0"/>
        </w:tabs>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和项目监理有权对送达工地的所有设备随机抽检。若发现中标人以伪劣产品充抵采购人确认的设备和材料，采购人可要求中标人重新采购；伪劣产品已被安装的，采购人有权要求中标人拆除返工；经抽验为伪劣产品而发生的设备、材料损失，均由中标人承担全额责任。</w:t>
      </w:r>
      <w:bookmarkStart w:id="462" w:name="_Toc3041_WPSOffice_Level2"/>
      <w:bookmarkStart w:id="463" w:name="_Toc26846_WPSOffice_Level2"/>
      <w:bookmarkStart w:id="464" w:name="_Toc14970845"/>
      <w:bookmarkStart w:id="465" w:name="_Toc25187_WPSOffice_Level2"/>
      <w:bookmarkStart w:id="466" w:name="_Toc24042"/>
      <w:bookmarkStart w:id="467" w:name="_Toc17338"/>
      <w:bookmarkStart w:id="468" w:name="_Toc34768189"/>
      <w:bookmarkStart w:id="469" w:name="_Toc23204_WPSOffice_Level2"/>
      <w:bookmarkStart w:id="470" w:name="_Toc444081230"/>
      <w:bookmarkStart w:id="471" w:name="_Toc16911"/>
    </w:p>
    <w:bookmarkEnd w:id="462"/>
    <w:bookmarkEnd w:id="463"/>
    <w:bookmarkEnd w:id="464"/>
    <w:bookmarkEnd w:id="465"/>
    <w:bookmarkEnd w:id="466"/>
    <w:bookmarkEnd w:id="467"/>
    <w:bookmarkEnd w:id="468"/>
    <w:bookmarkEnd w:id="469"/>
    <w:bookmarkEnd w:id="470"/>
    <w:bookmarkEnd w:id="471"/>
    <w:p>
      <w:pPr>
        <w:bidi w:val="0"/>
        <w:rPr>
          <w:rFonts w:hint="eastAsia" w:ascii="宋体" w:hAnsi="宋体" w:eastAsia="宋体" w:cs="宋体"/>
          <w:color w:val="auto"/>
          <w:highlight w:val="none"/>
        </w:rPr>
      </w:pPr>
    </w:p>
    <w:p>
      <w:pPr>
        <w:pStyle w:val="3"/>
        <w:spacing w:line="360" w:lineRule="auto"/>
        <w:jc w:val="both"/>
        <w:rPr>
          <w:rFonts w:hint="eastAsia" w:ascii="宋体" w:hAnsi="宋体" w:eastAsia="宋体" w:cs="宋体"/>
          <w:color w:val="auto"/>
          <w:sz w:val="28"/>
          <w:szCs w:val="28"/>
          <w:highlight w:val="none"/>
        </w:rPr>
      </w:pPr>
      <w:bookmarkStart w:id="472" w:name="_Toc34768190"/>
      <w:bookmarkStart w:id="473" w:name="_Toc18433"/>
      <w:bookmarkStart w:id="474" w:name="_Toc4582"/>
      <w:bookmarkStart w:id="475" w:name="_Toc8246_WPSOffice_Level2"/>
      <w:bookmarkStart w:id="476" w:name="_Toc1363_WPSOffice_Level2"/>
      <w:bookmarkStart w:id="477" w:name="_Toc14970846"/>
      <w:bookmarkStart w:id="478" w:name="_Toc2932_WPSOffice_Level2"/>
      <w:bookmarkStart w:id="479" w:name="_Toc444081231"/>
      <w:bookmarkStart w:id="480" w:name="_Toc12163"/>
      <w:bookmarkStart w:id="481" w:name="_Toc26667_WPSOffice_Level2"/>
      <w:bookmarkStart w:id="482" w:name="_Toc28525"/>
      <w:bookmarkStart w:id="483" w:name="_Toc8775"/>
      <w:r>
        <w:rPr>
          <w:rFonts w:hint="eastAsia" w:cs="宋体"/>
          <w:color w:val="auto"/>
          <w:sz w:val="28"/>
          <w:szCs w:val="28"/>
          <w:highlight w:val="none"/>
          <w:lang w:val="en-US" w:eastAsia="zh-CN"/>
        </w:rPr>
        <w:t>七</w:t>
      </w:r>
      <w:r>
        <w:rPr>
          <w:rFonts w:hint="eastAsia" w:eastAsia="宋体" w:cs="宋体"/>
          <w:color w:val="auto"/>
          <w:sz w:val="28"/>
          <w:szCs w:val="28"/>
          <w:highlight w:val="none"/>
          <w:lang w:eastAsia="zh-CN"/>
        </w:rPr>
        <w:t>、</w:t>
      </w:r>
      <w:r>
        <w:rPr>
          <w:rFonts w:hint="eastAsia" w:ascii="宋体" w:hAnsi="宋体" w:eastAsia="宋体" w:cs="宋体"/>
          <w:color w:val="auto"/>
          <w:sz w:val="28"/>
          <w:szCs w:val="28"/>
          <w:highlight w:val="none"/>
        </w:rPr>
        <w:t>售后服务</w:t>
      </w:r>
      <w:bookmarkEnd w:id="472"/>
      <w:bookmarkEnd w:id="473"/>
      <w:bookmarkEnd w:id="474"/>
      <w:bookmarkEnd w:id="475"/>
      <w:bookmarkEnd w:id="476"/>
      <w:bookmarkEnd w:id="477"/>
      <w:bookmarkEnd w:id="478"/>
      <w:bookmarkEnd w:id="479"/>
      <w:bookmarkEnd w:id="480"/>
      <w:bookmarkEnd w:id="481"/>
      <w:bookmarkEnd w:id="482"/>
      <w:bookmarkEnd w:id="483"/>
    </w:p>
    <w:p>
      <w:pPr>
        <w:spacing w:line="360" w:lineRule="auto"/>
        <w:ind w:firstLine="480" w:firstLineChars="200"/>
        <w:outlineLvl w:val="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1、质保要求</w:t>
      </w:r>
    </w:p>
    <w:p>
      <w:pPr>
        <w:autoSpaceDE w:val="0"/>
        <w:autoSpaceDN w:val="0"/>
        <w:adjustRightInd w:val="0"/>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bCs/>
          <w:color w:val="auto"/>
          <w:sz w:val="24"/>
          <w:szCs w:val="24"/>
          <w:highlight w:val="none"/>
        </w:rPr>
        <w:t xml:space="preserve">1.1 </w:t>
      </w:r>
      <w:r>
        <w:rPr>
          <w:rFonts w:hint="eastAsia" w:ascii="宋体" w:hAnsi="宋体" w:eastAsia="宋体" w:cs="宋体"/>
          <w:color w:val="auto"/>
          <w:sz w:val="24"/>
          <w:szCs w:val="24"/>
          <w:highlight w:val="none"/>
        </w:rPr>
        <w:t>投标人须</w:t>
      </w:r>
      <w:r>
        <w:rPr>
          <w:rFonts w:hint="eastAsia" w:eastAsia="宋体" w:cs="宋体"/>
          <w:color w:val="auto"/>
          <w:sz w:val="24"/>
          <w:szCs w:val="24"/>
          <w:highlight w:val="none"/>
          <w:lang w:eastAsia="zh-CN"/>
        </w:rPr>
        <w:t>承诺</w:t>
      </w:r>
      <w:r>
        <w:rPr>
          <w:rFonts w:hint="eastAsia" w:ascii="宋体" w:hAnsi="宋体" w:eastAsia="宋体" w:cs="宋体"/>
          <w:color w:val="auto"/>
          <w:sz w:val="24"/>
          <w:szCs w:val="24"/>
          <w:highlight w:val="none"/>
        </w:rPr>
        <w:t>提供</w:t>
      </w:r>
      <w:r>
        <w:rPr>
          <w:rFonts w:hint="eastAsia" w:eastAsia="宋体" w:cs="宋体"/>
          <w:color w:val="auto"/>
          <w:sz w:val="24"/>
          <w:szCs w:val="24"/>
          <w:highlight w:val="none"/>
          <w:lang w:eastAsia="zh-CN"/>
        </w:rPr>
        <w:t>不低于</w:t>
      </w:r>
      <w:r>
        <w:rPr>
          <w:rFonts w:hint="eastAsia" w:ascii="宋体" w:hAnsi="宋体" w:eastAsia="宋体" w:cs="宋体"/>
          <w:color w:val="auto"/>
          <w:sz w:val="24"/>
          <w:szCs w:val="24"/>
          <w:highlight w:val="none"/>
          <w:u w:val="single"/>
        </w:rPr>
        <w:t xml:space="preserve"> 24 </w:t>
      </w:r>
      <w:r>
        <w:rPr>
          <w:rFonts w:hint="eastAsia" w:ascii="宋体" w:hAnsi="宋体" w:eastAsia="宋体" w:cs="宋体"/>
          <w:color w:val="auto"/>
          <w:sz w:val="24"/>
          <w:szCs w:val="24"/>
          <w:highlight w:val="none"/>
        </w:rPr>
        <w:t>个月的质保期</w:t>
      </w:r>
      <w:r>
        <w:rPr>
          <w:rFonts w:hint="eastAsia" w:eastAsia="宋体" w:cs="宋体"/>
          <w:color w:val="auto"/>
          <w:sz w:val="24"/>
          <w:szCs w:val="24"/>
          <w:highlight w:val="none"/>
          <w:lang w:eastAsia="zh-CN"/>
        </w:rPr>
        <w:t>服务</w:t>
      </w:r>
      <w:r>
        <w:rPr>
          <w:rFonts w:hint="eastAsia" w:ascii="宋体" w:hAnsi="宋体" w:eastAsia="宋体" w:cs="宋体"/>
          <w:color w:val="auto"/>
          <w:sz w:val="24"/>
          <w:szCs w:val="24"/>
          <w:highlight w:val="none"/>
        </w:rPr>
        <w:t>，在此期间，因产品质量</w:t>
      </w:r>
      <w:r>
        <w:rPr>
          <w:rFonts w:hint="eastAsia" w:eastAsia="宋体" w:cs="宋体"/>
          <w:color w:val="auto"/>
          <w:sz w:val="24"/>
          <w:szCs w:val="24"/>
          <w:highlight w:val="none"/>
          <w:lang w:eastAsia="zh-CN"/>
        </w:rPr>
        <w:t>问题</w:t>
      </w:r>
      <w:r>
        <w:rPr>
          <w:rFonts w:hint="eastAsia" w:ascii="宋体" w:hAnsi="宋体" w:eastAsia="宋体" w:cs="宋体"/>
          <w:color w:val="auto"/>
          <w:sz w:val="24"/>
          <w:szCs w:val="24"/>
          <w:highlight w:val="none"/>
        </w:rPr>
        <w:t>而</w:t>
      </w:r>
      <w:r>
        <w:rPr>
          <w:rFonts w:hint="eastAsia" w:eastAsia="宋体" w:cs="宋体"/>
          <w:color w:val="auto"/>
          <w:sz w:val="24"/>
          <w:szCs w:val="24"/>
          <w:highlight w:val="none"/>
          <w:lang w:eastAsia="zh-CN"/>
        </w:rPr>
        <w:t>引起的设备</w:t>
      </w:r>
      <w:r>
        <w:rPr>
          <w:rFonts w:hint="eastAsia" w:ascii="宋体" w:hAnsi="宋体" w:eastAsia="宋体" w:cs="宋体"/>
          <w:color w:val="auto"/>
          <w:sz w:val="24"/>
          <w:szCs w:val="24"/>
          <w:highlight w:val="none"/>
        </w:rPr>
        <w:t>损坏或</w:t>
      </w:r>
      <w:r>
        <w:rPr>
          <w:rFonts w:hint="eastAsia" w:eastAsia="宋体" w:cs="宋体"/>
          <w:color w:val="auto"/>
          <w:sz w:val="24"/>
          <w:szCs w:val="24"/>
          <w:highlight w:val="none"/>
          <w:lang w:eastAsia="zh-CN"/>
        </w:rPr>
        <w:t>系统</w:t>
      </w:r>
      <w:r>
        <w:rPr>
          <w:rFonts w:hint="eastAsia" w:ascii="宋体" w:hAnsi="宋体" w:eastAsia="宋体" w:cs="宋体"/>
          <w:color w:val="auto"/>
          <w:sz w:val="24"/>
          <w:szCs w:val="24"/>
          <w:highlight w:val="none"/>
        </w:rPr>
        <w:t>不能正常工作</w:t>
      </w:r>
      <w:r>
        <w:rPr>
          <w:rFonts w:hint="eastAsia" w:eastAsia="宋体" w:cs="宋体"/>
          <w:color w:val="auto"/>
          <w:sz w:val="24"/>
          <w:szCs w:val="24"/>
          <w:highlight w:val="none"/>
          <w:lang w:eastAsia="zh-CN"/>
        </w:rPr>
        <w:t>的</w:t>
      </w:r>
      <w:r>
        <w:rPr>
          <w:rFonts w:hint="eastAsia" w:ascii="宋体" w:hAnsi="宋体" w:eastAsia="宋体" w:cs="宋体"/>
          <w:color w:val="auto"/>
          <w:sz w:val="24"/>
          <w:szCs w:val="24"/>
          <w:highlight w:val="none"/>
        </w:rPr>
        <w:t>，投标人应免费维修和</w:t>
      </w:r>
      <w:r>
        <w:rPr>
          <w:rFonts w:hint="eastAsia" w:eastAsia="宋体" w:cs="宋体"/>
          <w:color w:val="auto"/>
          <w:sz w:val="24"/>
          <w:szCs w:val="24"/>
          <w:highlight w:val="none"/>
          <w:lang w:eastAsia="zh-CN"/>
        </w:rPr>
        <w:t>进行</w:t>
      </w:r>
      <w:r>
        <w:rPr>
          <w:rFonts w:hint="eastAsia" w:ascii="宋体" w:hAnsi="宋体" w:eastAsia="宋体" w:cs="宋体"/>
          <w:color w:val="auto"/>
          <w:sz w:val="24"/>
          <w:szCs w:val="24"/>
          <w:highlight w:val="none"/>
        </w:rPr>
        <w:t>正常保养。</w:t>
      </w:r>
      <w:r>
        <w:rPr>
          <w:rFonts w:hint="eastAsia" w:eastAsia="宋体" w:cs="宋体"/>
          <w:color w:val="auto"/>
          <w:sz w:val="24"/>
          <w:szCs w:val="24"/>
          <w:highlight w:val="none"/>
          <w:lang w:eastAsia="zh-CN"/>
        </w:rPr>
        <w:t>质保期自本采购项目验收、试运行合格后起算。</w:t>
      </w:r>
    </w:p>
    <w:p>
      <w:pPr>
        <w:spacing w:line="360" w:lineRule="auto"/>
        <w:ind w:firstLine="480" w:firstLineChars="200"/>
        <w:outlineLvl w:val="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2、维修服务要求</w:t>
      </w:r>
    </w:p>
    <w:p>
      <w:pPr>
        <w:widowControl/>
        <w:spacing w:line="360" w:lineRule="auto"/>
        <w:ind w:firstLine="482"/>
        <w:jc w:val="left"/>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lang w:val="en-US" w:eastAsia="zh-CN"/>
        </w:rPr>
        <w:t>2.</w:t>
      </w:r>
      <w:r>
        <w:rPr>
          <w:rFonts w:hint="eastAsia" w:ascii="宋体" w:hAnsi="宋体" w:eastAsia="宋体" w:cs="宋体"/>
          <w:b w:val="0"/>
          <w:bCs/>
          <w:color w:val="auto"/>
          <w:sz w:val="24"/>
          <w:highlight w:val="none"/>
        </w:rPr>
        <w:t>1、无论在质保期内还是质保期满后，一旦设备发生故障，而</w:t>
      </w:r>
      <w:r>
        <w:rPr>
          <w:rFonts w:hint="eastAsia" w:eastAsia="宋体" w:cs="宋体"/>
          <w:b w:val="0"/>
          <w:bCs/>
          <w:color w:val="auto"/>
          <w:sz w:val="24"/>
          <w:highlight w:val="none"/>
          <w:lang w:val="en-US" w:eastAsia="zh-CN"/>
        </w:rPr>
        <w:t>采购人</w:t>
      </w:r>
      <w:r>
        <w:rPr>
          <w:rFonts w:hint="eastAsia" w:ascii="宋体" w:hAnsi="宋体" w:eastAsia="宋体" w:cs="宋体"/>
          <w:b w:val="0"/>
          <w:bCs/>
          <w:color w:val="auto"/>
          <w:sz w:val="24"/>
          <w:highlight w:val="none"/>
        </w:rPr>
        <w:t>无法自行排除时，在接到</w:t>
      </w:r>
      <w:r>
        <w:rPr>
          <w:rFonts w:hint="eastAsia" w:eastAsia="宋体" w:cs="宋体"/>
          <w:b w:val="0"/>
          <w:bCs/>
          <w:color w:val="auto"/>
          <w:sz w:val="24"/>
          <w:highlight w:val="none"/>
          <w:lang w:val="en-US" w:eastAsia="zh-CN"/>
        </w:rPr>
        <w:t>采购人</w:t>
      </w:r>
      <w:r>
        <w:rPr>
          <w:rFonts w:hint="eastAsia" w:ascii="宋体" w:hAnsi="宋体" w:eastAsia="宋体" w:cs="宋体"/>
          <w:b w:val="0"/>
          <w:bCs/>
          <w:color w:val="auto"/>
          <w:sz w:val="24"/>
          <w:highlight w:val="none"/>
        </w:rPr>
        <w:t>通知后，</w:t>
      </w:r>
      <w:r>
        <w:rPr>
          <w:rFonts w:hint="eastAsia" w:eastAsia="宋体" w:cs="宋体"/>
          <w:b w:val="0"/>
          <w:bCs/>
          <w:color w:val="auto"/>
          <w:sz w:val="24"/>
          <w:highlight w:val="none"/>
          <w:lang w:val="en-US" w:eastAsia="zh-CN"/>
        </w:rPr>
        <w:t>按技术要求规定的时间到达现场为采购人提供维修服务</w:t>
      </w:r>
      <w:r>
        <w:rPr>
          <w:rFonts w:hint="eastAsia" w:ascii="宋体" w:hAnsi="宋体" w:eastAsia="宋体" w:cs="宋体"/>
          <w:b w:val="0"/>
          <w:bCs/>
          <w:color w:val="auto"/>
          <w:sz w:val="24"/>
          <w:highlight w:val="none"/>
        </w:rPr>
        <w:t>。一般故障6小时内排除，较大故障12小时内排除，重大故障24小时内排除，并及时提供备品备件</w:t>
      </w:r>
      <w:r>
        <w:rPr>
          <w:rFonts w:hint="eastAsia" w:eastAsia="宋体" w:cs="宋体"/>
          <w:b w:val="0"/>
          <w:bCs/>
          <w:color w:val="auto"/>
          <w:sz w:val="24"/>
          <w:highlight w:val="none"/>
          <w:lang w:eastAsia="zh-CN"/>
        </w:rPr>
        <w:t>和维修工具</w:t>
      </w:r>
      <w:r>
        <w:rPr>
          <w:rFonts w:hint="eastAsia" w:ascii="宋体" w:hAnsi="宋体" w:eastAsia="宋体" w:cs="宋体"/>
          <w:b w:val="0"/>
          <w:bCs/>
          <w:color w:val="auto"/>
          <w:sz w:val="24"/>
          <w:highlight w:val="none"/>
        </w:rPr>
        <w:t>。质保期内备品备件免费更换。质保期结束前免费对</w:t>
      </w:r>
      <w:r>
        <w:rPr>
          <w:rFonts w:hint="eastAsia" w:eastAsia="宋体" w:cs="宋体"/>
          <w:b w:val="0"/>
          <w:bCs/>
          <w:color w:val="auto"/>
          <w:sz w:val="24"/>
          <w:highlight w:val="none"/>
          <w:lang w:eastAsia="zh-CN"/>
        </w:rPr>
        <w:t>系统</w:t>
      </w:r>
      <w:r>
        <w:rPr>
          <w:rFonts w:hint="eastAsia" w:ascii="宋体" w:hAnsi="宋体" w:eastAsia="宋体" w:cs="宋体"/>
          <w:b w:val="0"/>
          <w:bCs/>
          <w:color w:val="auto"/>
          <w:sz w:val="24"/>
          <w:highlight w:val="none"/>
        </w:rPr>
        <w:t>进行一次系统测试，并提供一次测试报告。</w:t>
      </w:r>
    </w:p>
    <w:p>
      <w:pPr>
        <w:widowControl/>
        <w:spacing w:line="360" w:lineRule="auto"/>
        <w:ind w:firstLine="482"/>
        <w:jc w:val="left"/>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注：一般故障是指设备参数设置故障，需要对设备进行参数调整或者程序重新设置；较大故障是指设备非关键部位损坏，需要更换备品备件；重大故障是指设备核心部件损坏，需要更换核心部件。</w:t>
      </w:r>
    </w:p>
    <w:p>
      <w:pPr>
        <w:widowControl/>
        <w:spacing w:line="360" w:lineRule="auto"/>
        <w:ind w:firstLine="482"/>
        <w:jc w:val="left"/>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2</w:t>
      </w:r>
      <w:r>
        <w:rPr>
          <w:rFonts w:hint="eastAsia" w:ascii="宋体" w:hAnsi="宋体" w:eastAsia="宋体" w:cs="宋体"/>
          <w:b w:val="0"/>
          <w:bCs/>
          <w:color w:val="auto"/>
          <w:sz w:val="24"/>
          <w:highlight w:val="none"/>
          <w:lang w:val="en-US" w:eastAsia="zh-CN"/>
        </w:rPr>
        <w:t>.2</w:t>
      </w:r>
      <w:r>
        <w:rPr>
          <w:rFonts w:hint="eastAsia" w:ascii="宋体" w:hAnsi="宋体" w:eastAsia="宋体" w:cs="宋体"/>
          <w:b w:val="0"/>
          <w:bCs/>
          <w:color w:val="auto"/>
          <w:sz w:val="24"/>
          <w:highlight w:val="none"/>
        </w:rPr>
        <w:t>、</w:t>
      </w:r>
      <w:r>
        <w:rPr>
          <w:rFonts w:hint="eastAsia" w:eastAsia="宋体" w:cs="宋体"/>
          <w:b w:val="0"/>
          <w:bCs/>
          <w:color w:val="auto"/>
          <w:sz w:val="24"/>
          <w:highlight w:val="none"/>
          <w:lang w:val="en-US" w:eastAsia="zh-CN"/>
        </w:rPr>
        <w:t>中标人</w:t>
      </w:r>
      <w:r>
        <w:rPr>
          <w:rFonts w:hint="eastAsia" w:ascii="宋体" w:hAnsi="宋体" w:eastAsia="宋体" w:cs="宋体"/>
          <w:b w:val="0"/>
          <w:bCs/>
          <w:color w:val="auto"/>
          <w:sz w:val="24"/>
          <w:highlight w:val="none"/>
        </w:rPr>
        <w:t>需安排设备使用维护的现场培训，培训的人数和深度必须满足</w:t>
      </w:r>
      <w:r>
        <w:rPr>
          <w:rFonts w:hint="eastAsia" w:eastAsia="宋体" w:cs="宋体"/>
          <w:b w:val="0"/>
          <w:bCs/>
          <w:color w:val="auto"/>
          <w:sz w:val="24"/>
          <w:highlight w:val="none"/>
          <w:lang w:eastAsia="zh-CN"/>
        </w:rPr>
        <w:t>招标</w:t>
      </w:r>
      <w:r>
        <w:rPr>
          <w:rFonts w:hint="eastAsia" w:ascii="宋体" w:hAnsi="宋体" w:eastAsia="宋体" w:cs="宋体"/>
          <w:b w:val="0"/>
          <w:bCs/>
          <w:color w:val="auto"/>
          <w:sz w:val="24"/>
          <w:highlight w:val="none"/>
        </w:rPr>
        <w:t>文件的要求，费用已包含在合同价中，</w:t>
      </w:r>
      <w:r>
        <w:rPr>
          <w:rFonts w:hint="eastAsia" w:eastAsia="宋体" w:cs="宋体"/>
          <w:b w:val="0"/>
          <w:bCs/>
          <w:color w:val="auto"/>
          <w:sz w:val="24"/>
          <w:highlight w:val="none"/>
          <w:lang w:val="en-US" w:eastAsia="zh-CN"/>
        </w:rPr>
        <w:t>采购人</w:t>
      </w:r>
      <w:r>
        <w:rPr>
          <w:rFonts w:hint="eastAsia" w:ascii="宋体" w:hAnsi="宋体" w:eastAsia="宋体" w:cs="宋体"/>
          <w:b w:val="0"/>
          <w:bCs/>
          <w:color w:val="auto"/>
          <w:sz w:val="24"/>
          <w:highlight w:val="none"/>
        </w:rPr>
        <w:t>不再另行支付。</w:t>
      </w:r>
    </w:p>
    <w:p>
      <w:pPr>
        <w:widowControl/>
        <w:spacing w:line="360" w:lineRule="auto"/>
        <w:ind w:firstLine="482"/>
        <w:jc w:val="left"/>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lang w:val="en-US" w:eastAsia="zh-CN"/>
        </w:rPr>
        <w:t>2.</w:t>
      </w:r>
      <w:r>
        <w:rPr>
          <w:rFonts w:hint="eastAsia" w:ascii="宋体" w:hAnsi="宋体" w:eastAsia="宋体" w:cs="宋体"/>
          <w:b w:val="0"/>
          <w:bCs/>
          <w:color w:val="auto"/>
          <w:sz w:val="24"/>
          <w:highlight w:val="none"/>
        </w:rPr>
        <w:t>3、</w:t>
      </w:r>
      <w:r>
        <w:rPr>
          <w:rFonts w:hint="eastAsia" w:eastAsia="宋体" w:cs="宋体"/>
          <w:b w:val="0"/>
          <w:bCs/>
          <w:color w:val="auto"/>
          <w:sz w:val="24"/>
          <w:highlight w:val="none"/>
          <w:lang w:val="en-US" w:eastAsia="zh-CN"/>
        </w:rPr>
        <w:t>中标人</w:t>
      </w:r>
      <w:r>
        <w:rPr>
          <w:rFonts w:hint="eastAsia" w:ascii="宋体" w:hAnsi="宋体" w:eastAsia="宋体" w:cs="宋体"/>
          <w:b w:val="0"/>
          <w:bCs/>
          <w:color w:val="auto"/>
          <w:sz w:val="24"/>
          <w:highlight w:val="none"/>
        </w:rPr>
        <w:t>每年免费提供备品备件及常用材料的价目表。</w:t>
      </w:r>
    </w:p>
    <w:p>
      <w:pPr>
        <w:widowControl/>
        <w:spacing w:line="360" w:lineRule="auto"/>
        <w:ind w:firstLine="482"/>
        <w:jc w:val="left"/>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lang w:val="en-US" w:eastAsia="zh-CN"/>
        </w:rPr>
        <w:t>2.</w:t>
      </w:r>
      <w:r>
        <w:rPr>
          <w:rFonts w:hint="eastAsia" w:ascii="宋体" w:hAnsi="宋体" w:eastAsia="宋体" w:cs="宋体"/>
          <w:b w:val="0"/>
          <w:bCs/>
          <w:color w:val="auto"/>
          <w:sz w:val="24"/>
          <w:highlight w:val="none"/>
        </w:rPr>
        <w:t>4、</w:t>
      </w:r>
      <w:r>
        <w:rPr>
          <w:rFonts w:hint="eastAsia" w:eastAsia="宋体" w:cs="宋体"/>
          <w:b w:val="0"/>
          <w:bCs/>
          <w:color w:val="auto"/>
          <w:sz w:val="24"/>
          <w:highlight w:val="none"/>
          <w:lang w:val="en-US" w:eastAsia="zh-CN"/>
        </w:rPr>
        <w:t>中标人</w:t>
      </w:r>
      <w:r>
        <w:rPr>
          <w:rFonts w:hint="eastAsia" w:ascii="宋体" w:hAnsi="宋体" w:eastAsia="宋体" w:cs="宋体"/>
          <w:b w:val="0"/>
          <w:bCs/>
          <w:color w:val="auto"/>
          <w:sz w:val="24"/>
          <w:highlight w:val="none"/>
        </w:rPr>
        <w:t>进行就位、安装、调试，以及进行维修、保养等工作时，应当遵守劳动安全等规章制度，听从</w:t>
      </w:r>
      <w:r>
        <w:rPr>
          <w:rFonts w:hint="eastAsia" w:eastAsia="宋体" w:cs="宋体"/>
          <w:b w:val="0"/>
          <w:bCs/>
          <w:color w:val="auto"/>
          <w:sz w:val="24"/>
          <w:highlight w:val="none"/>
          <w:lang w:val="en-US" w:eastAsia="zh-CN"/>
        </w:rPr>
        <w:t>采购人</w:t>
      </w:r>
      <w:r>
        <w:rPr>
          <w:rFonts w:hint="eastAsia" w:ascii="宋体" w:hAnsi="宋体" w:eastAsia="宋体" w:cs="宋体"/>
          <w:b w:val="0"/>
          <w:bCs/>
          <w:color w:val="auto"/>
          <w:sz w:val="24"/>
          <w:highlight w:val="none"/>
        </w:rPr>
        <w:t>的安全指挥，对因</w:t>
      </w:r>
      <w:r>
        <w:rPr>
          <w:rFonts w:hint="eastAsia" w:eastAsia="宋体" w:cs="宋体"/>
          <w:b w:val="0"/>
          <w:bCs/>
          <w:color w:val="auto"/>
          <w:sz w:val="24"/>
          <w:highlight w:val="none"/>
          <w:lang w:val="en-US" w:eastAsia="zh-CN"/>
        </w:rPr>
        <w:t>中标人</w:t>
      </w:r>
      <w:r>
        <w:rPr>
          <w:rFonts w:hint="eastAsia" w:ascii="宋体" w:hAnsi="宋体" w:eastAsia="宋体" w:cs="宋体"/>
          <w:b w:val="0"/>
          <w:bCs/>
          <w:color w:val="auto"/>
          <w:sz w:val="24"/>
          <w:highlight w:val="none"/>
        </w:rPr>
        <w:t>履行上述工作给</w:t>
      </w:r>
      <w:r>
        <w:rPr>
          <w:rFonts w:hint="eastAsia" w:eastAsia="宋体" w:cs="宋体"/>
          <w:b w:val="0"/>
          <w:bCs/>
          <w:color w:val="auto"/>
          <w:sz w:val="24"/>
          <w:highlight w:val="none"/>
          <w:lang w:val="en-US" w:eastAsia="zh-CN"/>
        </w:rPr>
        <w:t>采购人</w:t>
      </w:r>
      <w:r>
        <w:rPr>
          <w:rFonts w:hint="eastAsia" w:ascii="宋体" w:hAnsi="宋体" w:eastAsia="宋体" w:cs="宋体"/>
          <w:b w:val="0"/>
          <w:bCs/>
          <w:color w:val="auto"/>
          <w:sz w:val="24"/>
          <w:highlight w:val="none"/>
        </w:rPr>
        <w:t>与第三人造成的损害责任(包括但不限于人身损害、财产损害等)，以及造成</w:t>
      </w:r>
      <w:r>
        <w:rPr>
          <w:rFonts w:hint="eastAsia" w:eastAsia="宋体" w:cs="宋体"/>
          <w:b w:val="0"/>
          <w:bCs/>
          <w:color w:val="auto"/>
          <w:sz w:val="24"/>
          <w:highlight w:val="none"/>
          <w:lang w:val="en-US" w:eastAsia="zh-CN"/>
        </w:rPr>
        <w:t>中标人</w:t>
      </w:r>
      <w:r>
        <w:rPr>
          <w:rFonts w:hint="eastAsia" w:ascii="宋体" w:hAnsi="宋体" w:eastAsia="宋体" w:cs="宋体"/>
          <w:b w:val="0"/>
          <w:bCs/>
          <w:color w:val="auto"/>
          <w:sz w:val="24"/>
          <w:highlight w:val="none"/>
        </w:rPr>
        <w:t>自身的损害责任，均由</w:t>
      </w:r>
      <w:r>
        <w:rPr>
          <w:rFonts w:hint="eastAsia" w:eastAsia="宋体" w:cs="宋体"/>
          <w:b w:val="0"/>
          <w:bCs/>
          <w:color w:val="auto"/>
          <w:sz w:val="24"/>
          <w:highlight w:val="none"/>
          <w:lang w:val="en-US" w:eastAsia="zh-CN"/>
        </w:rPr>
        <w:t>中标人</w:t>
      </w:r>
      <w:r>
        <w:rPr>
          <w:rFonts w:hint="eastAsia" w:ascii="宋体" w:hAnsi="宋体" w:eastAsia="宋体" w:cs="宋体"/>
          <w:b w:val="0"/>
          <w:bCs/>
          <w:color w:val="auto"/>
          <w:sz w:val="24"/>
          <w:highlight w:val="none"/>
        </w:rPr>
        <w:t>承担。如</w:t>
      </w:r>
      <w:r>
        <w:rPr>
          <w:rFonts w:hint="eastAsia" w:eastAsia="宋体" w:cs="宋体"/>
          <w:b w:val="0"/>
          <w:bCs/>
          <w:color w:val="auto"/>
          <w:sz w:val="24"/>
          <w:highlight w:val="none"/>
          <w:lang w:val="en-US" w:eastAsia="zh-CN"/>
        </w:rPr>
        <w:t>采购人</w:t>
      </w:r>
      <w:r>
        <w:rPr>
          <w:rFonts w:hint="eastAsia" w:ascii="宋体" w:hAnsi="宋体" w:eastAsia="宋体" w:cs="宋体"/>
          <w:b w:val="0"/>
          <w:bCs/>
          <w:color w:val="auto"/>
          <w:sz w:val="24"/>
          <w:highlight w:val="none"/>
        </w:rPr>
        <w:t>先行承担责任的，</w:t>
      </w:r>
      <w:r>
        <w:rPr>
          <w:rFonts w:hint="eastAsia" w:eastAsia="宋体" w:cs="宋体"/>
          <w:b w:val="0"/>
          <w:bCs/>
          <w:color w:val="auto"/>
          <w:sz w:val="24"/>
          <w:highlight w:val="none"/>
          <w:lang w:val="en-US" w:eastAsia="zh-CN"/>
        </w:rPr>
        <w:t>采购人</w:t>
      </w:r>
      <w:r>
        <w:rPr>
          <w:rFonts w:hint="eastAsia" w:ascii="宋体" w:hAnsi="宋体" w:eastAsia="宋体" w:cs="宋体"/>
          <w:b w:val="0"/>
          <w:bCs/>
          <w:color w:val="auto"/>
          <w:sz w:val="24"/>
          <w:highlight w:val="none"/>
        </w:rPr>
        <w:t>有权向</w:t>
      </w:r>
      <w:r>
        <w:rPr>
          <w:rFonts w:hint="eastAsia" w:eastAsia="宋体" w:cs="宋体"/>
          <w:b w:val="0"/>
          <w:bCs/>
          <w:color w:val="auto"/>
          <w:sz w:val="24"/>
          <w:highlight w:val="none"/>
          <w:lang w:val="en-US" w:eastAsia="zh-CN"/>
        </w:rPr>
        <w:t>中标人</w:t>
      </w:r>
      <w:r>
        <w:rPr>
          <w:rFonts w:hint="eastAsia" w:ascii="宋体" w:hAnsi="宋体" w:eastAsia="宋体" w:cs="宋体"/>
          <w:b w:val="0"/>
          <w:bCs/>
          <w:color w:val="auto"/>
          <w:sz w:val="24"/>
          <w:highlight w:val="none"/>
        </w:rPr>
        <w:t>追偿损失（包括但不限于赔偿费、诉讼费、律师费等），并有权从任何应该支付或将要支付给</w:t>
      </w:r>
      <w:r>
        <w:rPr>
          <w:rFonts w:hint="eastAsia" w:eastAsia="宋体" w:cs="宋体"/>
          <w:b w:val="0"/>
          <w:bCs/>
          <w:color w:val="auto"/>
          <w:sz w:val="24"/>
          <w:highlight w:val="none"/>
          <w:lang w:val="en-US" w:eastAsia="zh-CN"/>
        </w:rPr>
        <w:t>中标人</w:t>
      </w:r>
      <w:r>
        <w:rPr>
          <w:rFonts w:hint="eastAsia" w:ascii="宋体" w:hAnsi="宋体" w:eastAsia="宋体" w:cs="宋体"/>
          <w:b w:val="0"/>
          <w:bCs/>
          <w:color w:val="auto"/>
          <w:sz w:val="24"/>
          <w:highlight w:val="none"/>
        </w:rPr>
        <w:t>的金额中扣除该偿还金额。</w:t>
      </w:r>
    </w:p>
    <w:p>
      <w:pPr>
        <w:spacing w:line="360" w:lineRule="auto"/>
        <w:ind w:firstLine="480" w:firstLineChars="200"/>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3、投标人可以将售后服务委托其他公司负责，并在</w:t>
      </w:r>
      <w:r>
        <w:rPr>
          <w:rFonts w:hint="eastAsia" w:ascii="宋体" w:hAnsi="宋体" w:eastAsia="宋体" w:cs="宋体"/>
          <w:color w:val="auto"/>
          <w:sz w:val="24"/>
          <w:szCs w:val="24"/>
          <w:highlight w:val="none"/>
        </w:rPr>
        <w:t>投标时明确负责此项目维修工作的售后服务公司，该公司维修工作不得转包（此售后服务公司对此项目的维修也要作出明确承诺）。</w:t>
      </w:r>
    </w:p>
    <w:p>
      <w:pPr>
        <w:keepNext w:val="0"/>
        <w:keepLines w:val="0"/>
        <w:pageBreakBefore w:val="0"/>
        <w:widowControl w:val="0"/>
        <w:kinsoku/>
        <w:wordWrap/>
        <w:overflowPunct/>
        <w:topLinePunct w:val="0"/>
        <w:autoSpaceDE/>
        <w:autoSpaceDN/>
        <w:bidi w:val="0"/>
        <w:adjustRightInd/>
        <w:snapToGrid/>
        <w:spacing w:line="360" w:lineRule="auto"/>
        <w:jc w:val="left"/>
        <w:textAlignment w:val="auto"/>
        <w:outlineLvl w:val="9"/>
        <w:rPr>
          <w:rFonts w:hint="eastAsia"/>
          <w:b/>
          <w:bCs/>
          <w:sz w:val="30"/>
          <w:szCs w:val="30"/>
          <w:highlight w:val="none"/>
          <w:lang w:eastAsia="zh-CN"/>
        </w:rPr>
        <w:sectPr>
          <w:footerReference r:id="rId6" w:type="first"/>
          <w:footerReference r:id="rId5" w:type="default"/>
          <w:pgSz w:w="11906" w:h="16838"/>
          <w:pgMar w:top="1247" w:right="1418" w:bottom="1701"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r>
        <w:rPr>
          <w:rFonts w:hint="eastAsia"/>
          <w:b/>
          <w:bCs/>
          <w:sz w:val="30"/>
          <w:szCs w:val="30"/>
          <w:highlight w:val="none"/>
          <w:lang w:eastAsia="zh-CN"/>
        </w:rPr>
        <w:t>注：第四部分内容中或本招标文件中要求投标人针对某个事项进行承诺的，承诺函可编入投标文件中，承诺函格式由投标人自拟，但本招标文件已经规定了承诺函格式的除外。</w:t>
      </w:r>
      <w:bookmarkStart w:id="484" w:name="_Toc7017"/>
      <w:bookmarkStart w:id="485" w:name="_Toc2362"/>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宋体" w:hAnsi="宋体" w:eastAsia="宋体" w:cs="宋体"/>
          <w:b/>
          <w:color w:val="auto"/>
          <w:sz w:val="36"/>
          <w:szCs w:val="36"/>
          <w:highlight w:val="none"/>
          <w:lang w:val="en-US" w:eastAsia="zh-CN"/>
        </w:rPr>
      </w:pPr>
      <w:r>
        <w:rPr>
          <w:rFonts w:hint="eastAsia" w:ascii="宋体" w:hAnsi="宋体" w:eastAsia="宋体" w:cs="宋体"/>
          <w:b/>
          <w:color w:val="auto"/>
          <w:sz w:val="36"/>
          <w:szCs w:val="36"/>
          <w:highlight w:val="none"/>
        </w:rPr>
        <w:t>第五部分</w:t>
      </w:r>
      <w:bookmarkEnd w:id="427"/>
      <w:r>
        <w:rPr>
          <w:rFonts w:hint="eastAsia" w:ascii="宋体" w:hAnsi="宋体" w:eastAsia="宋体" w:cs="宋体"/>
          <w:b/>
          <w:color w:val="auto"/>
          <w:sz w:val="36"/>
          <w:szCs w:val="36"/>
          <w:highlight w:val="none"/>
          <w:lang w:val="en-US" w:eastAsia="zh-CN"/>
        </w:rPr>
        <w:t xml:space="preserve"> </w:t>
      </w:r>
      <w:r>
        <w:rPr>
          <w:rFonts w:hint="eastAsia" w:ascii="宋体" w:hAnsi="宋体" w:eastAsia="宋体" w:cs="宋体"/>
          <w:b/>
          <w:color w:val="auto"/>
          <w:sz w:val="36"/>
          <w:szCs w:val="36"/>
          <w:highlight w:val="none"/>
        </w:rPr>
        <w:t xml:space="preserve"> 采购合同</w:t>
      </w:r>
      <w:bookmarkEnd w:id="484"/>
      <w:bookmarkEnd w:id="485"/>
    </w:p>
    <w:p>
      <w:pPr>
        <w:bidi w:val="0"/>
        <w:spacing w:line="360" w:lineRule="auto"/>
        <w:jc w:val="center"/>
        <w:rPr>
          <w:rFonts w:hint="eastAsia"/>
          <w:b/>
          <w:bCs/>
          <w:color w:val="auto"/>
          <w:sz w:val="36"/>
          <w:szCs w:val="40"/>
          <w:highlight w:val="none"/>
        </w:rPr>
      </w:pPr>
      <w:bookmarkStart w:id="486" w:name="第五部分"/>
      <w:bookmarkStart w:id="487" w:name="_Toc86217003"/>
      <w:r>
        <w:rPr>
          <w:rFonts w:hint="eastAsia"/>
          <w:b/>
          <w:bCs/>
          <w:color w:val="auto"/>
          <w:sz w:val="36"/>
          <w:szCs w:val="40"/>
          <w:highlight w:val="none"/>
        </w:rPr>
        <w:t>浙大邵逸夫医院绍兴院区</w:t>
      </w:r>
    </w:p>
    <w:p>
      <w:pPr>
        <w:bidi w:val="0"/>
        <w:spacing w:line="360" w:lineRule="auto"/>
        <w:jc w:val="center"/>
        <w:rPr>
          <w:rFonts w:hint="eastAsia" w:eastAsia="宋体"/>
          <w:b/>
          <w:bCs/>
          <w:color w:val="auto"/>
          <w:sz w:val="36"/>
          <w:szCs w:val="40"/>
          <w:highlight w:val="none"/>
          <w:lang w:eastAsia="zh-CN"/>
        </w:rPr>
      </w:pPr>
      <w:r>
        <w:rPr>
          <w:rFonts w:hint="eastAsia"/>
          <w:b/>
          <w:bCs/>
          <w:color w:val="auto"/>
          <w:sz w:val="36"/>
          <w:szCs w:val="40"/>
          <w:highlight w:val="none"/>
          <w:u w:val="single"/>
          <w:lang w:val="en-US" w:eastAsia="zh-CN"/>
        </w:rPr>
        <w:t>医用纯水系统采购及安装</w:t>
      </w:r>
      <w:r>
        <w:rPr>
          <w:rFonts w:hint="eastAsia"/>
          <w:b/>
          <w:bCs/>
          <w:color w:val="auto"/>
          <w:sz w:val="36"/>
          <w:szCs w:val="40"/>
          <w:highlight w:val="none"/>
        </w:rPr>
        <w:t>合同</w:t>
      </w:r>
    </w:p>
    <w:p>
      <w:pPr>
        <w:spacing w:line="360" w:lineRule="auto"/>
        <w:rPr>
          <w:rFonts w:hint="eastAsia" w:ascii="宋体" w:hAnsi="宋体" w:eastAsia="宋体" w:cs="宋体"/>
          <w:color w:val="auto"/>
          <w:highlight w:val="none"/>
        </w:rPr>
      </w:pPr>
    </w:p>
    <w:p>
      <w:pPr>
        <w:bidi w:val="0"/>
        <w:spacing w:line="360" w:lineRule="auto"/>
        <w:jc w:val="both"/>
        <w:rPr>
          <w:rFonts w:hint="default" w:ascii="宋体" w:hAnsi="宋体" w:eastAsia="宋体" w:cs="宋体"/>
          <w:color w:val="000000"/>
          <w:sz w:val="30"/>
          <w:szCs w:val="30"/>
          <w:highlight w:val="none"/>
          <w:u w:val="single"/>
          <w:lang w:val="en-US"/>
        </w:rPr>
      </w:pPr>
      <w:r>
        <w:rPr>
          <w:rFonts w:hint="eastAsia" w:ascii="宋体" w:hAnsi="宋体" w:eastAsia="宋体" w:cs="宋体"/>
          <w:color w:val="000000"/>
          <w:sz w:val="30"/>
          <w:szCs w:val="30"/>
          <w:highlight w:val="none"/>
          <w:u w:val="none"/>
        </w:rPr>
        <w:t>合同编号：</w:t>
      </w:r>
      <w:r>
        <w:rPr>
          <w:rFonts w:hint="eastAsia" w:ascii="宋体" w:hAnsi="宋体" w:eastAsia="宋体" w:cs="宋体"/>
          <w:color w:val="000000"/>
          <w:sz w:val="30"/>
          <w:szCs w:val="30"/>
          <w:highlight w:val="none"/>
          <w:u w:val="single"/>
        </w:rPr>
        <w:t>WZPM-202</w:t>
      </w:r>
      <w:r>
        <w:rPr>
          <w:rFonts w:hint="eastAsia" w:ascii="宋体" w:hAnsi="宋体" w:eastAsia="宋体" w:cs="宋体"/>
          <w:color w:val="000000"/>
          <w:sz w:val="30"/>
          <w:szCs w:val="30"/>
          <w:highlight w:val="none"/>
          <w:u w:val="single"/>
          <w:lang w:val="en-US" w:eastAsia="zh-CN"/>
        </w:rPr>
        <w:t>2</w:t>
      </w:r>
      <w:r>
        <w:rPr>
          <w:rFonts w:hint="eastAsia" w:ascii="宋体" w:hAnsi="宋体" w:eastAsia="宋体" w:cs="宋体"/>
          <w:color w:val="000000"/>
          <w:sz w:val="30"/>
          <w:szCs w:val="30"/>
          <w:highlight w:val="none"/>
          <w:u w:val="single"/>
        </w:rPr>
        <w:t>-PMC-</w:t>
      </w:r>
    </w:p>
    <w:p>
      <w:pPr>
        <w:bidi w:val="0"/>
        <w:spacing w:line="360" w:lineRule="auto"/>
        <w:rPr>
          <w:rFonts w:hint="eastAsia" w:ascii="宋体" w:hAnsi="宋体" w:eastAsia="宋体" w:cs="宋体"/>
          <w:color w:val="000000"/>
          <w:sz w:val="30"/>
          <w:szCs w:val="30"/>
          <w:highlight w:val="none"/>
          <w:u w:val="single"/>
        </w:rPr>
      </w:pPr>
    </w:p>
    <w:p>
      <w:pPr>
        <w:bidi w:val="0"/>
        <w:spacing w:line="360" w:lineRule="auto"/>
        <w:rPr>
          <w:rFonts w:hint="eastAsia" w:ascii="宋体" w:hAnsi="宋体" w:eastAsia="宋体" w:cs="宋体"/>
          <w:color w:val="000000"/>
          <w:sz w:val="30"/>
          <w:szCs w:val="30"/>
          <w:highlight w:val="none"/>
          <w:u w:val="single"/>
          <w:lang w:val="en-US" w:eastAsia="zh-CN"/>
        </w:rPr>
      </w:pPr>
      <w:bookmarkStart w:id="488" w:name="_Toc29999"/>
      <w:bookmarkStart w:id="489" w:name="_Toc3411"/>
      <w:r>
        <w:rPr>
          <w:rFonts w:hint="eastAsia" w:cs="宋体"/>
          <w:color w:val="000000"/>
          <w:sz w:val="30"/>
          <w:szCs w:val="30"/>
          <w:highlight w:val="none"/>
          <w:u w:val="none"/>
          <w:lang w:eastAsia="zh-CN"/>
        </w:rPr>
        <w:t>项目</w:t>
      </w:r>
      <w:r>
        <w:rPr>
          <w:rFonts w:hint="eastAsia" w:ascii="宋体" w:hAnsi="宋体" w:eastAsia="宋体" w:cs="宋体"/>
          <w:color w:val="000000"/>
          <w:sz w:val="30"/>
          <w:szCs w:val="30"/>
          <w:highlight w:val="none"/>
          <w:u w:val="none"/>
        </w:rPr>
        <w:t>名称：</w:t>
      </w:r>
      <w:bookmarkEnd w:id="488"/>
      <w:bookmarkEnd w:id="489"/>
      <w:r>
        <w:rPr>
          <w:rFonts w:hint="eastAsia" w:ascii="宋体" w:hAnsi="宋体" w:eastAsia="宋体" w:cs="宋体"/>
          <w:color w:val="000000"/>
          <w:sz w:val="30"/>
          <w:szCs w:val="30"/>
          <w:highlight w:val="none"/>
          <w:u w:val="single"/>
          <w:lang w:val="zh-TW" w:eastAsia="zh-CN"/>
        </w:rPr>
        <w:t>浙大邵逸夫医院绍兴院区医用纯水系统采购及安装项目</w:t>
      </w:r>
      <w:r>
        <w:rPr>
          <w:rFonts w:hint="eastAsia" w:ascii="宋体" w:hAnsi="宋体" w:eastAsia="宋体" w:cs="宋体"/>
          <w:color w:val="000000"/>
          <w:sz w:val="30"/>
          <w:szCs w:val="30"/>
          <w:highlight w:val="none"/>
          <w:u w:val="single"/>
          <w:lang w:val="en-US" w:eastAsia="zh-CN"/>
        </w:rPr>
        <w:t xml:space="preserve">  </w:t>
      </w:r>
    </w:p>
    <w:p>
      <w:pPr>
        <w:bidi w:val="0"/>
        <w:spacing w:line="360" w:lineRule="auto"/>
        <w:rPr>
          <w:rFonts w:hint="eastAsia" w:ascii="宋体" w:hAnsi="宋体" w:eastAsia="宋体" w:cs="宋体"/>
          <w:color w:val="000000"/>
          <w:sz w:val="30"/>
          <w:szCs w:val="30"/>
          <w:highlight w:val="none"/>
          <w:u w:val="single"/>
        </w:rPr>
      </w:pPr>
      <w:bookmarkStart w:id="490" w:name="_Toc23522"/>
      <w:bookmarkStart w:id="491" w:name="_Toc16168"/>
    </w:p>
    <w:p>
      <w:pPr>
        <w:bidi w:val="0"/>
        <w:spacing w:line="360" w:lineRule="auto"/>
        <w:rPr>
          <w:rFonts w:hint="eastAsia" w:ascii="宋体" w:hAnsi="宋体" w:eastAsia="宋体" w:cs="宋体"/>
          <w:color w:val="000000"/>
          <w:sz w:val="30"/>
          <w:szCs w:val="30"/>
          <w:highlight w:val="none"/>
          <w:u w:val="single"/>
          <w:lang w:val="en-US" w:eastAsia="zh-CN"/>
        </w:rPr>
      </w:pPr>
      <w:r>
        <w:rPr>
          <w:rFonts w:hint="eastAsia" w:cs="宋体"/>
          <w:color w:val="000000"/>
          <w:sz w:val="30"/>
          <w:szCs w:val="30"/>
          <w:highlight w:val="none"/>
          <w:u w:val="single"/>
          <w:lang w:eastAsia="zh-CN"/>
        </w:rPr>
        <w:t>项目</w:t>
      </w:r>
      <w:r>
        <w:rPr>
          <w:rFonts w:hint="eastAsia" w:ascii="宋体" w:hAnsi="宋体" w:eastAsia="宋体" w:cs="宋体"/>
          <w:color w:val="000000"/>
          <w:sz w:val="30"/>
          <w:szCs w:val="30"/>
          <w:highlight w:val="none"/>
          <w:u w:val="single"/>
        </w:rPr>
        <w:t>地点：</w:t>
      </w:r>
      <w:bookmarkEnd w:id="490"/>
      <w:bookmarkEnd w:id="491"/>
      <w:r>
        <w:rPr>
          <w:rFonts w:hint="eastAsia" w:ascii="宋体" w:hAnsi="宋体" w:eastAsia="宋体" w:cs="宋体"/>
          <w:color w:val="000000"/>
          <w:sz w:val="30"/>
          <w:szCs w:val="30"/>
          <w:highlight w:val="none"/>
          <w:u w:val="single"/>
        </w:rPr>
        <w:t xml:space="preserve">杭州湾上虞经济技术开发区内           </w:t>
      </w:r>
      <w:r>
        <w:rPr>
          <w:rFonts w:hint="eastAsia" w:ascii="宋体" w:hAnsi="宋体" w:eastAsia="宋体" w:cs="宋体"/>
          <w:color w:val="000000"/>
          <w:sz w:val="30"/>
          <w:szCs w:val="30"/>
          <w:highlight w:val="none"/>
          <w:u w:val="single"/>
          <w:lang w:val="en-US" w:eastAsia="zh-CN"/>
        </w:rPr>
        <w:t xml:space="preserve"> </w:t>
      </w:r>
    </w:p>
    <w:p>
      <w:pPr>
        <w:bidi w:val="0"/>
        <w:spacing w:line="360" w:lineRule="auto"/>
        <w:rPr>
          <w:rFonts w:hint="eastAsia" w:ascii="宋体" w:hAnsi="宋体" w:eastAsia="宋体" w:cs="宋体"/>
          <w:color w:val="000000"/>
          <w:sz w:val="30"/>
          <w:szCs w:val="30"/>
          <w:highlight w:val="none"/>
          <w:u w:val="single"/>
        </w:rPr>
      </w:pPr>
    </w:p>
    <w:p>
      <w:pPr>
        <w:bidi w:val="0"/>
        <w:spacing w:line="360" w:lineRule="auto"/>
        <w:rPr>
          <w:rFonts w:hint="eastAsia" w:ascii="宋体" w:hAnsi="宋体" w:eastAsia="宋体" w:cs="宋体"/>
          <w:color w:val="000000"/>
          <w:sz w:val="30"/>
          <w:szCs w:val="30"/>
          <w:highlight w:val="none"/>
          <w:u w:val="single"/>
          <w:lang w:val="en-US" w:eastAsia="zh-CN"/>
        </w:rPr>
      </w:pPr>
      <w:bookmarkStart w:id="492" w:name="_Toc29197"/>
      <w:bookmarkStart w:id="493" w:name="_Toc8391"/>
      <w:r>
        <w:rPr>
          <w:rFonts w:hint="eastAsia" w:ascii="宋体" w:hAnsi="宋体" w:eastAsia="宋体" w:cs="宋体"/>
          <w:color w:val="000000"/>
          <w:sz w:val="30"/>
          <w:szCs w:val="30"/>
          <w:highlight w:val="none"/>
          <w:u w:val="single"/>
          <w:lang w:val="en-US" w:eastAsia="zh-CN"/>
        </w:rPr>
        <w:t>采 购 人</w:t>
      </w:r>
      <w:r>
        <w:rPr>
          <w:rFonts w:hint="eastAsia" w:ascii="宋体" w:hAnsi="宋体" w:eastAsia="宋体" w:cs="宋体"/>
          <w:color w:val="000000"/>
          <w:sz w:val="30"/>
          <w:szCs w:val="30"/>
          <w:highlight w:val="none"/>
          <w:u w:val="single"/>
        </w:rPr>
        <w:t>：</w:t>
      </w:r>
      <w:bookmarkEnd w:id="492"/>
      <w:bookmarkEnd w:id="493"/>
      <w:r>
        <w:rPr>
          <w:rFonts w:hint="eastAsia" w:ascii="宋体" w:hAnsi="宋体" w:eastAsia="宋体" w:cs="宋体"/>
          <w:color w:val="000000"/>
          <w:sz w:val="30"/>
          <w:szCs w:val="30"/>
          <w:highlight w:val="none"/>
          <w:u w:val="single"/>
        </w:rPr>
        <w:t>绍兴市上虞杭州湾滨海新城投资开发建设有限公司</w:t>
      </w:r>
      <w:r>
        <w:rPr>
          <w:rFonts w:hint="eastAsia" w:ascii="宋体" w:hAnsi="宋体" w:eastAsia="宋体" w:cs="宋体"/>
          <w:color w:val="000000"/>
          <w:sz w:val="30"/>
          <w:szCs w:val="30"/>
          <w:highlight w:val="none"/>
          <w:u w:val="single"/>
          <w:lang w:val="en-US" w:eastAsia="zh-CN"/>
        </w:rPr>
        <w:t xml:space="preserve">  </w:t>
      </w:r>
    </w:p>
    <w:p>
      <w:pPr>
        <w:bidi w:val="0"/>
        <w:spacing w:line="360" w:lineRule="auto"/>
        <w:rPr>
          <w:rFonts w:hint="eastAsia" w:ascii="宋体" w:hAnsi="宋体" w:eastAsia="宋体" w:cs="宋体"/>
          <w:color w:val="000000"/>
          <w:sz w:val="30"/>
          <w:szCs w:val="30"/>
          <w:highlight w:val="none"/>
          <w:u w:val="single"/>
        </w:rPr>
      </w:pPr>
    </w:p>
    <w:p>
      <w:pPr>
        <w:bidi w:val="0"/>
        <w:spacing w:line="360" w:lineRule="auto"/>
        <w:rPr>
          <w:rFonts w:hint="eastAsia" w:ascii="宋体" w:hAnsi="宋体" w:eastAsia="宋体" w:cs="宋体"/>
          <w:color w:val="000000"/>
          <w:sz w:val="30"/>
          <w:szCs w:val="30"/>
          <w:highlight w:val="none"/>
          <w:u w:val="single"/>
        </w:rPr>
      </w:pPr>
      <w:bookmarkStart w:id="494" w:name="_Toc31289"/>
      <w:bookmarkStart w:id="495" w:name="_Toc19257"/>
      <w:r>
        <w:rPr>
          <w:rFonts w:hint="eastAsia" w:ascii="宋体" w:hAnsi="宋体" w:eastAsia="宋体" w:cs="宋体"/>
          <w:color w:val="000000"/>
          <w:sz w:val="30"/>
          <w:szCs w:val="30"/>
          <w:highlight w:val="none"/>
          <w:u w:val="single"/>
          <w:lang w:val="en-US" w:eastAsia="zh-CN"/>
        </w:rPr>
        <w:t>供 货 人</w:t>
      </w:r>
      <w:r>
        <w:rPr>
          <w:rFonts w:hint="eastAsia" w:ascii="宋体" w:hAnsi="宋体" w:eastAsia="宋体" w:cs="宋体"/>
          <w:color w:val="000000"/>
          <w:sz w:val="30"/>
          <w:szCs w:val="30"/>
          <w:highlight w:val="none"/>
          <w:u w:val="single"/>
        </w:rPr>
        <w:t>：</w:t>
      </w:r>
      <w:bookmarkEnd w:id="494"/>
      <w:bookmarkEnd w:id="495"/>
      <w:r>
        <w:rPr>
          <w:rFonts w:hint="eastAsia" w:ascii="宋体" w:hAnsi="宋体" w:eastAsia="宋体" w:cs="宋体"/>
          <w:color w:val="000000"/>
          <w:sz w:val="30"/>
          <w:szCs w:val="30"/>
          <w:highlight w:val="none"/>
          <w:u w:val="single"/>
        </w:rPr>
        <w:t xml:space="preserve">                                        </w:t>
      </w:r>
    </w:p>
    <w:p>
      <w:pPr>
        <w:bidi w:val="0"/>
        <w:rPr>
          <w:rFonts w:hint="eastAsia" w:ascii="宋体" w:hAnsi="宋体" w:eastAsia="宋体" w:cs="宋体"/>
          <w:color w:val="000000"/>
          <w:sz w:val="30"/>
          <w:szCs w:val="30"/>
          <w:highlight w:val="none"/>
        </w:rPr>
      </w:pPr>
    </w:p>
    <w:p>
      <w:pPr>
        <w:pStyle w:val="7"/>
        <w:rPr>
          <w:rFonts w:hint="eastAsia" w:ascii="宋体" w:hAnsi="宋体" w:eastAsia="宋体" w:cs="宋体"/>
          <w:color w:val="000000"/>
          <w:sz w:val="30"/>
          <w:szCs w:val="30"/>
          <w:highlight w:val="none"/>
          <w:lang w:val="en-US" w:eastAsia="zh-CN"/>
        </w:rPr>
      </w:pPr>
    </w:p>
    <w:p>
      <w:pPr>
        <w:bidi w:val="0"/>
        <w:spacing w:line="360" w:lineRule="auto"/>
        <w:rPr>
          <w:rFonts w:hint="eastAsia" w:ascii="宋体" w:hAnsi="宋体" w:eastAsia="宋体" w:cs="宋体"/>
          <w:color w:val="000000"/>
          <w:sz w:val="36"/>
          <w:szCs w:val="40"/>
          <w:highlight w:val="none"/>
          <w:u w:val="single"/>
        </w:rPr>
      </w:pPr>
      <w:bookmarkStart w:id="496" w:name="_Toc31777"/>
      <w:bookmarkStart w:id="497" w:name="_Toc18720"/>
      <w:r>
        <w:rPr>
          <w:rFonts w:hint="eastAsia" w:ascii="宋体" w:hAnsi="宋体" w:eastAsia="宋体" w:cs="宋体"/>
          <w:color w:val="000000"/>
          <w:sz w:val="30"/>
          <w:szCs w:val="30"/>
          <w:highlight w:val="none"/>
          <w:u w:val="single"/>
        </w:rPr>
        <w:t>签订日期：</w:t>
      </w:r>
      <w:bookmarkEnd w:id="496"/>
      <w:bookmarkEnd w:id="497"/>
      <w:r>
        <w:rPr>
          <w:rFonts w:hint="eastAsia" w:ascii="宋体" w:hAnsi="宋体" w:eastAsia="宋体" w:cs="宋体"/>
          <w:color w:val="000000"/>
          <w:sz w:val="30"/>
          <w:szCs w:val="30"/>
          <w:highlight w:val="none"/>
          <w:u w:val="single"/>
        </w:rPr>
        <w:t xml:space="preserve">               202</w:t>
      </w:r>
      <w:r>
        <w:rPr>
          <w:rFonts w:hint="eastAsia" w:ascii="宋体" w:hAnsi="宋体" w:eastAsia="宋体" w:cs="宋体"/>
          <w:color w:val="000000"/>
          <w:sz w:val="30"/>
          <w:szCs w:val="30"/>
          <w:highlight w:val="none"/>
          <w:u w:val="single"/>
          <w:lang w:val="en-US" w:eastAsia="zh-CN"/>
        </w:rPr>
        <w:t>2</w:t>
      </w:r>
      <w:r>
        <w:rPr>
          <w:rFonts w:hint="eastAsia" w:ascii="宋体" w:hAnsi="宋体" w:eastAsia="宋体" w:cs="宋体"/>
          <w:color w:val="000000"/>
          <w:sz w:val="30"/>
          <w:szCs w:val="30"/>
          <w:highlight w:val="none"/>
          <w:u w:val="single"/>
        </w:rPr>
        <w:t xml:space="preserve">年  月  日      </w:t>
      </w:r>
      <w:r>
        <w:rPr>
          <w:rFonts w:hint="eastAsia" w:ascii="宋体" w:hAnsi="宋体" w:eastAsia="宋体" w:cs="宋体"/>
          <w:color w:val="000000"/>
          <w:sz w:val="36"/>
          <w:szCs w:val="40"/>
          <w:highlight w:val="none"/>
          <w:u w:val="single"/>
        </w:rPr>
        <w:t xml:space="preserve">     </w:t>
      </w:r>
    </w:p>
    <w:p>
      <w:pPr>
        <w:shd w:val="solid" w:color="FFFFFF" w:fill="auto"/>
        <w:autoSpaceDN w:val="0"/>
        <w:spacing w:before="210" w:after="210" w:line="360" w:lineRule="auto"/>
        <w:ind w:firstLine="420"/>
        <w:rPr>
          <w:rFonts w:hint="eastAsia" w:ascii="宋体" w:hAnsi="宋体" w:eastAsia="宋体" w:cs="宋体"/>
          <w:color w:val="000000"/>
          <w:szCs w:val="20"/>
          <w:highlight w:val="none"/>
          <w:shd w:val="clear" w:color="auto" w:fill="FFFFFF"/>
        </w:rPr>
      </w:pPr>
    </w:p>
    <w:p>
      <w:pPr>
        <w:spacing w:line="360" w:lineRule="auto"/>
        <w:jc w:val="center"/>
        <w:rPr>
          <w:rFonts w:hint="eastAsia" w:ascii="宋体" w:hAnsi="宋体" w:eastAsia="宋体" w:cs="宋体"/>
          <w:color w:val="000000"/>
          <w:highlight w:val="none"/>
        </w:rPr>
        <w:sectPr>
          <w:pgSz w:w="11906" w:h="16838"/>
          <w:pgMar w:top="1247" w:right="1418" w:bottom="1701"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pPr>
        <w:bidi w:val="0"/>
        <w:spacing w:line="360" w:lineRule="auto"/>
        <w:jc w:val="center"/>
        <w:rPr>
          <w:rFonts w:hint="eastAsia" w:ascii="宋体" w:hAnsi="宋体" w:eastAsia="宋体" w:cs="宋体"/>
          <w:b/>
          <w:bCs/>
          <w:color w:val="000000"/>
          <w:sz w:val="36"/>
          <w:szCs w:val="40"/>
          <w:highlight w:val="none"/>
          <w:lang w:val="en-US" w:eastAsia="zh-CN"/>
        </w:rPr>
      </w:pPr>
      <w:r>
        <w:rPr>
          <w:rFonts w:hint="eastAsia" w:ascii="宋体" w:hAnsi="宋体" w:eastAsia="宋体" w:cs="宋体"/>
          <w:b/>
          <w:bCs/>
          <w:color w:val="000000"/>
          <w:sz w:val="36"/>
          <w:szCs w:val="40"/>
          <w:highlight w:val="none"/>
          <w:lang w:val="en-US" w:eastAsia="zh-CN"/>
        </w:rPr>
        <w:t>第一章 合同条款</w:t>
      </w:r>
    </w:p>
    <w:p>
      <w:pPr>
        <w:bidi w:val="0"/>
        <w:spacing w:line="360" w:lineRule="auto"/>
        <w:rPr>
          <w:rFonts w:hint="eastAsia" w:ascii="宋体" w:hAnsi="宋体" w:eastAsia="宋体" w:cs="宋体"/>
          <w:color w:val="000000"/>
          <w:sz w:val="28"/>
          <w:szCs w:val="32"/>
          <w:highlight w:val="none"/>
          <w:u w:val="single"/>
        </w:rPr>
      </w:pPr>
      <w:r>
        <w:rPr>
          <w:rFonts w:hint="eastAsia" w:ascii="宋体" w:hAnsi="宋体" w:eastAsia="宋体" w:cs="宋体"/>
          <w:color w:val="000000"/>
          <w:sz w:val="28"/>
          <w:szCs w:val="32"/>
          <w:highlight w:val="none"/>
          <w:u w:val="single"/>
          <w:lang w:val="en-US" w:eastAsia="zh-CN"/>
        </w:rPr>
        <w:t>采购人</w:t>
      </w:r>
      <w:r>
        <w:rPr>
          <w:rFonts w:hint="eastAsia" w:ascii="宋体" w:hAnsi="宋体" w:eastAsia="宋体" w:cs="宋体"/>
          <w:color w:val="000000"/>
          <w:sz w:val="28"/>
          <w:szCs w:val="32"/>
          <w:highlight w:val="none"/>
          <w:u w:val="single"/>
        </w:rPr>
        <w:t>： 绍兴市上虞杭州湾滨海新城投资开发建设有限公司</w:t>
      </w:r>
      <w:r>
        <w:rPr>
          <w:rFonts w:hint="eastAsia" w:ascii="宋体" w:hAnsi="宋体" w:eastAsia="宋体" w:cs="宋体"/>
          <w:color w:val="000000"/>
          <w:sz w:val="28"/>
          <w:szCs w:val="32"/>
          <w:highlight w:val="none"/>
          <w:u w:val="single"/>
          <w:lang w:val="en-US" w:eastAsia="zh-CN"/>
        </w:rPr>
        <w:t xml:space="preserve"> （甲方）</w:t>
      </w:r>
      <w:r>
        <w:rPr>
          <w:rFonts w:hint="eastAsia" w:ascii="宋体" w:hAnsi="宋体" w:eastAsia="宋体" w:cs="宋体"/>
          <w:color w:val="000000"/>
          <w:sz w:val="28"/>
          <w:szCs w:val="32"/>
          <w:highlight w:val="none"/>
          <w:u w:val="single"/>
        </w:rPr>
        <w:t xml:space="preserve">  </w:t>
      </w:r>
    </w:p>
    <w:p>
      <w:pPr>
        <w:bidi w:val="0"/>
        <w:spacing w:line="360" w:lineRule="auto"/>
        <w:rPr>
          <w:rFonts w:hint="default" w:ascii="宋体" w:hAnsi="宋体" w:eastAsia="宋体" w:cs="宋体"/>
          <w:color w:val="000000"/>
          <w:sz w:val="28"/>
          <w:szCs w:val="32"/>
          <w:highlight w:val="none"/>
          <w:u w:val="single"/>
          <w:lang w:val="en-US" w:eastAsia="zh-CN"/>
        </w:rPr>
      </w:pPr>
      <w:r>
        <w:rPr>
          <w:rFonts w:hint="eastAsia" w:ascii="宋体" w:hAnsi="宋体" w:eastAsia="宋体" w:cs="宋体"/>
          <w:color w:val="000000"/>
          <w:sz w:val="28"/>
          <w:szCs w:val="32"/>
          <w:highlight w:val="none"/>
          <w:u w:val="single"/>
          <w:lang w:val="en-US" w:eastAsia="zh-CN"/>
        </w:rPr>
        <w:t>供货人</w:t>
      </w:r>
      <w:r>
        <w:rPr>
          <w:rFonts w:hint="eastAsia" w:ascii="宋体" w:hAnsi="宋体" w:eastAsia="宋体" w:cs="宋体"/>
          <w:color w:val="000000"/>
          <w:sz w:val="28"/>
          <w:szCs w:val="32"/>
          <w:highlight w:val="none"/>
          <w:u w:val="single"/>
        </w:rPr>
        <w:t xml:space="preserve">：     </w:t>
      </w:r>
      <w:r>
        <w:rPr>
          <w:rFonts w:hint="eastAsia" w:ascii="宋体" w:hAnsi="宋体" w:eastAsia="宋体" w:cs="宋体"/>
          <w:color w:val="000000"/>
          <w:sz w:val="28"/>
          <w:szCs w:val="32"/>
          <w:highlight w:val="none"/>
          <w:u w:val="single"/>
          <w:lang w:val="en-US" w:eastAsia="zh-CN"/>
        </w:rPr>
        <w:t xml:space="preserve">                         </w:t>
      </w:r>
      <w:r>
        <w:rPr>
          <w:rFonts w:hint="eastAsia" w:ascii="宋体" w:hAnsi="宋体" w:eastAsia="宋体" w:cs="宋体"/>
          <w:color w:val="000000"/>
          <w:sz w:val="28"/>
          <w:szCs w:val="32"/>
          <w:highlight w:val="none"/>
          <w:u w:val="single"/>
        </w:rPr>
        <w:t xml:space="preserve">                </w:t>
      </w:r>
      <w:r>
        <w:rPr>
          <w:rFonts w:hint="eastAsia" w:ascii="宋体" w:hAnsi="宋体" w:eastAsia="宋体" w:cs="宋体"/>
          <w:color w:val="000000"/>
          <w:sz w:val="28"/>
          <w:szCs w:val="32"/>
          <w:highlight w:val="none"/>
          <w:u w:val="single"/>
          <w:lang w:val="en-US" w:eastAsia="zh-CN"/>
        </w:rPr>
        <w:t>（乙方）</w:t>
      </w:r>
      <w:r>
        <w:rPr>
          <w:rFonts w:hint="eastAsia" w:eastAsia="宋体" w:cs="宋体"/>
          <w:color w:val="000000"/>
          <w:sz w:val="28"/>
          <w:szCs w:val="32"/>
          <w:highlight w:val="none"/>
          <w:u w:val="single"/>
          <w:lang w:val="en-US" w:eastAsia="zh-CN"/>
        </w:rPr>
        <w:t xml:space="preserve">  </w:t>
      </w:r>
    </w:p>
    <w:p>
      <w:pPr>
        <w:spacing w:line="360" w:lineRule="auto"/>
        <w:ind w:firstLine="480" w:firstLineChars="200"/>
        <w:rPr>
          <w:rFonts w:hint="eastAsia" w:ascii="宋体" w:hAnsi="宋体" w:eastAsia="宋体" w:cs="宋体"/>
          <w:b w:val="0"/>
          <w:bCs w:val="0"/>
          <w:color w:val="000000"/>
          <w:kern w:val="2"/>
          <w:sz w:val="24"/>
          <w:szCs w:val="24"/>
          <w:highlight w:val="none"/>
          <w:u w:val="single"/>
          <w:lang w:val="en-US" w:eastAsia="zh-CN" w:bidi="ar-SA"/>
        </w:rPr>
      </w:pPr>
      <w:r>
        <w:rPr>
          <w:rFonts w:hint="eastAsia" w:ascii="宋体" w:hAnsi="宋体" w:eastAsia="宋体" w:cs="宋体"/>
          <w:b w:val="0"/>
          <w:bCs w:val="0"/>
          <w:color w:val="000000"/>
          <w:kern w:val="0"/>
          <w:sz w:val="24"/>
          <w:szCs w:val="24"/>
          <w:highlight w:val="none"/>
          <w:u w:val="single"/>
        </w:rPr>
        <w:t>绍兴市上虞杭州湾滨海新城投资开发建设有限公司</w:t>
      </w:r>
      <w:r>
        <w:rPr>
          <w:rFonts w:hint="eastAsia" w:ascii="宋体" w:hAnsi="宋体" w:eastAsia="宋体" w:cs="宋体"/>
          <w:b w:val="0"/>
          <w:bCs w:val="0"/>
          <w:color w:val="000000"/>
          <w:kern w:val="0"/>
          <w:sz w:val="24"/>
          <w:szCs w:val="24"/>
          <w:highlight w:val="none"/>
          <w:u w:val="none"/>
          <w:lang w:eastAsia="zh-CN"/>
        </w:rPr>
        <w:t>（</w:t>
      </w:r>
      <w:r>
        <w:rPr>
          <w:rFonts w:hint="eastAsia" w:ascii="宋体" w:hAnsi="宋体" w:eastAsia="宋体" w:cs="宋体"/>
          <w:b w:val="0"/>
          <w:bCs w:val="0"/>
          <w:color w:val="000000"/>
          <w:kern w:val="0"/>
          <w:sz w:val="24"/>
          <w:szCs w:val="24"/>
          <w:highlight w:val="none"/>
          <w:u w:val="none"/>
          <w:lang w:val="en-US" w:eastAsia="zh-CN"/>
        </w:rPr>
        <w:t>采购人、甲方</w:t>
      </w:r>
      <w:r>
        <w:rPr>
          <w:rFonts w:hint="eastAsia" w:ascii="宋体" w:hAnsi="宋体" w:eastAsia="宋体" w:cs="宋体"/>
          <w:b w:val="0"/>
          <w:bCs w:val="0"/>
          <w:color w:val="000000"/>
          <w:kern w:val="0"/>
          <w:sz w:val="24"/>
          <w:szCs w:val="24"/>
          <w:highlight w:val="none"/>
          <w:u w:val="none"/>
          <w:lang w:eastAsia="zh-CN"/>
        </w:rPr>
        <w:t>）</w:t>
      </w:r>
      <w:r>
        <w:rPr>
          <w:rFonts w:hint="eastAsia" w:ascii="宋体" w:hAnsi="宋体" w:eastAsia="宋体" w:cs="宋体"/>
          <w:b w:val="0"/>
          <w:bCs w:val="0"/>
          <w:color w:val="000000"/>
          <w:kern w:val="2"/>
          <w:sz w:val="24"/>
          <w:szCs w:val="24"/>
          <w:highlight w:val="none"/>
          <w:u w:val="single"/>
          <w:lang w:val="en-US" w:eastAsia="zh-CN" w:bidi="ar-SA"/>
        </w:rPr>
        <w:t>浙江邵逸夫医院绍兴院</w:t>
      </w:r>
      <w:r>
        <w:rPr>
          <w:rFonts w:hint="eastAsia" w:ascii="宋体" w:hAnsi="宋体" w:eastAsia="宋体" w:cs="宋体"/>
          <w:b w:val="0"/>
          <w:bCs w:val="0"/>
          <w:color w:val="000000"/>
          <w:kern w:val="2"/>
          <w:sz w:val="24"/>
          <w:szCs w:val="24"/>
          <w:highlight w:val="none"/>
          <w:u w:val="none"/>
          <w:lang w:val="zh-TW" w:eastAsia="zh-CN" w:bidi="ar-SA"/>
        </w:rPr>
        <w:t>（</w:t>
      </w:r>
      <w:r>
        <w:rPr>
          <w:rFonts w:hint="eastAsia" w:ascii="宋体" w:hAnsi="宋体" w:eastAsia="宋体" w:cs="宋体"/>
          <w:b w:val="0"/>
          <w:bCs w:val="0"/>
          <w:color w:val="000000"/>
          <w:kern w:val="2"/>
          <w:sz w:val="24"/>
          <w:szCs w:val="24"/>
          <w:highlight w:val="none"/>
          <w:u w:val="none"/>
          <w:lang w:val="en-US" w:eastAsia="zh-CN" w:bidi="ar-SA"/>
        </w:rPr>
        <w:t>项目名称</w:t>
      </w:r>
      <w:r>
        <w:rPr>
          <w:rFonts w:hint="eastAsia" w:ascii="宋体" w:hAnsi="宋体" w:eastAsia="宋体" w:cs="宋体"/>
          <w:b w:val="0"/>
          <w:bCs w:val="0"/>
          <w:color w:val="000000"/>
          <w:kern w:val="2"/>
          <w:sz w:val="24"/>
          <w:szCs w:val="24"/>
          <w:highlight w:val="none"/>
          <w:u w:val="none"/>
          <w:lang w:val="zh-TW" w:eastAsia="zh-CN" w:bidi="ar-SA"/>
        </w:rPr>
        <w:t>）</w:t>
      </w:r>
      <w:r>
        <w:rPr>
          <w:rFonts w:hint="eastAsia" w:ascii="宋体" w:hAnsi="宋体" w:eastAsia="宋体" w:cs="宋体"/>
          <w:b w:val="0"/>
          <w:bCs w:val="0"/>
          <w:color w:val="000000"/>
          <w:kern w:val="2"/>
          <w:sz w:val="24"/>
          <w:szCs w:val="24"/>
          <w:highlight w:val="none"/>
          <w:u w:val="none"/>
          <w:lang w:val="en-US" w:eastAsia="zh-CN" w:bidi="ar-SA"/>
        </w:rPr>
        <w:t>中所需</w:t>
      </w:r>
      <w:r>
        <w:rPr>
          <w:rFonts w:hint="eastAsia" w:ascii="宋体" w:hAnsi="宋体" w:eastAsia="宋体" w:cs="宋体"/>
          <w:b w:val="0"/>
          <w:bCs w:val="0"/>
          <w:color w:val="000000"/>
          <w:kern w:val="2"/>
          <w:sz w:val="24"/>
          <w:szCs w:val="24"/>
          <w:highlight w:val="none"/>
          <w:u w:val="single"/>
          <w:lang w:val="en-US" w:eastAsia="zh-CN" w:bidi="ar-SA"/>
        </w:rPr>
        <w:t xml:space="preserve"> 医用纯水系统采购及安装项目 </w:t>
      </w:r>
      <w:r>
        <w:rPr>
          <w:rFonts w:hint="eastAsia" w:ascii="宋体" w:hAnsi="宋体" w:eastAsia="宋体" w:cs="宋体"/>
          <w:b w:val="0"/>
          <w:bCs w:val="0"/>
          <w:color w:val="000000"/>
          <w:kern w:val="2"/>
          <w:sz w:val="24"/>
          <w:szCs w:val="24"/>
          <w:highlight w:val="none"/>
          <w:u w:val="none"/>
          <w:lang w:val="en-US" w:eastAsia="zh-CN" w:bidi="ar-SA"/>
        </w:rPr>
        <w:t>，经</w:t>
      </w:r>
      <w:r>
        <w:rPr>
          <w:rFonts w:hint="eastAsia" w:ascii="宋体" w:hAnsi="宋体" w:eastAsia="宋体" w:cs="宋体"/>
          <w:b w:val="0"/>
          <w:bCs w:val="0"/>
          <w:color w:val="000000"/>
          <w:kern w:val="0"/>
          <w:sz w:val="24"/>
          <w:szCs w:val="24"/>
          <w:highlight w:val="none"/>
          <w:u w:val="single"/>
        </w:rPr>
        <w:t>绍兴市上虞杭州湾滨海新城投资开发建设有限公司</w:t>
      </w:r>
      <w:r>
        <w:rPr>
          <w:rFonts w:hint="eastAsia" w:ascii="宋体" w:hAnsi="宋体" w:eastAsia="宋体" w:cs="宋体"/>
          <w:b w:val="0"/>
          <w:bCs w:val="0"/>
          <w:color w:val="000000"/>
          <w:kern w:val="0"/>
          <w:sz w:val="24"/>
          <w:szCs w:val="24"/>
          <w:highlight w:val="none"/>
          <w:u w:val="single"/>
          <w:lang w:val="en-US" w:eastAsia="zh-CN"/>
        </w:rPr>
        <w:t xml:space="preserve"> </w:t>
      </w:r>
      <w:r>
        <w:rPr>
          <w:rFonts w:hint="eastAsia" w:ascii="宋体" w:hAnsi="宋体" w:eastAsia="宋体" w:cs="宋体"/>
          <w:b w:val="0"/>
          <w:bCs w:val="0"/>
          <w:color w:val="000000"/>
          <w:kern w:val="0"/>
          <w:sz w:val="24"/>
          <w:szCs w:val="24"/>
          <w:highlight w:val="none"/>
          <w:u w:val="none"/>
          <w:lang w:eastAsia="zh-CN"/>
        </w:rPr>
        <w:t>（</w:t>
      </w:r>
      <w:r>
        <w:rPr>
          <w:rFonts w:hint="eastAsia" w:ascii="宋体" w:hAnsi="宋体" w:eastAsia="宋体" w:cs="宋体"/>
          <w:b w:val="0"/>
          <w:bCs w:val="0"/>
          <w:color w:val="000000"/>
          <w:kern w:val="0"/>
          <w:sz w:val="24"/>
          <w:szCs w:val="24"/>
          <w:highlight w:val="none"/>
          <w:u w:val="none"/>
          <w:lang w:val="en-US" w:eastAsia="zh-CN"/>
        </w:rPr>
        <w:t>采购人、甲方</w:t>
      </w:r>
      <w:r>
        <w:rPr>
          <w:rFonts w:hint="eastAsia" w:ascii="宋体" w:hAnsi="宋体" w:eastAsia="宋体" w:cs="宋体"/>
          <w:b w:val="0"/>
          <w:bCs w:val="0"/>
          <w:color w:val="000000"/>
          <w:kern w:val="0"/>
          <w:sz w:val="24"/>
          <w:szCs w:val="24"/>
          <w:highlight w:val="none"/>
          <w:u w:val="none"/>
          <w:lang w:eastAsia="zh-CN"/>
        </w:rPr>
        <w:t>）</w:t>
      </w:r>
      <w:r>
        <w:rPr>
          <w:rFonts w:hint="eastAsia" w:ascii="宋体" w:hAnsi="宋体" w:eastAsia="宋体" w:cs="宋体"/>
          <w:b w:val="0"/>
          <w:bCs w:val="0"/>
          <w:color w:val="000000"/>
          <w:kern w:val="0"/>
          <w:sz w:val="24"/>
          <w:szCs w:val="24"/>
          <w:highlight w:val="none"/>
          <w:u w:val="none"/>
          <w:lang w:val="en-US" w:eastAsia="zh-CN"/>
        </w:rPr>
        <w:t>以招标文件（招标项目编号）</w:t>
      </w:r>
      <w:r>
        <w:rPr>
          <w:rFonts w:hint="eastAsia" w:ascii="宋体" w:hAnsi="宋体" w:eastAsia="宋体" w:cs="宋体"/>
          <w:b w:val="0"/>
          <w:bCs w:val="0"/>
          <w:color w:val="000000"/>
          <w:kern w:val="2"/>
          <w:sz w:val="24"/>
          <w:szCs w:val="24"/>
          <w:highlight w:val="none"/>
          <w:u w:val="single"/>
          <w:lang w:val="en-US" w:eastAsia="zh-CN" w:bidi="ar-SA"/>
        </w:rPr>
        <w:t xml:space="preserve">         </w:t>
      </w:r>
    </w:p>
    <w:p>
      <w:pPr>
        <w:spacing w:line="360" w:lineRule="auto"/>
        <w:rPr>
          <w:rFonts w:hint="eastAsia" w:ascii="宋体" w:hAnsi="宋体" w:eastAsia="宋体" w:cs="宋体"/>
          <w:b w:val="0"/>
          <w:bCs w:val="0"/>
          <w:color w:val="000000"/>
          <w:kern w:val="2"/>
          <w:sz w:val="24"/>
          <w:szCs w:val="24"/>
          <w:highlight w:val="none"/>
          <w:u w:val="single"/>
          <w:lang w:val="en-US" w:eastAsia="zh-CN" w:bidi="ar-SA"/>
        </w:rPr>
      </w:pPr>
      <w:r>
        <w:rPr>
          <w:rFonts w:hint="eastAsia" w:ascii="宋体" w:hAnsi="宋体" w:eastAsia="宋体" w:cs="宋体"/>
          <w:b w:val="0"/>
          <w:bCs w:val="0"/>
          <w:color w:val="000000"/>
          <w:kern w:val="2"/>
          <w:sz w:val="24"/>
          <w:szCs w:val="24"/>
          <w:highlight w:val="none"/>
          <w:u w:val="single"/>
          <w:lang w:val="en-US" w:eastAsia="zh-CN" w:bidi="ar-SA"/>
        </w:rPr>
        <w:t xml:space="preserve">       </w:t>
      </w:r>
      <w:r>
        <w:rPr>
          <w:rFonts w:hint="eastAsia" w:ascii="宋体" w:hAnsi="宋体" w:eastAsia="宋体" w:cs="宋体"/>
          <w:b w:val="0"/>
          <w:bCs w:val="0"/>
          <w:color w:val="000000"/>
          <w:kern w:val="2"/>
          <w:sz w:val="24"/>
          <w:szCs w:val="24"/>
          <w:highlight w:val="none"/>
          <w:u w:val="none"/>
          <w:lang w:val="en-US" w:eastAsia="zh-CN" w:bidi="ar-SA"/>
        </w:rPr>
        <w:t>进行公开招标。经评标委员会评定</w:t>
      </w:r>
      <w:r>
        <w:rPr>
          <w:rFonts w:hint="eastAsia" w:ascii="宋体" w:hAnsi="宋体" w:eastAsia="宋体" w:cs="宋体"/>
          <w:b w:val="0"/>
          <w:bCs w:val="0"/>
          <w:color w:val="000000"/>
          <w:kern w:val="2"/>
          <w:sz w:val="24"/>
          <w:szCs w:val="24"/>
          <w:highlight w:val="none"/>
          <w:u w:val="single"/>
          <w:lang w:val="en-US" w:eastAsia="zh-CN" w:bidi="ar-SA"/>
        </w:rPr>
        <w:t xml:space="preserve">                </w:t>
      </w:r>
      <w:r>
        <w:rPr>
          <w:rFonts w:hint="eastAsia" w:ascii="宋体" w:hAnsi="宋体" w:eastAsia="宋体" w:cs="宋体"/>
          <w:b w:val="0"/>
          <w:bCs w:val="0"/>
          <w:color w:val="000000"/>
          <w:kern w:val="2"/>
          <w:sz w:val="24"/>
          <w:szCs w:val="24"/>
          <w:highlight w:val="none"/>
          <w:u w:val="none"/>
          <w:lang w:val="en-US" w:eastAsia="zh-CN" w:bidi="ar-SA"/>
        </w:rPr>
        <w:t>（供货人、乙方）为中标人，甲、乙双方根据</w:t>
      </w:r>
      <w:r>
        <w:rPr>
          <w:rFonts w:hint="eastAsia" w:ascii="宋体" w:hAnsi="宋体" w:eastAsia="宋体" w:cs="宋体"/>
          <w:color w:val="000000"/>
          <w:sz w:val="24"/>
          <w:highlight w:val="none"/>
        </w:rPr>
        <w:t>《</w:t>
      </w:r>
      <w:r>
        <w:rPr>
          <w:rFonts w:hint="eastAsia" w:ascii="宋体" w:hAnsi="宋体" w:eastAsia="宋体" w:cs="宋体"/>
          <w:color w:val="000000"/>
          <w:sz w:val="24"/>
          <w:highlight w:val="none"/>
          <w:lang w:eastAsia="zh-CN"/>
        </w:rPr>
        <w:t>上虞区区属国有企业货物和服务采购管理办法</w:t>
      </w:r>
      <w:r>
        <w:rPr>
          <w:rFonts w:hint="eastAsia" w:ascii="宋体" w:hAnsi="宋体" w:eastAsia="宋体" w:cs="宋体"/>
          <w:color w:val="000000"/>
          <w:sz w:val="24"/>
          <w:highlight w:val="none"/>
        </w:rPr>
        <w:t>》</w:t>
      </w:r>
      <w:r>
        <w:rPr>
          <w:rFonts w:hint="eastAsia" w:ascii="宋体" w:hAnsi="宋体" w:eastAsia="宋体" w:cs="宋体"/>
          <w:b w:val="0"/>
          <w:bCs w:val="0"/>
          <w:color w:val="000000"/>
          <w:kern w:val="2"/>
          <w:sz w:val="24"/>
          <w:szCs w:val="24"/>
          <w:highlight w:val="none"/>
          <w:u w:val="none"/>
          <w:lang w:val="en-US" w:eastAsia="zh-CN" w:bidi="ar-SA"/>
        </w:rPr>
        <w:t>、《中华人民共和国民法典》，在平等自愿的基础上，同意按照下面条款和条件约定内容签署本合同。</w:t>
      </w:r>
    </w:p>
    <w:p>
      <w:pPr>
        <w:pStyle w:val="62"/>
        <w:keepNext/>
        <w:keepLines/>
        <w:spacing w:before="120" w:after="120" w:line="440" w:lineRule="exact"/>
        <w:outlineLvl w:val="3"/>
        <w:rPr>
          <w:rFonts w:hint="eastAsia" w:ascii="宋体" w:hAnsi="宋体" w:cs="宋体"/>
          <w:b/>
          <w:bCs/>
          <w:color w:val="000000"/>
          <w:sz w:val="24"/>
          <w:szCs w:val="24"/>
          <w:highlight w:val="none"/>
          <w:lang w:eastAsia="zh-CN"/>
        </w:rPr>
      </w:pPr>
      <w:r>
        <w:rPr>
          <w:rFonts w:hint="eastAsia" w:ascii="宋体" w:hAnsi="宋体" w:eastAsia="宋体" w:cs="宋体"/>
          <w:b/>
          <w:bCs/>
          <w:color w:val="000000"/>
          <w:sz w:val="24"/>
          <w:szCs w:val="24"/>
          <w:highlight w:val="none"/>
        </w:rPr>
        <w:t>一、</w:t>
      </w:r>
      <w:r>
        <w:rPr>
          <w:rFonts w:hint="eastAsia" w:ascii="宋体" w:hAnsi="宋体" w:cs="宋体"/>
          <w:b/>
          <w:bCs/>
          <w:color w:val="000000"/>
          <w:sz w:val="24"/>
          <w:szCs w:val="24"/>
          <w:highlight w:val="none"/>
          <w:lang w:eastAsia="zh-CN"/>
        </w:rPr>
        <w:t>项目概况及合同金额</w:t>
      </w:r>
    </w:p>
    <w:p>
      <w:pPr>
        <w:pStyle w:val="62"/>
        <w:keepNext/>
        <w:keepLines/>
        <w:spacing w:before="120" w:after="120" w:line="440" w:lineRule="exact"/>
        <w:outlineLvl w:val="3"/>
        <w:rPr>
          <w:rFonts w:hint="eastAsia" w:ascii="宋体" w:hAnsi="宋体" w:cs="宋体"/>
          <w:b/>
          <w:bCs/>
          <w:color w:val="000000"/>
          <w:sz w:val="24"/>
          <w:szCs w:val="24"/>
          <w:highlight w:val="none"/>
          <w:lang w:eastAsia="zh-CN"/>
        </w:rPr>
      </w:pPr>
      <w:r>
        <w:rPr>
          <w:rFonts w:hint="eastAsia" w:ascii="宋体" w:hAnsi="宋体" w:cs="宋体"/>
          <w:b/>
          <w:bCs/>
          <w:color w:val="000000"/>
          <w:sz w:val="24"/>
          <w:szCs w:val="24"/>
          <w:highlight w:val="none"/>
          <w:lang w:eastAsia="zh-CN"/>
        </w:rPr>
        <w:t>（一）项目概况</w:t>
      </w:r>
    </w:p>
    <w:p>
      <w:pPr>
        <w:pStyle w:val="62"/>
        <w:widowControl/>
        <w:adjustRightInd w:val="0"/>
        <w:snapToGrid w:val="0"/>
        <w:spacing w:line="360" w:lineRule="auto"/>
        <w:ind w:firstLine="480" w:firstLineChars="200"/>
        <w:jc w:val="left"/>
        <w:rPr>
          <w:rFonts w:hint="eastAsia" w:ascii="宋体" w:hAnsi="宋体" w:eastAsia="宋体" w:cs="宋体"/>
          <w:color w:val="000000"/>
          <w:sz w:val="24"/>
          <w:szCs w:val="24"/>
          <w:highlight w:val="none"/>
          <w:lang w:eastAsia="zh-CN"/>
        </w:rPr>
      </w:pPr>
      <w:r>
        <w:rPr>
          <w:rFonts w:hint="eastAsia" w:ascii="宋体" w:hAnsi="宋体" w:eastAsia="宋体" w:cs="宋体"/>
          <w:color w:val="000000"/>
          <w:sz w:val="24"/>
          <w:szCs w:val="24"/>
          <w:highlight w:val="none"/>
          <w:lang w:val="en-US" w:eastAsia="zh-CN"/>
        </w:rPr>
        <w:t>以邵逸夫医院绍兴院区新院工地自来水为原水（水质以提取医院工地水样做检测，指标符合国家生活饮用水卫生标准为准），由位于地下层的中心纯水机房经适当的水处理工艺流程处理后，向各用水科室或部门提供满足各自用水要求的医用纯水。</w:t>
      </w:r>
    </w:p>
    <w:p>
      <w:pPr>
        <w:pStyle w:val="62"/>
        <w:keepNext/>
        <w:keepLines/>
        <w:spacing w:before="120" w:after="120" w:line="440" w:lineRule="exact"/>
        <w:outlineLvl w:val="3"/>
        <w:rPr>
          <w:rFonts w:hint="eastAsia" w:ascii="宋体" w:hAnsi="宋体" w:eastAsia="宋体" w:cs="宋体"/>
          <w:b/>
          <w:bCs/>
          <w:color w:val="000000"/>
          <w:sz w:val="24"/>
          <w:szCs w:val="24"/>
          <w:highlight w:val="none"/>
        </w:rPr>
      </w:pPr>
      <w:r>
        <w:rPr>
          <w:rFonts w:hint="eastAsia" w:ascii="宋体" w:hAnsi="宋体" w:cs="宋体"/>
          <w:b/>
          <w:bCs/>
          <w:color w:val="000000"/>
          <w:sz w:val="24"/>
          <w:szCs w:val="24"/>
          <w:highlight w:val="none"/>
          <w:lang w:eastAsia="zh-CN"/>
        </w:rPr>
        <w:t>（二）</w:t>
      </w:r>
      <w:r>
        <w:rPr>
          <w:rFonts w:hint="eastAsia" w:ascii="宋体" w:hAnsi="宋体" w:eastAsia="宋体" w:cs="宋体"/>
          <w:b/>
          <w:bCs/>
          <w:color w:val="000000"/>
          <w:sz w:val="24"/>
          <w:szCs w:val="24"/>
          <w:highlight w:val="none"/>
        </w:rPr>
        <w:t>产品名称及金额</w:t>
      </w:r>
    </w:p>
    <w:p>
      <w:pPr>
        <w:pStyle w:val="62"/>
        <w:widowControl/>
        <w:adjustRightInd w:val="0"/>
        <w:snapToGrid w:val="0"/>
        <w:spacing w:line="360" w:lineRule="auto"/>
        <w:ind w:firstLine="480" w:firstLineChars="200"/>
        <w:jc w:val="left"/>
        <w:rPr>
          <w:rFonts w:hint="eastAsia" w:ascii="宋体" w:hAnsi="宋体" w:eastAsia="宋体" w:cs="宋体"/>
          <w:b w:val="0"/>
          <w:bCs w:val="0"/>
          <w:color w:val="000000"/>
          <w:sz w:val="24"/>
          <w:szCs w:val="24"/>
          <w:highlight w:val="none"/>
          <w:lang w:val="en-US" w:eastAsia="zh-CN"/>
        </w:rPr>
      </w:pPr>
      <w:r>
        <w:rPr>
          <w:rFonts w:hint="eastAsia" w:ascii="宋体" w:hAnsi="宋体" w:cs="宋体"/>
          <w:color w:val="000000"/>
          <w:sz w:val="24"/>
          <w:szCs w:val="24"/>
          <w:highlight w:val="none"/>
          <w:lang w:val="en-US" w:eastAsia="zh-CN"/>
        </w:rPr>
        <w:t>1</w:t>
      </w:r>
      <w:r>
        <w:rPr>
          <w:rFonts w:hint="eastAsia" w:ascii="宋体" w:hAnsi="宋体" w:eastAsia="宋体" w:cs="宋体"/>
          <w:color w:val="000000"/>
          <w:sz w:val="24"/>
          <w:szCs w:val="24"/>
          <w:highlight w:val="none"/>
        </w:rPr>
        <w:t>、</w:t>
      </w:r>
      <w:r>
        <w:rPr>
          <w:rFonts w:hint="eastAsia" w:ascii="宋体" w:hAnsi="宋体" w:eastAsia="宋体" w:cs="宋体"/>
          <w:b/>
          <w:bCs/>
          <w:color w:val="000000"/>
          <w:sz w:val="24"/>
          <w:szCs w:val="24"/>
          <w:highlight w:val="none"/>
        </w:rPr>
        <w:t>本合同总价：</w:t>
      </w:r>
      <w:r>
        <w:rPr>
          <w:rFonts w:hint="eastAsia" w:ascii="宋体" w:hAnsi="宋体" w:eastAsia="宋体" w:cs="宋体"/>
          <w:b w:val="0"/>
          <w:bCs w:val="0"/>
          <w:color w:val="000000"/>
          <w:sz w:val="24"/>
          <w:szCs w:val="24"/>
          <w:highlight w:val="none"/>
        </w:rPr>
        <w:t xml:space="preserve">人民币 </w:t>
      </w:r>
      <w:r>
        <w:rPr>
          <w:rFonts w:hint="eastAsia" w:ascii="宋体" w:hAnsi="宋体" w:eastAsia="宋体" w:cs="宋体"/>
          <w:b w:val="0"/>
          <w:bCs w:val="0"/>
          <w:color w:val="000000"/>
          <w:sz w:val="24"/>
          <w:szCs w:val="24"/>
          <w:highlight w:val="none"/>
          <w:u w:val="single"/>
        </w:rPr>
        <w:t xml:space="preserve">  </w:t>
      </w:r>
      <w:r>
        <w:rPr>
          <w:rFonts w:hint="eastAsia" w:ascii="宋体" w:hAnsi="宋体" w:eastAsia="宋体" w:cs="宋体"/>
          <w:b w:val="0"/>
          <w:bCs w:val="0"/>
          <w:color w:val="000000"/>
          <w:sz w:val="24"/>
          <w:szCs w:val="24"/>
          <w:highlight w:val="none"/>
          <w:u w:val="single"/>
          <w:lang w:val="en-US" w:eastAsia="zh-CN"/>
        </w:rPr>
        <w:t xml:space="preserve">        </w:t>
      </w:r>
      <w:r>
        <w:rPr>
          <w:rFonts w:hint="eastAsia" w:ascii="宋体" w:hAnsi="宋体" w:eastAsia="宋体" w:cs="宋体"/>
          <w:b w:val="0"/>
          <w:bCs w:val="0"/>
          <w:color w:val="000000"/>
          <w:sz w:val="24"/>
          <w:szCs w:val="24"/>
          <w:highlight w:val="none"/>
          <w:u w:val="single"/>
        </w:rPr>
        <w:t xml:space="preserve"> </w:t>
      </w:r>
      <w:r>
        <w:rPr>
          <w:rFonts w:hint="eastAsia" w:ascii="宋体" w:hAnsi="宋体" w:eastAsia="宋体" w:cs="宋体"/>
          <w:b w:val="0"/>
          <w:bCs w:val="0"/>
          <w:color w:val="000000"/>
          <w:sz w:val="24"/>
          <w:szCs w:val="24"/>
          <w:highlight w:val="none"/>
        </w:rPr>
        <w:t>元整（小写：￥</w:t>
      </w:r>
      <w:r>
        <w:rPr>
          <w:rFonts w:hint="eastAsia" w:ascii="宋体" w:hAnsi="宋体" w:eastAsia="宋体" w:cs="宋体"/>
          <w:b w:val="0"/>
          <w:bCs w:val="0"/>
          <w:color w:val="000000"/>
          <w:sz w:val="24"/>
          <w:szCs w:val="24"/>
          <w:highlight w:val="none"/>
          <w:u w:val="single"/>
        </w:rPr>
        <w:t xml:space="preserve">  </w:t>
      </w:r>
      <w:r>
        <w:rPr>
          <w:rFonts w:hint="eastAsia" w:ascii="宋体" w:hAnsi="宋体" w:eastAsia="宋体" w:cs="宋体"/>
          <w:b w:val="0"/>
          <w:bCs w:val="0"/>
          <w:color w:val="000000"/>
          <w:sz w:val="24"/>
          <w:szCs w:val="24"/>
          <w:highlight w:val="none"/>
          <w:u w:val="single"/>
          <w:lang w:val="en-US" w:eastAsia="zh-CN"/>
        </w:rPr>
        <w:t xml:space="preserve">  </w:t>
      </w:r>
      <w:r>
        <w:rPr>
          <w:rFonts w:hint="eastAsia" w:ascii="宋体" w:hAnsi="宋体" w:eastAsia="宋体" w:cs="宋体"/>
          <w:b w:val="0"/>
          <w:bCs w:val="0"/>
          <w:color w:val="000000"/>
          <w:sz w:val="24"/>
          <w:szCs w:val="24"/>
          <w:highlight w:val="none"/>
          <w:u w:val="single"/>
        </w:rPr>
        <w:t xml:space="preserve">  </w:t>
      </w:r>
      <w:r>
        <w:rPr>
          <w:rFonts w:hint="eastAsia" w:ascii="宋体" w:hAnsi="宋体" w:eastAsia="宋体" w:cs="宋体"/>
          <w:b w:val="0"/>
          <w:bCs w:val="0"/>
          <w:color w:val="000000"/>
          <w:sz w:val="24"/>
          <w:szCs w:val="24"/>
          <w:highlight w:val="none"/>
        </w:rPr>
        <w:t>万元）</w:t>
      </w:r>
      <w:r>
        <w:rPr>
          <w:rFonts w:hint="eastAsia" w:ascii="宋体" w:hAnsi="宋体" w:eastAsia="宋体" w:cs="宋体"/>
          <w:b w:val="0"/>
          <w:bCs w:val="0"/>
          <w:color w:val="000000"/>
          <w:sz w:val="24"/>
          <w:szCs w:val="24"/>
          <w:highlight w:val="none"/>
          <w:lang w:eastAsia="zh-CN"/>
        </w:rPr>
        <w:t>。</w:t>
      </w:r>
    </w:p>
    <w:p>
      <w:pPr>
        <w:pStyle w:val="62"/>
        <w:widowControl/>
        <w:adjustRightInd w:val="0"/>
        <w:snapToGrid w:val="0"/>
        <w:spacing w:line="360" w:lineRule="auto"/>
        <w:ind w:firstLine="480" w:firstLineChars="200"/>
        <w:jc w:val="left"/>
        <w:rPr>
          <w:rFonts w:hint="eastAsia" w:ascii="宋体" w:hAnsi="宋体" w:eastAsia="宋体" w:cs="宋体"/>
          <w:b/>
          <w:bCs/>
          <w:color w:val="000000"/>
          <w:sz w:val="24"/>
          <w:szCs w:val="24"/>
          <w:highlight w:val="none"/>
        </w:rPr>
      </w:pPr>
      <w:r>
        <w:rPr>
          <w:rFonts w:hint="eastAsia" w:ascii="宋体" w:hAnsi="宋体" w:cs="宋体"/>
          <w:b w:val="0"/>
          <w:bCs w:val="0"/>
          <w:color w:val="000000"/>
          <w:sz w:val="24"/>
          <w:szCs w:val="24"/>
          <w:highlight w:val="none"/>
          <w:lang w:val="en-US" w:eastAsia="zh-CN"/>
        </w:rPr>
        <w:t>1</w:t>
      </w:r>
      <w:r>
        <w:rPr>
          <w:rFonts w:hint="eastAsia" w:ascii="宋体" w:hAnsi="宋体" w:eastAsia="宋体" w:cs="宋体"/>
          <w:b w:val="0"/>
          <w:bCs w:val="0"/>
          <w:color w:val="000000"/>
          <w:sz w:val="24"/>
          <w:szCs w:val="24"/>
          <w:highlight w:val="none"/>
          <w:lang w:val="en-US" w:eastAsia="zh-CN"/>
        </w:rPr>
        <w:t>.1</w:t>
      </w:r>
      <w:r>
        <w:rPr>
          <w:rFonts w:hint="eastAsia" w:ascii="宋体" w:hAnsi="宋体" w:eastAsia="宋体" w:cs="宋体"/>
          <w:color w:val="000000"/>
          <w:sz w:val="24"/>
          <w:szCs w:val="24"/>
          <w:highlight w:val="none"/>
          <w:lang w:val="en-US" w:eastAsia="zh-CN" w:bidi="ar-SA"/>
        </w:rPr>
        <w:t>设备清单详见附件一《采购设备及材料清单》。</w:t>
      </w:r>
    </w:p>
    <w:p>
      <w:pPr>
        <w:pStyle w:val="62"/>
        <w:widowControl/>
        <w:adjustRightInd w:val="0"/>
        <w:snapToGrid w:val="0"/>
        <w:spacing w:line="360" w:lineRule="auto"/>
        <w:ind w:firstLine="480" w:firstLineChars="200"/>
        <w:jc w:val="left"/>
        <w:rPr>
          <w:rFonts w:hint="eastAsia" w:ascii="宋体" w:hAnsi="宋体" w:eastAsia="宋体" w:cs="宋体"/>
          <w:color w:val="000000"/>
          <w:sz w:val="24"/>
          <w:szCs w:val="24"/>
          <w:highlight w:val="none"/>
        </w:rPr>
      </w:pPr>
      <w:r>
        <w:rPr>
          <w:rFonts w:hint="eastAsia" w:ascii="宋体" w:hAnsi="宋体" w:cs="宋体"/>
          <w:color w:val="000000"/>
          <w:sz w:val="24"/>
          <w:szCs w:val="24"/>
          <w:highlight w:val="none"/>
          <w:lang w:val="en-US" w:eastAsia="zh-CN"/>
        </w:rPr>
        <w:t>1</w:t>
      </w:r>
      <w:r>
        <w:rPr>
          <w:rFonts w:hint="eastAsia" w:ascii="宋体" w:hAnsi="宋体" w:eastAsia="宋体" w:cs="宋体"/>
          <w:color w:val="000000"/>
          <w:sz w:val="24"/>
          <w:szCs w:val="24"/>
          <w:highlight w:val="none"/>
          <w:lang w:val="en-US" w:eastAsia="zh-CN"/>
        </w:rPr>
        <w:t>.2</w:t>
      </w:r>
      <w:r>
        <w:rPr>
          <w:rFonts w:hint="eastAsia" w:ascii="宋体" w:hAnsi="宋体" w:eastAsia="宋体" w:cs="宋体"/>
          <w:color w:val="000000"/>
          <w:sz w:val="24"/>
          <w:szCs w:val="24"/>
          <w:highlight w:val="none"/>
        </w:rPr>
        <w:t>本项目</w:t>
      </w:r>
      <w:r>
        <w:rPr>
          <w:rFonts w:hint="eastAsia" w:ascii="宋体" w:hAnsi="宋体" w:cs="宋体"/>
          <w:color w:val="000000"/>
          <w:sz w:val="24"/>
          <w:szCs w:val="24"/>
          <w:highlight w:val="none"/>
          <w:lang w:val="en-US" w:eastAsia="zh-CN"/>
        </w:rPr>
        <w:t>采用</w:t>
      </w:r>
      <w:r>
        <w:rPr>
          <w:rFonts w:hint="eastAsia" w:ascii="宋体" w:hAnsi="宋体" w:cs="宋体"/>
          <w:color w:val="000000"/>
          <w:sz w:val="24"/>
          <w:szCs w:val="24"/>
          <w:highlight w:val="none"/>
          <w:u w:val="single"/>
          <w:lang w:val="en-US" w:eastAsia="zh-CN"/>
        </w:rPr>
        <w:t xml:space="preserve"> 固定</w:t>
      </w:r>
      <w:r>
        <w:rPr>
          <w:rFonts w:hint="eastAsia" w:ascii="宋体" w:hAnsi="宋体" w:eastAsia="宋体" w:cs="宋体"/>
          <w:color w:val="000000"/>
          <w:sz w:val="24"/>
          <w:szCs w:val="24"/>
          <w:highlight w:val="none"/>
          <w:u w:val="single"/>
          <w:lang w:eastAsia="zh-CN"/>
        </w:rPr>
        <w:t>总价</w:t>
      </w:r>
      <w:r>
        <w:rPr>
          <w:rFonts w:hint="eastAsia" w:ascii="宋体" w:hAnsi="宋体" w:cs="宋体"/>
          <w:color w:val="000000"/>
          <w:sz w:val="24"/>
          <w:szCs w:val="24"/>
          <w:highlight w:val="none"/>
          <w:u w:val="single"/>
          <w:lang w:val="en-US" w:eastAsia="zh-CN"/>
        </w:rPr>
        <w:t xml:space="preserve"> </w:t>
      </w:r>
      <w:r>
        <w:rPr>
          <w:rFonts w:hint="eastAsia" w:ascii="宋体" w:hAnsi="宋体" w:cs="宋体"/>
          <w:color w:val="000000"/>
          <w:sz w:val="24"/>
          <w:szCs w:val="24"/>
          <w:highlight w:val="none"/>
          <w:lang w:val="en-US" w:eastAsia="zh-CN"/>
        </w:rPr>
        <w:t>形式，本合同总价已包括但不限于主材费、包装费、运输费、运输损耗、装卸费、安装费、安装所用水电费、辅料、配件、工具、设计费、保管费、单机调试及联动调试费、第三方检验费、保修费、管理费、相关配合费、现场可能发生的二次搬运费、临时设施费、检验试验费、成品保护费、利润、保险、税金、其他不可预见费等为完成本合同项下所有工作直至竣工验收合格后交付甲方使用所产生的一切费用以及售后服务费用等，且该价格不因市场价格、政策调整、不可抗力（含疫情）等因素而调整。</w:t>
      </w:r>
    </w:p>
    <w:p>
      <w:pPr>
        <w:pStyle w:val="62"/>
        <w:widowControl/>
        <w:adjustRightInd w:val="0"/>
        <w:snapToGrid w:val="0"/>
        <w:spacing w:line="360" w:lineRule="auto"/>
        <w:ind w:firstLine="480" w:firstLineChars="200"/>
        <w:jc w:val="left"/>
        <w:rPr>
          <w:rFonts w:hint="eastAsia" w:ascii="宋体" w:hAnsi="宋体" w:eastAsia="宋体" w:cs="宋体"/>
          <w:color w:val="000000"/>
          <w:sz w:val="24"/>
          <w:szCs w:val="24"/>
          <w:highlight w:val="none"/>
        </w:rPr>
      </w:pPr>
      <w:r>
        <w:rPr>
          <w:rFonts w:hint="eastAsia" w:ascii="宋体" w:hAnsi="宋体" w:cs="宋体"/>
          <w:color w:val="000000"/>
          <w:sz w:val="24"/>
          <w:szCs w:val="24"/>
          <w:highlight w:val="none"/>
          <w:lang w:val="en-US" w:eastAsia="zh-CN"/>
        </w:rPr>
        <w:t>2、</w:t>
      </w:r>
      <w:r>
        <w:rPr>
          <w:rFonts w:hint="eastAsia" w:ascii="宋体" w:hAnsi="宋体" w:eastAsia="宋体" w:cs="宋体"/>
          <w:color w:val="000000"/>
          <w:sz w:val="24"/>
          <w:szCs w:val="24"/>
          <w:highlight w:val="none"/>
          <w:lang w:val="en-US" w:eastAsia="zh-CN"/>
        </w:rPr>
        <w:t>甲方</w:t>
      </w:r>
      <w:r>
        <w:rPr>
          <w:rFonts w:hint="eastAsia" w:eastAsia="宋体" w:cs="宋体"/>
          <w:b w:val="0"/>
          <w:bCs w:val="0"/>
          <w:color w:val="auto"/>
          <w:sz w:val="24"/>
          <w:szCs w:val="24"/>
          <w:highlight w:val="none"/>
          <w:lang w:eastAsia="zh-CN"/>
        </w:rPr>
        <w:t>有权根据项目建设的实际情况和需要，以及中标供应商供应服务情况等，调整供货的范围和数量，并根据本合同约定的变更估价方式对合同价格进行调整，乙方已充分理解和考虑到固定总价合同下包含的一切风险</w:t>
      </w:r>
      <w:r>
        <w:rPr>
          <w:rFonts w:hint="eastAsia" w:ascii="宋体" w:hAnsi="宋体" w:eastAsia="宋体" w:cs="宋体"/>
          <w:color w:val="000000"/>
          <w:sz w:val="24"/>
          <w:szCs w:val="24"/>
          <w:highlight w:val="none"/>
        </w:rPr>
        <w:t>。</w:t>
      </w:r>
    </w:p>
    <w:p>
      <w:pPr>
        <w:pStyle w:val="62"/>
        <w:widowControl/>
        <w:adjustRightInd w:val="0"/>
        <w:snapToGrid w:val="0"/>
        <w:spacing w:line="360" w:lineRule="auto"/>
        <w:ind w:firstLine="480" w:firstLineChars="200"/>
        <w:jc w:val="left"/>
        <w:rPr>
          <w:rFonts w:hint="eastAsia" w:ascii="宋体" w:hAnsi="宋体" w:eastAsia="宋体" w:cs="宋体"/>
          <w:color w:val="000000"/>
          <w:sz w:val="24"/>
          <w:szCs w:val="24"/>
          <w:highlight w:val="none"/>
        </w:rPr>
      </w:pPr>
      <w:r>
        <w:rPr>
          <w:rFonts w:hint="eastAsia" w:ascii="宋体" w:hAnsi="宋体" w:cs="宋体"/>
          <w:color w:val="000000"/>
          <w:sz w:val="24"/>
          <w:szCs w:val="24"/>
          <w:highlight w:val="none"/>
          <w:lang w:val="en-US" w:eastAsia="zh-CN"/>
        </w:rPr>
        <w:t>3、</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有权随时派员到</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工厂了解生产工艺、产品质量、并对所供产品进行监制，</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应予以配合和提供便利。</w:t>
      </w:r>
    </w:p>
    <w:p>
      <w:pPr>
        <w:pStyle w:val="62"/>
        <w:widowControl/>
        <w:adjustRightInd w:val="0"/>
        <w:snapToGrid w:val="0"/>
        <w:spacing w:line="360" w:lineRule="auto"/>
        <w:ind w:firstLine="480" w:firstLineChars="200"/>
        <w:jc w:val="left"/>
        <w:rPr>
          <w:rFonts w:hint="eastAsia" w:ascii="宋体" w:hAnsi="宋体" w:eastAsia="宋体" w:cs="宋体"/>
          <w:color w:val="000000"/>
          <w:sz w:val="24"/>
          <w:szCs w:val="24"/>
          <w:highlight w:val="none"/>
        </w:rPr>
      </w:pPr>
      <w:r>
        <w:rPr>
          <w:rFonts w:hint="eastAsia" w:ascii="宋体" w:hAnsi="宋体" w:cs="宋体"/>
          <w:color w:val="000000"/>
          <w:sz w:val="24"/>
          <w:szCs w:val="24"/>
          <w:highlight w:val="none"/>
          <w:lang w:val="en-US" w:eastAsia="zh-CN"/>
        </w:rPr>
        <w:t>4、</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有权根据</w:t>
      </w:r>
      <w:r>
        <w:rPr>
          <w:rFonts w:hint="eastAsia" w:ascii="宋体" w:hAnsi="宋体" w:eastAsia="宋体" w:cs="宋体"/>
          <w:color w:val="000000"/>
          <w:sz w:val="24"/>
          <w:szCs w:val="24"/>
          <w:highlight w:val="none"/>
          <w:lang w:eastAsia="zh-CN"/>
        </w:rPr>
        <w:t>建设项目总</w:t>
      </w:r>
      <w:r>
        <w:rPr>
          <w:rFonts w:hint="eastAsia" w:ascii="宋体" w:hAnsi="宋体" w:eastAsia="宋体" w:cs="宋体"/>
          <w:color w:val="000000"/>
          <w:sz w:val="24"/>
          <w:szCs w:val="24"/>
          <w:highlight w:val="none"/>
        </w:rPr>
        <w:t>工期</w:t>
      </w:r>
      <w:r>
        <w:rPr>
          <w:rFonts w:hint="eastAsia" w:ascii="宋体" w:hAnsi="宋体" w:cs="宋体"/>
          <w:color w:val="000000"/>
          <w:sz w:val="24"/>
          <w:szCs w:val="24"/>
          <w:highlight w:val="none"/>
          <w:lang w:eastAsia="zh-CN"/>
        </w:rPr>
        <w:t>的</w:t>
      </w:r>
      <w:r>
        <w:rPr>
          <w:rFonts w:hint="eastAsia" w:ascii="宋体" w:hAnsi="宋体" w:eastAsia="宋体" w:cs="宋体"/>
          <w:color w:val="000000"/>
          <w:sz w:val="24"/>
          <w:szCs w:val="24"/>
          <w:highlight w:val="none"/>
          <w:lang w:eastAsia="zh-CN"/>
        </w:rPr>
        <w:t>进度情况，</w:t>
      </w:r>
      <w:r>
        <w:rPr>
          <w:rFonts w:hint="eastAsia" w:ascii="宋体" w:hAnsi="宋体" w:eastAsia="宋体" w:cs="宋体"/>
          <w:color w:val="000000"/>
          <w:sz w:val="24"/>
          <w:szCs w:val="24"/>
          <w:highlight w:val="none"/>
        </w:rPr>
        <w:t>相应提前或延期调整</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的供货时间，并不需要因此对</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承担任何责任。</w:t>
      </w:r>
    </w:p>
    <w:p>
      <w:pPr>
        <w:pStyle w:val="62"/>
        <w:widowControl/>
        <w:adjustRightInd w:val="0"/>
        <w:snapToGrid w:val="0"/>
        <w:spacing w:line="360" w:lineRule="auto"/>
        <w:ind w:firstLine="480" w:firstLineChars="200"/>
        <w:jc w:val="left"/>
        <w:rPr>
          <w:rFonts w:hint="eastAsia" w:ascii="宋体" w:hAnsi="宋体" w:eastAsia="宋体" w:cs="宋体"/>
          <w:color w:val="000000"/>
          <w:sz w:val="24"/>
          <w:szCs w:val="24"/>
          <w:highlight w:val="none"/>
        </w:rPr>
      </w:pPr>
      <w:r>
        <w:rPr>
          <w:rFonts w:hint="eastAsia" w:ascii="宋体" w:hAnsi="宋体" w:cs="宋体"/>
          <w:color w:val="000000"/>
          <w:sz w:val="24"/>
          <w:szCs w:val="24"/>
          <w:highlight w:val="none"/>
          <w:lang w:val="en-US" w:eastAsia="zh-CN"/>
        </w:rPr>
        <w:t>5、</w:t>
      </w:r>
      <w:r>
        <w:rPr>
          <w:rFonts w:hint="eastAsia" w:ascii="宋体" w:hAnsi="宋体" w:eastAsia="宋体" w:cs="宋体"/>
          <w:color w:val="000000"/>
          <w:sz w:val="24"/>
          <w:szCs w:val="24"/>
          <w:highlight w:val="none"/>
        </w:rPr>
        <w:t>在整个合同履行期间，</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自身的人员工伤事故保险、机具设备和运输工具的财产保险、人身意外伤害、材料、设备等均由</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自行投保，费用已包含在投标报价中。</w:t>
      </w:r>
    </w:p>
    <w:p>
      <w:pPr>
        <w:pStyle w:val="62"/>
        <w:widowControl/>
        <w:adjustRightInd w:val="0"/>
        <w:snapToGrid w:val="0"/>
        <w:spacing w:line="360" w:lineRule="auto"/>
        <w:ind w:firstLine="480" w:firstLineChars="200"/>
        <w:jc w:val="left"/>
        <w:rPr>
          <w:rFonts w:hint="eastAsia" w:ascii="宋体" w:hAnsi="宋体" w:eastAsia="宋体" w:cs="宋体"/>
          <w:color w:val="000000"/>
          <w:sz w:val="24"/>
          <w:szCs w:val="24"/>
          <w:highlight w:val="none"/>
          <w:lang w:val="en-US" w:eastAsia="zh-CN" w:bidi="ar-SA"/>
        </w:rPr>
      </w:pPr>
      <w:r>
        <w:rPr>
          <w:rFonts w:hint="eastAsia" w:ascii="宋体" w:hAnsi="宋体" w:cs="宋体"/>
          <w:color w:val="000000"/>
          <w:sz w:val="24"/>
          <w:szCs w:val="24"/>
          <w:highlight w:val="none"/>
          <w:lang w:val="en-US" w:eastAsia="zh-CN" w:bidi="ar-SA"/>
        </w:rPr>
        <w:t>6、</w:t>
      </w:r>
      <w:r>
        <w:rPr>
          <w:rFonts w:hint="eastAsia" w:ascii="宋体" w:hAnsi="宋体" w:eastAsia="宋体" w:cs="宋体"/>
          <w:color w:val="000000"/>
          <w:sz w:val="24"/>
          <w:szCs w:val="24"/>
          <w:highlight w:val="none"/>
          <w:lang w:val="en-US" w:eastAsia="zh-CN" w:bidi="ar-SA"/>
        </w:rPr>
        <w:t>本项目总承包服务管理费已包含在总承包合同中，并纳入总承包管理范围，总承包服务管理费由甲方进行支付，不另行计取其他费用</w:t>
      </w:r>
      <w:r>
        <w:rPr>
          <w:rFonts w:hint="eastAsia" w:ascii="宋体" w:hAnsi="宋体" w:cs="宋体"/>
          <w:color w:val="000000"/>
          <w:sz w:val="24"/>
          <w:szCs w:val="24"/>
          <w:highlight w:val="none"/>
          <w:lang w:val="en-US" w:eastAsia="zh-CN" w:bidi="ar-SA"/>
        </w:rPr>
        <w:t>，总承包服务管理费约定详见附件八，总承包服务管理费以外的其他管理配合服务费由投标人自行考虑计入报价</w:t>
      </w:r>
      <w:r>
        <w:rPr>
          <w:rFonts w:hint="eastAsia" w:ascii="宋体" w:hAnsi="宋体" w:eastAsia="宋体" w:cs="宋体"/>
          <w:color w:val="000000"/>
          <w:sz w:val="24"/>
          <w:szCs w:val="24"/>
          <w:highlight w:val="none"/>
          <w:lang w:val="en-US" w:eastAsia="zh-CN" w:bidi="ar-SA"/>
        </w:rPr>
        <w:t>。</w:t>
      </w:r>
    </w:p>
    <w:p>
      <w:pPr>
        <w:pStyle w:val="62"/>
        <w:spacing w:line="360" w:lineRule="auto"/>
        <w:ind w:left="-2" w:leftChars="-1" w:firstLine="480" w:firstLineChars="200"/>
        <w:rPr>
          <w:rFonts w:hint="eastAsia" w:ascii="宋体" w:hAnsi="宋体" w:eastAsia="宋体" w:cs="宋体"/>
          <w:color w:val="000000"/>
          <w:sz w:val="24"/>
          <w:szCs w:val="24"/>
          <w:highlight w:val="none"/>
          <w:lang w:val="en-US" w:eastAsia="zh-CN" w:bidi="ar-SA"/>
        </w:rPr>
      </w:pPr>
      <w:r>
        <w:rPr>
          <w:rFonts w:hint="eastAsia" w:ascii="宋体" w:hAnsi="宋体" w:cs="宋体"/>
          <w:color w:val="000000"/>
          <w:sz w:val="24"/>
          <w:szCs w:val="24"/>
          <w:highlight w:val="none"/>
          <w:lang w:val="en-US" w:eastAsia="zh-CN" w:bidi="ar-SA"/>
        </w:rPr>
        <w:t>7、医用纯水系统</w:t>
      </w:r>
      <w:r>
        <w:rPr>
          <w:rFonts w:hint="eastAsia" w:ascii="宋体" w:hAnsi="宋体" w:eastAsia="宋体" w:cs="宋体"/>
          <w:color w:val="000000"/>
          <w:sz w:val="24"/>
          <w:szCs w:val="24"/>
          <w:highlight w:val="none"/>
          <w:lang w:val="en-US" w:eastAsia="zh-CN" w:bidi="ar-SA"/>
        </w:rPr>
        <w:t>招标阶段与施工总承包</w:t>
      </w:r>
      <w:r>
        <w:rPr>
          <w:rFonts w:hint="eastAsia" w:ascii="宋体" w:hAnsi="宋体" w:cs="宋体"/>
          <w:color w:val="000000"/>
          <w:sz w:val="24"/>
          <w:szCs w:val="24"/>
          <w:highlight w:val="none"/>
          <w:lang w:val="en-US" w:eastAsia="zh-CN" w:bidi="ar-SA"/>
        </w:rPr>
        <w:t>的</w:t>
      </w:r>
      <w:r>
        <w:rPr>
          <w:rFonts w:hint="eastAsia" w:ascii="宋体" w:hAnsi="宋体" w:eastAsia="宋体" w:cs="宋体"/>
          <w:color w:val="000000"/>
          <w:sz w:val="24"/>
          <w:szCs w:val="24"/>
          <w:highlight w:val="none"/>
          <w:lang w:val="en-US" w:eastAsia="zh-CN" w:bidi="ar-SA"/>
        </w:rPr>
        <w:t>界面</w:t>
      </w:r>
      <w:r>
        <w:rPr>
          <w:rFonts w:hint="eastAsia" w:ascii="宋体" w:hAnsi="宋体" w:cs="宋体"/>
          <w:color w:val="000000"/>
          <w:sz w:val="24"/>
          <w:szCs w:val="24"/>
          <w:highlight w:val="none"/>
          <w:lang w:val="en-US" w:eastAsia="zh-CN" w:bidi="ar-SA"/>
        </w:rPr>
        <w:t>划分</w:t>
      </w:r>
      <w:r>
        <w:rPr>
          <w:rFonts w:hint="eastAsia" w:ascii="宋体" w:hAnsi="宋体" w:eastAsia="宋体" w:cs="宋体"/>
          <w:color w:val="000000"/>
          <w:sz w:val="24"/>
          <w:szCs w:val="24"/>
          <w:highlight w:val="none"/>
          <w:lang w:val="en-US" w:eastAsia="zh-CN" w:bidi="ar-SA"/>
        </w:rPr>
        <w:t>详见附件六《</w:t>
      </w:r>
      <w:r>
        <w:rPr>
          <w:rFonts w:hint="eastAsia" w:ascii="宋体" w:hAnsi="宋体" w:cs="宋体"/>
          <w:color w:val="000000"/>
          <w:sz w:val="24"/>
          <w:szCs w:val="24"/>
          <w:highlight w:val="none"/>
          <w:lang w:val="en-US" w:eastAsia="zh-CN" w:bidi="ar-SA"/>
        </w:rPr>
        <w:t>医用纯水系统</w:t>
      </w:r>
      <w:r>
        <w:rPr>
          <w:rFonts w:hint="eastAsia" w:ascii="宋体" w:hAnsi="宋体" w:eastAsia="宋体" w:cs="宋体"/>
          <w:color w:val="000000"/>
          <w:sz w:val="24"/>
          <w:szCs w:val="24"/>
          <w:highlight w:val="none"/>
          <w:lang w:val="en-US" w:eastAsia="zh-CN" w:bidi="ar-SA"/>
        </w:rPr>
        <w:t>与施工总承包界面划分》。</w:t>
      </w:r>
    </w:p>
    <w:p>
      <w:pPr>
        <w:pStyle w:val="62"/>
        <w:keepNext/>
        <w:keepLines/>
        <w:spacing w:before="120" w:after="120" w:line="360" w:lineRule="auto"/>
        <w:outlineLvl w:val="3"/>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rPr>
        <w:t>二、质量要求</w:t>
      </w:r>
    </w:p>
    <w:p>
      <w:pPr>
        <w:pStyle w:val="62"/>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1、本合同项下全部产品的设计及制造质量均应符合最新国家、部委、行业有关标准规范、建筑安装施工规范及招标文件技术要求</w:t>
      </w:r>
      <w:r>
        <w:rPr>
          <w:rFonts w:hint="eastAsia" w:ascii="宋体" w:hAnsi="宋体" w:eastAsia="宋体" w:cs="宋体"/>
          <w:color w:val="000000"/>
          <w:sz w:val="24"/>
          <w:szCs w:val="24"/>
          <w:highlight w:val="none"/>
          <w:lang w:eastAsia="zh-CN"/>
        </w:rPr>
        <w:t>，</w:t>
      </w:r>
      <w:r>
        <w:rPr>
          <w:rFonts w:hint="eastAsia" w:eastAsia="宋体" w:cs="宋体"/>
          <w:color w:val="auto"/>
          <w:sz w:val="24"/>
          <w:szCs w:val="24"/>
          <w:highlight w:val="none"/>
          <w:lang w:eastAsia="zh-CN"/>
        </w:rPr>
        <w:t>并有助于总体建设项目达到</w:t>
      </w:r>
      <w:r>
        <w:rPr>
          <w:rFonts w:hint="eastAsia" w:eastAsia="宋体" w:cs="宋体"/>
          <w:b/>
          <w:bCs/>
          <w:color w:val="auto"/>
          <w:sz w:val="24"/>
          <w:szCs w:val="24"/>
          <w:highlight w:val="none"/>
          <w:lang w:eastAsia="zh-CN"/>
        </w:rPr>
        <w:t>符合国家施工质量验收规范合格标准，确保“钱江杯”，争创“鲁班奖”</w:t>
      </w:r>
      <w:r>
        <w:rPr>
          <w:rFonts w:hint="eastAsia" w:eastAsia="宋体" w:cs="宋体"/>
          <w:color w:val="auto"/>
          <w:sz w:val="24"/>
          <w:szCs w:val="24"/>
          <w:highlight w:val="none"/>
          <w:lang w:eastAsia="zh-CN"/>
        </w:rPr>
        <w:t>的总体质量要求。</w:t>
      </w:r>
    </w:p>
    <w:p>
      <w:pPr>
        <w:pStyle w:val="62"/>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应保证所供货物是全新的、未使用过的，完全符合</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招标文件、询标纪要、本合同规定及</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投标承诺的质量、规格和性能的要求，如有冲突的，以要求较高者为准。</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应保证其货物在正确安装、正常使用和保养条件下，在其使用寿命内应确保设备的正常使用。在货物</w:t>
      </w:r>
      <w:r>
        <w:rPr>
          <w:rFonts w:hint="eastAsia" w:ascii="宋体" w:hAnsi="宋体" w:eastAsia="宋体" w:cs="宋体"/>
          <w:color w:val="000000"/>
          <w:sz w:val="24"/>
          <w:szCs w:val="24"/>
          <w:highlight w:val="none"/>
          <w:lang w:eastAsia="zh-CN"/>
        </w:rPr>
        <w:t>安装</w:t>
      </w:r>
      <w:r>
        <w:rPr>
          <w:rFonts w:hint="eastAsia" w:ascii="宋体" w:hAnsi="宋体" w:cs="宋体"/>
          <w:color w:val="000000"/>
          <w:sz w:val="24"/>
          <w:szCs w:val="24"/>
          <w:highlight w:val="none"/>
          <w:lang w:val="en-US" w:eastAsia="zh-CN"/>
        </w:rPr>
        <w:t>竣工</w:t>
      </w:r>
      <w:r>
        <w:rPr>
          <w:rFonts w:hint="eastAsia" w:ascii="宋体" w:hAnsi="宋体" w:eastAsia="宋体" w:cs="宋体"/>
          <w:color w:val="000000"/>
          <w:sz w:val="24"/>
          <w:szCs w:val="24"/>
          <w:highlight w:val="none"/>
        </w:rPr>
        <w:t>验收</w:t>
      </w:r>
      <w:r>
        <w:rPr>
          <w:rFonts w:hint="eastAsia" w:ascii="宋体" w:hAnsi="宋体" w:eastAsia="宋体" w:cs="宋体"/>
          <w:color w:val="000000"/>
          <w:sz w:val="24"/>
          <w:szCs w:val="24"/>
          <w:highlight w:val="none"/>
          <w:lang w:eastAsia="zh-CN"/>
        </w:rPr>
        <w:t>合格</w:t>
      </w:r>
      <w:r>
        <w:rPr>
          <w:rFonts w:hint="eastAsia" w:ascii="宋体" w:hAnsi="宋体" w:eastAsia="宋体" w:cs="宋体"/>
          <w:color w:val="000000"/>
          <w:sz w:val="24"/>
          <w:szCs w:val="24"/>
          <w:highlight w:val="none"/>
        </w:rPr>
        <w:t>后的质量保证期内，</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应对由于</w:t>
      </w:r>
      <w:r>
        <w:rPr>
          <w:rFonts w:hint="eastAsia" w:ascii="宋体" w:hAnsi="宋体" w:eastAsia="宋体" w:cs="宋体"/>
          <w:color w:val="000000"/>
          <w:sz w:val="24"/>
          <w:szCs w:val="24"/>
          <w:highlight w:val="none"/>
          <w:lang w:eastAsia="zh-CN"/>
        </w:rPr>
        <w:t>设备的</w:t>
      </w:r>
      <w:r>
        <w:rPr>
          <w:rFonts w:hint="eastAsia" w:ascii="宋体" w:hAnsi="宋体" w:eastAsia="宋体" w:cs="宋体"/>
          <w:color w:val="000000"/>
          <w:sz w:val="24"/>
          <w:szCs w:val="24"/>
          <w:highlight w:val="none"/>
        </w:rPr>
        <w:t>设计</w:t>
      </w:r>
      <w:r>
        <w:rPr>
          <w:rFonts w:hint="eastAsia" w:ascii="宋体" w:hAnsi="宋体" w:eastAsia="宋体" w:cs="宋体"/>
          <w:color w:val="000000"/>
          <w:sz w:val="24"/>
          <w:szCs w:val="24"/>
          <w:highlight w:val="none"/>
          <w:lang w:eastAsia="zh-CN"/>
        </w:rPr>
        <w:t>和</w:t>
      </w:r>
      <w:r>
        <w:rPr>
          <w:rFonts w:hint="eastAsia" w:ascii="宋体" w:hAnsi="宋体" w:eastAsia="宋体" w:cs="宋体"/>
          <w:color w:val="000000"/>
          <w:sz w:val="24"/>
          <w:szCs w:val="24"/>
          <w:highlight w:val="none"/>
        </w:rPr>
        <w:t>制造或材料的缺陷而产生的故障负全责。</w:t>
      </w:r>
    </w:p>
    <w:p>
      <w:pPr>
        <w:pStyle w:val="62"/>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保证本合同项下标的货物均采用品牌产品质量标准最高厂区的原厂技术和生产管理工艺，在材料选择和生产过程中的监控均严格按照该品牌产品质量标准最高厂区的原厂技术要求，提供</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质量最稳定、性能最优异的产品，本合同项下标的货物的重要部件均应具有国际先进水平，其主要部件及产地必须满足投标文件中承诺的要求，否则，</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有权拒付全部货款并依法追究</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相应的违约责任。</w:t>
      </w:r>
    </w:p>
    <w:p>
      <w:pPr>
        <w:pStyle w:val="62"/>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4、根据商检局或有关部门检验结果或在质量保证期内，如果货物的数量、质量或规格与合同不符，或证实货物是有缺陷的，包括潜在的缺陷或使用不符合要求的材料等，</w:t>
      </w:r>
      <w:r>
        <w:rPr>
          <w:rFonts w:hint="eastAsia" w:ascii="宋体" w:hAnsi="宋体" w:eastAsia="宋体" w:cs="宋体"/>
          <w:color w:val="000000"/>
          <w:sz w:val="24"/>
          <w:szCs w:val="24"/>
          <w:highlight w:val="none"/>
          <w:lang w:eastAsia="zh-CN"/>
        </w:rPr>
        <w:t>甲方有权</w:t>
      </w:r>
      <w:r>
        <w:rPr>
          <w:rFonts w:hint="eastAsia" w:ascii="宋体" w:hAnsi="宋体" w:eastAsia="宋体" w:cs="宋体"/>
          <w:color w:val="000000"/>
          <w:sz w:val="24"/>
          <w:szCs w:val="24"/>
          <w:highlight w:val="none"/>
        </w:rPr>
        <w:t>以书面形式向</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提出相关的索赔要求。</w:t>
      </w:r>
    </w:p>
    <w:p>
      <w:pPr>
        <w:pStyle w:val="62"/>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5、</w:t>
      </w:r>
      <w:r>
        <w:rPr>
          <w:rFonts w:hint="eastAsia" w:ascii="宋体" w:hAnsi="宋体" w:cs="宋体"/>
          <w:color w:val="000000"/>
          <w:sz w:val="24"/>
          <w:szCs w:val="24"/>
          <w:highlight w:val="none"/>
          <w:lang w:val="en-US" w:eastAsia="zh-CN"/>
        </w:rPr>
        <w:t>如设备出现故障需要维修及更换时，</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在收到通知后应免费维修或更换有缺陷的货物或部件</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如果</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在收到通知后，在投标承诺质量保证期期内没有弥补缺陷，</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可采取必要的补救措施，但其风险和费用将由</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承担，</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根据合同规定对</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行使的其他权力不受影响。</w:t>
      </w:r>
    </w:p>
    <w:p>
      <w:pPr>
        <w:adjustRightInd w:val="0"/>
        <w:snapToGrid w:val="0"/>
        <w:spacing w:line="360" w:lineRule="auto"/>
        <w:ind w:firstLine="480" w:firstLineChars="200"/>
        <w:rPr>
          <w:rFonts w:hint="eastAsia" w:ascii="宋体" w:hAnsi="宋体" w:eastAsia="宋体" w:cs="宋体"/>
          <w:color w:val="000000"/>
          <w:sz w:val="24"/>
          <w:szCs w:val="24"/>
          <w:highlight w:val="none"/>
          <w:lang w:val="en-US" w:eastAsia="zh-CN" w:bidi="ar-SA"/>
        </w:rPr>
      </w:pPr>
      <w:r>
        <w:rPr>
          <w:rFonts w:hint="eastAsia" w:ascii="宋体" w:hAnsi="宋体" w:eastAsia="宋体" w:cs="宋体"/>
          <w:color w:val="000000"/>
          <w:sz w:val="24"/>
          <w:szCs w:val="24"/>
          <w:highlight w:val="none"/>
          <w:lang w:val="en-US" w:eastAsia="zh-CN" w:bidi="ar-SA"/>
        </w:rPr>
        <w:t>6、</w:t>
      </w:r>
      <w:r>
        <w:rPr>
          <w:rFonts w:hint="eastAsia" w:ascii="宋体" w:hAnsi="宋体" w:eastAsia="宋体" w:cs="宋体"/>
          <w:color w:val="000000"/>
          <w:sz w:val="24"/>
          <w:szCs w:val="24"/>
          <w:highlight w:val="none"/>
          <w:u w:val="none"/>
        </w:rPr>
        <w:t>材料设备要求</w:t>
      </w:r>
    </w:p>
    <w:p>
      <w:pPr>
        <w:adjustRightInd w:val="0"/>
        <w:snapToGrid w:val="0"/>
        <w:spacing w:line="360" w:lineRule="auto"/>
        <w:ind w:firstLine="480" w:firstLineChars="200"/>
        <w:rPr>
          <w:rFonts w:hint="eastAsia" w:ascii="宋体" w:hAnsi="宋体" w:eastAsia="宋体" w:cs="宋体"/>
          <w:color w:val="000000"/>
          <w:sz w:val="24"/>
          <w:szCs w:val="24"/>
          <w:highlight w:val="none"/>
          <w:u w:val="none"/>
        </w:rPr>
      </w:pPr>
      <w:r>
        <w:rPr>
          <w:rFonts w:hint="eastAsia" w:ascii="宋体" w:hAnsi="宋体" w:eastAsia="宋体" w:cs="宋体"/>
          <w:color w:val="000000"/>
          <w:kern w:val="2"/>
          <w:sz w:val="24"/>
          <w:szCs w:val="24"/>
          <w:highlight w:val="none"/>
          <w:lang w:val="en-US" w:eastAsia="zh-CN" w:bidi="ar-SA"/>
        </w:rPr>
        <w:t>6.1乙方采购的材料必须严格按照招投标文件中明确的品牌、规格、质量等要求进行采购，采购的材料设备的</w:t>
      </w:r>
      <w:r>
        <w:rPr>
          <w:rFonts w:hint="eastAsia" w:ascii="宋体" w:hAnsi="宋体" w:eastAsia="宋体" w:cs="宋体"/>
          <w:color w:val="000000"/>
          <w:sz w:val="24"/>
          <w:szCs w:val="24"/>
          <w:highlight w:val="none"/>
          <w:u w:val="none"/>
        </w:rPr>
        <w:t>质量、品牌、型号等不符合招标文件、投标文件规定的要求，</w:t>
      </w:r>
      <w:r>
        <w:rPr>
          <w:rFonts w:hint="eastAsia" w:ascii="宋体" w:hAnsi="宋体" w:eastAsia="宋体" w:cs="宋体"/>
          <w:color w:val="000000"/>
          <w:sz w:val="24"/>
          <w:szCs w:val="24"/>
          <w:highlight w:val="none"/>
          <w:u w:val="none"/>
          <w:lang w:eastAsia="zh-CN"/>
        </w:rPr>
        <w:t>乙方</w:t>
      </w:r>
      <w:r>
        <w:rPr>
          <w:rFonts w:hint="eastAsia" w:ascii="宋体" w:hAnsi="宋体" w:eastAsia="宋体" w:cs="宋体"/>
          <w:color w:val="000000"/>
          <w:sz w:val="24"/>
          <w:szCs w:val="24"/>
          <w:highlight w:val="none"/>
          <w:u w:val="none"/>
        </w:rPr>
        <w:t>必须无条件更换并承担相关费用。采购的材料必须经</w:t>
      </w:r>
      <w:r>
        <w:rPr>
          <w:rFonts w:hint="eastAsia" w:ascii="宋体" w:hAnsi="宋体" w:eastAsia="宋体" w:cs="宋体"/>
          <w:color w:val="000000"/>
          <w:sz w:val="24"/>
          <w:szCs w:val="24"/>
          <w:highlight w:val="none"/>
          <w:u w:val="none"/>
          <w:lang w:eastAsia="zh-CN"/>
        </w:rPr>
        <w:t>甲方、</w:t>
      </w:r>
      <w:r>
        <w:rPr>
          <w:rFonts w:hint="eastAsia" w:ascii="宋体" w:hAnsi="宋体" w:eastAsia="宋体" w:cs="宋体"/>
          <w:color w:val="000000"/>
          <w:sz w:val="24"/>
          <w:szCs w:val="24"/>
          <w:highlight w:val="none"/>
          <w:u w:val="none"/>
        </w:rPr>
        <w:t>全过程</w:t>
      </w:r>
      <w:r>
        <w:rPr>
          <w:rFonts w:hint="eastAsia" w:ascii="宋体" w:hAnsi="宋体" w:eastAsia="宋体" w:cs="宋体"/>
          <w:color w:val="000000"/>
          <w:sz w:val="24"/>
          <w:szCs w:val="24"/>
          <w:highlight w:val="none"/>
          <w:u w:val="none"/>
          <w:lang w:val="en-US" w:eastAsia="zh-CN"/>
        </w:rPr>
        <w:t>工程</w:t>
      </w:r>
      <w:r>
        <w:rPr>
          <w:rFonts w:hint="eastAsia" w:ascii="宋体" w:hAnsi="宋体" w:eastAsia="宋体" w:cs="宋体"/>
          <w:color w:val="000000"/>
          <w:sz w:val="24"/>
          <w:szCs w:val="24"/>
          <w:highlight w:val="none"/>
          <w:u w:val="none"/>
        </w:rPr>
        <w:t>咨询单位</w:t>
      </w:r>
      <w:r>
        <w:rPr>
          <w:rFonts w:hint="eastAsia" w:ascii="宋体" w:hAnsi="宋体" w:eastAsia="宋体" w:cs="宋体"/>
          <w:color w:val="000000"/>
          <w:sz w:val="24"/>
          <w:szCs w:val="24"/>
          <w:highlight w:val="none"/>
          <w:u w:val="none"/>
          <w:lang w:val="en-US" w:eastAsia="zh-CN"/>
        </w:rPr>
        <w:t>验</w:t>
      </w:r>
      <w:r>
        <w:rPr>
          <w:rFonts w:hint="eastAsia" w:ascii="宋体" w:hAnsi="宋体" w:eastAsia="宋体" w:cs="宋体"/>
          <w:color w:val="000000"/>
          <w:sz w:val="24"/>
          <w:szCs w:val="24"/>
          <w:highlight w:val="none"/>
          <w:u w:val="none"/>
        </w:rPr>
        <w:t>收后方能用于本</w:t>
      </w:r>
      <w:r>
        <w:rPr>
          <w:rFonts w:hint="eastAsia" w:eastAsia="宋体" w:cs="宋体"/>
          <w:color w:val="000000"/>
          <w:sz w:val="24"/>
          <w:szCs w:val="24"/>
          <w:highlight w:val="none"/>
          <w:u w:val="none"/>
          <w:lang w:val="en-US" w:eastAsia="zh-CN"/>
        </w:rPr>
        <w:t>项目</w:t>
      </w:r>
      <w:r>
        <w:rPr>
          <w:rFonts w:hint="eastAsia" w:ascii="宋体" w:hAnsi="宋体" w:eastAsia="宋体" w:cs="宋体"/>
          <w:color w:val="000000"/>
          <w:sz w:val="24"/>
          <w:szCs w:val="24"/>
          <w:highlight w:val="none"/>
          <w:u w:val="none"/>
        </w:rPr>
        <w:t>，且必须符合施工图纸设计要求及国家有关质量标准。</w:t>
      </w:r>
    </w:p>
    <w:p>
      <w:pPr>
        <w:adjustRightInd w:val="0"/>
        <w:snapToGrid w:val="0"/>
        <w:spacing w:line="360" w:lineRule="auto"/>
        <w:ind w:firstLine="480" w:firstLineChars="200"/>
        <w:rPr>
          <w:rFonts w:hint="eastAsia" w:ascii="宋体" w:hAnsi="宋体" w:eastAsia="宋体" w:cs="宋体"/>
          <w:color w:val="000000"/>
          <w:sz w:val="24"/>
          <w:szCs w:val="24"/>
          <w:highlight w:val="none"/>
          <w:u w:val="none"/>
        </w:rPr>
      </w:pPr>
      <w:r>
        <w:rPr>
          <w:rFonts w:hint="eastAsia" w:ascii="宋体" w:hAnsi="宋体" w:eastAsia="宋体" w:cs="宋体"/>
          <w:color w:val="000000"/>
          <w:kern w:val="2"/>
          <w:sz w:val="24"/>
          <w:szCs w:val="24"/>
          <w:highlight w:val="none"/>
          <w:lang w:val="en-US" w:eastAsia="zh-CN" w:bidi="ar-SA"/>
        </w:rPr>
        <w:t>6.</w:t>
      </w:r>
      <w:r>
        <w:rPr>
          <w:rFonts w:hint="eastAsia" w:eastAsia="宋体" w:cs="宋体"/>
          <w:color w:val="000000"/>
          <w:kern w:val="2"/>
          <w:sz w:val="24"/>
          <w:szCs w:val="24"/>
          <w:highlight w:val="none"/>
          <w:lang w:val="en-US" w:eastAsia="zh-CN" w:bidi="ar-SA"/>
        </w:rPr>
        <w:t>2</w:t>
      </w:r>
      <w:r>
        <w:rPr>
          <w:rFonts w:hint="eastAsia" w:ascii="宋体" w:hAnsi="宋体" w:eastAsia="宋体" w:cs="宋体"/>
          <w:color w:val="000000"/>
          <w:sz w:val="24"/>
          <w:szCs w:val="24"/>
          <w:highlight w:val="none"/>
          <w:u w:val="none"/>
        </w:rPr>
        <w:t>本</w:t>
      </w:r>
      <w:r>
        <w:rPr>
          <w:rFonts w:hint="eastAsia" w:cs="宋体"/>
          <w:color w:val="000000"/>
          <w:sz w:val="24"/>
          <w:szCs w:val="24"/>
          <w:highlight w:val="none"/>
          <w:u w:val="none"/>
          <w:lang w:eastAsia="zh-CN"/>
        </w:rPr>
        <w:t>项目</w:t>
      </w:r>
      <w:r>
        <w:rPr>
          <w:rFonts w:hint="eastAsia" w:ascii="宋体" w:hAnsi="宋体" w:eastAsia="宋体" w:cs="宋体"/>
          <w:color w:val="000000"/>
          <w:sz w:val="24"/>
          <w:szCs w:val="24"/>
          <w:highlight w:val="none"/>
          <w:u w:val="none"/>
        </w:rPr>
        <w:t>所采用的主要材料</w:t>
      </w:r>
      <w:r>
        <w:rPr>
          <w:rFonts w:hint="eastAsia" w:ascii="宋体" w:hAnsi="宋体" w:eastAsia="宋体" w:cs="宋体"/>
          <w:color w:val="000000"/>
          <w:sz w:val="24"/>
          <w:szCs w:val="24"/>
          <w:highlight w:val="none"/>
          <w:u w:val="none"/>
          <w:lang w:val="en-US" w:eastAsia="zh-CN"/>
        </w:rPr>
        <w:t>及设备</w:t>
      </w:r>
      <w:r>
        <w:rPr>
          <w:rFonts w:hint="eastAsia" w:ascii="宋体" w:hAnsi="宋体" w:eastAsia="宋体" w:cs="宋体"/>
          <w:color w:val="000000"/>
          <w:sz w:val="24"/>
          <w:szCs w:val="24"/>
          <w:highlight w:val="none"/>
          <w:u w:val="none"/>
        </w:rPr>
        <w:t>等到货时，应由</w:t>
      </w:r>
      <w:r>
        <w:rPr>
          <w:rFonts w:hint="eastAsia" w:ascii="宋体" w:hAnsi="宋体" w:eastAsia="宋体" w:cs="宋体"/>
          <w:color w:val="000000"/>
          <w:sz w:val="24"/>
          <w:szCs w:val="24"/>
          <w:highlight w:val="none"/>
          <w:u w:val="none"/>
          <w:lang w:eastAsia="zh-CN"/>
        </w:rPr>
        <w:t>甲方</w:t>
      </w:r>
      <w:r>
        <w:rPr>
          <w:rFonts w:hint="eastAsia" w:ascii="宋体" w:hAnsi="宋体" w:eastAsia="宋体" w:cs="宋体"/>
          <w:color w:val="000000"/>
          <w:sz w:val="24"/>
          <w:szCs w:val="24"/>
          <w:highlight w:val="none"/>
          <w:u w:val="none"/>
        </w:rPr>
        <w:t>、</w:t>
      </w:r>
      <w:r>
        <w:rPr>
          <w:rFonts w:hint="eastAsia" w:ascii="宋体" w:hAnsi="宋体" w:eastAsia="宋体" w:cs="宋体"/>
          <w:color w:val="000000"/>
          <w:sz w:val="24"/>
          <w:szCs w:val="24"/>
          <w:highlight w:val="none"/>
          <w:u w:val="none"/>
          <w:lang w:eastAsia="zh-CN"/>
        </w:rPr>
        <w:t>全过程工程咨询单位、乙方等共同</w:t>
      </w:r>
      <w:r>
        <w:rPr>
          <w:rFonts w:hint="eastAsia" w:ascii="宋体" w:hAnsi="宋体" w:eastAsia="宋体" w:cs="宋体"/>
          <w:color w:val="000000"/>
          <w:sz w:val="24"/>
          <w:szCs w:val="24"/>
          <w:highlight w:val="none"/>
          <w:u w:val="none"/>
        </w:rPr>
        <w:t>就材料设备的种类、产地、品牌、数量、规格等，按投标文件中的品牌和国家制定的有关质量标准规范要求进行验收或抽查试验，</w:t>
      </w:r>
      <w:r>
        <w:rPr>
          <w:rFonts w:hint="eastAsia" w:ascii="宋体" w:hAnsi="宋体" w:eastAsia="宋体" w:cs="宋体"/>
          <w:color w:val="000000"/>
          <w:sz w:val="24"/>
          <w:szCs w:val="24"/>
          <w:highlight w:val="none"/>
          <w:u w:val="none"/>
          <w:lang w:eastAsia="zh-CN"/>
        </w:rPr>
        <w:t>乙方应同时</w:t>
      </w:r>
      <w:r>
        <w:rPr>
          <w:rFonts w:hint="eastAsia" w:ascii="宋体" w:hAnsi="宋体" w:eastAsia="宋体" w:cs="宋体"/>
          <w:color w:val="000000"/>
          <w:sz w:val="24"/>
          <w:szCs w:val="24"/>
          <w:highlight w:val="none"/>
          <w:u w:val="none"/>
        </w:rPr>
        <w:t>向验收人员提供有关产品合格证、许可证、准用证等证明和出厂日期等以供核对</w:t>
      </w:r>
      <w:r>
        <w:rPr>
          <w:rFonts w:hint="eastAsia" w:ascii="宋体" w:hAnsi="宋体" w:eastAsia="宋体" w:cs="宋体"/>
          <w:color w:val="000000"/>
          <w:sz w:val="24"/>
          <w:szCs w:val="24"/>
          <w:highlight w:val="none"/>
          <w:u w:val="none"/>
          <w:lang w:val="en-US" w:eastAsia="zh-CN"/>
        </w:rPr>
        <w:t>。</w:t>
      </w:r>
    </w:p>
    <w:p>
      <w:pPr>
        <w:adjustRightInd w:val="0"/>
        <w:snapToGrid w:val="0"/>
        <w:spacing w:line="360" w:lineRule="auto"/>
        <w:ind w:firstLine="480" w:firstLineChars="200"/>
        <w:rPr>
          <w:rFonts w:hint="eastAsia" w:ascii="宋体" w:hAnsi="宋体" w:eastAsia="宋体" w:cs="宋体"/>
          <w:color w:val="000000"/>
          <w:sz w:val="24"/>
          <w:szCs w:val="24"/>
          <w:highlight w:val="none"/>
          <w:u w:val="none"/>
          <w:lang w:val="en-US" w:eastAsia="zh-CN" w:bidi="ar-SA"/>
        </w:rPr>
      </w:pPr>
      <w:r>
        <w:rPr>
          <w:rFonts w:hint="eastAsia" w:ascii="宋体" w:hAnsi="宋体" w:eastAsia="宋体" w:cs="宋体"/>
          <w:color w:val="000000"/>
          <w:kern w:val="2"/>
          <w:sz w:val="24"/>
          <w:szCs w:val="24"/>
          <w:highlight w:val="none"/>
          <w:lang w:val="en-US" w:eastAsia="zh-CN" w:bidi="ar-SA"/>
        </w:rPr>
        <w:t>6.</w:t>
      </w:r>
      <w:r>
        <w:rPr>
          <w:rFonts w:hint="eastAsia" w:eastAsia="宋体" w:cs="宋体"/>
          <w:color w:val="000000"/>
          <w:kern w:val="2"/>
          <w:sz w:val="24"/>
          <w:szCs w:val="24"/>
          <w:highlight w:val="none"/>
          <w:lang w:val="en-US" w:eastAsia="zh-CN" w:bidi="ar-SA"/>
        </w:rPr>
        <w:t>3</w:t>
      </w:r>
      <w:r>
        <w:rPr>
          <w:rFonts w:hint="eastAsia" w:ascii="宋体" w:hAnsi="宋体" w:eastAsia="宋体" w:cs="宋体"/>
          <w:color w:val="000000"/>
          <w:sz w:val="24"/>
          <w:szCs w:val="24"/>
          <w:highlight w:val="none"/>
          <w:u w:val="none"/>
          <w:lang w:eastAsia="zh-CN"/>
        </w:rPr>
        <w:t>乙方</w:t>
      </w:r>
      <w:r>
        <w:rPr>
          <w:rFonts w:hint="eastAsia" w:ascii="宋体" w:hAnsi="宋体" w:eastAsia="宋体" w:cs="宋体"/>
          <w:color w:val="000000"/>
          <w:sz w:val="24"/>
          <w:szCs w:val="24"/>
          <w:highlight w:val="none"/>
          <w:u w:val="none"/>
        </w:rPr>
        <w:t>提供的主要材料设备应按招标文件的规定和</w:t>
      </w:r>
      <w:r>
        <w:rPr>
          <w:rFonts w:hint="eastAsia" w:ascii="宋体" w:hAnsi="宋体" w:eastAsia="宋体" w:cs="宋体"/>
          <w:color w:val="000000"/>
          <w:sz w:val="24"/>
          <w:szCs w:val="24"/>
          <w:highlight w:val="none"/>
          <w:u w:val="none"/>
          <w:lang w:eastAsia="zh-CN"/>
        </w:rPr>
        <w:t>乙方</w:t>
      </w:r>
      <w:r>
        <w:rPr>
          <w:rFonts w:hint="eastAsia" w:ascii="宋体" w:hAnsi="宋体" w:eastAsia="宋体" w:cs="宋体"/>
          <w:color w:val="000000"/>
          <w:sz w:val="24"/>
          <w:szCs w:val="24"/>
          <w:highlight w:val="none"/>
          <w:u w:val="none"/>
        </w:rPr>
        <w:t>在投标文件材料</w:t>
      </w:r>
      <w:r>
        <w:rPr>
          <w:rFonts w:hint="eastAsia" w:ascii="宋体" w:hAnsi="宋体" w:eastAsia="宋体" w:cs="宋体"/>
          <w:color w:val="000000"/>
          <w:sz w:val="24"/>
          <w:szCs w:val="24"/>
          <w:highlight w:val="none"/>
          <w:u w:val="none"/>
          <w:lang w:eastAsia="zh-CN"/>
        </w:rPr>
        <w:t>设备</w:t>
      </w:r>
      <w:r>
        <w:rPr>
          <w:rFonts w:hint="eastAsia" w:ascii="宋体" w:hAnsi="宋体" w:eastAsia="宋体" w:cs="宋体"/>
          <w:color w:val="000000"/>
          <w:sz w:val="24"/>
          <w:szCs w:val="24"/>
          <w:highlight w:val="none"/>
          <w:u w:val="none"/>
        </w:rPr>
        <w:t>价格表中所明确的材料</w:t>
      </w:r>
      <w:r>
        <w:rPr>
          <w:rFonts w:hint="eastAsia" w:ascii="宋体" w:hAnsi="宋体" w:eastAsia="宋体" w:cs="宋体"/>
          <w:color w:val="000000"/>
          <w:sz w:val="24"/>
          <w:szCs w:val="24"/>
          <w:highlight w:val="none"/>
          <w:u w:val="none"/>
          <w:lang w:eastAsia="zh-CN"/>
        </w:rPr>
        <w:t>设备品目、数量、</w:t>
      </w:r>
      <w:r>
        <w:rPr>
          <w:rFonts w:hint="eastAsia" w:ascii="宋体" w:hAnsi="宋体" w:eastAsia="宋体" w:cs="宋体"/>
          <w:color w:val="000000"/>
          <w:sz w:val="24"/>
          <w:szCs w:val="24"/>
          <w:highlight w:val="none"/>
          <w:u w:val="none"/>
        </w:rPr>
        <w:t>品牌、厂家</w:t>
      </w:r>
      <w:r>
        <w:rPr>
          <w:rFonts w:hint="eastAsia" w:ascii="宋体" w:hAnsi="宋体" w:eastAsia="宋体" w:cs="宋体"/>
          <w:color w:val="000000"/>
          <w:sz w:val="24"/>
          <w:szCs w:val="24"/>
          <w:highlight w:val="none"/>
          <w:u w:val="none"/>
          <w:lang w:eastAsia="zh-CN"/>
        </w:rPr>
        <w:t>、技术规格</w:t>
      </w:r>
      <w:r>
        <w:rPr>
          <w:rFonts w:hint="eastAsia" w:ascii="宋体" w:hAnsi="宋体" w:eastAsia="宋体" w:cs="宋体"/>
          <w:color w:val="000000"/>
          <w:sz w:val="24"/>
          <w:szCs w:val="24"/>
          <w:highlight w:val="none"/>
          <w:u w:val="none"/>
        </w:rPr>
        <w:t>一致，</w:t>
      </w:r>
      <w:r>
        <w:rPr>
          <w:rFonts w:hint="eastAsia" w:ascii="宋体" w:hAnsi="宋体" w:eastAsia="宋体" w:cs="宋体"/>
          <w:color w:val="000000"/>
          <w:sz w:val="24"/>
          <w:szCs w:val="24"/>
          <w:highlight w:val="none"/>
          <w:u w:val="none"/>
          <w:lang w:eastAsia="zh-CN"/>
        </w:rPr>
        <w:t>乙方</w:t>
      </w:r>
      <w:r>
        <w:rPr>
          <w:rFonts w:hint="eastAsia" w:ascii="宋体" w:hAnsi="宋体" w:eastAsia="宋体" w:cs="宋体"/>
          <w:color w:val="000000"/>
          <w:sz w:val="24"/>
          <w:szCs w:val="24"/>
          <w:highlight w:val="none"/>
          <w:u w:val="none"/>
        </w:rPr>
        <w:t>在采购前60天向</w:t>
      </w:r>
      <w:r>
        <w:rPr>
          <w:rFonts w:hint="eastAsia" w:ascii="宋体" w:hAnsi="宋体" w:eastAsia="宋体" w:cs="宋体"/>
          <w:color w:val="000000"/>
          <w:sz w:val="24"/>
          <w:szCs w:val="24"/>
          <w:highlight w:val="none"/>
          <w:u w:val="none"/>
          <w:lang w:eastAsia="zh-CN"/>
        </w:rPr>
        <w:t>甲方、全过程工程咨询单位</w:t>
      </w:r>
      <w:r>
        <w:rPr>
          <w:rFonts w:hint="eastAsia" w:ascii="宋体" w:hAnsi="宋体" w:eastAsia="宋体" w:cs="宋体"/>
          <w:color w:val="000000"/>
          <w:sz w:val="24"/>
          <w:szCs w:val="24"/>
          <w:highlight w:val="none"/>
          <w:u w:val="none"/>
        </w:rPr>
        <w:t>提供样品、有关资料和采购计划，经</w:t>
      </w:r>
      <w:r>
        <w:rPr>
          <w:rFonts w:hint="eastAsia" w:ascii="宋体" w:hAnsi="宋体" w:eastAsia="宋体" w:cs="宋体"/>
          <w:color w:val="000000"/>
          <w:sz w:val="24"/>
          <w:szCs w:val="24"/>
          <w:highlight w:val="none"/>
          <w:u w:val="none"/>
          <w:lang w:eastAsia="zh-CN"/>
        </w:rPr>
        <w:t>甲方、全过程工程咨询单位</w:t>
      </w:r>
      <w:r>
        <w:rPr>
          <w:rFonts w:hint="eastAsia" w:ascii="宋体" w:hAnsi="宋体" w:eastAsia="宋体" w:cs="宋体"/>
          <w:color w:val="000000"/>
          <w:sz w:val="24"/>
          <w:szCs w:val="24"/>
          <w:highlight w:val="none"/>
          <w:u w:val="none"/>
        </w:rPr>
        <w:t>书面确认后，方可采购进场，否则</w:t>
      </w:r>
      <w:r>
        <w:rPr>
          <w:rFonts w:hint="eastAsia" w:ascii="宋体" w:hAnsi="宋体" w:eastAsia="宋体" w:cs="宋体"/>
          <w:color w:val="000000"/>
          <w:sz w:val="24"/>
          <w:szCs w:val="24"/>
          <w:highlight w:val="none"/>
          <w:u w:val="none"/>
          <w:lang w:eastAsia="zh-CN"/>
        </w:rPr>
        <w:t>甲方</w:t>
      </w:r>
      <w:r>
        <w:rPr>
          <w:rFonts w:hint="eastAsia" w:ascii="宋体" w:hAnsi="宋体" w:eastAsia="宋体" w:cs="宋体"/>
          <w:color w:val="000000"/>
          <w:sz w:val="24"/>
          <w:szCs w:val="24"/>
          <w:highlight w:val="none"/>
          <w:u w:val="none"/>
        </w:rPr>
        <w:t>有权要求</w:t>
      </w:r>
      <w:r>
        <w:rPr>
          <w:rFonts w:hint="eastAsia" w:ascii="宋体" w:hAnsi="宋体" w:eastAsia="宋体" w:cs="宋体"/>
          <w:color w:val="000000"/>
          <w:sz w:val="24"/>
          <w:szCs w:val="24"/>
          <w:highlight w:val="none"/>
          <w:u w:val="none"/>
          <w:lang w:eastAsia="zh-CN"/>
        </w:rPr>
        <w:t>更换已进场货物</w:t>
      </w:r>
      <w:r>
        <w:rPr>
          <w:rFonts w:hint="eastAsia" w:ascii="宋体" w:hAnsi="宋体" w:eastAsia="宋体" w:cs="宋体"/>
          <w:color w:val="000000"/>
          <w:sz w:val="24"/>
          <w:szCs w:val="24"/>
          <w:highlight w:val="none"/>
          <w:u w:val="none"/>
        </w:rPr>
        <w:t>，</w:t>
      </w:r>
      <w:r>
        <w:rPr>
          <w:rFonts w:hint="eastAsia" w:ascii="宋体" w:hAnsi="宋体" w:eastAsia="宋体" w:cs="宋体"/>
          <w:color w:val="000000"/>
          <w:sz w:val="24"/>
          <w:szCs w:val="24"/>
          <w:highlight w:val="none"/>
          <w:u w:val="none"/>
          <w:lang w:eastAsia="zh-CN"/>
        </w:rPr>
        <w:t>因此产生的</w:t>
      </w:r>
      <w:r>
        <w:rPr>
          <w:rFonts w:hint="eastAsia" w:ascii="宋体" w:hAnsi="宋体" w:eastAsia="宋体" w:cs="宋体"/>
          <w:color w:val="000000"/>
          <w:sz w:val="24"/>
          <w:szCs w:val="24"/>
          <w:highlight w:val="none"/>
          <w:u w:val="none"/>
        </w:rPr>
        <w:t>一切责任和费用均由</w:t>
      </w:r>
      <w:r>
        <w:rPr>
          <w:rFonts w:hint="eastAsia" w:ascii="宋体" w:hAnsi="宋体" w:eastAsia="宋体" w:cs="宋体"/>
          <w:color w:val="000000"/>
          <w:sz w:val="24"/>
          <w:szCs w:val="24"/>
          <w:highlight w:val="none"/>
          <w:u w:val="none"/>
          <w:lang w:eastAsia="zh-CN"/>
        </w:rPr>
        <w:t>乙方</w:t>
      </w:r>
      <w:r>
        <w:rPr>
          <w:rFonts w:hint="eastAsia" w:ascii="宋体" w:hAnsi="宋体" w:eastAsia="宋体" w:cs="宋体"/>
          <w:color w:val="000000"/>
          <w:sz w:val="24"/>
          <w:szCs w:val="24"/>
          <w:highlight w:val="none"/>
          <w:u w:val="none"/>
        </w:rPr>
        <w:t>自行承担。所有的进场材料</w:t>
      </w:r>
      <w:r>
        <w:rPr>
          <w:rFonts w:hint="eastAsia" w:ascii="宋体" w:hAnsi="宋体" w:eastAsia="宋体" w:cs="宋体"/>
          <w:color w:val="000000"/>
          <w:sz w:val="24"/>
          <w:szCs w:val="24"/>
          <w:highlight w:val="none"/>
          <w:u w:val="none"/>
          <w:lang w:eastAsia="zh-CN"/>
        </w:rPr>
        <w:t>或设备</w:t>
      </w:r>
      <w:r>
        <w:rPr>
          <w:rFonts w:hint="eastAsia" w:ascii="宋体" w:hAnsi="宋体" w:eastAsia="宋体" w:cs="宋体"/>
          <w:color w:val="000000"/>
          <w:sz w:val="24"/>
          <w:szCs w:val="24"/>
          <w:highlight w:val="none"/>
          <w:u w:val="none"/>
        </w:rPr>
        <w:t>须提供</w:t>
      </w:r>
      <w:r>
        <w:rPr>
          <w:rFonts w:hint="eastAsia" w:ascii="宋体" w:hAnsi="宋体" w:eastAsia="宋体" w:cs="宋体"/>
          <w:color w:val="000000"/>
          <w:sz w:val="24"/>
          <w:szCs w:val="24"/>
          <w:highlight w:val="none"/>
          <w:u w:val="none"/>
          <w:lang w:eastAsia="zh-CN"/>
        </w:rPr>
        <w:t>质量合格的有关证明材料</w:t>
      </w:r>
      <w:r>
        <w:rPr>
          <w:rFonts w:hint="eastAsia" w:ascii="宋体" w:hAnsi="宋体" w:eastAsia="宋体" w:cs="宋体"/>
          <w:color w:val="000000"/>
          <w:sz w:val="24"/>
          <w:szCs w:val="24"/>
          <w:highlight w:val="none"/>
          <w:u w:val="none"/>
        </w:rPr>
        <w:t>、并且符合施工图纸和规范要求</w:t>
      </w:r>
      <w:r>
        <w:rPr>
          <w:rFonts w:hint="eastAsia" w:ascii="宋体" w:hAnsi="宋体" w:eastAsia="宋体" w:cs="宋体"/>
          <w:color w:val="000000"/>
          <w:sz w:val="24"/>
          <w:szCs w:val="24"/>
          <w:highlight w:val="none"/>
          <w:u w:val="none"/>
          <w:lang w:val="en-US" w:eastAsia="zh-CN"/>
        </w:rPr>
        <w:t>。</w:t>
      </w:r>
    </w:p>
    <w:p>
      <w:pPr>
        <w:pStyle w:val="62"/>
        <w:spacing w:line="360" w:lineRule="auto"/>
        <w:ind w:firstLine="480" w:firstLineChars="200"/>
        <w:rPr>
          <w:rFonts w:hint="eastAsia" w:ascii="宋体" w:hAnsi="宋体" w:eastAsia="宋体" w:cs="宋体"/>
          <w:color w:val="000000"/>
          <w:sz w:val="24"/>
          <w:szCs w:val="24"/>
          <w:highlight w:val="none"/>
          <w:lang w:val="en-US" w:eastAsia="zh-CN" w:bidi="ar-SA"/>
        </w:rPr>
      </w:pPr>
      <w:r>
        <w:rPr>
          <w:rFonts w:hint="eastAsia" w:ascii="宋体" w:hAnsi="宋体" w:eastAsia="宋体" w:cs="宋体"/>
          <w:color w:val="000000"/>
          <w:sz w:val="24"/>
          <w:szCs w:val="24"/>
          <w:highlight w:val="none"/>
          <w:lang w:val="en-US" w:eastAsia="zh-CN" w:bidi="ar-SA"/>
        </w:rPr>
        <w:t>7、</w:t>
      </w:r>
      <w:r>
        <w:rPr>
          <w:rFonts w:hint="eastAsia" w:ascii="宋体" w:hAnsi="宋体" w:cs="宋体"/>
          <w:b/>
          <w:bCs/>
          <w:color w:val="000000"/>
          <w:sz w:val="24"/>
          <w:szCs w:val="24"/>
          <w:highlight w:val="none"/>
          <w:lang w:val="en-US" w:eastAsia="zh-CN" w:bidi="ar-SA"/>
        </w:rPr>
        <w:t>乙方</w:t>
      </w:r>
      <w:r>
        <w:rPr>
          <w:rFonts w:hint="eastAsia" w:ascii="宋体" w:hAnsi="宋体" w:eastAsia="宋体" w:cs="宋体"/>
          <w:b/>
          <w:bCs/>
          <w:color w:val="000000"/>
          <w:sz w:val="24"/>
          <w:szCs w:val="24"/>
          <w:highlight w:val="none"/>
          <w:lang w:val="en-US" w:eastAsia="zh-CN" w:bidi="ar-SA"/>
        </w:rPr>
        <w:t>供货时，如</w:t>
      </w:r>
      <w:r>
        <w:rPr>
          <w:rFonts w:hint="eastAsia" w:ascii="宋体" w:hAnsi="宋体" w:cs="宋体"/>
          <w:b/>
          <w:bCs/>
          <w:color w:val="000000"/>
          <w:sz w:val="24"/>
          <w:szCs w:val="24"/>
          <w:highlight w:val="none"/>
          <w:lang w:val="en-US" w:eastAsia="zh-CN" w:bidi="ar-SA"/>
        </w:rPr>
        <w:t>供应的</w:t>
      </w:r>
      <w:r>
        <w:rPr>
          <w:rFonts w:hint="eastAsia" w:ascii="宋体" w:hAnsi="宋体" w:eastAsia="宋体" w:cs="宋体"/>
          <w:b/>
          <w:bCs/>
          <w:color w:val="000000"/>
          <w:sz w:val="24"/>
          <w:szCs w:val="24"/>
          <w:highlight w:val="none"/>
          <w:lang w:val="en-US" w:eastAsia="zh-CN" w:bidi="ar-SA"/>
        </w:rPr>
        <w:t>设备中</w:t>
      </w:r>
      <w:r>
        <w:rPr>
          <w:rFonts w:hint="eastAsia" w:ascii="宋体" w:hAnsi="宋体" w:cs="宋体"/>
          <w:b/>
          <w:bCs/>
          <w:color w:val="000000"/>
          <w:sz w:val="24"/>
          <w:szCs w:val="24"/>
          <w:highlight w:val="none"/>
          <w:lang w:val="en-US" w:eastAsia="zh-CN" w:bidi="ar-SA"/>
        </w:rPr>
        <w:t>含</w:t>
      </w:r>
      <w:r>
        <w:rPr>
          <w:rFonts w:hint="eastAsia" w:ascii="宋体" w:hAnsi="宋体" w:eastAsia="宋体" w:cs="宋体"/>
          <w:b/>
          <w:bCs/>
          <w:color w:val="000000"/>
          <w:sz w:val="24"/>
          <w:szCs w:val="24"/>
          <w:highlight w:val="none"/>
          <w:lang w:val="en-US" w:eastAsia="zh-CN" w:bidi="ar-SA"/>
        </w:rPr>
        <w:t>有《医疗器械分类目录》中所列设备的，应当同时提交该设备的医疗器械注册证和设备生产企业的医疗器械生产许可证，否则</w:t>
      </w:r>
      <w:r>
        <w:rPr>
          <w:rFonts w:hint="eastAsia" w:ascii="宋体" w:hAnsi="宋体" w:cs="宋体"/>
          <w:b/>
          <w:bCs/>
          <w:color w:val="000000"/>
          <w:sz w:val="24"/>
          <w:szCs w:val="24"/>
          <w:highlight w:val="none"/>
          <w:lang w:val="en-US" w:eastAsia="zh-CN" w:bidi="ar-SA"/>
        </w:rPr>
        <w:t>甲方有权拒绝接收并按乙方违约处理。</w:t>
      </w:r>
    </w:p>
    <w:p>
      <w:pPr>
        <w:pStyle w:val="62"/>
        <w:spacing w:line="360" w:lineRule="auto"/>
        <w:ind w:firstLine="480" w:firstLineChars="200"/>
        <w:rPr>
          <w:rFonts w:hint="eastAsia" w:ascii="宋体" w:hAnsi="宋体" w:eastAsia="宋体" w:cs="宋体"/>
          <w:color w:val="000000"/>
          <w:sz w:val="24"/>
          <w:szCs w:val="24"/>
          <w:highlight w:val="none"/>
          <w:lang w:val="en-US" w:eastAsia="zh-CN" w:bidi="ar-SA"/>
        </w:rPr>
      </w:pPr>
      <w:r>
        <w:rPr>
          <w:rFonts w:hint="eastAsia" w:ascii="宋体" w:hAnsi="宋体" w:cs="宋体"/>
          <w:color w:val="000000"/>
          <w:sz w:val="24"/>
          <w:szCs w:val="24"/>
          <w:highlight w:val="none"/>
          <w:lang w:val="en-US" w:eastAsia="zh-CN" w:bidi="ar-SA"/>
        </w:rPr>
        <w:t>8、</w:t>
      </w:r>
      <w:r>
        <w:rPr>
          <w:rFonts w:hint="eastAsia" w:ascii="宋体" w:hAnsi="宋体" w:eastAsia="宋体" w:cs="宋体"/>
          <w:color w:val="000000"/>
          <w:sz w:val="24"/>
          <w:szCs w:val="24"/>
          <w:highlight w:val="none"/>
          <w:lang w:val="en-US" w:eastAsia="zh-CN" w:bidi="ar-SA"/>
        </w:rPr>
        <w:t>设备功能和技术参数等质量要求，详见附件二《</w:t>
      </w:r>
      <w:r>
        <w:rPr>
          <w:rFonts w:hint="eastAsia" w:ascii="宋体" w:hAnsi="宋体" w:cs="宋体"/>
          <w:color w:val="000000"/>
          <w:sz w:val="24"/>
          <w:szCs w:val="24"/>
          <w:highlight w:val="none"/>
          <w:lang w:val="en-US" w:eastAsia="zh-CN" w:bidi="ar-SA"/>
        </w:rPr>
        <w:t>投标</w:t>
      </w:r>
      <w:r>
        <w:rPr>
          <w:rFonts w:hint="eastAsia" w:ascii="宋体" w:hAnsi="宋体" w:eastAsia="宋体" w:cs="宋体"/>
          <w:color w:val="000000"/>
          <w:sz w:val="24"/>
          <w:szCs w:val="24"/>
          <w:highlight w:val="none"/>
          <w:lang w:val="en-US" w:eastAsia="zh-CN" w:bidi="ar-SA"/>
        </w:rPr>
        <w:t>产品技术规格书》。</w:t>
      </w:r>
    </w:p>
    <w:p>
      <w:pPr>
        <w:pStyle w:val="62"/>
        <w:keepNext/>
        <w:keepLines/>
        <w:spacing w:before="120" w:after="120" w:line="360" w:lineRule="auto"/>
        <w:outlineLvl w:val="3"/>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rPr>
        <w:t>三、质量、技术标准</w:t>
      </w:r>
    </w:p>
    <w:p>
      <w:pPr>
        <w:pStyle w:val="62"/>
        <w:spacing w:line="360" w:lineRule="auto"/>
        <w:ind w:firstLine="482" w:firstLineChars="200"/>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rPr>
        <w:t>1、产品的质量、技术标准</w:t>
      </w:r>
    </w:p>
    <w:p>
      <w:pPr>
        <w:pStyle w:val="62"/>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达到国家验收规范合格标准及招标文件要求和投标文件中的承诺，若不同标准之间不一致的，以要求较高者为准。如国家有新标准的，则应符合国家所颁布的最新版本的质量和技术要求，</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不得因新标准的实施</w:t>
      </w:r>
      <w:r>
        <w:rPr>
          <w:rFonts w:hint="eastAsia" w:ascii="宋体" w:hAnsi="宋体" w:eastAsia="宋体" w:cs="宋体"/>
          <w:color w:val="000000"/>
          <w:sz w:val="24"/>
          <w:szCs w:val="24"/>
          <w:highlight w:val="none"/>
          <w:lang w:eastAsia="zh-CN"/>
        </w:rPr>
        <w:t>向甲方提出</w:t>
      </w:r>
      <w:r>
        <w:rPr>
          <w:rFonts w:hint="eastAsia" w:ascii="宋体" w:hAnsi="宋体" w:eastAsia="宋体" w:cs="宋体"/>
          <w:color w:val="000000"/>
          <w:sz w:val="24"/>
          <w:szCs w:val="24"/>
          <w:highlight w:val="none"/>
        </w:rPr>
        <w:t>价格调整</w:t>
      </w:r>
      <w:r>
        <w:rPr>
          <w:rFonts w:hint="eastAsia" w:ascii="宋体" w:hAnsi="宋体" w:eastAsia="宋体" w:cs="宋体"/>
          <w:color w:val="000000"/>
          <w:sz w:val="24"/>
          <w:szCs w:val="24"/>
          <w:highlight w:val="none"/>
          <w:lang w:eastAsia="zh-CN"/>
        </w:rPr>
        <w:t>的</w:t>
      </w:r>
      <w:r>
        <w:rPr>
          <w:rFonts w:hint="eastAsia" w:ascii="宋体" w:hAnsi="宋体" w:eastAsia="宋体" w:cs="宋体"/>
          <w:color w:val="000000"/>
          <w:sz w:val="24"/>
          <w:szCs w:val="24"/>
          <w:highlight w:val="none"/>
        </w:rPr>
        <w:t>要求。</w:t>
      </w:r>
    </w:p>
    <w:p>
      <w:pPr>
        <w:pStyle w:val="62"/>
        <w:spacing w:line="360" w:lineRule="auto"/>
        <w:ind w:firstLine="482" w:firstLineChars="200"/>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rPr>
        <w:t>2、制造检验和试验工作</w:t>
      </w:r>
    </w:p>
    <w:p>
      <w:pPr>
        <w:pStyle w:val="62"/>
        <w:spacing w:line="360" w:lineRule="auto"/>
        <w:ind w:firstLine="480" w:firstLineChars="200"/>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2.1</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在出厂前性能试验结束后应尽快提交试验报告书（一式三份，提交时间以试验结束后14个工作日内为准）。</w:t>
      </w:r>
    </w:p>
    <w:p>
      <w:pPr>
        <w:pStyle w:val="62"/>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2.2</w:t>
      </w:r>
      <w:r>
        <w:rPr>
          <w:rFonts w:hint="eastAsia" w:ascii="宋体" w:hAnsi="宋体" w:eastAsia="宋体" w:cs="宋体"/>
          <w:color w:val="000000"/>
          <w:sz w:val="24"/>
          <w:szCs w:val="24"/>
          <w:highlight w:val="none"/>
        </w:rPr>
        <w:t>所有检验和试验等费用包括在本合同总价中，</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不再另行支付。</w:t>
      </w:r>
    </w:p>
    <w:p>
      <w:pPr>
        <w:pStyle w:val="62"/>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2.3</w:t>
      </w:r>
      <w:r>
        <w:rPr>
          <w:rFonts w:hint="eastAsia" w:ascii="宋体" w:hAnsi="宋体" w:eastAsia="宋体" w:cs="宋体"/>
          <w:color w:val="000000"/>
          <w:sz w:val="24"/>
          <w:szCs w:val="24"/>
          <w:highlight w:val="none"/>
        </w:rPr>
        <w:t>本合同项下</w:t>
      </w:r>
      <w:r>
        <w:rPr>
          <w:rFonts w:hint="eastAsia" w:ascii="宋体" w:hAnsi="宋体" w:eastAsia="宋体" w:cs="宋体"/>
          <w:color w:val="000000"/>
          <w:sz w:val="24"/>
          <w:szCs w:val="24"/>
          <w:highlight w:val="none"/>
          <w:lang w:eastAsia="zh-CN"/>
        </w:rPr>
        <w:t>所有</w:t>
      </w:r>
      <w:r>
        <w:rPr>
          <w:rFonts w:hint="eastAsia" w:ascii="宋体" w:hAnsi="宋体" w:eastAsia="宋体" w:cs="宋体"/>
          <w:color w:val="000000"/>
          <w:sz w:val="24"/>
          <w:szCs w:val="24"/>
          <w:highlight w:val="none"/>
        </w:rPr>
        <w:t>产品在生产制造期间，</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有权在合适的时间到</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制造地，进行质量检验和试验，若一些零部件需在其他地方生产，</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应为</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办理手续进入</w:t>
      </w:r>
      <w:r>
        <w:rPr>
          <w:rFonts w:hint="eastAsia" w:ascii="宋体" w:hAnsi="宋体" w:cs="宋体"/>
          <w:color w:val="000000"/>
          <w:sz w:val="24"/>
          <w:szCs w:val="24"/>
          <w:highlight w:val="none"/>
          <w:lang w:val="en-US" w:eastAsia="zh-CN"/>
        </w:rPr>
        <w:t>生产场地</w:t>
      </w:r>
      <w:r>
        <w:rPr>
          <w:rFonts w:hint="eastAsia" w:ascii="宋体" w:hAnsi="宋体" w:eastAsia="宋体" w:cs="宋体"/>
          <w:color w:val="000000"/>
          <w:sz w:val="24"/>
          <w:szCs w:val="24"/>
          <w:highlight w:val="none"/>
        </w:rPr>
        <w:t>。在制造监制期间，</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有责任提供有关设备的各种数据，设备结构图和部件图的详细中文资料，但</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监制并不解除</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对所有产品在制造质量上应负的全部责任，也不作为</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的最终验收</w:t>
      </w:r>
      <w:r>
        <w:rPr>
          <w:rFonts w:hint="eastAsia" w:ascii="宋体" w:hAnsi="宋体" w:eastAsia="宋体" w:cs="宋体"/>
          <w:color w:val="000000"/>
          <w:sz w:val="24"/>
          <w:szCs w:val="24"/>
          <w:highlight w:val="none"/>
          <w:lang w:eastAsia="zh-CN"/>
        </w:rPr>
        <w:t>结果</w:t>
      </w:r>
      <w:r>
        <w:rPr>
          <w:rFonts w:hint="eastAsia" w:ascii="宋体" w:hAnsi="宋体" w:eastAsia="宋体" w:cs="宋体"/>
          <w:color w:val="000000"/>
          <w:sz w:val="24"/>
          <w:szCs w:val="24"/>
          <w:highlight w:val="none"/>
        </w:rPr>
        <w:t>。</w:t>
      </w:r>
    </w:p>
    <w:p>
      <w:pPr>
        <w:pStyle w:val="62"/>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2.4主要部件和电气部件及整机设备</w:t>
      </w:r>
      <w:r>
        <w:rPr>
          <w:rFonts w:hint="eastAsia" w:ascii="宋体" w:hAnsi="宋体" w:eastAsia="宋体" w:cs="宋体"/>
          <w:color w:val="000000"/>
          <w:sz w:val="24"/>
          <w:szCs w:val="24"/>
          <w:highlight w:val="none"/>
        </w:rPr>
        <w:t>的检验都应在工厂内结束，</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须提供由</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工程师认可的一整套检验标准和计划，</w:t>
      </w:r>
      <w:r>
        <w:rPr>
          <w:rFonts w:hint="eastAsia" w:ascii="宋体" w:hAnsi="宋体" w:eastAsia="宋体" w:cs="宋体"/>
          <w:color w:val="auto"/>
          <w:sz w:val="24"/>
          <w:szCs w:val="24"/>
          <w:highlight w:val="none"/>
        </w:rPr>
        <w:t>所有检验应严格地按照</w:t>
      </w:r>
      <w:r>
        <w:rPr>
          <w:rFonts w:hint="eastAsia" w:eastAsia="宋体" w:cs="宋体"/>
          <w:color w:val="auto"/>
          <w:sz w:val="24"/>
          <w:szCs w:val="24"/>
          <w:highlight w:val="none"/>
          <w:lang w:eastAsia="zh-CN"/>
        </w:rPr>
        <w:t>国家、行业有关标准及甲方</w:t>
      </w:r>
      <w:r>
        <w:rPr>
          <w:rFonts w:hint="eastAsia" w:ascii="宋体" w:hAnsi="宋体" w:eastAsia="宋体" w:cs="宋体"/>
          <w:color w:val="auto"/>
          <w:sz w:val="24"/>
          <w:szCs w:val="24"/>
          <w:highlight w:val="none"/>
        </w:rPr>
        <w:t>认可的方式进行</w:t>
      </w:r>
      <w:r>
        <w:rPr>
          <w:rFonts w:hint="eastAsia" w:ascii="宋体" w:hAnsi="宋体" w:eastAsia="宋体" w:cs="宋体"/>
          <w:color w:val="000000"/>
          <w:sz w:val="24"/>
          <w:szCs w:val="24"/>
          <w:highlight w:val="none"/>
        </w:rPr>
        <w:t>，在检验结束后，</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须提供必要的技术数据和图纸，并提交一式三份检验、试验报告给</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w:t>
      </w:r>
    </w:p>
    <w:p>
      <w:pPr>
        <w:pStyle w:val="62"/>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2.5</w:t>
      </w:r>
      <w:r>
        <w:rPr>
          <w:rFonts w:hint="eastAsia" w:ascii="宋体" w:hAnsi="宋体" w:eastAsia="宋体" w:cs="宋体"/>
          <w:color w:val="000000"/>
          <w:sz w:val="24"/>
          <w:szCs w:val="24"/>
          <w:highlight w:val="none"/>
        </w:rPr>
        <w:t>当设备试验时，</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应至少在试验前14天以正式的书面形式通知</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，何种试验将在何时何地进行，经</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认可后，若</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不能在指定的时间赶赴现场，</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将进行试验并被视为</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在场进行，同时及时将试验报告副本送达</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，若</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需要，</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应解释所有的试验事项，直至</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满意。</w:t>
      </w:r>
    </w:p>
    <w:p>
      <w:pPr>
        <w:pStyle w:val="62"/>
        <w:keepNext/>
        <w:keepLines/>
        <w:spacing w:before="120" w:after="120" w:line="360" w:lineRule="auto"/>
        <w:outlineLvl w:val="3"/>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rPr>
        <w:t>四、免费保修期限及其他优惠措施</w:t>
      </w:r>
    </w:p>
    <w:p>
      <w:pPr>
        <w:pStyle w:val="62"/>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1、免费保修期限（质保期）须满足招标要求，具体期限见投标承诺，时间从</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运输至</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指定位置并</w:t>
      </w:r>
      <w:r>
        <w:rPr>
          <w:rFonts w:hint="eastAsia" w:ascii="宋体" w:hAnsi="宋体" w:eastAsia="宋体" w:cs="宋体"/>
          <w:color w:val="000000"/>
          <w:kern w:val="24"/>
          <w:sz w:val="24"/>
          <w:szCs w:val="24"/>
          <w:highlight w:val="none"/>
        </w:rPr>
        <w:t>吊装就位</w:t>
      </w:r>
      <w:r>
        <w:rPr>
          <w:rFonts w:hint="eastAsia" w:ascii="宋体" w:hAnsi="宋体" w:eastAsia="宋体" w:cs="宋体"/>
          <w:color w:val="000000"/>
          <w:sz w:val="24"/>
          <w:szCs w:val="24"/>
          <w:highlight w:val="none"/>
        </w:rPr>
        <w:t>、安装、调试完毕，经有关部门验收合格并交付</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使用之后起算。</w:t>
      </w:r>
    </w:p>
    <w:p>
      <w:pPr>
        <w:pStyle w:val="62"/>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2、售后服务工作由</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全部负责，并派资深调试维护工程师进驻现场，确保项目顺利安全可靠</w:t>
      </w:r>
      <w:r>
        <w:rPr>
          <w:rFonts w:hint="eastAsia" w:ascii="宋体" w:hAnsi="宋体" w:eastAsia="宋体" w:cs="宋体"/>
          <w:color w:val="000000"/>
          <w:sz w:val="24"/>
          <w:szCs w:val="24"/>
          <w:highlight w:val="none"/>
          <w:lang w:eastAsia="zh-CN"/>
        </w:rPr>
        <w:t>运</w:t>
      </w:r>
      <w:r>
        <w:rPr>
          <w:rFonts w:hint="eastAsia" w:ascii="宋体" w:hAnsi="宋体" w:eastAsia="宋体" w:cs="宋体"/>
          <w:color w:val="000000"/>
          <w:sz w:val="24"/>
          <w:szCs w:val="24"/>
          <w:highlight w:val="none"/>
        </w:rPr>
        <w:t>作，</w:t>
      </w:r>
      <w:r>
        <w:rPr>
          <w:rFonts w:hint="eastAsia" w:ascii="宋体" w:hAnsi="宋体" w:eastAsia="宋体" w:cs="宋体"/>
          <w:color w:val="000000"/>
          <w:sz w:val="24"/>
          <w:szCs w:val="24"/>
          <w:highlight w:val="none"/>
          <w:lang w:eastAsia="zh-CN"/>
        </w:rPr>
        <w:t>该工程师的</w:t>
      </w:r>
      <w:r>
        <w:rPr>
          <w:rFonts w:hint="eastAsia" w:ascii="宋体" w:hAnsi="宋体" w:eastAsia="宋体" w:cs="宋体"/>
          <w:color w:val="000000"/>
          <w:sz w:val="24"/>
          <w:szCs w:val="24"/>
          <w:highlight w:val="none"/>
        </w:rPr>
        <w:t>工作范围包括</w:t>
      </w:r>
      <w:r>
        <w:rPr>
          <w:rFonts w:hint="eastAsia" w:ascii="宋体" w:hAnsi="宋体" w:eastAsia="宋体" w:cs="宋体"/>
          <w:color w:val="000000"/>
          <w:sz w:val="24"/>
          <w:szCs w:val="24"/>
          <w:highlight w:val="none"/>
          <w:lang w:eastAsia="zh-CN"/>
        </w:rPr>
        <w:t>但不限于</w:t>
      </w:r>
      <w:r>
        <w:rPr>
          <w:rFonts w:hint="eastAsia" w:ascii="宋体" w:hAnsi="宋体" w:eastAsia="宋体" w:cs="宋体"/>
          <w:color w:val="000000"/>
          <w:sz w:val="24"/>
          <w:szCs w:val="24"/>
          <w:highlight w:val="none"/>
        </w:rPr>
        <w:t>：维修保障服务和对现场操作人员的培训等。</w:t>
      </w:r>
    </w:p>
    <w:p>
      <w:pPr>
        <w:pStyle w:val="62"/>
        <w:spacing w:line="360" w:lineRule="auto"/>
        <w:ind w:firstLine="482" w:firstLineChars="200"/>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rPr>
        <w:t>3、售后服务工作：</w:t>
      </w:r>
    </w:p>
    <w:p>
      <w:pPr>
        <w:pStyle w:val="62"/>
        <w:spacing w:line="360" w:lineRule="auto"/>
        <w:ind w:firstLine="480" w:firstLineChars="200"/>
        <w:rPr>
          <w:rFonts w:hint="eastAsia" w:ascii="宋体" w:hAnsi="宋体" w:eastAsia="宋体" w:cs="宋体"/>
          <w:color w:val="000000"/>
          <w:sz w:val="24"/>
          <w:szCs w:val="24"/>
          <w:highlight w:val="none"/>
          <w:lang w:val="en-US" w:eastAsia="zh-CN" w:bidi="ar-SA"/>
        </w:rPr>
      </w:pPr>
      <w:r>
        <w:rPr>
          <w:rFonts w:hint="eastAsia" w:ascii="宋体" w:hAnsi="宋体" w:eastAsia="宋体" w:cs="宋体"/>
          <w:color w:val="000000"/>
          <w:sz w:val="24"/>
          <w:szCs w:val="24"/>
          <w:highlight w:val="none"/>
          <w:lang w:val="en-US" w:eastAsia="zh-CN" w:bidi="ar-SA"/>
        </w:rPr>
        <w:t>3.1在保修期截止后，若设备出现故障时，乙方承诺按不高于本合同附件三《维保有偿服务收费标准》提供有偿服务，即：如遇收费标准上调，则按本合同附件三的收费标准收取；如遇收费标准下调，则乙方应按调整后的收费标准收取。附件三中所列明的价格已包括部件本身的设备费、安装费、调试费、劳务费、维护费、税收等所有费用。</w:t>
      </w:r>
    </w:p>
    <w:p>
      <w:pPr>
        <w:pStyle w:val="62"/>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3.2</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维修人员接到维修电话后须在1小时内响应，并提供不间断的服务直到修复完毕。</w:t>
      </w:r>
    </w:p>
    <w:p>
      <w:pPr>
        <w:pStyle w:val="62"/>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3.3</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须</w:t>
      </w:r>
      <w:r>
        <w:rPr>
          <w:rFonts w:hint="eastAsia" w:ascii="宋体" w:hAnsi="宋体" w:eastAsia="宋体" w:cs="宋体"/>
          <w:color w:val="000000"/>
          <w:sz w:val="24"/>
          <w:szCs w:val="24"/>
          <w:highlight w:val="none"/>
          <w:lang w:eastAsia="zh-CN"/>
        </w:rPr>
        <w:t>按</w:t>
      </w:r>
      <w:r>
        <w:rPr>
          <w:rFonts w:hint="eastAsia" w:ascii="宋体" w:hAnsi="宋体" w:eastAsia="宋体" w:cs="宋体"/>
          <w:color w:val="000000"/>
          <w:sz w:val="24"/>
          <w:szCs w:val="24"/>
          <w:highlight w:val="none"/>
        </w:rPr>
        <w:t>投标</w:t>
      </w:r>
      <w:r>
        <w:rPr>
          <w:rFonts w:hint="eastAsia" w:ascii="宋体" w:hAnsi="宋体" w:eastAsia="宋体" w:cs="宋体"/>
          <w:color w:val="000000"/>
          <w:sz w:val="24"/>
          <w:szCs w:val="24"/>
          <w:highlight w:val="none"/>
          <w:lang w:eastAsia="zh-CN"/>
        </w:rPr>
        <w:t>时承诺的</w:t>
      </w:r>
      <w:r>
        <w:rPr>
          <w:rFonts w:hint="eastAsia" w:ascii="宋体" w:hAnsi="宋体" w:eastAsia="宋体" w:cs="宋体"/>
          <w:color w:val="000000"/>
          <w:sz w:val="24"/>
          <w:szCs w:val="24"/>
          <w:highlight w:val="none"/>
        </w:rPr>
        <w:t>质量保修期</w:t>
      </w:r>
      <w:r>
        <w:rPr>
          <w:rFonts w:hint="eastAsia" w:ascii="宋体" w:hAnsi="宋体" w:eastAsia="宋体" w:cs="宋体"/>
          <w:color w:val="000000"/>
          <w:sz w:val="24"/>
          <w:szCs w:val="24"/>
          <w:highlight w:val="none"/>
          <w:lang w:eastAsia="zh-CN"/>
        </w:rPr>
        <w:t>为甲方</w:t>
      </w:r>
      <w:r>
        <w:rPr>
          <w:rFonts w:hint="eastAsia" w:ascii="宋体" w:hAnsi="宋体" w:eastAsia="宋体" w:cs="宋体"/>
          <w:color w:val="000000"/>
          <w:sz w:val="24"/>
          <w:szCs w:val="24"/>
          <w:highlight w:val="none"/>
        </w:rPr>
        <w:t>提供免费</w:t>
      </w:r>
      <w:r>
        <w:rPr>
          <w:rFonts w:hint="eastAsia" w:ascii="宋体" w:hAnsi="宋体" w:eastAsia="宋体" w:cs="宋体"/>
          <w:color w:val="000000"/>
          <w:sz w:val="24"/>
          <w:szCs w:val="24"/>
          <w:highlight w:val="none"/>
          <w:lang w:eastAsia="zh-CN"/>
        </w:rPr>
        <w:t>的</w:t>
      </w:r>
      <w:r>
        <w:rPr>
          <w:rFonts w:hint="eastAsia" w:ascii="宋体" w:hAnsi="宋体" w:eastAsia="宋体" w:cs="宋体"/>
          <w:color w:val="000000"/>
          <w:sz w:val="24"/>
          <w:szCs w:val="24"/>
          <w:highlight w:val="none"/>
        </w:rPr>
        <w:t>维修和保养</w:t>
      </w:r>
      <w:r>
        <w:rPr>
          <w:rFonts w:hint="eastAsia" w:ascii="宋体" w:hAnsi="宋体" w:eastAsia="宋体" w:cs="宋体"/>
          <w:color w:val="000000"/>
          <w:sz w:val="24"/>
          <w:szCs w:val="24"/>
          <w:highlight w:val="none"/>
          <w:lang w:eastAsia="zh-CN"/>
        </w:rPr>
        <w:t>服务</w:t>
      </w:r>
      <w:r>
        <w:rPr>
          <w:rFonts w:hint="eastAsia" w:ascii="宋体" w:hAnsi="宋体" w:eastAsia="宋体" w:cs="宋体"/>
          <w:color w:val="000000"/>
          <w:sz w:val="24"/>
          <w:szCs w:val="24"/>
          <w:highlight w:val="none"/>
        </w:rPr>
        <w:t>，时间从</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运输至</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指定位置并</w:t>
      </w:r>
      <w:r>
        <w:rPr>
          <w:rFonts w:hint="eastAsia" w:ascii="宋体" w:hAnsi="宋体" w:eastAsia="宋体" w:cs="宋体"/>
          <w:color w:val="000000"/>
          <w:kern w:val="24"/>
          <w:sz w:val="24"/>
          <w:szCs w:val="24"/>
          <w:highlight w:val="none"/>
        </w:rPr>
        <w:t>吊装就位</w:t>
      </w:r>
      <w:r>
        <w:rPr>
          <w:rFonts w:hint="eastAsia" w:ascii="宋体" w:hAnsi="宋体" w:eastAsia="宋体" w:cs="宋体"/>
          <w:color w:val="000000"/>
          <w:sz w:val="24"/>
          <w:szCs w:val="24"/>
          <w:highlight w:val="none"/>
        </w:rPr>
        <w:t>、安装、调试完毕，经有关部门验收合格并交付</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使用之后起算。在此期间，产品出现任何质量问题，</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应免费维修和正常保养。</w:t>
      </w:r>
    </w:p>
    <w:p>
      <w:pPr>
        <w:pStyle w:val="62"/>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3.4</w:t>
      </w:r>
      <w:r>
        <w:rPr>
          <w:rFonts w:hint="eastAsia" w:ascii="宋体" w:hAnsi="宋体" w:eastAsia="宋体" w:cs="宋体"/>
          <w:color w:val="000000"/>
          <w:sz w:val="24"/>
          <w:szCs w:val="24"/>
          <w:highlight w:val="none"/>
        </w:rPr>
        <w:t>在质保期内的工作应包括对所有机组系统常规检查、调整等</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每季度对设备进行一次总体检测并保养，每年对设备进行一次复调。</w:t>
      </w:r>
    </w:p>
    <w:p>
      <w:pPr>
        <w:pStyle w:val="62"/>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3.5</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须自行付费负责修理和更换任何由于设备自身的质量问题造成的损坏及故障。</w:t>
      </w:r>
    </w:p>
    <w:p>
      <w:pPr>
        <w:pStyle w:val="62"/>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3.6在缺陷保修期满前</w:t>
      </w:r>
      <w:r>
        <w:rPr>
          <w:rFonts w:hint="eastAsia" w:ascii="宋体" w:hAnsi="宋体" w:eastAsia="宋体" w:cs="宋体"/>
          <w:color w:val="000000"/>
          <w:sz w:val="24"/>
          <w:szCs w:val="24"/>
          <w:highlight w:val="none"/>
        </w:rPr>
        <w:t>，须由</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工程师和</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代表一同对设备进行一次测试，任何故障须由</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自费解决并取得</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的书面认可。</w:t>
      </w:r>
    </w:p>
    <w:p>
      <w:pPr>
        <w:pStyle w:val="62"/>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3.7</w:t>
      </w:r>
      <w:r>
        <w:rPr>
          <w:rFonts w:hint="eastAsia" w:ascii="宋体" w:hAnsi="宋体" w:eastAsia="宋体" w:cs="宋体"/>
          <w:color w:val="000000"/>
          <w:sz w:val="24"/>
          <w:szCs w:val="24"/>
          <w:highlight w:val="none"/>
        </w:rPr>
        <w:t>故障修复后，</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需提供一式两份报告给</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，包括故障原因，解决措施，完成修理所费时间及恢复正常运行日期。</w:t>
      </w:r>
    </w:p>
    <w:p>
      <w:pPr>
        <w:pStyle w:val="62"/>
        <w:spacing w:line="360" w:lineRule="auto"/>
        <w:ind w:firstLine="480" w:firstLineChars="200"/>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3.8质量保修期具体要求详见附件五《质量保修书》及招标文件售后服务条款。</w:t>
      </w:r>
    </w:p>
    <w:p>
      <w:pPr>
        <w:pStyle w:val="62"/>
        <w:spacing w:line="360" w:lineRule="auto"/>
        <w:ind w:firstLine="482" w:firstLineChars="200"/>
        <w:rPr>
          <w:rFonts w:hint="eastAsia" w:ascii="宋体" w:hAnsi="宋体" w:eastAsia="宋体" w:cs="宋体"/>
          <w:color w:val="000000"/>
          <w:sz w:val="24"/>
          <w:szCs w:val="24"/>
          <w:highlight w:val="none"/>
        </w:rPr>
      </w:pPr>
      <w:r>
        <w:rPr>
          <w:rFonts w:hint="eastAsia" w:ascii="宋体" w:hAnsi="宋体" w:eastAsia="宋体" w:cs="宋体"/>
          <w:b/>
          <w:bCs/>
          <w:color w:val="000000"/>
          <w:sz w:val="24"/>
          <w:szCs w:val="24"/>
          <w:highlight w:val="none"/>
        </w:rPr>
        <w:t>4、备件供应</w:t>
      </w:r>
    </w:p>
    <w:p>
      <w:pPr>
        <w:pStyle w:val="62"/>
        <w:adjustRightInd w:val="0"/>
        <w:snapToGrid w:val="0"/>
        <w:spacing w:line="360" w:lineRule="auto"/>
        <w:ind w:firstLine="480" w:firstLineChars="200"/>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1、</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确保有足够的备件、附件和易损件满足设备正常运行需要。</w:t>
      </w:r>
    </w:p>
    <w:p>
      <w:pPr>
        <w:pStyle w:val="62"/>
        <w:adjustRightInd w:val="0"/>
        <w:snapToGrid w:val="0"/>
        <w:spacing w:line="360" w:lineRule="auto"/>
        <w:ind w:firstLine="480" w:firstLineChars="200"/>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2、</w:t>
      </w:r>
      <w:r>
        <w:rPr>
          <w:rFonts w:hint="eastAsia" w:ascii="宋体" w:hAnsi="宋体" w:eastAsia="宋体" w:cs="宋体"/>
          <w:color w:val="000000"/>
          <w:sz w:val="24"/>
          <w:szCs w:val="24"/>
          <w:highlight w:val="none"/>
          <w:lang w:eastAsia="zh-CN"/>
        </w:rPr>
        <w:t>乙方承诺在质保期结束</w:t>
      </w:r>
      <w:r>
        <w:rPr>
          <w:rFonts w:hint="eastAsia" w:ascii="宋体" w:hAnsi="宋体" w:eastAsia="宋体" w:cs="宋体"/>
          <w:color w:val="000000"/>
          <w:sz w:val="24"/>
          <w:szCs w:val="24"/>
          <w:highlight w:val="none"/>
        </w:rPr>
        <w:t>后</w:t>
      </w:r>
      <w:r>
        <w:rPr>
          <w:rFonts w:hint="eastAsia" w:ascii="宋体" w:hAnsi="宋体" w:eastAsia="宋体" w:cs="宋体"/>
          <w:color w:val="000000"/>
          <w:sz w:val="24"/>
          <w:szCs w:val="24"/>
          <w:highlight w:val="none"/>
          <w:lang w:eastAsia="zh-CN"/>
        </w:rPr>
        <w:t>按</w:t>
      </w:r>
      <w:r>
        <w:rPr>
          <w:rFonts w:hint="eastAsia" w:ascii="宋体" w:hAnsi="宋体" w:eastAsia="宋体" w:cs="宋体"/>
          <w:color w:val="000000"/>
          <w:sz w:val="24"/>
          <w:szCs w:val="24"/>
          <w:highlight w:val="none"/>
        </w:rPr>
        <w:t>投标报价</w:t>
      </w:r>
      <w:r>
        <w:rPr>
          <w:rFonts w:hint="eastAsia" w:ascii="宋体" w:hAnsi="宋体" w:eastAsia="宋体" w:cs="宋体"/>
          <w:color w:val="000000"/>
          <w:sz w:val="24"/>
          <w:szCs w:val="24"/>
          <w:highlight w:val="none"/>
          <w:lang w:eastAsia="zh-CN"/>
        </w:rPr>
        <w:t>中载明的价格向甲方提供维修保养和系统正常运行所需的备品备件、</w:t>
      </w:r>
      <w:r>
        <w:rPr>
          <w:rFonts w:hint="eastAsia" w:ascii="宋体" w:hAnsi="宋体" w:eastAsia="宋体" w:cs="宋体"/>
          <w:color w:val="000000"/>
          <w:sz w:val="24"/>
          <w:szCs w:val="24"/>
          <w:highlight w:val="none"/>
        </w:rPr>
        <w:t>零部件、附件</w:t>
      </w:r>
      <w:r>
        <w:rPr>
          <w:rFonts w:hint="eastAsia" w:ascii="宋体" w:hAnsi="宋体" w:eastAsia="宋体" w:cs="宋体"/>
          <w:color w:val="000000"/>
          <w:sz w:val="24"/>
          <w:szCs w:val="24"/>
          <w:highlight w:val="none"/>
          <w:lang w:eastAsia="zh-CN"/>
        </w:rPr>
        <w:t>、耗材、易损件</w:t>
      </w:r>
      <w:r>
        <w:rPr>
          <w:rFonts w:hint="eastAsia" w:ascii="宋体" w:hAnsi="宋体" w:eastAsia="宋体" w:cs="宋体"/>
          <w:color w:val="000000"/>
          <w:sz w:val="24"/>
          <w:szCs w:val="24"/>
          <w:highlight w:val="none"/>
        </w:rPr>
        <w:t>或正确的替代件</w:t>
      </w:r>
      <w:r>
        <w:rPr>
          <w:rFonts w:hint="eastAsia" w:ascii="宋体" w:hAnsi="宋体" w:eastAsia="宋体" w:cs="宋体"/>
          <w:color w:val="000000"/>
          <w:sz w:val="24"/>
          <w:szCs w:val="24"/>
          <w:highlight w:val="none"/>
          <w:lang w:eastAsia="zh-CN"/>
        </w:rPr>
        <w:t>等物资，投标报价中未载明价格的，</w:t>
      </w:r>
      <w:r>
        <w:rPr>
          <w:rFonts w:hint="eastAsia" w:ascii="宋体" w:hAnsi="宋体" w:eastAsia="宋体" w:cs="宋体"/>
          <w:color w:val="000000"/>
          <w:sz w:val="24"/>
          <w:szCs w:val="24"/>
          <w:highlight w:val="none"/>
        </w:rPr>
        <w:t>按比市场</w:t>
      </w:r>
      <w:r>
        <w:rPr>
          <w:rFonts w:hint="eastAsia" w:ascii="宋体" w:hAnsi="宋体" w:eastAsia="宋体" w:cs="宋体"/>
          <w:color w:val="000000"/>
          <w:sz w:val="24"/>
          <w:szCs w:val="24"/>
          <w:highlight w:val="none"/>
          <w:lang w:eastAsia="zh-CN"/>
        </w:rPr>
        <w:t>价</w:t>
      </w:r>
      <w:r>
        <w:rPr>
          <w:rFonts w:hint="eastAsia" w:ascii="宋体" w:hAnsi="宋体" w:eastAsia="宋体" w:cs="宋体"/>
          <w:color w:val="000000"/>
          <w:sz w:val="24"/>
          <w:szCs w:val="24"/>
          <w:highlight w:val="none"/>
        </w:rPr>
        <w:t>优惠20%的价格</w:t>
      </w:r>
      <w:r>
        <w:rPr>
          <w:rFonts w:hint="eastAsia" w:ascii="宋体" w:hAnsi="宋体" w:eastAsia="宋体" w:cs="宋体"/>
          <w:color w:val="000000"/>
          <w:sz w:val="24"/>
          <w:szCs w:val="24"/>
          <w:highlight w:val="none"/>
          <w:lang w:eastAsia="zh-CN"/>
        </w:rPr>
        <w:t>向甲方提供</w:t>
      </w:r>
      <w:r>
        <w:rPr>
          <w:rFonts w:hint="eastAsia" w:ascii="宋体" w:hAnsi="宋体" w:eastAsia="宋体" w:cs="宋体"/>
          <w:color w:val="000000"/>
          <w:sz w:val="24"/>
          <w:szCs w:val="24"/>
          <w:highlight w:val="none"/>
        </w:rPr>
        <w:t>。</w:t>
      </w:r>
    </w:p>
    <w:p>
      <w:pPr>
        <w:pStyle w:val="62"/>
        <w:adjustRightInd w:val="0"/>
        <w:snapToGrid w:val="0"/>
        <w:spacing w:line="360" w:lineRule="auto"/>
        <w:ind w:firstLine="480" w:firstLineChars="200"/>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3、乙方</w:t>
      </w:r>
      <w:r>
        <w:rPr>
          <w:rFonts w:hint="eastAsia" w:ascii="宋体" w:hAnsi="宋体" w:eastAsia="宋体" w:cs="宋体"/>
          <w:color w:val="000000"/>
          <w:sz w:val="24"/>
          <w:szCs w:val="24"/>
          <w:highlight w:val="none"/>
        </w:rPr>
        <w:t>承诺在5年内对设备控制系统软件提供免费升级（不限次数）。</w:t>
      </w:r>
    </w:p>
    <w:p>
      <w:pPr>
        <w:pStyle w:val="62"/>
        <w:keepNext/>
        <w:keepLines/>
        <w:spacing w:before="120" w:after="120" w:line="360" w:lineRule="auto"/>
        <w:outlineLvl w:val="3"/>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rPr>
        <w:t>五、交货期及交货方式、地点</w:t>
      </w:r>
    </w:p>
    <w:p>
      <w:pPr>
        <w:pStyle w:val="62"/>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1、设备交货期：本合同项下</w:t>
      </w:r>
      <w:r>
        <w:rPr>
          <w:rFonts w:hint="eastAsia" w:ascii="宋体" w:hAnsi="宋体" w:eastAsia="宋体" w:cs="宋体"/>
          <w:color w:val="000000"/>
          <w:sz w:val="24"/>
          <w:szCs w:val="24"/>
          <w:highlight w:val="none"/>
          <w:lang w:eastAsia="zh-CN"/>
        </w:rPr>
        <w:t>所有</w:t>
      </w:r>
      <w:r>
        <w:rPr>
          <w:rFonts w:hint="eastAsia" w:ascii="宋体" w:hAnsi="宋体" w:eastAsia="宋体" w:cs="宋体"/>
          <w:color w:val="000000"/>
          <w:sz w:val="24"/>
          <w:szCs w:val="24"/>
          <w:highlight w:val="none"/>
        </w:rPr>
        <w:t>设备交货期为：</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u w:val="single"/>
          <w:lang w:val="en-US" w:eastAsia="zh-CN"/>
        </w:rPr>
        <w:t>收到甲方书面通知后    日历天内，设备经安装、调试完成并经竣工验收、试运行合格交付采购人使用后视为交货完毕</w:t>
      </w:r>
      <w:r>
        <w:rPr>
          <w:rFonts w:hint="eastAsia" w:ascii="宋体" w:hAnsi="宋体" w:eastAsia="宋体" w:cs="宋体"/>
          <w:color w:val="000000"/>
          <w:sz w:val="24"/>
          <w:szCs w:val="24"/>
          <w:highlight w:val="none"/>
        </w:rPr>
        <w:t>。</w:t>
      </w:r>
    </w:p>
    <w:p>
      <w:pPr>
        <w:pStyle w:val="62"/>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2、交货方式、交货地点：工程建设</w:t>
      </w:r>
      <w:r>
        <w:rPr>
          <w:rFonts w:hint="eastAsia" w:ascii="宋体" w:hAnsi="宋体" w:eastAsia="宋体" w:cs="宋体"/>
          <w:color w:val="000000"/>
          <w:sz w:val="24"/>
          <w:szCs w:val="24"/>
          <w:highlight w:val="none"/>
          <w:lang w:eastAsia="zh-CN"/>
        </w:rPr>
        <w:t>项目施工</w:t>
      </w:r>
      <w:r>
        <w:rPr>
          <w:rFonts w:hint="eastAsia" w:ascii="宋体" w:hAnsi="宋体" w:eastAsia="宋体" w:cs="宋体"/>
          <w:color w:val="000000"/>
          <w:sz w:val="24"/>
          <w:szCs w:val="24"/>
          <w:highlight w:val="none"/>
        </w:rPr>
        <w:t>现场，由</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负责</w:t>
      </w:r>
      <w:r>
        <w:rPr>
          <w:rFonts w:hint="eastAsia" w:ascii="宋体" w:hAnsi="宋体" w:eastAsia="宋体" w:cs="宋体"/>
          <w:color w:val="000000"/>
          <w:sz w:val="24"/>
          <w:szCs w:val="24"/>
          <w:highlight w:val="none"/>
          <w:lang w:eastAsia="zh-CN"/>
        </w:rPr>
        <w:t>制造（或购买）、运输、保管、进场、安装、调试完成并经竣工验收、试运行合格交付采购人使用后视为交货完毕</w:t>
      </w:r>
      <w:r>
        <w:rPr>
          <w:rFonts w:hint="eastAsia" w:ascii="宋体" w:hAnsi="宋体" w:eastAsia="宋体" w:cs="宋体"/>
          <w:color w:val="000000"/>
          <w:sz w:val="24"/>
          <w:szCs w:val="24"/>
          <w:highlight w:val="none"/>
        </w:rPr>
        <w:t>。</w:t>
      </w:r>
    </w:p>
    <w:p>
      <w:pPr>
        <w:pStyle w:val="62"/>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3、供应商须承诺：安装、调试服务期间如遇重大节假日（如国庆、春节等）不得停工。</w:t>
      </w:r>
    </w:p>
    <w:p>
      <w:pPr>
        <w:pStyle w:val="62"/>
        <w:keepNext/>
        <w:keepLines/>
        <w:spacing w:before="120" w:after="120" w:line="360" w:lineRule="auto"/>
        <w:outlineLvl w:val="3"/>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rPr>
        <w:t>六、设备发运、包装及运输</w:t>
      </w:r>
    </w:p>
    <w:p>
      <w:pPr>
        <w:pStyle w:val="62"/>
        <w:spacing w:line="360" w:lineRule="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    1、货物备妥待运输前，</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应提前24小时通知</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，并将合同号、设备名称、数量、件数、每件包装箱的尺码、毛重及对货物的卸车、</w:t>
      </w:r>
      <w:r>
        <w:rPr>
          <w:rFonts w:hint="eastAsia" w:ascii="宋体" w:hAnsi="宋体" w:eastAsia="宋体" w:cs="宋体"/>
          <w:color w:val="000000"/>
          <w:sz w:val="24"/>
          <w:szCs w:val="24"/>
          <w:highlight w:val="none"/>
          <w:lang w:eastAsia="zh-CN"/>
        </w:rPr>
        <w:t>仓储</w:t>
      </w:r>
      <w:r>
        <w:rPr>
          <w:rFonts w:hint="eastAsia" w:ascii="宋体" w:hAnsi="宋体" w:eastAsia="宋体" w:cs="宋体"/>
          <w:color w:val="000000"/>
          <w:sz w:val="24"/>
          <w:szCs w:val="24"/>
          <w:highlight w:val="none"/>
        </w:rPr>
        <w:t>和特殊要求等用</w:t>
      </w:r>
      <w:r>
        <w:rPr>
          <w:rFonts w:hint="eastAsia" w:ascii="宋体" w:hAnsi="宋体" w:eastAsia="宋体" w:cs="宋体"/>
          <w:color w:val="000000"/>
          <w:sz w:val="24"/>
          <w:szCs w:val="24"/>
          <w:highlight w:val="none"/>
          <w:lang w:eastAsia="zh-CN"/>
        </w:rPr>
        <w:t>书面形式</w:t>
      </w:r>
      <w:r>
        <w:rPr>
          <w:rFonts w:hint="eastAsia" w:ascii="宋体" w:hAnsi="宋体" w:eastAsia="宋体" w:cs="宋体"/>
          <w:color w:val="000000"/>
          <w:sz w:val="24"/>
          <w:szCs w:val="24"/>
          <w:highlight w:val="none"/>
        </w:rPr>
        <w:t>通知</w:t>
      </w:r>
      <w:r>
        <w:rPr>
          <w:rFonts w:hint="eastAsia" w:ascii="宋体" w:hAnsi="宋体" w:eastAsia="宋体" w:cs="宋体"/>
          <w:color w:val="000000"/>
          <w:sz w:val="24"/>
          <w:szCs w:val="24"/>
          <w:highlight w:val="none"/>
          <w:lang w:eastAsia="zh-CN"/>
        </w:rPr>
        <w:t>甲方，并自行负责货物的装卸、仓储和保管等</w:t>
      </w:r>
      <w:r>
        <w:rPr>
          <w:rFonts w:hint="eastAsia" w:ascii="宋体" w:hAnsi="宋体" w:eastAsia="宋体" w:cs="宋体"/>
          <w:color w:val="000000"/>
          <w:sz w:val="24"/>
          <w:szCs w:val="24"/>
          <w:highlight w:val="none"/>
        </w:rPr>
        <w:t>。</w:t>
      </w:r>
    </w:p>
    <w:p>
      <w:pPr>
        <w:pStyle w:val="62"/>
        <w:spacing w:line="360" w:lineRule="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    2、除合同另有规定外，</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提供的全部货物，均应采用国家或专业标准保护措施进行包装，使包装适宜于远距离运输、防潮、防震、防锈和防粗暴装卸，确保货物安全无损运抵现场。设备在因包装不善或运输等原因造成的锈蚀、破损、丢失等均由</w:t>
      </w:r>
      <w:r>
        <w:rPr>
          <w:rFonts w:hint="eastAsia" w:ascii="宋体" w:hAnsi="宋体" w:eastAsia="宋体" w:cs="宋体"/>
          <w:color w:val="000000"/>
          <w:sz w:val="24"/>
          <w:szCs w:val="24"/>
          <w:highlight w:val="none"/>
          <w:lang w:eastAsia="zh-CN"/>
        </w:rPr>
        <w:t>乙方自行</w:t>
      </w:r>
      <w:r>
        <w:rPr>
          <w:rFonts w:hint="eastAsia" w:ascii="宋体" w:hAnsi="宋体" w:eastAsia="宋体" w:cs="宋体"/>
          <w:color w:val="000000"/>
          <w:sz w:val="24"/>
          <w:szCs w:val="24"/>
          <w:highlight w:val="none"/>
        </w:rPr>
        <w:t>承担责任。</w:t>
      </w:r>
    </w:p>
    <w:p>
      <w:pPr>
        <w:pStyle w:val="62"/>
        <w:spacing w:line="360" w:lineRule="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    3、</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保证货物在装卸、运输中发生损坏或短缺后，在15日内给予调换和补齐缺件，不管其造成的原因如何，</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不得以办理索赔等为由而拖延，同时，如因</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原因对</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造成工期延误等相应的损失由</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承担赔偿责任。</w:t>
      </w:r>
    </w:p>
    <w:p>
      <w:pPr>
        <w:pStyle w:val="62"/>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4、装运标志</w:t>
      </w:r>
    </w:p>
    <w:p>
      <w:pPr>
        <w:pStyle w:val="62"/>
        <w:spacing w:line="360" w:lineRule="auto"/>
        <w:ind w:left="420" w:hanging="480" w:hanging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    4.</w:t>
      </w:r>
      <w:r>
        <w:rPr>
          <w:rFonts w:hint="eastAsia" w:ascii="宋体" w:hAnsi="宋体" w:eastAsia="宋体" w:cs="宋体"/>
          <w:color w:val="000000"/>
          <w:sz w:val="24"/>
          <w:szCs w:val="24"/>
          <w:highlight w:val="none"/>
          <w:lang w:val="en-US" w:eastAsia="zh-CN"/>
        </w:rPr>
        <w:t>1</w:t>
      </w:r>
      <w:r>
        <w:rPr>
          <w:rFonts w:hint="eastAsia" w:ascii="宋体" w:hAnsi="宋体" w:eastAsia="宋体" w:cs="宋体"/>
          <w:color w:val="000000"/>
          <w:sz w:val="24"/>
          <w:szCs w:val="24"/>
          <w:highlight w:val="none"/>
        </w:rPr>
        <w:t>包装箱外面应用不褪色的油漆，按规定打上清晰的包装标志。对无包装的设备应系有金属标签。对重量超过2吨以上的货物，应标明重心点和吊装点所在位置，</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应在每件包装箱上，明显地标注下列标记：</w:t>
      </w:r>
    </w:p>
    <w:p>
      <w:pPr>
        <w:pStyle w:val="62"/>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lang w:eastAsia="zh-CN"/>
        </w:rPr>
      </w:pP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lang w:val="en-US" w:eastAsia="zh-CN"/>
        </w:rPr>
        <w:t>1</w:t>
      </w:r>
      <w:r>
        <w:rPr>
          <w:rFonts w:hint="eastAsia" w:ascii="宋体" w:hAnsi="宋体" w:eastAsia="宋体" w:cs="宋体"/>
          <w:color w:val="000000"/>
          <w:sz w:val="24"/>
          <w:szCs w:val="24"/>
          <w:highlight w:val="none"/>
          <w:lang w:eastAsia="zh-CN"/>
        </w:rPr>
        <w:t>）甲方名称</w:t>
      </w:r>
    </w:p>
    <w:p>
      <w:pPr>
        <w:pStyle w:val="62"/>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lang w:val="en-US" w:eastAsia="zh-CN"/>
        </w:rPr>
        <w:t>2</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产品名称</w:t>
      </w:r>
    </w:p>
    <w:p>
      <w:pPr>
        <w:pStyle w:val="62"/>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lang w:val="en-US" w:eastAsia="zh-CN"/>
        </w:rPr>
        <w:t>3</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合同号</w:t>
      </w:r>
    </w:p>
    <w:p>
      <w:pPr>
        <w:pStyle w:val="62"/>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lang w:val="en-US" w:eastAsia="zh-CN"/>
        </w:rPr>
        <w:t>4</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品目号和箱号</w:t>
      </w:r>
    </w:p>
    <w:p>
      <w:pPr>
        <w:pStyle w:val="62"/>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lang w:val="en-US" w:eastAsia="zh-CN"/>
        </w:rPr>
        <w:t>5</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到达站或到货地点</w:t>
      </w:r>
    </w:p>
    <w:p>
      <w:pPr>
        <w:pStyle w:val="62"/>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lang w:val="en-US" w:eastAsia="zh-CN"/>
        </w:rPr>
        <w:t>6</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外形尺寸(长×宽×高)，以厘米计。</w:t>
      </w:r>
    </w:p>
    <w:p>
      <w:pPr>
        <w:pStyle w:val="62"/>
        <w:spacing w:line="360" w:lineRule="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    4.2不包装的金属结构件应将唛头标签系牢在结构件上。</w:t>
      </w:r>
    </w:p>
    <w:p>
      <w:pPr>
        <w:pStyle w:val="62"/>
        <w:spacing w:line="360" w:lineRule="auto"/>
        <w:ind w:left="420" w:hanging="480" w:hanging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    4.3</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应根据设备特点，在包装箱上标明“小心轻放”、“请勿倒置”、“防潮”等字样和吊装标记。</w:t>
      </w:r>
    </w:p>
    <w:p>
      <w:pPr>
        <w:pStyle w:val="62"/>
        <w:spacing w:line="360" w:lineRule="auto"/>
        <w:ind w:firstLine="42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4.4每件包装箱内应附一份详细装箱单和质量合格证。</w:t>
      </w:r>
    </w:p>
    <w:p>
      <w:pPr>
        <w:pStyle w:val="62"/>
        <w:spacing w:line="360" w:lineRule="auto"/>
        <w:ind w:firstLine="42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4.5在包装箱中，应附有国家规定必需的所有产品合格证明文件、产品说明书、装箱单、易损件备件，以及有关技术文件资料。随包装箱携带的文件、资料应防潮密封，并放在包装箱内明显处。</w:t>
      </w:r>
    </w:p>
    <w:p>
      <w:pPr>
        <w:pStyle w:val="62"/>
        <w:spacing w:line="360" w:lineRule="auto"/>
        <w:ind w:firstLine="48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4.6所有的运输、保险及相关费用均由</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负责，设备及配件、部件的包装费和保护措施费应包括在合同总价中，这些包装材料应属于</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所有且由</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自行处置。</w:t>
      </w:r>
    </w:p>
    <w:p>
      <w:pPr>
        <w:pStyle w:val="62"/>
        <w:spacing w:line="360" w:lineRule="auto"/>
        <w:ind w:firstLine="480"/>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rPr>
        <w:t>七、安装及调试</w:t>
      </w:r>
    </w:p>
    <w:p>
      <w:pPr>
        <w:pStyle w:val="62"/>
        <w:spacing w:line="360" w:lineRule="auto"/>
        <w:ind w:firstLine="480"/>
        <w:rPr>
          <w:rFonts w:hint="eastAsia" w:ascii="宋体" w:hAnsi="宋体" w:eastAsia="宋体" w:cs="宋体"/>
          <w:color w:val="000000"/>
          <w:sz w:val="24"/>
          <w:szCs w:val="24"/>
          <w:highlight w:val="none"/>
        </w:rPr>
      </w:pPr>
      <w:r>
        <w:rPr>
          <w:rFonts w:hint="eastAsia" w:ascii="宋体" w:hAnsi="宋体" w:cs="宋体"/>
          <w:color w:val="000000"/>
          <w:sz w:val="24"/>
          <w:szCs w:val="24"/>
          <w:highlight w:val="none"/>
          <w:lang w:val="en-US" w:eastAsia="zh-CN"/>
        </w:rPr>
        <w:t>1、</w:t>
      </w:r>
      <w:r>
        <w:rPr>
          <w:rFonts w:hint="eastAsia" w:ascii="宋体" w:hAnsi="宋体" w:eastAsia="宋体" w:cs="宋体"/>
          <w:color w:val="000000"/>
          <w:sz w:val="24"/>
          <w:szCs w:val="24"/>
          <w:highlight w:val="none"/>
        </w:rPr>
        <w:t>乙方应当严格按照本合同约定以及国家、省、市有关现行规范完成设备安装调试工作。</w:t>
      </w:r>
    </w:p>
    <w:p>
      <w:pPr>
        <w:pStyle w:val="62"/>
        <w:spacing w:line="360" w:lineRule="auto"/>
        <w:ind w:firstLine="48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w:t>
      </w:r>
      <w:r>
        <w:rPr>
          <w:rFonts w:hint="eastAsia" w:ascii="宋体" w:hAnsi="宋体" w:cs="宋体"/>
          <w:color w:val="000000"/>
          <w:sz w:val="24"/>
          <w:szCs w:val="24"/>
          <w:highlight w:val="none"/>
          <w:lang w:eastAsia="zh-CN"/>
        </w:rPr>
        <w:t>、</w:t>
      </w:r>
      <w:r>
        <w:rPr>
          <w:rFonts w:hint="eastAsia" w:ascii="宋体" w:hAnsi="宋体" w:eastAsia="宋体" w:cs="宋体"/>
          <w:color w:val="000000"/>
          <w:sz w:val="24"/>
          <w:szCs w:val="24"/>
          <w:highlight w:val="none"/>
        </w:rPr>
        <w:t>乙方应当承担安装调试期间安全保卫工作及安装照明等工作并承担由此产生的一切费用。安装调试期间发生的一切安全事故、违法违规事件，均由乙方负责处理并承担相应的责任和费用。</w:t>
      </w:r>
    </w:p>
    <w:p>
      <w:pPr>
        <w:pStyle w:val="62"/>
        <w:spacing w:line="360" w:lineRule="auto"/>
        <w:ind w:firstLine="48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w:t>
      </w:r>
      <w:r>
        <w:rPr>
          <w:rFonts w:hint="eastAsia" w:ascii="宋体" w:hAnsi="宋体" w:cs="宋体"/>
          <w:color w:val="000000"/>
          <w:sz w:val="24"/>
          <w:szCs w:val="24"/>
          <w:highlight w:val="none"/>
          <w:lang w:eastAsia="zh-CN"/>
        </w:rPr>
        <w:t>、</w:t>
      </w:r>
      <w:r>
        <w:rPr>
          <w:rFonts w:hint="eastAsia" w:ascii="宋体" w:hAnsi="宋体" w:eastAsia="宋体" w:cs="宋体"/>
          <w:color w:val="000000"/>
          <w:sz w:val="24"/>
          <w:szCs w:val="24"/>
          <w:highlight w:val="none"/>
        </w:rPr>
        <w:t>在安装施工过程中，乙方应当遵守相关法律规定、甲方及</w:t>
      </w:r>
      <w:r>
        <w:rPr>
          <w:rFonts w:hint="eastAsia" w:ascii="宋体" w:hAnsi="宋体" w:cs="宋体"/>
          <w:color w:val="000000"/>
          <w:sz w:val="24"/>
          <w:szCs w:val="24"/>
          <w:highlight w:val="none"/>
          <w:lang w:val="en-US" w:eastAsia="zh-CN"/>
        </w:rPr>
        <w:t>全过程工程咨询</w:t>
      </w:r>
      <w:r>
        <w:rPr>
          <w:rFonts w:hint="eastAsia" w:ascii="宋体" w:hAnsi="宋体" w:eastAsia="宋体" w:cs="宋体"/>
          <w:color w:val="000000"/>
          <w:sz w:val="24"/>
          <w:szCs w:val="24"/>
          <w:highlight w:val="none"/>
        </w:rPr>
        <w:t>单位对施工现场的管理规定，自行协调好与其他施工单位的关系，确保</w:t>
      </w:r>
      <w:r>
        <w:rPr>
          <w:rFonts w:hint="eastAsia" w:ascii="宋体" w:hAnsi="宋体" w:cs="宋体"/>
          <w:color w:val="000000"/>
          <w:sz w:val="24"/>
          <w:szCs w:val="24"/>
          <w:highlight w:val="none"/>
          <w:lang w:eastAsia="zh-CN"/>
        </w:rPr>
        <w:t>项目</w:t>
      </w:r>
      <w:r>
        <w:rPr>
          <w:rFonts w:hint="eastAsia" w:ascii="宋体" w:hAnsi="宋体" w:eastAsia="宋体" w:cs="宋体"/>
          <w:color w:val="000000"/>
          <w:sz w:val="24"/>
          <w:szCs w:val="24"/>
          <w:highlight w:val="none"/>
        </w:rPr>
        <w:t xml:space="preserve">顺利完成。否则，因此所产生的一切后果均由乙方自行承担。若因乙方原因导致甲方相关设施损坏或造成第三方损失，则由乙方照价赔偿。 </w:t>
      </w:r>
    </w:p>
    <w:p>
      <w:pPr>
        <w:pStyle w:val="62"/>
        <w:spacing w:line="360" w:lineRule="auto"/>
        <w:ind w:firstLine="48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4</w:t>
      </w:r>
      <w:r>
        <w:rPr>
          <w:rFonts w:hint="eastAsia" w:ascii="宋体" w:hAnsi="宋体" w:cs="宋体"/>
          <w:color w:val="000000"/>
          <w:sz w:val="24"/>
          <w:szCs w:val="24"/>
          <w:highlight w:val="none"/>
          <w:lang w:eastAsia="zh-CN"/>
        </w:rPr>
        <w:t>、</w:t>
      </w:r>
      <w:r>
        <w:rPr>
          <w:rFonts w:hint="eastAsia" w:ascii="宋体" w:hAnsi="宋体" w:eastAsia="宋体" w:cs="宋体"/>
          <w:color w:val="000000"/>
          <w:sz w:val="24"/>
          <w:szCs w:val="24"/>
          <w:highlight w:val="none"/>
        </w:rPr>
        <w:t>乙方全权负责其劳务及职员的雇佣、工资的支付，住宿、膳食及运输等安排。乙方在任何时候均应采取一切合理的预防措施，以防止其职员发生任何违法或妨害治安的行为，并且保护</w:t>
      </w:r>
      <w:r>
        <w:rPr>
          <w:rFonts w:hint="eastAsia" w:ascii="宋体" w:hAnsi="宋体" w:cs="宋体"/>
          <w:color w:val="000000"/>
          <w:sz w:val="24"/>
          <w:szCs w:val="24"/>
          <w:highlight w:val="none"/>
          <w:lang w:eastAsia="zh-CN"/>
        </w:rPr>
        <w:t>项目</w:t>
      </w:r>
      <w:r>
        <w:rPr>
          <w:rFonts w:hint="eastAsia" w:ascii="宋体" w:hAnsi="宋体" w:eastAsia="宋体" w:cs="宋体"/>
          <w:color w:val="000000"/>
          <w:sz w:val="24"/>
          <w:szCs w:val="24"/>
          <w:highlight w:val="none"/>
        </w:rPr>
        <w:t>附近的个人或财产免遭上述行为的破坏。</w:t>
      </w:r>
    </w:p>
    <w:p>
      <w:pPr>
        <w:pStyle w:val="62"/>
        <w:spacing w:line="360" w:lineRule="auto"/>
        <w:ind w:firstLine="48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5</w:t>
      </w:r>
      <w:r>
        <w:rPr>
          <w:rFonts w:hint="eastAsia" w:ascii="宋体" w:hAnsi="宋体" w:cs="宋体"/>
          <w:color w:val="000000"/>
          <w:sz w:val="24"/>
          <w:szCs w:val="24"/>
          <w:highlight w:val="none"/>
          <w:lang w:eastAsia="zh-CN"/>
        </w:rPr>
        <w:t>、</w:t>
      </w:r>
      <w:r>
        <w:rPr>
          <w:rFonts w:hint="eastAsia" w:ascii="宋体" w:hAnsi="宋体" w:eastAsia="宋体" w:cs="宋体"/>
          <w:color w:val="000000"/>
          <w:sz w:val="24"/>
          <w:szCs w:val="24"/>
          <w:highlight w:val="none"/>
        </w:rPr>
        <w:t>乙方负责本设备安装调试</w:t>
      </w:r>
      <w:r>
        <w:rPr>
          <w:rFonts w:hint="eastAsia" w:ascii="宋体" w:hAnsi="宋体" w:cs="宋体"/>
          <w:color w:val="000000"/>
          <w:sz w:val="24"/>
          <w:szCs w:val="24"/>
          <w:highlight w:val="none"/>
          <w:lang w:eastAsia="zh-CN"/>
        </w:rPr>
        <w:t>项目</w:t>
      </w:r>
      <w:r>
        <w:rPr>
          <w:rFonts w:hint="eastAsia" w:ascii="宋体" w:hAnsi="宋体" w:eastAsia="宋体" w:cs="宋体"/>
          <w:color w:val="000000"/>
          <w:sz w:val="24"/>
          <w:szCs w:val="24"/>
          <w:highlight w:val="none"/>
        </w:rPr>
        <w:t>全部档案资料的汇总、整理、归档，并在安装验收通过后移交给甲方。</w:t>
      </w:r>
    </w:p>
    <w:p>
      <w:pPr>
        <w:pStyle w:val="62"/>
        <w:spacing w:line="360" w:lineRule="auto"/>
        <w:ind w:firstLine="48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6</w:t>
      </w:r>
      <w:r>
        <w:rPr>
          <w:rFonts w:hint="eastAsia" w:ascii="宋体" w:hAnsi="宋体" w:cs="宋体"/>
          <w:color w:val="000000"/>
          <w:sz w:val="24"/>
          <w:szCs w:val="24"/>
          <w:highlight w:val="none"/>
          <w:lang w:eastAsia="zh-CN"/>
        </w:rPr>
        <w:t>、</w:t>
      </w:r>
      <w:r>
        <w:rPr>
          <w:rFonts w:hint="eastAsia" w:ascii="宋体" w:hAnsi="宋体" w:eastAsia="宋体" w:cs="宋体"/>
          <w:color w:val="000000"/>
          <w:sz w:val="24"/>
          <w:szCs w:val="24"/>
          <w:highlight w:val="none"/>
        </w:rPr>
        <w:t>乙方经甲方批准后可在安装现场铺设临时设施，但必须在安装结束后负责清除完毕。由于乙方原因引起工期延长，造成临时设施影响甲方工作计划而需要搬迁的，增加的费用由乙方负责。在合同期间内，因甲方需要乙方提前拆除临时设施的，乙方应在甲方限定的时间内无条件拆除结束，拆除结束后双方再另行商议补偿费用。</w:t>
      </w:r>
    </w:p>
    <w:p>
      <w:pPr>
        <w:pStyle w:val="62"/>
        <w:spacing w:line="360" w:lineRule="auto"/>
        <w:ind w:firstLine="48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7</w:t>
      </w:r>
      <w:r>
        <w:rPr>
          <w:rFonts w:hint="eastAsia" w:ascii="宋体" w:hAnsi="宋体" w:cs="宋体"/>
          <w:color w:val="000000"/>
          <w:sz w:val="24"/>
          <w:szCs w:val="24"/>
          <w:highlight w:val="none"/>
          <w:lang w:eastAsia="zh-CN"/>
        </w:rPr>
        <w:t>、</w:t>
      </w:r>
      <w:r>
        <w:rPr>
          <w:rFonts w:hint="eastAsia" w:ascii="宋体" w:hAnsi="宋体" w:eastAsia="宋体" w:cs="宋体"/>
          <w:color w:val="000000"/>
          <w:sz w:val="24"/>
          <w:szCs w:val="24"/>
          <w:highlight w:val="none"/>
        </w:rPr>
        <w:t>安装所需的机械工具由乙方提供并自行运输至安装现场，该费用由乙方承担。在安装结束后，乙方应当按照甲方的要求，将乙方的机械工具搬出安装现场并拆除临时设施。安装调试结束前，乙方负责安装现场的卫生清理，并按甲方的要求堆放垃圾。</w:t>
      </w:r>
    </w:p>
    <w:p>
      <w:pPr>
        <w:pStyle w:val="62"/>
        <w:spacing w:line="360" w:lineRule="auto"/>
        <w:ind w:firstLine="480"/>
        <w:rPr>
          <w:rFonts w:hint="eastAsia" w:ascii="宋体" w:hAnsi="宋体" w:eastAsia="宋体" w:cs="宋体"/>
          <w:color w:val="000000"/>
          <w:sz w:val="24"/>
          <w:szCs w:val="24"/>
          <w:highlight w:val="none"/>
        </w:rPr>
      </w:pPr>
      <w:r>
        <w:rPr>
          <w:rFonts w:hint="eastAsia" w:ascii="宋体" w:hAnsi="宋体" w:eastAsia="宋体" w:cs="宋体"/>
          <w:color w:val="auto"/>
          <w:sz w:val="24"/>
          <w:szCs w:val="24"/>
          <w:highlight w:val="none"/>
          <w:lang w:val="en-US" w:eastAsia="zh-CN"/>
        </w:rPr>
        <w:t>8、交货完毕前，乙方须自行承担包括但不限于已安装或未安装的设备、物资、人员、仓储运输、安装施工作业、安装现场等的安全责任和一切风险。</w:t>
      </w:r>
    </w:p>
    <w:p>
      <w:pPr>
        <w:pStyle w:val="62"/>
        <w:keepNext/>
        <w:keepLines/>
        <w:spacing w:before="120" w:after="120" w:line="360" w:lineRule="auto"/>
        <w:ind w:firstLine="482" w:firstLineChars="200"/>
        <w:outlineLvl w:val="3"/>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rPr>
        <w:t>八、验收</w:t>
      </w:r>
    </w:p>
    <w:p>
      <w:pPr>
        <w:pStyle w:val="62"/>
        <w:spacing w:line="360" w:lineRule="auto"/>
        <w:ind w:firstLine="420"/>
        <w:rPr>
          <w:rFonts w:hint="eastAsia" w:ascii="宋体" w:hAnsi="宋体" w:eastAsia="宋体" w:cs="宋体"/>
          <w:color w:val="000000"/>
          <w:kern w:val="24"/>
          <w:sz w:val="24"/>
          <w:szCs w:val="24"/>
          <w:highlight w:val="none"/>
        </w:rPr>
      </w:pPr>
      <w:r>
        <w:rPr>
          <w:rFonts w:hint="eastAsia" w:ascii="宋体" w:hAnsi="宋体" w:eastAsia="宋体" w:cs="宋体"/>
          <w:color w:val="000000"/>
          <w:kern w:val="24"/>
          <w:sz w:val="24"/>
          <w:szCs w:val="24"/>
          <w:highlight w:val="none"/>
        </w:rPr>
        <w:t>1、设备到达现场后，</w:t>
      </w:r>
      <w:r>
        <w:rPr>
          <w:rFonts w:hint="eastAsia" w:ascii="宋体" w:hAnsi="宋体" w:eastAsia="宋体" w:cs="宋体"/>
          <w:color w:val="000000"/>
          <w:kern w:val="24"/>
          <w:sz w:val="24"/>
          <w:szCs w:val="24"/>
          <w:highlight w:val="none"/>
          <w:lang w:eastAsia="zh-CN"/>
        </w:rPr>
        <w:t>乙方</w:t>
      </w:r>
      <w:r>
        <w:rPr>
          <w:rFonts w:hint="eastAsia" w:ascii="宋体" w:hAnsi="宋体" w:eastAsia="宋体" w:cs="宋体"/>
          <w:color w:val="000000"/>
          <w:kern w:val="24"/>
          <w:sz w:val="24"/>
          <w:szCs w:val="24"/>
          <w:highlight w:val="none"/>
        </w:rPr>
        <w:t>应共同参与设备的开箱检验工作。若发现货物与装箱单数目不符，由</w:t>
      </w:r>
      <w:r>
        <w:rPr>
          <w:rFonts w:hint="eastAsia" w:ascii="宋体" w:hAnsi="宋体" w:eastAsia="宋体" w:cs="宋体"/>
          <w:color w:val="000000"/>
          <w:kern w:val="24"/>
          <w:sz w:val="24"/>
          <w:szCs w:val="24"/>
          <w:highlight w:val="none"/>
          <w:lang w:eastAsia="zh-CN"/>
        </w:rPr>
        <w:t>乙方</w:t>
      </w:r>
      <w:r>
        <w:rPr>
          <w:rFonts w:hint="eastAsia" w:ascii="宋体" w:hAnsi="宋体" w:eastAsia="宋体" w:cs="宋体"/>
          <w:color w:val="000000"/>
          <w:kern w:val="24"/>
          <w:sz w:val="24"/>
          <w:szCs w:val="24"/>
          <w:highlight w:val="none"/>
        </w:rPr>
        <w:t>负责补齐或收回，如</w:t>
      </w:r>
      <w:r>
        <w:rPr>
          <w:rFonts w:hint="eastAsia" w:ascii="宋体" w:hAnsi="宋体" w:eastAsia="宋体" w:cs="宋体"/>
          <w:color w:val="000000"/>
          <w:kern w:val="24"/>
          <w:sz w:val="24"/>
          <w:szCs w:val="24"/>
          <w:highlight w:val="none"/>
          <w:lang w:eastAsia="zh-CN"/>
        </w:rPr>
        <w:t>甲方</w:t>
      </w:r>
      <w:r>
        <w:rPr>
          <w:rFonts w:hint="eastAsia" w:ascii="宋体" w:hAnsi="宋体" w:eastAsia="宋体" w:cs="宋体"/>
          <w:color w:val="000000"/>
          <w:kern w:val="24"/>
          <w:sz w:val="24"/>
          <w:szCs w:val="24"/>
          <w:highlight w:val="none"/>
        </w:rPr>
        <w:t>对质量有异议，</w:t>
      </w:r>
      <w:r>
        <w:rPr>
          <w:rFonts w:hint="eastAsia" w:ascii="宋体" w:hAnsi="宋体" w:eastAsia="宋体" w:cs="宋体"/>
          <w:color w:val="000000"/>
          <w:kern w:val="24"/>
          <w:sz w:val="24"/>
          <w:szCs w:val="24"/>
          <w:highlight w:val="none"/>
          <w:lang w:eastAsia="zh-CN"/>
        </w:rPr>
        <w:t>乙方</w:t>
      </w:r>
      <w:r>
        <w:rPr>
          <w:rFonts w:hint="eastAsia" w:ascii="宋体" w:hAnsi="宋体" w:eastAsia="宋体" w:cs="宋体"/>
          <w:color w:val="000000"/>
          <w:kern w:val="24"/>
          <w:sz w:val="24"/>
          <w:szCs w:val="24"/>
          <w:highlight w:val="none"/>
        </w:rPr>
        <w:t>负责解释及处理，直到符合合同约定为止，同时，</w:t>
      </w:r>
      <w:r>
        <w:rPr>
          <w:rFonts w:hint="eastAsia" w:ascii="宋体" w:hAnsi="宋体" w:eastAsia="宋体" w:cs="宋体"/>
          <w:color w:val="000000"/>
          <w:kern w:val="24"/>
          <w:sz w:val="24"/>
          <w:szCs w:val="24"/>
          <w:highlight w:val="none"/>
          <w:lang w:eastAsia="zh-CN"/>
        </w:rPr>
        <w:t>甲方</w:t>
      </w:r>
      <w:r>
        <w:rPr>
          <w:rFonts w:hint="eastAsia" w:ascii="宋体" w:hAnsi="宋体" w:eastAsia="宋体" w:cs="宋体"/>
          <w:color w:val="000000"/>
          <w:kern w:val="24"/>
          <w:sz w:val="24"/>
          <w:szCs w:val="24"/>
          <w:highlight w:val="none"/>
        </w:rPr>
        <w:t>保留依法追究</w:t>
      </w:r>
      <w:r>
        <w:rPr>
          <w:rFonts w:hint="eastAsia" w:ascii="宋体" w:hAnsi="宋体" w:eastAsia="宋体" w:cs="宋体"/>
          <w:color w:val="000000"/>
          <w:kern w:val="24"/>
          <w:sz w:val="24"/>
          <w:szCs w:val="24"/>
          <w:highlight w:val="none"/>
          <w:lang w:eastAsia="zh-CN"/>
        </w:rPr>
        <w:t>乙方</w:t>
      </w:r>
      <w:r>
        <w:rPr>
          <w:rFonts w:hint="eastAsia" w:ascii="宋体" w:hAnsi="宋体" w:eastAsia="宋体" w:cs="宋体"/>
          <w:color w:val="000000"/>
          <w:kern w:val="24"/>
          <w:sz w:val="24"/>
          <w:szCs w:val="24"/>
          <w:highlight w:val="none"/>
        </w:rPr>
        <w:t>违约责任的权利。该检验为初步清点验收，方式如下：</w:t>
      </w:r>
    </w:p>
    <w:p>
      <w:pPr>
        <w:pStyle w:val="62"/>
        <w:spacing w:line="360" w:lineRule="auto"/>
        <w:ind w:firstLine="480" w:firstLineChars="200"/>
        <w:rPr>
          <w:rFonts w:hint="eastAsia" w:ascii="宋体" w:hAnsi="宋体" w:eastAsia="宋体" w:cs="宋体"/>
          <w:color w:val="000000"/>
          <w:kern w:val="24"/>
          <w:sz w:val="24"/>
          <w:szCs w:val="24"/>
          <w:highlight w:val="none"/>
        </w:rPr>
      </w:pPr>
      <w:r>
        <w:rPr>
          <w:rFonts w:hint="eastAsia" w:ascii="宋体" w:hAnsi="宋体" w:eastAsia="宋体" w:cs="宋体"/>
          <w:color w:val="000000"/>
          <w:sz w:val="24"/>
          <w:szCs w:val="24"/>
          <w:highlight w:val="none"/>
        </w:rPr>
        <w:t xml:space="preserve"> </w:t>
      </w:r>
      <w:r>
        <w:rPr>
          <w:rFonts w:hint="eastAsia" w:ascii="宋体" w:hAnsi="宋体" w:eastAsia="宋体" w:cs="宋体"/>
          <w:color w:val="000000"/>
          <w:kern w:val="24"/>
          <w:sz w:val="24"/>
          <w:szCs w:val="24"/>
          <w:highlight w:val="none"/>
          <w:lang w:val="en-US" w:eastAsia="zh-CN"/>
        </w:rPr>
        <w:t>1.1</w:t>
      </w:r>
      <w:r>
        <w:rPr>
          <w:rFonts w:hint="eastAsia" w:ascii="宋体" w:hAnsi="宋体" w:eastAsia="宋体" w:cs="宋体"/>
          <w:color w:val="000000"/>
          <w:kern w:val="24"/>
          <w:sz w:val="24"/>
          <w:szCs w:val="24"/>
          <w:highlight w:val="none"/>
          <w:lang w:eastAsia="zh-CN"/>
        </w:rPr>
        <w:t>乙方</w:t>
      </w:r>
      <w:r>
        <w:rPr>
          <w:rFonts w:hint="eastAsia" w:ascii="宋体" w:hAnsi="宋体" w:eastAsia="宋体" w:cs="宋体"/>
          <w:color w:val="000000"/>
          <w:kern w:val="24"/>
          <w:sz w:val="24"/>
          <w:szCs w:val="24"/>
          <w:highlight w:val="none"/>
        </w:rPr>
        <w:t>在将货物</w:t>
      </w:r>
      <w:r>
        <w:rPr>
          <w:rFonts w:hint="eastAsia" w:ascii="宋体" w:hAnsi="宋体" w:eastAsia="宋体" w:cs="宋体"/>
          <w:color w:val="000000"/>
          <w:kern w:val="24"/>
          <w:sz w:val="24"/>
          <w:szCs w:val="24"/>
          <w:highlight w:val="none"/>
          <w:lang w:eastAsia="zh-CN"/>
        </w:rPr>
        <w:t>运达甲方</w:t>
      </w:r>
      <w:r>
        <w:rPr>
          <w:rFonts w:hint="eastAsia" w:ascii="宋体" w:hAnsi="宋体" w:eastAsia="宋体" w:cs="宋体"/>
          <w:color w:val="000000"/>
          <w:kern w:val="24"/>
          <w:sz w:val="24"/>
          <w:szCs w:val="24"/>
          <w:highlight w:val="none"/>
        </w:rPr>
        <w:t>指定地点时，买卖双方及</w:t>
      </w:r>
      <w:r>
        <w:rPr>
          <w:rFonts w:hint="eastAsia" w:ascii="宋体" w:hAnsi="宋体" w:eastAsia="宋体" w:cs="宋体"/>
          <w:color w:val="000000"/>
          <w:kern w:val="24"/>
          <w:sz w:val="24"/>
          <w:szCs w:val="24"/>
          <w:highlight w:val="none"/>
          <w:lang w:eastAsia="zh-CN"/>
        </w:rPr>
        <w:t>甲方</w:t>
      </w:r>
      <w:r>
        <w:rPr>
          <w:rFonts w:hint="eastAsia" w:ascii="宋体" w:hAnsi="宋体" w:eastAsia="宋体" w:cs="宋体"/>
          <w:color w:val="000000"/>
          <w:kern w:val="24"/>
          <w:sz w:val="24"/>
          <w:szCs w:val="24"/>
          <w:highlight w:val="none"/>
        </w:rPr>
        <w:t>委托的验收参与人员根据本合同约定的计量方式、技术标准和质量要求对</w:t>
      </w:r>
      <w:r>
        <w:rPr>
          <w:rFonts w:hint="eastAsia" w:ascii="宋体" w:hAnsi="宋体" w:eastAsia="宋体" w:cs="宋体"/>
          <w:color w:val="000000"/>
          <w:kern w:val="24"/>
          <w:sz w:val="24"/>
          <w:szCs w:val="24"/>
          <w:highlight w:val="none"/>
          <w:lang w:eastAsia="zh-CN"/>
        </w:rPr>
        <w:t>乙方</w:t>
      </w:r>
      <w:r>
        <w:rPr>
          <w:rFonts w:hint="eastAsia" w:ascii="宋体" w:hAnsi="宋体" w:eastAsia="宋体" w:cs="宋体"/>
          <w:color w:val="000000"/>
          <w:kern w:val="24"/>
          <w:sz w:val="24"/>
          <w:szCs w:val="24"/>
          <w:highlight w:val="none"/>
        </w:rPr>
        <w:t>交付的货物进行初步清点，主要核对：数量、规格型号、产地、</w:t>
      </w:r>
      <w:r>
        <w:rPr>
          <w:rFonts w:hint="eastAsia" w:ascii="宋体" w:hAnsi="宋体" w:eastAsia="宋体" w:cs="宋体"/>
          <w:color w:val="000000"/>
          <w:kern w:val="24"/>
          <w:sz w:val="24"/>
          <w:szCs w:val="24"/>
          <w:highlight w:val="none"/>
          <w:lang w:eastAsia="zh-CN"/>
        </w:rPr>
        <w:t>品牌、</w:t>
      </w:r>
      <w:r>
        <w:rPr>
          <w:rFonts w:hint="eastAsia" w:ascii="宋体" w:hAnsi="宋体" w:eastAsia="宋体" w:cs="宋体"/>
          <w:color w:val="000000"/>
          <w:kern w:val="24"/>
          <w:sz w:val="24"/>
          <w:szCs w:val="24"/>
          <w:highlight w:val="none"/>
        </w:rPr>
        <w:t>质量等级、尺寸、颜色、铭牌参数、包装及标识完整、完好程度、交货资料，</w:t>
      </w:r>
      <w:r>
        <w:rPr>
          <w:rFonts w:hint="eastAsia" w:ascii="宋体" w:hAnsi="宋体" w:eastAsia="宋体" w:cs="宋体"/>
          <w:color w:val="auto"/>
          <w:sz w:val="24"/>
          <w:szCs w:val="24"/>
          <w:highlight w:val="none"/>
        </w:rPr>
        <w:t>各方</w:t>
      </w:r>
      <w:r>
        <w:rPr>
          <w:rFonts w:hint="eastAsia" w:eastAsia="宋体" w:cs="宋体"/>
          <w:color w:val="auto"/>
          <w:sz w:val="24"/>
          <w:szCs w:val="24"/>
          <w:highlight w:val="none"/>
          <w:lang w:eastAsia="zh-CN"/>
        </w:rPr>
        <w:t>经对初步验收结果</w:t>
      </w:r>
      <w:r>
        <w:rPr>
          <w:rFonts w:hint="eastAsia" w:ascii="宋体" w:hAnsi="宋体" w:eastAsia="宋体" w:cs="宋体"/>
          <w:color w:val="auto"/>
          <w:sz w:val="24"/>
          <w:szCs w:val="24"/>
          <w:highlight w:val="none"/>
        </w:rPr>
        <w:t>签字</w:t>
      </w:r>
      <w:r>
        <w:rPr>
          <w:rFonts w:hint="eastAsia" w:eastAsia="宋体" w:cs="宋体"/>
          <w:color w:val="auto"/>
          <w:sz w:val="24"/>
          <w:szCs w:val="24"/>
          <w:highlight w:val="none"/>
          <w:lang w:eastAsia="zh-CN"/>
        </w:rPr>
        <w:t>确认</w:t>
      </w:r>
      <w:r>
        <w:rPr>
          <w:rFonts w:hint="eastAsia" w:ascii="宋体" w:hAnsi="宋体" w:eastAsia="宋体" w:cs="宋体"/>
          <w:color w:val="auto"/>
          <w:sz w:val="24"/>
          <w:szCs w:val="24"/>
          <w:highlight w:val="none"/>
        </w:rPr>
        <w:t>后即表示初步验收清点完成</w:t>
      </w:r>
      <w:r>
        <w:rPr>
          <w:rFonts w:hint="eastAsia" w:ascii="宋体" w:hAnsi="宋体" w:eastAsia="宋体" w:cs="宋体"/>
          <w:color w:val="000000"/>
          <w:kern w:val="24"/>
          <w:sz w:val="24"/>
          <w:szCs w:val="24"/>
          <w:highlight w:val="none"/>
        </w:rPr>
        <w:t>，</w:t>
      </w:r>
      <w:r>
        <w:rPr>
          <w:rFonts w:hint="eastAsia" w:ascii="宋体" w:hAnsi="宋体" w:eastAsia="宋体" w:cs="宋体"/>
          <w:color w:val="auto"/>
          <w:sz w:val="24"/>
          <w:szCs w:val="24"/>
          <w:highlight w:val="none"/>
        </w:rPr>
        <w:t>可以</w:t>
      </w:r>
      <w:r>
        <w:rPr>
          <w:rFonts w:hint="eastAsia" w:eastAsia="宋体" w:cs="宋体"/>
          <w:color w:val="auto"/>
          <w:sz w:val="24"/>
          <w:szCs w:val="24"/>
          <w:highlight w:val="none"/>
          <w:lang w:eastAsia="zh-CN"/>
        </w:rPr>
        <w:t>组织</w:t>
      </w:r>
      <w:r>
        <w:rPr>
          <w:rFonts w:hint="eastAsia" w:ascii="宋体" w:hAnsi="宋体" w:eastAsia="宋体" w:cs="宋体"/>
          <w:color w:val="auto"/>
          <w:sz w:val="24"/>
          <w:szCs w:val="24"/>
          <w:highlight w:val="none"/>
        </w:rPr>
        <w:t>进行</w:t>
      </w:r>
      <w:r>
        <w:rPr>
          <w:rFonts w:hint="eastAsia" w:eastAsia="宋体" w:cs="宋体"/>
          <w:color w:val="auto"/>
          <w:sz w:val="24"/>
          <w:szCs w:val="24"/>
          <w:highlight w:val="none"/>
          <w:lang w:eastAsia="zh-CN"/>
        </w:rPr>
        <w:t>安装</w:t>
      </w:r>
      <w:r>
        <w:rPr>
          <w:rFonts w:hint="eastAsia" w:ascii="宋体" w:hAnsi="宋体" w:eastAsia="宋体" w:cs="宋体"/>
          <w:color w:val="auto"/>
          <w:sz w:val="24"/>
          <w:szCs w:val="24"/>
          <w:highlight w:val="none"/>
        </w:rPr>
        <w:t>施工</w:t>
      </w:r>
      <w:r>
        <w:rPr>
          <w:rFonts w:hint="eastAsia" w:ascii="宋体" w:hAnsi="宋体" w:eastAsia="宋体" w:cs="宋体"/>
          <w:color w:val="000000"/>
          <w:kern w:val="24"/>
          <w:sz w:val="24"/>
          <w:szCs w:val="24"/>
          <w:highlight w:val="none"/>
        </w:rPr>
        <w:t>，但</w:t>
      </w:r>
      <w:r>
        <w:rPr>
          <w:rFonts w:hint="eastAsia" w:ascii="宋体" w:hAnsi="宋体" w:eastAsia="宋体" w:cs="宋体"/>
          <w:color w:val="auto"/>
          <w:sz w:val="24"/>
          <w:szCs w:val="24"/>
          <w:highlight w:val="none"/>
        </w:rPr>
        <w:t>初步验收清点</w:t>
      </w:r>
      <w:r>
        <w:rPr>
          <w:rFonts w:hint="eastAsia" w:ascii="宋体" w:hAnsi="宋体" w:eastAsia="宋体" w:cs="宋体"/>
          <w:color w:val="000000"/>
          <w:kern w:val="24"/>
          <w:sz w:val="24"/>
          <w:szCs w:val="24"/>
          <w:highlight w:val="none"/>
        </w:rPr>
        <w:t>并不免除任何</w:t>
      </w:r>
      <w:r>
        <w:rPr>
          <w:rFonts w:hint="eastAsia" w:ascii="宋体" w:hAnsi="宋体" w:eastAsia="宋体" w:cs="宋体"/>
          <w:color w:val="000000"/>
          <w:kern w:val="24"/>
          <w:sz w:val="24"/>
          <w:szCs w:val="24"/>
          <w:highlight w:val="none"/>
          <w:lang w:eastAsia="zh-CN"/>
        </w:rPr>
        <w:t>乙方</w:t>
      </w:r>
      <w:r>
        <w:rPr>
          <w:rFonts w:hint="eastAsia" w:ascii="宋体" w:hAnsi="宋体" w:eastAsia="宋体" w:cs="宋体"/>
          <w:color w:val="000000"/>
          <w:kern w:val="24"/>
          <w:sz w:val="24"/>
          <w:szCs w:val="24"/>
          <w:highlight w:val="none"/>
        </w:rPr>
        <w:t>对产品存在质量、制造、设计、性能、零部件的完整性等各方面的缺陷和不合格的责任、违约责任和对</w:t>
      </w:r>
      <w:r>
        <w:rPr>
          <w:rFonts w:hint="eastAsia" w:ascii="宋体" w:hAnsi="宋体" w:eastAsia="宋体" w:cs="宋体"/>
          <w:color w:val="000000"/>
          <w:kern w:val="24"/>
          <w:sz w:val="24"/>
          <w:szCs w:val="24"/>
          <w:highlight w:val="none"/>
          <w:lang w:eastAsia="zh-CN"/>
        </w:rPr>
        <w:t>甲方</w:t>
      </w:r>
      <w:r>
        <w:rPr>
          <w:rFonts w:hint="eastAsia" w:ascii="宋体" w:hAnsi="宋体" w:eastAsia="宋体" w:cs="宋体"/>
          <w:color w:val="000000"/>
          <w:kern w:val="24"/>
          <w:sz w:val="24"/>
          <w:szCs w:val="24"/>
          <w:highlight w:val="none"/>
        </w:rPr>
        <w:t>造成损失的赔偿。</w:t>
      </w:r>
    </w:p>
    <w:p>
      <w:pPr>
        <w:pStyle w:val="62"/>
        <w:spacing w:line="360" w:lineRule="auto"/>
        <w:ind w:firstLine="480" w:firstLineChars="200"/>
        <w:rPr>
          <w:rFonts w:hint="eastAsia" w:ascii="宋体" w:hAnsi="宋体" w:eastAsia="宋体" w:cs="宋体"/>
          <w:color w:val="000000"/>
          <w:kern w:val="24"/>
          <w:sz w:val="24"/>
          <w:szCs w:val="24"/>
          <w:highlight w:val="none"/>
        </w:rPr>
      </w:pPr>
      <w:r>
        <w:rPr>
          <w:rFonts w:hint="eastAsia" w:ascii="宋体" w:hAnsi="宋体" w:eastAsia="宋体" w:cs="宋体"/>
          <w:color w:val="000000"/>
          <w:kern w:val="24"/>
          <w:sz w:val="24"/>
          <w:szCs w:val="24"/>
          <w:highlight w:val="none"/>
          <w:lang w:val="en-US" w:eastAsia="zh-CN"/>
        </w:rPr>
        <w:t>1.2</w:t>
      </w:r>
      <w:r>
        <w:rPr>
          <w:rFonts w:hint="eastAsia" w:ascii="宋体" w:hAnsi="宋体" w:eastAsia="宋体" w:cs="宋体"/>
          <w:color w:val="000000"/>
          <w:kern w:val="24"/>
          <w:sz w:val="24"/>
          <w:szCs w:val="24"/>
          <w:highlight w:val="none"/>
        </w:rPr>
        <w:t>买卖双方及</w:t>
      </w:r>
      <w:r>
        <w:rPr>
          <w:rFonts w:hint="eastAsia" w:ascii="宋体" w:hAnsi="宋体" w:eastAsia="宋体" w:cs="宋体"/>
          <w:color w:val="000000"/>
          <w:kern w:val="24"/>
          <w:sz w:val="24"/>
          <w:szCs w:val="24"/>
          <w:highlight w:val="none"/>
          <w:lang w:eastAsia="zh-CN"/>
        </w:rPr>
        <w:t>甲方</w:t>
      </w:r>
      <w:r>
        <w:rPr>
          <w:rFonts w:hint="eastAsia" w:ascii="宋体" w:hAnsi="宋体" w:eastAsia="宋体" w:cs="宋体"/>
          <w:color w:val="000000"/>
          <w:kern w:val="24"/>
          <w:sz w:val="24"/>
          <w:szCs w:val="24"/>
          <w:highlight w:val="none"/>
        </w:rPr>
        <w:t>委托的验收参与人员初步清点时，若发现存在数量、规格型号、产地、</w:t>
      </w:r>
      <w:r>
        <w:rPr>
          <w:rFonts w:hint="eastAsia" w:ascii="宋体" w:hAnsi="宋体" w:eastAsia="宋体" w:cs="宋体"/>
          <w:color w:val="000000"/>
          <w:kern w:val="24"/>
          <w:sz w:val="24"/>
          <w:szCs w:val="24"/>
          <w:highlight w:val="none"/>
          <w:lang w:eastAsia="zh-CN"/>
        </w:rPr>
        <w:t>品牌、</w:t>
      </w:r>
      <w:r>
        <w:rPr>
          <w:rFonts w:hint="eastAsia" w:ascii="宋体" w:hAnsi="宋体" w:eastAsia="宋体" w:cs="宋体"/>
          <w:color w:val="000000"/>
          <w:kern w:val="24"/>
          <w:sz w:val="24"/>
          <w:szCs w:val="24"/>
          <w:highlight w:val="none"/>
        </w:rPr>
        <w:t>质量等级、尺寸、颜色、铭牌参数、包装及标识完整、完好程度、交货资料方面不合格情况的，</w:t>
      </w:r>
      <w:r>
        <w:rPr>
          <w:rFonts w:hint="eastAsia" w:ascii="宋体" w:hAnsi="宋体" w:eastAsia="宋体" w:cs="宋体"/>
          <w:color w:val="000000"/>
          <w:kern w:val="24"/>
          <w:sz w:val="24"/>
          <w:szCs w:val="24"/>
          <w:highlight w:val="none"/>
          <w:lang w:eastAsia="zh-CN"/>
        </w:rPr>
        <w:t>甲方</w:t>
      </w:r>
      <w:r>
        <w:rPr>
          <w:rFonts w:hint="eastAsia" w:ascii="宋体" w:hAnsi="宋体" w:eastAsia="宋体" w:cs="宋体"/>
          <w:color w:val="auto"/>
          <w:sz w:val="24"/>
          <w:szCs w:val="24"/>
          <w:highlight w:val="none"/>
        </w:rPr>
        <w:t>有权</w:t>
      </w:r>
      <w:r>
        <w:rPr>
          <w:rFonts w:hint="eastAsia" w:eastAsia="宋体" w:cs="宋体"/>
          <w:color w:val="auto"/>
          <w:sz w:val="24"/>
          <w:szCs w:val="24"/>
          <w:highlight w:val="none"/>
          <w:lang w:eastAsia="zh-CN"/>
        </w:rPr>
        <w:t>现场作出：</w:t>
      </w:r>
      <w:r>
        <w:rPr>
          <w:rFonts w:hint="eastAsia" w:ascii="宋体" w:hAnsi="宋体" w:eastAsia="宋体" w:cs="宋体"/>
          <w:color w:val="auto"/>
          <w:sz w:val="24"/>
          <w:szCs w:val="24"/>
          <w:highlight w:val="none"/>
        </w:rPr>
        <w:t>拒收、部分拒收、退货、部分退货、拒付货款</w:t>
      </w:r>
      <w:r>
        <w:rPr>
          <w:rFonts w:hint="eastAsia" w:eastAsia="宋体" w:cs="宋体"/>
          <w:color w:val="auto"/>
          <w:sz w:val="24"/>
          <w:szCs w:val="24"/>
          <w:highlight w:val="none"/>
          <w:lang w:eastAsia="zh-CN"/>
        </w:rPr>
        <w:t>以及</w:t>
      </w:r>
      <w:r>
        <w:rPr>
          <w:rFonts w:hint="eastAsia" w:ascii="宋体" w:hAnsi="宋体" w:eastAsia="宋体" w:cs="宋体"/>
          <w:color w:val="auto"/>
          <w:sz w:val="24"/>
          <w:szCs w:val="24"/>
          <w:highlight w:val="none"/>
        </w:rPr>
        <w:t>解除合同</w:t>
      </w:r>
      <w:r>
        <w:rPr>
          <w:rFonts w:hint="eastAsia" w:eastAsia="宋体" w:cs="宋体"/>
          <w:color w:val="auto"/>
          <w:sz w:val="24"/>
          <w:szCs w:val="24"/>
          <w:highlight w:val="none"/>
          <w:lang w:eastAsia="zh-CN"/>
        </w:rPr>
        <w:t>等处理决定</w:t>
      </w:r>
      <w:r>
        <w:rPr>
          <w:rFonts w:hint="eastAsia" w:ascii="宋体" w:hAnsi="宋体" w:eastAsia="宋体" w:cs="宋体"/>
          <w:color w:val="000000"/>
          <w:kern w:val="24"/>
          <w:sz w:val="24"/>
          <w:szCs w:val="24"/>
          <w:highlight w:val="none"/>
        </w:rPr>
        <w:t>，并向</w:t>
      </w:r>
      <w:r>
        <w:rPr>
          <w:rFonts w:hint="eastAsia" w:ascii="宋体" w:hAnsi="宋体" w:eastAsia="宋体" w:cs="宋体"/>
          <w:color w:val="000000"/>
          <w:kern w:val="24"/>
          <w:sz w:val="24"/>
          <w:szCs w:val="24"/>
          <w:highlight w:val="none"/>
          <w:lang w:eastAsia="zh-CN"/>
        </w:rPr>
        <w:t>乙方</w:t>
      </w:r>
      <w:r>
        <w:rPr>
          <w:rFonts w:hint="eastAsia" w:ascii="宋体" w:hAnsi="宋体" w:eastAsia="宋体" w:cs="宋体"/>
          <w:color w:val="000000"/>
          <w:kern w:val="24"/>
          <w:sz w:val="24"/>
          <w:szCs w:val="24"/>
          <w:highlight w:val="none"/>
        </w:rPr>
        <w:t>索赔因此造成的损失。如</w:t>
      </w:r>
      <w:r>
        <w:rPr>
          <w:rFonts w:hint="eastAsia" w:ascii="宋体" w:hAnsi="宋体" w:eastAsia="宋体" w:cs="宋体"/>
          <w:color w:val="000000"/>
          <w:kern w:val="24"/>
          <w:sz w:val="24"/>
          <w:szCs w:val="24"/>
          <w:highlight w:val="none"/>
          <w:lang w:eastAsia="zh-CN"/>
        </w:rPr>
        <w:t>甲方</w:t>
      </w:r>
      <w:r>
        <w:rPr>
          <w:rFonts w:hint="eastAsia" w:ascii="宋体" w:hAnsi="宋体" w:eastAsia="宋体" w:cs="宋体"/>
          <w:color w:val="000000"/>
          <w:kern w:val="24"/>
          <w:sz w:val="24"/>
          <w:szCs w:val="24"/>
          <w:highlight w:val="none"/>
        </w:rPr>
        <w:t>选择不解除合同但要求</w:t>
      </w:r>
      <w:r>
        <w:rPr>
          <w:rFonts w:hint="eastAsia" w:ascii="宋体" w:hAnsi="宋体" w:eastAsia="宋体" w:cs="宋体"/>
          <w:color w:val="000000"/>
          <w:kern w:val="24"/>
          <w:sz w:val="24"/>
          <w:szCs w:val="24"/>
          <w:highlight w:val="none"/>
          <w:lang w:eastAsia="zh-CN"/>
        </w:rPr>
        <w:t>乙方</w:t>
      </w:r>
      <w:r>
        <w:rPr>
          <w:rFonts w:hint="eastAsia" w:ascii="宋体" w:hAnsi="宋体" w:eastAsia="宋体" w:cs="宋体"/>
          <w:color w:val="000000"/>
          <w:kern w:val="24"/>
          <w:sz w:val="24"/>
          <w:szCs w:val="24"/>
          <w:highlight w:val="none"/>
        </w:rPr>
        <w:t>重新供货的，</w:t>
      </w:r>
      <w:r>
        <w:rPr>
          <w:rFonts w:hint="eastAsia" w:ascii="宋体" w:hAnsi="宋体" w:eastAsia="宋体" w:cs="宋体"/>
          <w:color w:val="000000"/>
          <w:kern w:val="24"/>
          <w:sz w:val="24"/>
          <w:szCs w:val="24"/>
          <w:highlight w:val="none"/>
          <w:lang w:eastAsia="zh-CN"/>
        </w:rPr>
        <w:t>乙方</w:t>
      </w:r>
      <w:r>
        <w:rPr>
          <w:rFonts w:hint="eastAsia" w:ascii="宋体" w:hAnsi="宋体" w:eastAsia="宋体" w:cs="宋体"/>
          <w:color w:val="000000"/>
          <w:kern w:val="24"/>
          <w:sz w:val="24"/>
          <w:szCs w:val="24"/>
          <w:highlight w:val="none"/>
        </w:rPr>
        <w:t>应当无条件重新供货，且交货期限不顺延，由此导致逾期交货的，</w:t>
      </w:r>
      <w:r>
        <w:rPr>
          <w:rFonts w:hint="eastAsia" w:ascii="宋体" w:hAnsi="宋体" w:eastAsia="宋体" w:cs="宋体"/>
          <w:color w:val="000000"/>
          <w:kern w:val="24"/>
          <w:sz w:val="24"/>
          <w:szCs w:val="24"/>
          <w:highlight w:val="none"/>
          <w:lang w:eastAsia="zh-CN"/>
        </w:rPr>
        <w:t>乙方</w:t>
      </w:r>
      <w:r>
        <w:rPr>
          <w:rFonts w:hint="eastAsia" w:ascii="宋体" w:hAnsi="宋体" w:eastAsia="宋体" w:cs="宋体"/>
          <w:color w:val="000000"/>
          <w:kern w:val="24"/>
          <w:sz w:val="24"/>
          <w:szCs w:val="24"/>
          <w:highlight w:val="none"/>
        </w:rPr>
        <w:t>应承担相应的违约责任。</w:t>
      </w:r>
    </w:p>
    <w:p>
      <w:pPr>
        <w:pStyle w:val="62"/>
        <w:spacing w:line="360" w:lineRule="auto"/>
        <w:ind w:firstLine="420"/>
        <w:rPr>
          <w:rFonts w:hint="eastAsia" w:ascii="宋体" w:hAnsi="宋体" w:eastAsia="宋体" w:cs="宋体"/>
          <w:color w:val="000000"/>
          <w:kern w:val="24"/>
          <w:sz w:val="24"/>
          <w:szCs w:val="24"/>
          <w:highlight w:val="none"/>
        </w:rPr>
      </w:pPr>
      <w:r>
        <w:rPr>
          <w:rFonts w:hint="eastAsia" w:ascii="宋体" w:hAnsi="宋体" w:eastAsia="宋体" w:cs="宋体"/>
          <w:color w:val="000000"/>
          <w:kern w:val="24"/>
          <w:sz w:val="24"/>
          <w:szCs w:val="24"/>
          <w:highlight w:val="none"/>
        </w:rPr>
        <w:t>2、</w:t>
      </w:r>
      <w:r>
        <w:rPr>
          <w:rFonts w:hint="eastAsia" w:ascii="宋体" w:hAnsi="宋体" w:eastAsia="宋体" w:cs="宋体"/>
          <w:color w:val="000000"/>
          <w:kern w:val="24"/>
          <w:sz w:val="24"/>
          <w:szCs w:val="24"/>
          <w:highlight w:val="none"/>
          <w:lang w:eastAsia="zh-CN"/>
        </w:rPr>
        <w:t>乙方</w:t>
      </w:r>
      <w:r>
        <w:rPr>
          <w:rFonts w:hint="eastAsia" w:eastAsia="宋体" w:cs="宋体"/>
          <w:color w:val="auto"/>
          <w:sz w:val="24"/>
          <w:szCs w:val="24"/>
          <w:highlight w:val="none"/>
          <w:lang w:eastAsia="zh-CN"/>
        </w:rPr>
        <w:t>在将货物运抵现场</w:t>
      </w:r>
      <w:r>
        <w:rPr>
          <w:rFonts w:hint="eastAsia" w:ascii="宋体" w:hAnsi="宋体" w:eastAsia="宋体" w:cs="宋体"/>
          <w:color w:val="auto"/>
          <w:sz w:val="24"/>
          <w:szCs w:val="24"/>
          <w:highlight w:val="none"/>
        </w:rPr>
        <w:t>前</w:t>
      </w:r>
      <w:r>
        <w:rPr>
          <w:rFonts w:hint="eastAsia" w:ascii="宋体" w:hAnsi="宋体" w:eastAsia="宋体" w:cs="宋体"/>
          <w:color w:val="000000"/>
          <w:kern w:val="24"/>
          <w:sz w:val="24"/>
          <w:szCs w:val="24"/>
          <w:highlight w:val="none"/>
        </w:rPr>
        <w:t>应按合同规定的检验方法，作出全面检测，其记录附在质量证明书内。但有关质量、规格、性能、数量或重量的检验不应视为最终检验。</w:t>
      </w:r>
      <w:r>
        <w:rPr>
          <w:rFonts w:hint="eastAsia" w:ascii="宋体" w:hAnsi="宋体" w:eastAsia="宋体" w:cs="宋体"/>
          <w:color w:val="000000"/>
          <w:kern w:val="24"/>
          <w:sz w:val="24"/>
          <w:szCs w:val="24"/>
          <w:highlight w:val="none"/>
          <w:lang w:eastAsia="zh-CN"/>
        </w:rPr>
        <w:t>乙方</w:t>
      </w:r>
      <w:r>
        <w:rPr>
          <w:rFonts w:hint="eastAsia" w:ascii="宋体" w:hAnsi="宋体" w:eastAsia="宋体" w:cs="宋体"/>
          <w:color w:val="000000"/>
          <w:kern w:val="24"/>
          <w:sz w:val="24"/>
          <w:szCs w:val="24"/>
          <w:highlight w:val="none"/>
        </w:rPr>
        <w:t>检验的结果和详细要求应在质量说明书中加以说明。</w:t>
      </w:r>
    </w:p>
    <w:p>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000000"/>
          <w:kern w:val="24"/>
          <w:sz w:val="24"/>
          <w:szCs w:val="24"/>
          <w:highlight w:val="none"/>
        </w:rPr>
        <w:t>3、</w:t>
      </w:r>
      <w:r>
        <w:rPr>
          <w:rFonts w:hint="eastAsia" w:ascii="宋体" w:hAnsi="宋体" w:eastAsia="宋体" w:cs="宋体"/>
          <w:color w:val="auto"/>
          <w:sz w:val="24"/>
          <w:szCs w:val="24"/>
          <w:highlight w:val="none"/>
        </w:rPr>
        <w:t>系统的就位、安装、调试结束后，经过一个月的试运转考核无故障，并经有关部门的检验合格后，买卖双方共同签署验收合格证书。</w:t>
      </w:r>
    </w:p>
    <w:p>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4、其中</w:t>
      </w:r>
      <w:r>
        <w:rPr>
          <w:rFonts w:hint="eastAsia" w:eastAsia="宋体" w:cs="宋体"/>
          <w:b w:val="0"/>
          <w:bCs/>
          <w:color w:val="auto"/>
          <w:sz w:val="24"/>
          <w:highlight w:val="none"/>
          <w:lang w:val="en-US" w:eastAsia="zh-CN"/>
        </w:rPr>
        <w:t>甲方</w:t>
      </w:r>
      <w:r>
        <w:rPr>
          <w:rFonts w:hint="eastAsia" w:ascii="宋体" w:hAnsi="宋体" w:eastAsia="宋体" w:cs="宋体"/>
          <w:color w:val="auto"/>
          <w:sz w:val="24"/>
          <w:szCs w:val="24"/>
          <w:highlight w:val="none"/>
        </w:rPr>
        <w:t>认为的重要部件不论何时（验收时或日后维修时）发现</w:t>
      </w:r>
      <w:r>
        <w:rPr>
          <w:rFonts w:hint="eastAsia" w:eastAsia="宋体" w:cs="宋体"/>
          <w:color w:val="auto"/>
          <w:sz w:val="24"/>
          <w:szCs w:val="24"/>
          <w:highlight w:val="none"/>
          <w:lang w:eastAsia="zh-CN"/>
        </w:rPr>
        <w:t>与合同约定</w:t>
      </w:r>
      <w:r>
        <w:rPr>
          <w:rFonts w:hint="eastAsia" w:ascii="宋体" w:hAnsi="宋体" w:eastAsia="宋体" w:cs="宋体"/>
          <w:color w:val="auto"/>
          <w:sz w:val="24"/>
          <w:szCs w:val="24"/>
          <w:highlight w:val="none"/>
        </w:rPr>
        <w:t>的</w:t>
      </w:r>
      <w:r>
        <w:rPr>
          <w:rFonts w:hint="eastAsia" w:eastAsia="宋体" w:cs="宋体"/>
          <w:color w:val="auto"/>
          <w:sz w:val="24"/>
          <w:szCs w:val="24"/>
          <w:highlight w:val="none"/>
          <w:lang w:eastAsia="zh-CN"/>
        </w:rPr>
        <w:t>技术规格不相符的</w:t>
      </w:r>
      <w:r>
        <w:rPr>
          <w:rFonts w:hint="eastAsia" w:ascii="宋体" w:hAnsi="宋体" w:eastAsia="宋体" w:cs="宋体"/>
          <w:color w:val="auto"/>
          <w:sz w:val="24"/>
          <w:szCs w:val="24"/>
          <w:highlight w:val="none"/>
        </w:rPr>
        <w:t>，</w:t>
      </w:r>
      <w:r>
        <w:rPr>
          <w:rFonts w:hint="eastAsia" w:eastAsia="宋体" w:cs="宋体"/>
          <w:b w:val="0"/>
          <w:bCs/>
          <w:color w:val="auto"/>
          <w:sz w:val="24"/>
          <w:highlight w:val="none"/>
          <w:lang w:val="en-US" w:eastAsia="zh-CN"/>
        </w:rPr>
        <w:t>乙方</w:t>
      </w:r>
      <w:r>
        <w:rPr>
          <w:rFonts w:hint="eastAsia" w:ascii="宋体" w:hAnsi="宋体" w:eastAsia="宋体" w:cs="宋体"/>
          <w:color w:val="auto"/>
          <w:sz w:val="24"/>
          <w:szCs w:val="24"/>
          <w:highlight w:val="none"/>
        </w:rPr>
        <w:t>均将承担违约责任。</w:t>
      </w:r>
      <w:r>
        <w:rPr>
          <w:rFonts w:hint="eastAsia" w:eastAsia="宋体" w:cs="宋体"/>
          <w:b w:val="0"/>
          <w:bCs/>
          <w:color w:val="auto"/>
          <w:sz w:val="24"/>
          <w:highlight w:val="none"/>
          <w:lang w:val="en-US" w:eastAsia="zh-CN"/>
        </w:rPr>
        <w:t>乙方</w:t>
      </w:r>
      <w:r>
        <w:rPr>
          <w:rFonts w:hint="eastAsia" w:ascii="宋体" w:hAnsi="宋体" w:eastAsia="宋体" w:cs="宋体"/>
          <w:color w:val="auto"/>
          <w:sz w:val="24"/>
          <w:szCs w:val="24"/>
          <w:highlight w:val="none"/>
        </w:rPr>
        <w:t>必须更换与</w:t>
      </w:r>
      <w:r>
        <w:rPr>
          <w:rFonts w:hint="eastAsia" w:eastAsia="宋体" w:cs="宋体"/>
          <w:color w:val="auto"/>
          <w:sz w:val="24"/>
          <w:szCs w:val="24"/>
          <w:highlight w:val="none"/>
          <w:lang w:eastAsia="zh-CN"/>
        </w:rPr>
        <w:t>合同约定的技术规格</w:t>
      </w:r>
      <w:r>
        <w:rPr>
          <w:rFonts w:hint="eastAsia" w:ascii="宋体" w:hAnsi="宋体" w:eastAsia="宋体" w:cs="宋体"/>
          <w:color w:val="auto"/>
          <w:sz w:val="24"/>
          <w:szCs w:val="24"/>
          <w:highlight w:val="none"/>
        </w:rPr>
        <w:t>相一致的部件并</w:t>
      </w:r>
      <w:r>
        <w:rPr>
          <w:rFonts w:hint="eastAsia" w:eastAsia="宋体" w:cs="宋体"/>
          <w:color w:val="auto"/>
          <w:sz w:val="24"/>
          <w:szCs w:val="24"/>
          <w:highlight w:val="none"/>
          <w:lang w:eastAsia="zh-CN"/>
        </w:rPr>
        <w:t>承担</w:t>
      </w:r>
      <w:r>
        <w:rPr>
          <w:rFonts w:hint="eastAsia" w:ascii="宋体" w:hAnsi="宋体" w:eastAsia="宋体" w:cs="宋体"/>
          <w:color w:val="auto"/>
          <w:sz w:val="24"/>
          <w:szCs w:val="24"/>
          <w:highlight w:val="none"/>
        </w:rPr>
        <w:t>包括</w:t>
      </w:r>
      <w:r>
        <w:rPr>
          <w:rFonts w:hint="eastAsia" w:eastAsia="宋体" w:cs="宋体"/>
          <w:color w:val="auto"/>
          <w:sz w:val="24"/>
          <w:szCs w:val="24"/>
          <w:highlight w:val="none"/>
          <w:lang w:eastAsia="zh-CN"/>
        </w:rPr>
        <w:t>安装</w:t>
      </w:r>
      <w:r>
        <w:rPr>
          <w:rFonts w:hint="eastAsia" w:ascii="宋体" w:hAnsi="宋体" w:eastAsia="宋体" w:cs="宋体"/>
          <w:color w:val="auto"/>
          <w:sz w:val="24"/>
          <w:szCs w:val="24"/>
          <w:highlight w:val="none"/>
        </w:rPr>
        <w:t>就位在内的一切费用和相关责任。如</w:t>
      </w:r>
      <w:r>
        <w:rPr>
          <w:rFonts w:hint="eastAsia" w:eastAsia="宋体" w:cs="宋体"/>
          <w:b w:val="0"/>
          <w:bCs/>
          <w:color w:val="auto"/>
          <w:sz w:val="24"/>
          <w:highlight w:val="none"/>
          <w:lang w:val="en-US" w:eastAsia="zh-CN"/>
        </w:rPr>
        <w:t>乙方</w:t>
      </w:r>
      <w:r>
        <w:rPr>
          <w:rFonts w:hint="eastAsia" w:ascii="宋体" w:hAnsi="宋体" w:eastAsia="宋体" w:cs="宋体"/>
          <w:color w:val="auto"/>
          <w:sz w:val="24"/>
          <w:szCs w:val="24"/>
          <w:highlight w:val="none"/>
        </w:rPr>
        <w:t>拒不更换的，</w:t>
      </w:r>
      <w:r>
        <w:rPr>
          <w:rFonts w:hint="eastAsia" w:eastAsia="宋体" w:cs="宋体"/>
          <w:b w:val="0"/>
          <w:bCs/>
          <w:color w:val="auto"/>
          <w:sz w:val="24"/>
          <w:highlight w:val="none"/>
          <w:lang w:val="en-US" w:eastAsia="zh-CN"/>
        </w:rPr>
        <w:t>甲方</w:t>
      </w:r>
      <w:r>
        <w:rPr>
          <w:rFonts w:hint="eastAsia" w:ascii="宋体" w:hAnsi="宋体" w:eastAsia="宋体" w:cs="宋体"/>
          <w:color w:val="auto"/>
          <w:sz w:val="24"/>
          <w:szCs w:val="24"/>
          <w:highlight w:val="none"/>
        </w:rPr>
        <w:t>有权要求</w:t>
      </w:r>
      <w:r>
        <w:rPr>
          <w:rFonts w:hint="eastAsia" w:eastAsia="宋体" w:cs="宋体"/>
          <w:b w:val="0"/>
          <w:bCs/>
          <w:color w:val="auto"/>
          <w:sz w:val="24"/>
          <w:highlight w:val="none"/>
          <w:lang w:val="en-US" w:eastAsia="zh-CN"/>
        </w:rPr>
        <w:t>乙方</w:t>
      </w:r>
      <w:r>
        <w:rPr>
          <w:rFonts w:hint="eastAsia" w:ascii="宋体" w:hAnsi="宋体" w:eastAsia="宋体" w:cs="宋体"/>
          <w:color w:val="auto"/>
          <w:sz w:val="24"/>
          <w:szCs w:val="24"/>
          <w:highlight w:val="none"/>
        </w:rPr>
        <w:t>按该重要部件所在设备的整体价款的一倍支付违约金。所有</w:t>
      </w:r>
      <w:r>
        <w:rPr>
          <w:rFonts w:hint="eastAsia" w:eastAsia="宋体" w:cs="宋体"/>
          <w:b w:val="0"/>
          <w:bCs/>
          <w:color w:val="auto"/>
          <w:sz w:val="24"/>
          <w:highlight w:val="none"/>
          <w:lang w:val="en-US" w:eastAsia="zh-CN"/>
        </w:rPr>
        <w:t>甲方</w:t>
      </w:r>
      <w:r>
        <w:rPr>
          <w:rFonts w:hint="eastAsia" w:ascii="宋体" w:hAnsi="宋体" w:eastAsia="宋体" w:cs="宋体"/>
          <w:color w:val="auto"/>
          <w:sz w:val="24"/>
          <w:szCs w:val="24"/>
          <w:highlight w:val="none"/>
        </w:rPr>
        <w:t>认为的重要部件和零件</w:t>
      </w:r>
      <w:r>
        <w:rPr>
          <w:rFonts w:hint="eastAsia" w:eastAsia="宋体" w:cs="宋体"/>
          <w:color w:val="auto"/>
          <w:sz w:val="24"/>
          <w:szCs w:val="24"/>
          <w:highlight w:val="none"/>
          <w:lang w:eastAsia="zh-CN"/>
        </w:rPr>
        <w:t>都</w:t>
      </w:r>
      <w:r>
        <w:rPr>
          <w:rFonts w:hint="eastAsia" w:ascii="宋体" w:hAnsi="宋体" w:eastAsia="宋体" w:cs="宋体"/>
          <w:color w:val="auto"/>
          <w:sz w:val="24"/>
          <w:szCs w:val="24"/>
          <w:highlight w:val="none"/>
        </w:rPr>
        <w:t>必须提供相应的</w:t>
      </w:r>
      <w:r>
        <w:rPr>
          <w:rFonts w:hint="eastAsia" w:eastAsia="宋体" w:cs="宋体"/>
          <w:color w:val="auto"/>
          <w:sz w:val="24"/>
          <w:szCs w:val="24"/>
          <w:highlight w:val="none"/>
          <w:lang w:eastAsia="zh-CN"/>
        </w:rPr>
        <w:t>质量合格</w:t>
      </w:r>
      <w:r>
        <w:rPr>
          <w:rFonts w:hint="eastAsia" w:ascii="宋体" w:hAnsi="宋体" w:eastAsia="宋体" w:cs="宋体"/>
          <w:color w:val="auto"/>
          <w:sz w:val="24"/>
          <w:szCs w:val="24"/>
          <w:highlight w:val="none"/>
        </w:rPr>
        <w:t>证明材料，供货时如为进口部件需提供原装原产地五大单据（原产地当局出具的原产地证书正本、原产地出厂合格证正本、原产地装船单正本、中国海关报关证明文件</w:t>
      </w:r>
      <w:r>
        <w:rPr>
          <w:rFonts w:hint="eastAsia" w:ascii="宋体" w:hAnsi="宋体" w:eastAsia="宋体" w:cs="宋体"/>
          <w:color w:val="auto"/>
          <w:sz w:val="24"/>
          <w:szCs w:val="24"/>
          <w:highlight w:val="none"/>
          <w:lang w:eastAsia="zh-CN"/>
        </w:rPr>
        <w:t>复制</w:t>
      </w:r>
      <w:r>
        <w:rPr>
          <w:rFonts w:hint="eastAsia" w:ascii="宋体" w:hAnsi="宋体" w:eastAsia="宋体" w:cs="宋体"/>
          <w:color w:val="auto"/>
          <w:sz w:val="24"/>
          <w:szCs w:val="24"/>
          <w:highlight w:val="none"/>
        </w:rPr>
        <w:t>件、中国商检检验合格证明文件正本）。</w:t>
      </w:r>
    </w:p>
    <w:p>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r>
        <w:rPr>
          <w:rFonts w:hint="eastAsia" w:eastAsia="宋体" w:cs="宋体"/>
          <w:b w:val="0"/>
          <w:bCs/>
          <w:color w:val="auto"/>
          <w:sz w:val="24"/>
          <w:highlight w:val="none"/>
          <w:lang w:val="en-US" w:eastAsia="zh-CN"/>
        </w:rPr>
        <w:t>乙方</w:t>
      </w:r>
      <w:r>
        <w:rPr>
          <w:rFonts w:hint="eastAsia" w:ascii="宋体" w:hAnsi="宋体" w:eastAsia="宋体" w:cs="宋体"/>
          <w:color w:val="auto"/>
          <w:sz w:val="24"/>
          <w:szCs w:val="24"/>
          <w:highlight w:val="none"/>
        </w:rPr>
        <w:t>在交付设备时必须同时向</w:t>
      </w:r>
      <w:r>
        <w:rPr>
          <w:rFonts w:hint="eastAsia" w:eastAsia="宋体" w:cs="宋体"/>
          <w:b w:val="0"/>
          <w:bCs/>
          <w:color w:val="auto"/>
          <w:sz w:val="24"/>
          <w:highlight w:val="none"/>
          <w:lang w:val="en-US" w:eastAsia="zh-CN"/>
        </w:rPr>
        <w:t>甲方</w:t>
      </w:r>
      <w:r>
        <w:rPr>
          <w:rFonts w:hint="eastAsia" w:ascii="宋体" w:hAnsi="宋体" w:eastAsia="宋体" w:cs="宋体"/>
          <w:color w:val="auto"/>
          <w:sz w:val="24"/>
          <w:szCs w:val="24"/>
          <w:highlight w:val="none"/>
        </w:rPr>
        <w:t>移交</w:t>
      </w:r>
      <w:r>
        <w:rPr>
          <w:rFonts w:hint="eastAsia" w:eastAsia="宋体" w:cs="宋体"/>
          <w:color w:val="auto"/>
          <w:sz w:val="24"/>
          <w:szCs w:val="24"/>
          <w:highlight w:val="none"/>
          <w:lang w:eastAsia="zh-CN"/>
        </w:rPr>
        <w:t>其投标</w:t>
      </w:r>
      <w:r>
        <w:rPr>
          <w:rFonts w:hint="eastAsia" w:ascii="宋体" w:hAnsi="宋体" w:eastAsia="宋体" w:cs="宋体"/>
          <w:color w:val="auto"/>
          <w:sz w:val="24"/>
          <w:szCs w:val="24"/>
          <w:highlight w:val="none"/>
        </w:rPr>
        <w:t>文件所列的备品备件、维修工具（该备品备件不作为保修期内所使用的维保耗材）。</w:t>
      </w:r>
    </w:p>
    <w:p>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r>
        <w:rPr>
          <w:rFonts w:hint="eastAsia" w:eastAsia="宋体" w:cs="宋体"/>
          <w:b w:val="0"/>
          <w:bCs/>
          <w:color w:val="auto"/>
          <w:sz w:val="24"/>
          <w:highlight w:val="none"/>
          <w:lang w:val="en-US" w:eastAsia="zh-CN"/>
        </w:rPr>
        <w:t>甲方</w:t>
      </w:r>
      <w:r>
        <w:rPr>
          <w:rFonts w:hint="eastAsia" w:ascii="宋体" w:hAnsi="宋体" w:eastAsia="宋体" w:cs="宋体"/>
          <w:color w:val="auto"/>
          <w:sz w:val="24"/>
          <w:szCs w:val="24"/>
          <w:highlight w:val="none"/>
        </w:rPr>
        <w:t>有权派出不超过4人的专业人员赴</w:t>
      </w:r>
      <w:r>
        <w:rPr>
          <w:rFonts w:hint="eastAsia" w:eastAsia="宋体" w:cs="宋体"/>
          <w:b w:val="0"/>
          <w:bCs/>
          <w:color w:val="auto"/>
          <w:sz w:val="24"/>
          <w:highlight w:val="none"/>
          <w:lang w:val="en-US" w:eastAsia="zh-CN"/>
        </w:rPr>
        <w:t>乙方</w:t>
      </w:r>
      <w:r>
        <w:rPr>
          <w:rFonts w:hint="eastAsia" w:ascii="宋体" w:hAnsi="宋体" w:eastAsia="宋体" w:cs="宋体"/>
          <w:color w:val="auto"/>
          <w:sz w:val="24"/>
          <w:szCs w:val="24"/>
          <w:highlight w:val="none"/>
        </w:rPr>
        <w:t>生产厂地进行</w:t>
      </w:r>
      <w:r>
        <w:rPr>
          <w:rFonts w:hint="eastAsia" w:eastAsia="宋体" w:cs="宋体"/>
          <w:color w:val="auto"/>
          <w:sz w:val="24"/>
          <w:szCs w:val="24"/>
          <w:highlight w:val="none"/>
          <w:lang w:eastAsia="zh-CN"/>
        </w:rPr>
        <w:t>为期不低于</w:t>
      </w:r>
      <w:r>
        <w:rPr>
          <w:rFonts w:hint="eastAsia" w:ascii="宋体" w:hAnsi="宋体" w:eastAsia="宋体" w:cs="宋体"/>
          <w:color w:val="auto"/>
          <w:sz w:val="24"/>
          <w:szCs w:val="24"/>
          <w:highlight w:val="none"/>
        </w:rPr>
        <w:t>5</w:t>
      </w:r>
      <w:r>
        <w:rPr>
          <w:rFonts w:hint="eastAsia" w:ascii="宋体" w:hAnsi="宋体" w:eastAsia="宋体" w:cs="宋体"/>
          <w:color w:val="auto"/>
          <w:sz w:val="24"/>
          <w:szCs w:val="24"/>
          <w:highlight w:val="none"/>
          <w:lang w:eastAsia="zh-CN"/>
        </w:rPr>
        <w:t>个</w:t>
      </w:r>
      <w:r>
        <w:rPr>
          <w:rFonts w:hint="eastAsia" w:ascii="宋体" w:hAnsi="宋体" w:eastAsia="宋体" w:cs="宋体"/>
          <w:color w:val="auto"/>
          <w:sz w:val="24"/>
          <w:szCs w:val="24"/>
          <w:highlight w:val="none"/>
        </w:rPr>
        <w:t>工作日</w:t>
      </w:r>
      <w:r>
        <w:rPr>
          <w:rFonts w:hint="eastAsia" w:ascii="宋体" w:hAnsi="宋体" w:eastAsia="宋体" w:cs="宋体"/>
          <w:color w:val="auto"/>
          <w:sz w:val="24"/>
          <w:szCs w:val="24"/>
          <w:highlight w:val="none"/>
          <w:lang w:eastAsia="zh-CN"/>
        </w:rPr>
        <w:t>的</w:t>
      </w:r>
      <w:r>
        <w:rPr>
          <w:rFonts w:hint="eastAsia" w:ascii="宋体" w:hAnsi="宋体" w:eastAsia="宋体" w:cs="宋体"/>
          <w:color w:val="auto"/>
          <w:sz w:val="24"/>
          <w:szCs w:val="24"/>
          <w:highlight w:val="none"/>
        </w:rPr>
        <w:t>设计联络和监造</w:t>
      </w:r>
      <w:r>
        <w:rPr>
          <w:rFonts w:hint="eastAsia" w:eastAsia="宋体" w:cs="宋体"/>
          <w:color w:val="auto"/>
          <w:sz w:val="24"/>
          <w:szCs w:val="24"/>
          <w:highlight w:val="none"/>
          <w:lang w:eastAsia="zh-CN"/>
        </w:rPr>
        <w:t>工作</w:t>
      </w:r>
      <w:r>
        <w:rPr>
          <w:rFonts w:hint="eastAsia" w:ascii="宋体" w:hAnsi="宋体" w:eastAsia="宋体" w:cs="宋体"/>
          <w:color w:val="auto"/>
          <w:sz w:val="24"/>
          <w:szCs w:val="24"/>
          <w:highlight w:val="none"/>
        </w:rPr>
        <w:t>，相关费用已包含在合同价中。如在监造中发现技术指标不能满足招标文件和投标文件承诺要求的，</w:t>
      </w:r>
      <w:r>
        <w:rPr>
          <w:rFonts w:hint="eastAsia" w:eastAsia="宋体" w:cs="宋体"/>
          <w:b w:val="0"/>
          <w:bCs/>
          <w:color w:val="auto"/>
          <w:sz w:val="24"/>
          <w:highlight w:val="none"/>
          <w:lang w:val="en-US" w:eastAsia="zh-CN"/>
        </w:rPr>
        <w:t>甲方</w:t>
      </w:r>
      <w:r>
        <w:rPr>
          <w:rFonts w:hint="eastAsia" w:ascii="宋体" w:hAnsi="宋体" w:eastAsia="宋体" w:cs="宋体"/>
          <w:color w:val="auto"/>
          <w:sz w:val="24"/>
          <w:szCs w:val="24"/>
          <w:highlight w:val="none"/>
        </w:rPr>
        <w:t>有权拒付货款或解除合同。</w:t>
      </w:r>
    </w:p>
    <w:p>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7、经</w:t>
      </w:r>
      <w:r>
        <w:rPr>
          <w:rFonts w:hint="eastAsia" w:eastAsia="宋体" w:cs="宋体"/>
          <w:b w:val="0"/>
          <w:bCs/>
          <w:color w:val="auto"/>
          <w:sz w:val="24"/>
          <w:highlight w:val="none"/>
          <w:lang w:val="en-US" w:eastAsia="zh-CN"/>
        </w:rPr>
        <w:t>甲方</w:t>
      </w:r>
      <w:r>
        <w:rPr>
          <w:rFonts w:hint="eastAsia" w:ascii="宋体" w:hAnsi="宋体" w:eastAsia="宋体" w:cs="宋体"/>
          <w:color w:val="auto"/>
          <w:sz w:val="24"/>
          <w:szCs w:val="24"/>
          <w:highlight w:val="none"/>
        </w:rPr>
        <w:t>要求或征得</w:t>
      </w:r>
      <w:r>
        <w:rPr>
          <w:rFonts w:hint="eastAsia" w:eastAsia="宋体" w:cs="宋体"/>
          <w:b w:val="0"/>
          <w:bCs/>
          <w:color w:val="auto"/>
          <w:sz w:val="24"/>
          <w:highlight w:val="none"/>
          <w:lang w:val="en-US" w:eastAsia="zh-CN"/>
        </w:rPr>
        <w:t>甲方</w:t>
      </w:r>
      <w:r>
        <w:rPr>
          <w:rFonts w:hint="eastAsia" w:ascii="宋体" w:hAnsi="宋体" w:eastAsia="宋体" w:cs="宋体"/>
          <w:color w:val="auto"/>
          <w:sz w:val="24"/>
          <w:szCs w:val="24"/>
          <w:highlight w:val="none"/>
        </w:rPr>
        <w:t>书面同意后，</w:t>
      </w:r>
      <w:r>
        <w:rPr>
          <w:rFonts w:hint="eastAsia" w:eastAsia="宋体" w:cs="宋体"/>
          <w:b w:val="0"/>
          <w:bCs/>
          <w:color w:val="auto"/>
          <w:sz w:val="24"/>
          <w:highlight w:val="none"/>
          <w:lang w:val="en-US" w:eastAsia="zh-CN"/>
        </w:rPr>
        <w:t>乙方</w:t>
      </w:r>
      <w:r>
        <w:rPr>
          <w:rFonts w:hint="eastAsia" w:ascii="宋体" w:hAnsi="宋体" w:eastAsia="宋体" w:cs="宋体"/>
          <w:color w:val="auto"/>
          <w:sz w:val="24"/>
          <w:szCs w:val="24"/>
          <w:highlight w:val="none"/>
        </w:rPr>
        <w:t>可分批发货，</w:t>
      </w:r>
      <w:r>
        <w:rPr>
          <w:rFonts w:hint="eastAsia" w:eastAsia="宋体" w:cs="宋体"/>
          <w:color w:val="auto"/>
          <w:sz w:val="24"/>
          <w:szCs w:val="24"/>
          <w:highlight w:val="none"/>
          <w:lang w:eastAsia="zh-CN"/>
        </w:rPr>
        <w:t>甲方可根据实际情况分批次检验、验收</w:t>
      </w:r>
      <w:r>
        <w:rPr>
          <w:rFonts w:hint="eastAsia" w:ascii="宋体" w:hAnsi="宋体" w:eastAsia="宋体" w:cs="宋体"/>
          <w:color w:val="auto"/>
          <w:sz w:val="24"/>
          <w:szCs w:val="24"/>
          <w:highlight w:val="none"/>
        </w:rPr>
        <w:t>。</w:t>
      </w:r>
    </w:p>
    <w:p>
      <w:pPr>
        <w:snapToGrid w:val="0"/>
        <w:spacing w:line="360" w:lineRule="auto"/>
        <w:ind w:firstLine="480" w:firstLineChars="200"/>
        <w:rPr>
          <w:rFonts w:hint="eastAsia" w:ascii="宋体" w:hAnsi="宋体" w:eastAsia="宋体" w:cs="宋体"/>
          <w:color w:val="000000"/>
          <w:kern w:val="24"/>
          <w:sz w:val="24"/>
          <w:szCs w:val="24"/>
          <w:highlight w:val="none"/>
        </w:rPr>
      </w:pPr>
      <w:r>
        <w:rPr>
          <w:rFonts w:hint="eastAsia" w:ascii="宋体" w:hAnsi="宋体" w:eastAsia="宋体" w:cs="宋体"/>
          <w:color w:val="auto"/>
          <w:sz w:val="24"/>
          <w:szCs w:val="24"/>
          <w:highlight w:val="none"/>
          <w:lang w:val="en-US" w:eastAsia="zh-CN"/>
        </w:rPr>
        <w:t>8、设备安装完成后乙方应及时通知甲方组织验收和试运行，验收和试运行合格后交付甲方即视为交货完毕，但交货完毕并不能免除合同约定的乙方的质保期责任和售后服务要求。</w:t>
      </w:r>
    </w:p>
    <w:p>
      <w:pPr>
        <w:pStyle w:val="62"/>
        <w:keepNext/>
        <w:keepLines/>
        <w:spacing w:before="120" w:after="120" w:line="360" w:lineRule="auto"/>
        <w:ind w:firstLine="482" w:firstLineChars="200"/>
        <w:outlineLvl w:val="3"/>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rPr>
        <w:t>九、技术资料</w:t>
      </w:r>
    </w:p>
    <w:p>
      <w:pPr>
        <w:pStyle w:val="62"/>
        <w:spacing w:line="360" w:lineRule="auto"/>
        <w:ind w:firstLine="480" w:firstLineChars="200"/>
        <w:rPr>
          <w:rFonts w:hint="eastAsia" w:ascii="宋体" w:hAnsi="宋体" w:eastAsia="宋体" w:cs="宋体"/>
          <w:color w:val="000000"/>
          <w:sz w:val="24"/>
          <w:szCs w:val="24"/>
          <w:highlight w:val="none"/>
        </w:rPr>
      </w:pPr>
      <w:r>
        <w:rPr>
          <w:rFonts w:hint="eastAsia" w:ascii="宋体" w:hAnsi="宋体" w:cs="宋体"/>
          <w:color w:val="000000"/>
          <w:sz w:val="24"/>
          <w:szCs w:val="24"/>
          <w:highlight w:val="none"/>
          <w:lang w:val="en-US" w:eastAsia="zh-CN"/>
        </w:rPr>
        <w:t>1</w:t>
      </w:r>
      <w:r>
        <w:rPr>
          <w:rFonts w:hint="eastAsia" w:ascii="宋体" w:hAnsi="宋体" w:eastAsia="宋体" w:cs="宋体"/>
          <w:color w:val="000000"/>
          <w:sz w:val="24"/>
          <w:szCs w:val="24"/>
          <w:highlight w:val="none"/>
        </w:rPr>
        <w:t>、设备交货时</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向</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提供下列技术资料和文件（一式四套）：</w:t>
      </w:r>
    </w:p>
    <w:p>
      <w:pPr>
        <w:pStyle w:val="62"/>
        <w:spacing w:line="360" w:lineRule="auto"/>
        <w:ind w:firstLine="480" w:firstLineChars="200"/>
        <w:rPr>
          <w:rFonts w:hint="eastAsia" w:ascii="宋体" w:hAnsi="宋体" w:eastAsia="宋体" w:cs="宋体"/>
          <w:color w:val="000000"/>
          <w:sz w:val="24"/>
          <w:szCs w:val="24"/>
          <w:highlight w:val="none"/>
          <w:lang w:val="en-US" w:eastAsia="zh-CN" w:bidi="ar-SA"/>
        </w:rPr>
      </w:pPr>
      <w:r>
        <w:rPr>
          <w:rFonts w:hint="eastAsia" w:ascii="宋体" w:hAnsi="宋体" w:eastAsia="宋体" w:cs="宋体"/>
          <w:color w:val="000000"/>
          <w:sz w:val="24"/>
          <w:szCs w:val="24"/>
          <w:highlight w:val="none"/>
          <w:lang w:val="en-US" w:eastAsia="zh-CN" w:bidi="ar-SA"/>
        </w:rPr>
        <w:t>（1）产品合格证或质量检验证书；</w:t>
      </w:r>
    </w:p>
    <w:p>
      <w:pPr>
        <w:pStyle w:val="62"/>
        <w:spacing w:line="360" w:lineRule="auto"/>
        <w:ind w:firstLine="480" w:firstLineChars="200"/>
        <w:rPr>
          <w:rFonts w:hint="eastAsia" w:ascii="宋体" w:hAnsi="宋体" w:eastAsia="宋体" w:cs="宋体"/>
          <w:color w:val="000000"/>
          <w:sz w:val="24"/>
          <w:szCs w:val="24"/>
          <w:highlight w:val="none"/>
          <w:lang w:val="en-US" w:eastAsia="zh-CN" w:bidi="ar-SA"/>
        </w:rPr>
      </w:pPr>
      <w:r>
        <w:rPr>
          <w:rFonts w:hint="eastAsia" w:ascii="宋体" w:hAnsi="宋体" w:eastAsia="宋体" w:cs="宋体"/>
          <w:color w:val="000000"/>
          <w:sz w:val="24"/>
          <w:szCs w:val="24"/>
          <w:highlight w:val="none"/>
          <w:lang w:val="en-US" w:eastAsia="zh-CN" w:bidi="ar-SA"/>
        </w:rPr>
        <w:t>（2）设备安装图、电气和仪表系统原理图、接线图；</w:t>
      </w:r>
    </w:p>
    <w:p>
      <w:pPr>
        <w:pStyle w:val="62"/>
        <w:spacing w:line="360" w:lineRule="auto"/>
        <w:ind w:firstLine="480" w:firstLineChars="200"/>
        <w:rPr>
          <w:rFonts w:hint="eastAsia" w:ascii="宋体" w:hAnsi="宋体" w:eastAsia="宋体" w:cs="宋体"/>
          <w:color w:val="000000"/>
          <w:sz w:val="24"/>
          <w:szCs w:val="24"/>
          <w:highlight w:val="none"/>
          <w:lang w:val="en-US" w:eastAsia="zh-CN" w:bidi="ar-SA"/>
        </w:rPr>
      </w:pPr>
      <w:r>
        <w:rPr>
          <w:rFonts w:hint="eastAsia" w:ascii="宋体" w:hAnsi="宋体" w:eastAsia="宋体" w:cs="宋体"/>
          <w:color w:val="000000"/>
          <w:sz w:val="24"/>
          <w:szCs w:val="24"/>
          <w:highlight w:val="none"/>
          <w:lang w:val="en-US" w:eastAsia="zh-CN" w:bidi="ar-SA"/>
        </w:rPr>
        <w:t>（3）安装、使用、维护说明书或有关手册；</w:t>
      </w:r>
    </w:p>
    <w:p>
      <w:pPr>
        <w:pStyle w:val="62"/>
        <w:spacing w:line="360" w:lineRule="auto"/>
        <w:ind w:firstLine="480" w:firstLineChars="200"/>
        <w:rPr>
          <w:rFonts w:hint="eastAsia" w:ascii="宋体" w:hAnsi="宋体" w:eastAsia="宋体" w:cs="宋体"/>
          <w:color w:val="000000"/>
          <w:sz w:val="24"/>
          <w:szCs w:val="24"/>
          <w:highlight w:val="none"/>
          <w:lang w:val="en-US" w:eastAsia="zh-CN" w:bidi="ar-SA"/>
        </w:rPr>
      </w:pPr>
      <w:r>
        <w:rPr>
          <w:rFonts w:hint="eastAsia" w:ascii="宋体" w:hAnsi="宋体" w:eastAsia="宋体" w:cs="宋体"/>
          <w:color w:val="000000"/>
          <w:sz w:val="24"/>
          <w:szCs w:val="24"/>
          <w:highlight w:val="none"/>
          <w:lang w:val="en-US" w:eastAsia="zh-CN" w:bidi="ar-SA"/>
        </w:rPr>
        <w:t>（4）易损件清单；</w:t>
      </w:r>
    </w:p>
    <w:p>
      <w:pPr>
        <w:pStyle w:val="62"/>
        <w:spacing w:line="360" w:lineRule="auto"/>
        <w:ind w:firstLine="480" w:firstLineChars="200"/>
        <w:rPr>
          <w:rFonts w:hint="eastAsia" w:ascii="宋体" w:hAnsi="宋体" w:eastAsia="宋体" w:cs="宋体"/>
          <w:color w:val="000000"/>
          <w:sz w:val="24"/>
          <w:szCs w:val="24"/>
          <w:highlight w:val="none"/>
          <w:lang w:val="en-US" w:eastAsia="zh-CN" w:bidi="ar-SA"/>
        </w:rPr>
      </w:pPr>
      <w:r>
        <w:rPr>
          <w:rFonts w:hint="eastAsia" w:ascii="宋体" w:hAnsi="宋体" w:eastAsia="宋体" w:cs="宋体"/>
          <w:color w:val="000000"/>
          <w:sz w:val="24"/>
          <w:szCs w:val="24"/>
          <w:highlight w:val="none"/>
          <w:lang w:val="en-US" w:eastAsia="zh-CN" w:bidi="ar-SA"/>
        </w:rPr>
        <w:t>（5）备品备件和专用工具清单；</w:t>
      </w:r>
    </w:p>
    <w:p>
      <w:pPr>
        <w:pStyle w:val="62"/>
        <w:spacing w:line="360" w:lineRule="auto"/>
        <w:ind w:firstLine="480" w:firstLineChars="200"/>
        <w:rPr>
          <w:rFonts w:hint="eastAsia" w:ascii="宋体" w:hAnsi="宋体" w:eastAsia="宋体" w:cs="宋体"/>
          <w:color w:val="000000"/>
          <w:sz w:val="24"/>
          <w:szCs w:val="24"/>
          <w:highlight w:val="none"/>
          <w:lang w:val="en-US" w:eastAsia="zh-CN" w:bidi="ar-SA"/>
        </w:rPr>
      </w:pPr>
      <w:r>
        <w:rPr>
          <w:rFonts w:hint="eastAsia" w:ascii="宋体" w:hAnsi="宋体" w:eastAsia="宋体" w:cs="宋体"/>
          <w:color w:val="000000"/>
          <w:sz w:val="24"/>
          <w:szCs w:val="24"/>
          <w:highlight w:val="none"/>
          <w:lang w:val="en-US" w:eastAsia="zh-CN" w:bidi="ar-SA"/>
        </w:rPr>
        <w:t>（6）乙方认为有必要提供的其他文件和技术资料；</w:t>
      </w:r>
    </w:p>
    <w:p>
      <w:pPr>
        <w:pStyle w:val="62"/>
        <w:spacing w:line="360" w:lineRule="auto"/>
        <w:ind w:firstLine="480" w:firstLineChars="200"/>
        <w:rPr>
          <w:rFonts w:hint="eastAsia" w:ascii="宋体" w:hAnsi="宋体" w:eastAsia="宋体" w:cs="宋体"/>
          <w:color w:val="000000"/>
          <w:sz w:val="24"/>
          <w:szCs w:val="24"/>
          <w:highlight w:val="none"/>
          <w:lang w:val="en-US" w:eastAsia="zh-CN" w:bidi="ar-SA"/>
        </w:rPr>
      </w:pPr>
      <w:r>
        <w:rPr>
          <w:rFonts w:hint="eastAsia" w:ascii="宋体" w:hAnsi="宋体" w:eastAsia="宋体" w:cs="宋体"/>
          <w:color w:val="000000"/>
          <w:sz w:val="24"/>
          <w:szCs w:val="24"/>
          <w:highlight w:val="none"/>
          <w:lang w:val="en-US" w:eastAsia="zh-CN" w:bidi="ar-SA"/>
        </w:rPr>
        <w:t>（7）有进口部件和零件的必须提供进关的相应证明材料。</w:t>
      </w:r>
    </w:p>
    <w:p>
      <w:pPr>
        <w:pStyle w:val="62"/>
        <w:spacing w:line="360" w:lineRule="auto"/>
        <w:ind w:firstLine="410" w:firstLineChars="171"/>
        <w:jc w:val="left"/>
        <w:rPr>
          <w:rFonts w:hint="eastAsia" w:ascii="宋体" w:hAnsi="宋体" w:eastAsia="宋体" w:cs="宋体"/>
          <w:color w:val="000000"/>
          <w:sz w:val="24"/>
          <w:szCs w:val="24"/>
          <w:highlight w:val="none"/>
        </w:rPr>
      </w:pPr>
      <w:r>
        <w:rPr>
          <w:rFonts w:hint="eastAsia" w:ascii="宋体" w:hAnsi="宋体" w:cs="宋体"/>
          <w:color w:val="000000"/>
          <w:sz w:val="24"/>
          <w:szCs w:val="24"/>
          <w:highlight w:val="none"/>
          <w:lang w:val="en-US" w:eastAsia="zh-CN"/>
        </w:rPr>
        <w:t>2</w:t>
      </w:r>
      <w:r>
        <w:rPr>
          <w:rFonts w:hint="eastAsia" w:ascii="宋体" w:hAnsi="宋体" w:eastAsia="宋体" w:cs="宋体"/>
          <w:color w:val="000000"/>
          <w:sz w:val="24"/>
          <w:szCs w:val="24"/>
          <w:highlight w:val="none"/>
        </w:rPr>
        <w:t>、如果</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提供的技术资料、图纸和文件等不完整或在运输过程中丢失，视为未按合同约定供货，</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应在收到</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通知后3天内将这些资料免费补交</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，因此导致逾期交付的，由</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承担相关的违约责任。</w:t>
      </w:r>
    </w:p>
    <w:p>
      <w:pPr>
        <w:pStyle w:val="62"/>
        <w:keepNext/>
        <w:keepLines/>
        <w:spacing w:before="120" w:after="120" w:line="360" w:lineRule="auto"/>
        <w:outlineLvl w:val="3"/>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rPr>
        <w:t>十、质量保证及售后服务</w:t>
      </w:r>
    </w:p>
    <w:p>
      <w:pPr>
        <w:pStyle w:val="62"/>
        <w:spacing w:after="156" w:line="360" w:lineRule="auto"/>
        <w:ind w:firstLine="482" w:firstLineChars="200"/>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rPr>
        <w:t>（一）质量保证</w:t>
      </w:r>
    </w:p>
    <w:p>
      <w:pPr>
        <w:pStyle w:val="62"/>
        <w:spacing w:line="360" w:lineRule="auto"/>
        <w:ind w:firstLine="480" w:firstLineChars="200"/>
        <w:rPr>
          <w:rFonts w:hint="eastAsia" w:ascii="宋体" w:hAnsi="宋体" w:eastAsia="宋体" w:cs="宋体"/>
          <w:color w:val="000000"/>
          <w:kern w:val="24"/>
          <w:sz w:val="24"/>
          <w:szCs w:val="24"/>
          <w:highlight w:val="none"/>
        </w:rPr>
      </w:pPr>
      <w:r>
        <w:rPr>
          <w:rFonts w:hint="eastAsia" w:ascii="宋体" w:hAnsi="宋体" w:eastAsia="宋体" w:cs="宋体"/>
          <w:color w:val="000000"/>
          <w:kern w:val="24"/>
          <w:sz w:val="24"/>
          <w:szCs w:val="24"/>
          <w:highlight w:val="none"/>
        </w:rPr>
        <w:t>1、</w:t>
      </w:r>
      <w:r>
        <w:rPr>
          <w:rFonts w:hint="eastAsia" w:ascii="宋体" w:hAnsi="宋体" w:eastAsia="宋体" w:cs="宋体"/>
          <w:color w:val="000000"/>
          <w:kern w:val="24"/>
          <w:sz w:val="24"/>
          <w:szCs w:val="24"/>
          <w:highlight w:val="none"/>
          <w:lang w:eastAsia="zh-CN"/>
        </w:rPr>
        <w:t>乙方</w:t>
      </w:r>
      <w:r>
        <w:rPr>
          <w:rFonts w:hint="eastAsia" w:ascii="宋体" w:hAnsi="宋体" w:eastAsia="宋体" w:cs="宋体"/>
          <w:color w:val="000000"/>
          <w:kern w:val="24"/>
          <w:sz w:val="24"/>
          <w:szCs w:val="24"/>
          <w:highlight w:val="none"/>
        </w:rPr>
        <w:t>应按本合同和招标文件规定及</w:t>
      </w:r>
      <w:r>
        <w:rPr>
          <w:rFonts w:hint="eastAsia" w:ascii="宋体" w:hAnsi="宋体" w:eastAsia="宋体" w:cs="宋体"/>
          <w:color w:val="000000"/>
          <w:kern w:val="24"/>
          <w:sz w:val="24"/>
          <w:szCs w:val="24"/>
          <w:highlight w:val="none"/>
          <w:lang w:eastAsia="zh-CN"/>
        </w:rPr>
        <w:t>乙方</w:t>
      </w:r>
      <w:r>
        <w:rPr>
          <w:rFonts w:hint="eastAsia" w:ascii="宋体" w:hAnsi="宋体" w:eastAsia="宋体" w:cs="宋体"/>
          <w:color w:val="000000"/>
          <w:kern w:val="24"/>
          <w:sz w:val="24"/>
          <w:szCs w:val="24"/>
          <w:highlight w:val="none"/>
        </w:rPr>
        <w:t>投标承诺的设备性能、质量标准向</w:t>
      </w:r>
      <w:r>
        <w:rPr>
          <w:rFonts w:hint="eastAsia" w:ascii="宋体" w:hAnsi="宋体" w:eastAsia="宋体" w:cs="宋体"/>
          <w:color w:val="000000"/>
          <w:kern w:val="24"/>
          <w:sz w:val="24"/>
          <w:szCs w:val="24"/>
          <w:highlight w:val="none"/>
          <w:lang w:eastAsia="zh-CN"/>
        </w:rPr>
        <w:t>甲方</w:t>
      </w:r>
      <w:r>
        <w:rPr>
          <w:rFonts w:hint="eastAsia" w:ascii="宋体" w:hAnsi="宋体" w:eastAsia="宋体" w:cs="宋体"/>
          <w:color w:val="000000"/>
          <w:kern w:val="24"/>
          <w:sz w:val="24"/>
          <w:szCs w:val="24"/>
          <w:highlight w:val="none"/>
        </w:rPr>
        <w:t>提供未经使用的全新的</w:t>
      </w:r>
      <w:r>
        <w:rPr>
          <w:rFonts w:hint="eastAsia" w:ascii="宋体" w:hAnsi="宋体" w:eastAsia="宋体" w:cs="宋体"/>
          <w:color w:val="000000"/>
          <w:spacing w:val="6"/>
          <w:kern w:val="24"/>
          <w:sz w:val="24"/>
          <w:szCs w:val="24"/>
          <w:highlight w:val="none"/>
        </w:rPr>
        <w:t>、未使用过的</w:t>
      </w:r>
      <w:r>
        <w:rPr>
          <w:rFonts w:hint="eastAsia" w:ascii="宋体" w:hAnsi="宋体" w:eastAsia="宋体" w:cs="宋体"/>
          <w:color w:val="000000"/>
          <w:kern w:val="24"/>
          <w:sz w:val="24"/>
          <w:szCs w:val="24"/>
          <w:highlight w:val="none"/>
        </w:rPr>
        <w:t>设备。如发生所供货物与本合同、招标文件要求或</w:t>
      </w:r>
      <w:r>
        <w:rPr>
          <w:rFonts w:hint="eastAsia" w:ascii="宋体" w:hAnsi="宋体" w:eastAsia="宋体" w:cs="宋体"/>
          <w:color w:val="000000"/>
          <w:kern w:val="24"/>
          <w:sz w:val="24"/>
          <w:szCs w:val="24"/>
          <w:highlight w:val="none"/>
          <w:lang w:eastAsia="zh-CN"/>
        </w:rPr>
        <w:t>乙方</w:t>
      </w:r>
      <w:r>
        <w:rPr>
          <w:rFonts w:hint="eastAsia" w:ascii="宋体" w:hAnsi="宋体" w:eastAsia="宋体" w:cs="宋体"/>
          <w:color w:val="000000"/>
          <w:kern w:val="24"/>
          <w:sz w:val="24"/>
          <w:szCs w:val="24"/>
          <w:highlight w:val="none"/>
        </w:rPr>
        <w:t>投标时的承诺不符，</w:t>
      </w:r>
      <w:r>
        <w:rPr>
          <w:rFonts w:hint="eastAsia" w:ascii="宋体" w:hAnsi="宋体" w:eastAsia="宋体" w:cs="宋体"/>
          <w:color w:val="000000"/>
          <w:kern w:val="24"/>
          <w:sz w:val="24"/>
          <w:szCs w:val="24"/>
          <w:highlight w:val="none"/>
          <w:lang w:eastAsia="zh-CN"/>
        </w:rPr>
        <w:t>甲方</w:t>
      </w:r>
      <w:r>
        <w:rPr>
          <w:rFonts w:hint="eastAsia" w:ascii="宋体" w:hAnsi="宋体" w:eastAsia="宋体" w:cs="宋体"/>
          <w:color w:val="000000"/>
          <w:kern w:val="24"/>
          <w:sz w:val="24"/>
          <w:szCs w:val="24"/>
          <w:highlight w:val="none"/>
        </w:rPr>
        <w:t>有权拒收或退货，由此产生的一切责任和后果由</w:t>
      </w:r>
      <w:r>
        <w:rPr>
          <w:rFonts w:hint="eastAsia" w:ascii="宋体" w:hAnsi="宋体" w:eastAsia="宋体" w:cs="宋体"/>
          <w:color w:val="000000"/>
          <w:kern w:val="24"/>
          <w:sz w:val="24"/>
          <w:szCs w:val="24"/>
          <w:highlight w:val="none"/>
          <w:lang w:eastAsia="zh-CN"/>
        </w:rPr>
        <w:t>乙方</w:t>
      </w:r>
      <w:r>
        <w:rPr>
          <w:rFonts w:hint="eastAsia" w:ascii="宋体" w:hAnsi="宋体" w:eastAsia="宋体" w:cs="宋体"/>
          <w:color w:val="000000"/>
          <w:kern w:val="24"/>
          <w:sz w:val="24"/>
          <w:szCs w:val="24"/>
          <w:highlight w:val="none"/>
        </w:rPr>
        <w:t>承担。</w:t>
      </w:r>
    </w:p>
    <w:p>
      <w:pPr>
        <w:pStyle w:val="62"/>
        <w:spacing w:line="360" w:lineRule="auto"/>
        <w:ind w:firstLine="480" w:firstLineChars="200"/>
        <w:rPr>
          <w:rFonts w:hint="eastAsia" w:ascii="宋体" w:hAnsi="宋体" w:eastAsia="宋体" w:cs="宋体"/>
          <w:color w:val="000000"/>
          <w:kern w:val="24"/>
          <w:sz w:val="24"/>
          <w:szCs w:val="24"/>
          <w:highlight w:val="none"/>
        </w:rPr>
      </w:pPr>
      <w:r>
        <w:rPr>
          <w:rFonts w:hint="eastAsia" w:ascii="宋体" w:hAnsi="宋体" w:eastAsia="宋体" w:cs="宋体"/>
          <w:color w:val="000000"/>
          <w:kern w:val="24"/>
          <w:sz w:val="24"/>
          <w:szCs w:val="24"/>
          <w:highlight w:val="none"/>
        </w:rPr>
        <w:t>2、</w:t>
      </w:r>
      <w:r>
        <w:rPr>
          <w:rFonts w:hint="eastAsia" w:ascii="宋体" w:hAnsi="宋体" w:eastAsia="宋体" w:cs="宋体"/>
          <w:color w:val="000000"/>
          <w:kern w:val="24"/>
          <w:sz w:val="24"/>
          <w:szCs w:val="24"/>
          <w:highlight w:val="none"/>
          <w:lang w:eastAsia="zh-CN"/>
        </w:rPr>
        <w:t>甲方</w:t>
      </w:r>
      <w:r>
        <w:rPr>
          <w:rFonts w:hint="eastAsia" w:ascii="宋体" w:hAnsi="宋体" w:eastAsia="宋体" w:cs="宋体"/>
          <w:color w:val="000000"/>
          <w:kern w:val="24"/>
          <w:sz w:val="24"/>
          <w:szCs w:val="24"/>
          <w:highlight w:val="none"/>
        </w:rPr>
        <w:t>有权提出在货物制造过程中派人到制造厂进行监造，</w:t>
      </w:r>
      <w:r>
        <w:rPr>
          <w:rFonts w:hint="eastAsia" w:ascii="宋体" w:hAnsi="宋体" w:eastAsia="宋体" w:cs="宋体"/>
          <w:color w:val="000000"/>
          <w:kern w:val="24"/>
          <w:sz w:val="24"/>
          <w:szCs w:val="24"/>
          <w:highlight w:val="none"/>
          <w:lang w:eastAsia="zh-CN"/>
        </w:rPr>
        <w:t>乙方</w:t>
      </w:r>
      <w:r>
        <w:rPr>
          <w:rFonts w:hint="eastAsia" w:ascii="宋体" w:hAnsi="宋体" w:eastAsia="宋体" w:cs="宋体"/>
          <w:color w:val="000000"/>
          <w:kern w:val="24"/>
          <w:sz w:val="24"/>
          <w:szCs w:val="24"/>
          <w:highlight w:val="none"/>
        </w:rPr>
        <w:t>有义务为</w:t>
      </w:r>
      <w:r>
        <w:rPr>
          <w:rFonts w:hint="eastAsia" w:ascii="宋体" w:hAnsi="宋体" w:eastAsia="宋体" w:cs="宋体"/>
          <w:color w:val="000000"/>
          <w:kern w:val="24"/>
          <w:sz w:val="24"/>
          <w:szCs w:val="24"/>
          <w:highlight w:val="none"/>
          <w:lang w:eastAsia="zh-CN"/>
        </w:rPr>
        <w:t>甲方</w:t>
      </w:r>
      <w:r>
        <w:rPr>
          <w:rFonts w:hint="eastAsia" w:ascii="宋体" w:hAnsi="宋体" w:eastAsia="宋体" w:cs="宋体"/>
          <w:color w:val="000000"/>
          <w:kern w:val="24"/>
          <w:sz w:val="24"/>
          <w:szCs w:val="24"/>
          <w:highlight w:val="none"/>
        </w:rPr>
        <w:t>监造人员提供方便。</w:t>
      </w:r>
    </w:p>
    <w:p>
      <w:pPr>
        <w:pStyle w:val="62"/>
        <w:spacing w:line="360" w:lineRule="auto"/>
        <w:ind w:firstLine="480" w:firstLineChars="200"/>
        <w:rPr>
          <w:rFonts w:hint="eastAsia" w:ascii="宋体" w:hAnsi="宋体" w:eastAsia="宋体" w:cs="宋体"/>
          <w:color w:val="000000"/>
          <w:kern w:val="24"/>
          <w:sz w:val="24"/>
          <w:szCs w:val="24"/>
          <w:highlight w:val="none"/>
        </w:rPr>
      </w:pPr>
      <w:r>
        <w:rPr>
          <w:rFonts w:hint="eastAsia" w:ascii="宋体" w:hAnsi="宋体" w:eastAsia="宋体" w:cs="宋体"/>
          <w:color w:val="000000"/>
          <w:kern w:val="24"/>
          <w:sz w:val="24"/>
          <w:szCs w:val="24"/>
          <w:highlight w:val="none"/>
        </w:rPr>
        <w:t>3、</w:t>
      </w:r>
      <w:r>
        <w:rPr>
          <w:rFonts w:hint="eastAsia" w:ascii="宋体" w:hAnsi="宋体" w:eastAsia="宋体" w:cs="宋体"/>
          <w:color w:val="000000"/>
          <w:kern w:val="24"/>
          <w:sz w:val="24"/>
          <w:szCs w:val="24"/>
          <w:highlight w:val="none"/>
          <w:lang w:eastAsia="zh-CN"/>
        </w:rPr>
        <w:t>乙方</w:t>
      </w:r>
      <w:r>
        <w:rPr>
          <w:rFonts w:hint="eastAsia" w:ascii="宋体" w:hAnsi="宋体" w:eastAsia="宋体" w:cs="宋体"/>
          <w:color w:val="000000"/>
          <w:kern w:val="24"/>
          <w:sz w:val="24"/>
          <w:szCs w:val="24"/>
          <w:highlight w:val="none"/>
        </w:rPr>
        <w:t>保证按IS09000系列标准(如果已经执行)或相应的质量管理和质量保证体系，对所供设备的设计、采购、制造、检验、涂装、包装、组装就位、调试等各个环节进行严格的质量管理和质量控制。</w:t>
      </w:r>
    </w:p>
    <w:p>
      <w:pPr>
        <w:pStyle w:val="62"/>
        <w:spacing w:line="360" w:lineRule="auto"/>
        <w:ind w:firstLine="480" w:firstLineChars="200"/>
        <w:rPr>
          <w:rFonts w:hint="eastAsia" w:ascii="宋体" w:hAnsi="宋体" w:eastAsia="宋体" w:cs="宋体"/>
          <w:color w:val="000000"/>
          <w:kern w:val="24"/>
          <w:sz w:val="24"/>
          <w:szCs w:val="24"/>
          <w:highlight w:val="none"/>
        </w:rPr>
      </w:pPr>
      <w:r>
        <w:rPr>
          <w:rFonts w:hint="eastAsia" w:ascii="宋体" w:hAnsi="宋体" w:eastAsia="宋体" w:cs="宋体"/>
          <w:color w:val="000000"/>
          <w:kern w:val="24"/>
          <w:sz w:val="24"/>
          <w:szCs w:val="24"/>
          <w:highlight w:val="none"/>
        </w:rPr>
        <w:t>4、</w:t>
      </w:r>
      <w:r>
        <w:rPr>
          <w:rFonts w:hint="eastAsia" w:ascii="宋体" w:hAnsi="宋体" w:eastAsia="宋体" w:cs="宋体"/>
          <w:color w:val="000000"/>
          <w:kern w:val="24"/>
          <w:sz w:val="24"/>
          <w:szCs w:val="24"/>
          <w:highlight w:val="none"/>
          <w:lang w:eastAsia="zh-CN"/>
        </w:rPr>
        <w:t>乙方</w:t>
      </w:r>
      <w:r>
        <w:rPr>
          <w:rFonts w:hint="eastAsia" w:ascii="宋体" w:hAnsi="宋体" w:eastAsia="宋体" w:cs="宋体"/>
          <w:color w:val="000000"/>
          <w:kern w:val="24"/>
          <w:sz w:val="24"/>
          <w:szCs w:val="24"/>
          <w:highlight w:val="none"/>
        </w:rPr>
        <w:t>保证所提供的设备在正确组装就位、正常使用和维护保养的情况下，具有使</w:t>
      </w:r>
      <w:r>
        <w:rPr>
          <w:rFonts w:hint="eastAsia" w:ascii="宋体" w:hAnsi="宋体" w:eastAsia="宋体" w:cs="宋体"/>
          <w:color w:val="000000"/>
          <w:kern w:val="24"/>
          <w:sz w:val="24"/>
          <w:szCs w:val="24"/>
          <w:highlight w:val="none"/>
          <w:lang w:eastAsia="zh-CN"/>
        </w:rPr>
        <w:t>甲方</w:t>
      </w:r>
      <w:r>
        <w:rPr>
          <w:rFonts w:hint="eastAsia" w:ascii="宋体" w:hAnsi="宋体" w:eastAsia="宋体" w:cs="宋体"/>
          <w:color w:val="000000"/>
          <w:kern w:val="24"/>
          <w:sz w:val="24"/>
          <w:szCs w:val="24"/>
          <w:highlight w:val="none"/>
        </w:rPr>
        <w:t>满意的使用性能和使用寿命。</w:t>
      </w:r>
    </w:p>
    <w:p>
      <w:pPr>
        <w:pStyle w:val="62"/>
        <w:spacing w:line="360" w:lineRule="auto"/>
        <w:ind w:firstLine="480" w:firstLineChars="200"/>
        <w:rPr>
          <w:rFonts w:hint="eastAsia" w:ascii="宋体" w:hAnsi="宋体" w:eastAsia="宋体" w:cs="宋体"/>
          <w:color w:val="000000"/>
          <w:kern w:val="24"/>
          <w:sz w:val="24"/>
          <w:szCs w:val="24"/>
          <w:highlight w:val="none"/>
        </w:rPr>
      </w:pPr>
      <w:r>
        <w:rPr>
          <w:rFonts w:hint="eastAsia" w:ascii="宋体" w:hAnsi="宋体" w:eastAsia="宋体" w:cs="宋体"/>
          <w:color w:val="000000"/>
          <w:kern w:val="24"/>
          <w:sz w:val="24"/>
          <w:szCs w:val="24"/>
          <w:highlight w:val="none"/>
        </w:rPr>
        <w:t>5、</w:t>
      </w:r>
      <w:r>
        <w:rPr>
          <w:rFonts w:hint="eastAsia" w:ascii="宋体" w:hAnsi="宋体" w:eastAsia="宋体" w:cs="宋体"/>
          <w:color w:val="000000"/>
          <w:kern w:val="24"/>
          <w:sz w:val="24"/>
          <w:szCs w:val="24"/>
          <w:highlight w:val="none"/>
          <w:lang w:eastAsia="zh-CN"/>
        </w:rPr>
        <w:t>乙方</w:t>
      </w:r>
      <w:r>
        <w:rPr>
          <w:rFonts w:hint="eastAsia" w:ascii="宋体" w:hAnsi="宋体" w:eastAsia="宋体" w:cs="宋体"/>
          <w:color w:val="000000"/>
          <w:kern w:val="24"/>
          <w:sz w:val="24"/>
          <w:szCs w:val="24"/>
          <w:highlight w:val="none"/>
        </w:rPr>
        <w:t>提供设备的质量保证期为现场组装就位完毕，经有关部门验收合格并交付</w:t>
      </w:r>
      <w:r>
        <w:rPr>
          <w:rFonts w:hint="eastAsia" w:ascii="宋体" w:hAnsi="宋体" w:eastAsia="宋体" w:cs="宋体"/>
          <w:color w:val="000000"/>
          <w:kern w:val="24"/>
          <w:sz w:val="24"/>
          <w:szCs w:val="24"/>
          <w:highlight w:val="none"/>
          <w:lang w:eastAsia="zh-CN"/>
        </w:rPr>
        <w:t>甲方</w:t>
      </w:r>
      <w:r>
        <w:rPr>
          <w:rFonts w:hint="eastAsia" w:ascii="宋体" w:hAnsi="宋体" w:eastAsia="宋体" w:cs="宋体"/>
          <w:color w:val="000000"/>
          <w:kern w:val="24"/>
          <w:sz w:val="24"/>
          <w:szCs w:val="24"/>
          <w:highlight w:val="none"/>
        </w:rPr>
        <w:t>使用之后起算。在保证期内因设备本身的质量问题发生故障，</w:t>
      </w:r>
      <w:r>
        <w:rPr>
          <w:rFonts w:hint="eastAsia" w:ascii="宋体" w:hAnsi="宋体" w:eastAsia="宋体" w:cs="宋体"/>
          <w:color w:val="000000"/>
          <w:kern w:val="24"/>
          <w:sz w:val="24"/>
          <w:szCs w:val="24"/>
          <w:highlight w:val="none"/>
          <w:lang w:eastAsia="zh-CN"/>
        </w:rPr>
        <w:t>乙方</w:t>
      </w:r>
      <w:r>
        <w:rPr>
          <w:rFonts w:hint="eastAsia" w:ascii="宋体" w:hAnsi="宋体" w:eastAsia="宋体" w:cs="宋体"/>
          <w:color w:val="000000"/>
          <w:kern w:val="24"/>
          <w:sz w:val="24"/>
          <w:szCs w:val="24"/>
          <w:highlight w:val="none"/>
        </w:rPr>
        <w:t>应负责免费修理和更换零部件。对经过修理和免费更换零部件后仍然达不到使用要求者，</w:t>
      </w:r>
      <w:r>
        <w:rPr>
          <w:rFonts w:hint="eastAsia" w:ascii="宋体" w:hAnsi="宋体" w:eastAsia="宋体" w:cs="宋体"/>
          <w:color w:val="000000"/>
          <w:kern w:val="24"/>
          <w:sz w:val="24"/>
          <w:szCs w:val="24"/>
          <w:highlight w:val="none"/>
          <w:lang w:eastAsia="zh-CN"/>
        </w:rPr>
        <w:t>甲方</w:t>
      </w:r>
      <w:r>
        <w:rPr>
          <w:rFonts w:hint="eastAsia" w:ascii="宋体" w:hAnsi="宋体" w:eastAsia="宋体" w:cs="宋体"/>
          <w:color w:val="000000"/>
          <w:kern w:val="24"/>
          <w:sz w:val="24"/>
          <w:szCs w:val="24"/>
          <w:highlight w:val="none"/>
        </w:rPr>
        <w:t>可按以下办法处理：</w:t>
      </w:r>
    </w:p>
    <w:p>
      <w:pPr>
        <w:pStyle w:val="62"/>
        <w:spacing w:line="360" w:lineRule="auto"/>
        <w:ind w:firstLine="480" w:firstLineChars="200"/>
        <w:rPr>
          <w:rFonts w:hint="eastAsia" w:ascii="宋体" w:hAnsi="宋体" w:eastAsia="宋体" w:cs="宋体"/>
          <w:color w:val="000000"/>
          <w:kern w:val="24"/>
          <w:sz w:val="24"/>
          <w:szCs w:val="24"/>
          <w:highlight w:val="none"/>
        </w:rPr>
      </w:pPr>
      <w:r>
        <w:rPr>
          <w:rFonts w:hint="eastAsia" w:ascii="宋体" w:hAnsi="宋体" w:eastAsia="宋体" w:cs="宋体"/>
          <w:color w:val="000000"/>
          <w:kern w:val="24"/>
          <w:sz w:val="24"/>
          <w:szCs w:val="24"/>
          <w:highlight w:val="none"/>
          <w:lang w:val="en-US" w:eastAsia="zh-CN"/>
        </w:rPr>
        <w:t>5.1</w:t>
      </w:r>
      <w:r>
        <w:rPr>
          <w:rFonts w:hint="eastAsia" w:ascii="宋体" w:hAnsi="宋体" w:eastAsia="宋体" w:cs="宋体"/>
          <w:color w:val="000000"/>
          <w:kern w:val="24"/>
          <w:sz w:val="24"/>
          <w:szCs w:val="24"/>
          <w:highlight w:val="none"/>
        </w:rPr>
        <w:t>退货处理：</w:t>
      </w:r>
      <w:r>
        <w:rPr>
          <w:rFonts w:hint="eastAsia" w:ascii="宋体" w:hAnsi="宋体" w:eastAsia="宋体" w:cs="宋体"/>
          <w:color w:val="000000"/>
          <w:kern w:val="24"/>
          <w:sz w:val="24"/>
          <w:szCs w:val="24"/>
          <w:highlight w:val="none"/>
          <w:lang w:eastAsia="zh-CN"/>
        </w:rPr>
        <w:t>乙方</w:t>
      </w:r>
      <w:r>
        <w:rPr>
          <w:rFonts w:hint="eastAsia" w:ascii="宋体" w:hAnsi="宋体" w:eastAsia="宋体" w:cs="宋体"/>
          <w:color w:val="000000"/>
          <w:kern w:val="24"/>
          <w:sz w:val="24"/>
          <w:szCs w:val="24"/>
          <w:highlight w:val="none"/>
        </w:rPr>
        <w:t>应退还</w:t>
      </w:r>
      <w:r>
        <w:rPr>
          <w:rFonts w:hint="eastAsia" w:ascii="宋体" w:hAnsi="宋体" w:eastAsia="宋体" w:cs="宋体"/>
          <w:color w:val="000000"/>
          <w:kern w:val="24"/>
          <w:sz w:val="24"/>
          <w:szCs w:val="24"/>
          <w:highlight w:val="none"/>
          <w:lang w:eastAsia="zh-CN"/>
        </w:rPr>
        <w:t>甲方</w:t>
      </w:r>
      <w:r>
        <w:rPr>
          <w:rFonts w:hint="eastAsia" w:ascii="宋体" w:hAnsi="宋体" w:eastAsia="宋体" w:cs="宋体"/>
          <w:color w:val="000000"/>
          <w:kern w:val="24"/>
          <w:sz w:val="24"/>
          <w:szCs w:val="24"/>
          <w:highlight w:val="none"/>
        </w:rPr>
        <w:t>支付的设备款，同时应承担因该设备退货而发生的一切费用与损失(包括但不限于运输、保险、检验、组装就位调试、设备款利息、银行手续费及涉及该项目的其它损失费等)。</w:t>
      </w:r>
    </w:p>
    <w:p>
      <w:pPr>
        <w:pStyle w:val="62"/>
        <w:spacing w:line="360" w:lineRule="auto"/>
        <w:ind w:firstLine="410" w:firstLineChars="171"/>
        <w:rPr>
          <w:rFonts w:hint="eastAsia" w:ascii="宋体" w:hAnsi="宋体" w:eastAsia="宋体" w:cs="宋体"/>
          <w:color w:val="000000"/>
          <w:kern w:val="24"/>
          <w:sz w:val="24"/>
          <w:szCs w:val="24"/>
          <w:highlight w:val="none"/>
        </w:rPr>
      </w:pPr>
      <w:r>
        <w:rPr>
          <w:rFonts w:hint="eastAsia" w:ascii="宋体" w:hAnsi="宋体" w:eastAsia="宋体" w:cs="宋体"/>
          <w:color w:val="000000"/>
          <w:kern w:val="24"/>
          <w:sz w:val="24"/>
          <w:szCs w:val="24"/>
          <w:highlight w:val="none"/>
          <w:lang w:val="en-US" w:eastAsia="zh-CN"/>
        </w:rPr>
        <w:t>5.2</w:t>
      </w:r>
      <w:r>
        <w:rPr>
          <w:rFonts w:hint="eastAsia" w:ascii="宋体" w:hAnsi="宋体" w:eastAsia="宋体" w:cs="宋体"/>
          <w:color w:val="000000"/>
          <w:kern w:val="24"/>
          <w:sz w:val="24"/>
          <w:szCs w:val="24"/>
          <w:highlight w:val="none"/>
        </w:rPr>
        <w:t>更换设备：由</w:t>
      </w:r>
      <w:r>
        <w:rPr>
          <w:rFonts w:hint="eastAsia" w:ascii="宋体" w:hAnsi="宋体" w:eastAsia="宋体" w:cs="宋体"/>
          <w:color w:val="000000"/>
          <w:kern w:val="24"/>
          <w:sz w:val="24"/>
          <w:szCs w:val="24"/>
          <w:highlight w:val="none"/>
          <w:lang w:eastAsia="zh-CN"/>
        </w:rPr>
        <w:t>乙方</w:t>
      </w:r>
      <w:r>
        <w:rPr>
          <w:rFonts w:hint="eastAsia" w:ascii="宋体" w:hAnsi="宋体" w:eastAsia="宋体" w:cs="宋体"/>
          <w:color w:val="000000"/>
          <w:kern w:val="24"/>
          <w:sz w:val="24"/>
          <w:szCs w:val="24"/>
          <w:highlight w:val="none"/>
        </w:rPr>
        <w:t>承担因更换设备所发生的一切费用与损失【包括但不限于设备、运输（包括卸车至现场及卸车至指定地点）、保险、检验、就位、安装、调试、设备款利息、银行手续费及涉及该项目的其它损失费等】。</w:t>
      </w:r>
    </w:p>
    <w:p>
      <w:pPr>
        <w:pStyle w:val="62"/>
        <w:spacing w:line="360" w:lineRule="auto"/>
        <w:ind w:firstLine="480" w:firstLineChars="200"/>
        <w:rPr>
          <w:rFonts w:hint="eastAsia" w:ascii="宋体" w:hAnsi="宋体" w:eastAsia="宋体" w:cs="宋体"/>
          <w:color w:val="000000"/>
          <w:kern w:val="24"/>
          <w:sz w:val="24"/>
          <w:szCs w:val="24"/>
          <w:highlight w:val="none"/>
        </w:rPr>
      </w:pPr>
      <w:r>
        <w:rPr>
          <w:rFonts w:hint="eastAsia" w:ascii="宋体" w:hAnsi="宋体" w:eastAsia="宋体" w:cs="宋体"/>
          <w:color w:val="000000"/>
          <w:kern w:val="24"/>
          <w:sz w:val="24"/>
          <w:szCs w:val="24"/>
          <w:highlight w:val="none"/>
          <w:lang w:val="en-US" w:eastAsia="zh-CN"/>
        </w:rPr>
        <w:t>5.3</w:t>
      </w:r>
      <w:r>
        <w:rPr>
          <w:rFonts w:hint="eastAsia" w:ascii="宋体" w:hAnsi="宋体" w:eastAsia="宋体" w:cs="宋体"/>
          <w:color w:val="000000"/>
          <w:kern w:val="24"/>
          <w:sz w:val="24"/>
          <w:szCs w:val="24"/>
          <w:highlight w:val="none"/>
          <w:lang w:eastAsia="zh-CN"/>
        </w:rPr>
        <w:t>甲方</w:t>
      </w:r>
      <w:r>
        <w:rPr>
          <w:rFonts w:hint="eastAsia" w:ascii="宋体" w:hAnsi="宋体" w:eastAsia="宋体" w:cs="宋体"/>
          <w:color w:val="000000"/>
          <w:kern w:val="24"/>
          <w:sz w:val="24"/>
          <w:szCs w:val="24"/>
          <w:highlight w:val="none"/>
        </w:rPr>
        <w:t>有权根据质保期内设备本身质量问题发生的故障严重程度，选择以上任意一种方式，</w:t>
      </w:r>
      <w:r>
        <w:rPr>
          <w:rFonts w:hint="eastAsia" w:ascii="宋体" w:hAnsi="宋体" w:eastAsia="宋体" w:cs="宋体"/>
          <w:color w:val="000000"/>
          <w:kern w:val="24"/>
          <w:sz w:val="24"/>
          <w:szCs w:val="24"/>
          <w:highlight w:val="none"/>
          <w:lang w:eastAsia="zh-CN"/>
        </w:rPr>
        <w:t>乙方</w:t>
      </w:r>
      <w:r>
        <w:rPr>
          <w:rFonts w:hint="eastAsia" w:ascii="宋体" w:hAnsi="宋体" w:eastAsia="宋体" w:cs="宋体"/>
          <w:color w:val="000000"/>
          <w:kern w:val="24"/>
          <w:sz w:val="24"/>
          <w:szCs w:val="24"/>
          <w:highlight w:val="none"/>
        </w:rPr>
        <w:t>须无条件接受。</w:t>
      </w:r>
    </w:p>
    <w:p>
      <w:pPr>
        <w:pStyle w:val="62"/>
        <w:spacing w:line="360" w:lineRule="auto"/>
        <w:ind w:firstLine="480" w:firstLineChars="200"/>
        <w:rPr>
          <w:rFonts w:hint="eastAsia" w:ascii="宋体" w:hAnsi="宋体" w:eastAsia="宋体" w:cs="宋体"/>
          <w:color w:val="000000"/>
          <w:kern w:val="24"/>
          <w:sz w:val="24"/>
          <w:szCs w:val="24"/>
          <w:highlight w:val="none"/>
        </w:rPr>
      </w:pPr>
      <w:r>
        <w:rPr>
          <w:rFonts w:hint="eastAsia" w:ascii="宋体" w:hAnsi="宋体" w:eastAsia="宋体" w:cs="宋体"/>
          <w:color w:val="000000"/>
          <w:kern w:val="24"/>
          <w:sz w:val="24"/>
          <w:szCs w:val="24"/>
          <w:highlight w:val="none"/>
        </w:rPr>
        <w:t>6、在设备就位、安装、调试阶段，</w:t>
      </w:r>
      <w:r>
        <w:rPr>
          <w:rFonts w:hint="eastAsia" w:ascii="宋体" w:hAnsi="宋体" w:eastAsia="宋体" w:cs="宋体"/>
          <w:color w:val="000000"/>
          <w:kern w:val="24"/>
          <w:sz w:val="24"/>
          <w:szCs w:val="24"/>
          <w:highlight w:val="none"/>
          <w:lang w:eastAsia="zh-CN"/>
        </w:rPr>
        <w:t>乙方</w:t>
      </w:r>
      <w:r>
        <w:rPr>
          <w:rFonts w:hint="eastAsia" w:ascii="宋体" w:hAnsi="宋体" w:eastAsia="宋体" w:cs="宋体"/>
          <w:color w:val="000000"/>
          <w:kern w:val="24"/>
          <w:sz w:val="24"/>
          <w:szCs w:val="24"/>
          <w:highlight w:val="none"/>
        </w:rPr>
        <w:t>应及时派出现场服务人员，处理现场发生的有关质量技术问题。</w:t>
      </w:r>
    </w:p>
    <w:p>
      <w:pPr>
        <w:pStyle w:val="62"/>
        <w:spacing w:after="156" w:line="360" w:lineRule="auto"/>
        <w:ind w:firstLine="482" w:firstLineChars="200"/>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rPr>
        <w:t>（二）售后服务承诺</w:t>
      </w:r>
    </w:p>
    <w:p>
      <w:pPr>
        <w:pStyle w:val="62"/>
        <w:spacing w:line="360" w:lineRule="auto"/>
        <w:ind w:firstLine="480" w:firstLineChars="200"/>
        <w:rPr>
          <w:rFonts w:hint="eastAsia" w:ascii="宋体" w:hAnsi="宋体" w:eastAsia="宋体" w:cs="宋体"/>
          <w:color w:val="000000"/>
          <w:kern w:val="24"/>
          <w:sz w:val="24"/>
          <w:szCs w:val="24"/>
          <w:highlight w:val="none"/>
        </w:rPr>
      </w:pPr>
      <w:r>
        <w:rPr>
          <w:rFonts w:hint="eastAsia" w:ascii="宋体" w:hAnsi="宋体" w:eastAsia="宋体" w:cs="宋体"/>
          <w:color w:val="000000"/>
          <w:kern w:val="24"/>
          <w:sz w:val="24"/>
          <w:szCs w:val="24"/>
          <w:highlight w:val="none"/>
        </w:rPr>
        <w:t>1、质保期内，一旦设备发生故障，而</w:t>
      </w:r>
      <w:r>
        <w:rPr>
          <w:rFonts w:hint="eastAsia" w:ascii="宋体" w:hAnsi="宋体" w:eastAsia="宋体" w:cs="宋体"/>
          <w:color w:val="000000"/>
          <w:kern w:val="24"/>
          <w:sz w:val="24"/>
          <w:szCs w:val="24"/>
          <w:highlight w:val="none"/>
          <w:lang w:eastAsia="zh-CN"/>
        </w:rPr>
        <w:t>甲方</w:t>
      </w:r>
      <w:r>
        <w:rPr>
          <w:rFonts w:hint="eastAsia" w:ascii="宋体" w:hAnsi="宋体" w:eastAsia="宋体" w:cs="宋体"/>
          <w:color w:val="000000"/>
          <w:kern w:val="24"/>
          <w:sz w:val="24"/>
          <w:szCs w:val="24"/>
          <w:highlight w:val="none"/>
        </w:rPr>
        <w:t>无法自行排除时，在接到</w:t>
      </w:r>
      <w:r>
        <w:rPr>
          <w:rFonts w:hint="eastAsia" w:ascii="宋体" w:hAnsi="宋体" w:eastAsia="宋体" w:cs="宋体"/>
          <w:color w:val="000000"/>
          <w:kern w:val="24"/>
          <w:sz w:val="24"/>
          <w:szCs w:val="24"/>
          <w:highlight w:val="none"/>
          <w:lang w:eastAsia="zh-CN"/>
        </w:rPr>
        <w:t>甲方</w:t>
      </w:r>
      <w:r>
        <w:rPr>
          <w:rFonts w:hint="eastAsia" w:ascii="宋体" w:hAnsi="宋体" w:eastAsia="宋体" w:cs="宋体"/>
          <w:color w:val="000000"/>
          <w:kern w:val="24"/>
          <w:sz w:val="24"/>
          <w:szCs w:val="24"/>
          <w:highlight w:val="none"/>
        </w:rPr>
        <w:t>通知后，</w:t>
      </w:r>
      <w:r>
        <w:rPr>
          <w:rFonts w:hint="eastAsia" w:ascii="宋体" w:hAnsi="宋体" w:eastAsia="宋体" w:cs="宋体"/>
          <w:color w:val="000000"/>
          <w:kern w:val="24"/>
          <w:sz w:val="24"/>
          <w:szCs w:val="24"/>
          <w:highlight w:val="none"/>
          <w:lang w:eastAsia="zh-CN"/>
        </w:rPr>
        <w:t>乙方</w:t>
      </w:r>
      <w:r>
        <w:rPr>
          <w:rFonts w:hint="eastAsia" w:ascii="宋体" w:hAnsi="宋体" w:eastAsia="宋体" w:cs="宋体"/>
          <w:b w:val="0"/>
          <w:bCs/>
          <w:color w:val="auto"/>
          <w:sz w:val="24"/>
          <w:highlight w:val="none"/>
        </w:rPr>
        <w:t>承诺在发生故障1小时内响应</w:t>
      </w:r>
      <w:r>
        <w:rPr>
          <w:rFonts w:hint="eastAsia" w:ascii="宋体" w:hAnsi="宋体" w:eastAsia="宋体" w:cs="宋体"/>
          <w:color w:val="000000"/>
          <w:kern w:val="24"/>
          <w:sz w:val="24"/>
          <w:szCs w:val="24"/>
          <w:highlight w:val="none"/>
        </w:rPr>
        <w:t>，协助</w:t>
      </w:r>
      <w:r>
        <w:rPr>
          <w:rFonts w:hint="eastAsia" w:ascii="宋体" w:hAnsi="宋体" w:eastAsia="宋体" w:cs="宋体"/>
          <w:color w:val="000000"/>
          <w:kern w:val="24"/>
          <w:sz w:val="24"/>
          <w:szCs w:val="24"/>
          <w:highlight w:val="none"/>
          <w:lang w:eastAsia="zh-CN"/>
        </w:rPr>
        <w:t>甲方</w:t>
      </w:r>
      <w:r>
        <w:rPr>
          <w:rFonts w:hint="eastAsia" w:ascii="宋体" w:hAnsi="宋体" w:eastAsia="宋体" w:cs="宋体"/>
          <w:color w:val="000000"/>
          <w:kern w:val="24"/>
          <w:sz w:val="24"/>
          <w:szCs w:val="24"/>
          <w:highlight w:val="none"/>
        </w:rPr>
        <w:t>排除故障。一般故障6小时内排除，较大故障12小时内排除，重大故障24小时内排除，并及时提供备品备件</w:t>
      </w:r>
      <w:r>
        <w:rPr>
          <w:rFonts w:hint="eastAsia" w:eastAsia="宋体" w:cs="宋体"/>
          <w:b w:val="0"/>
          <w:bCs/>
          <w:color w:val="auto"/>
          <w:sz w:val="24"/>
          <w:highlight w:val="none"/>
          <w:lang w:eastAsia="zh-CN"/>
        </w:rPr>
        <w:t>和维修工具</w:t>
      </w:r>
      <w:r>
        <w:rPr>
          <w:rFonts w:hint="eastAsia" w:ascii="宋体" w:hAnsi="宋体" w:eastAsia="宋体" w:cs="宋体"/>
          <w:color w:val="000000"/>
          <w:kern w:val="24"/>
          <w:sz w:val="24"/>
          <w:szCs w:val="24"/>
          <w:highlight w:val="none"/>
        </w:rPr>
        <w:t>。质保期内备品备件免费更换。质保期结束前免费对</w:t>
      </w:r>
      <w:r>
        <w:rPr>
          <w:rFonts w:hint="eastAsia" w:ascii="宋体" w:hAnsi="宋体" w:eastAsia="宋体" w:cs="宋体"/>
          <w:color w:val="000000"/>
          <w:kern w:val="24"/>
          <w:sz w:val="24"/>
          <w:szCs w:val="24"/>
          <w:highlight w:val="none"/>
          <w:lang w:eastAsia="zh-CN"/>
        </w:rPr>
        <w:t>系统</w:t>
      </w:r>
      <w:r>
        <w:rPr>
          <w:rFonts w:hint="eastAsia" w:ascii="宋体" w:hAnsi="宋体" w:eastAsia="宋体" w:cs="宋体"/>
          <w:color w:val="000000"/>
          <w:kern w:val="24"/>
          <w:sz w:val="24"/>
          <w:szCs w:val="24"/>
          <w:highlight w:val="none"/>
        </w:rPr>
        <w:t>进行一次系统测试，并提供一次测试报告。</w:t>
      </w:r>
    </w:p>
    <w:p>
      <w:pPr>
        <w:pStyle w:val="62"/>
        <w:spacing w:line="360" w:lineRule="auto"/>
        <w:ind w:firstLine="480" w:firstLineChars="200"/>
        <w:rPr>
          <w:rFonts w:hint="eastAsia" w:ascii="宋体" w:hAnsi="宋体" w:eastAsia="宋体" w:cs="宋体"/>
          <w:color w:val="000000"/>
          <w:kern w:val="24"/>
          <w:sz w:val="24"/>
          <w:szCs w:val="24"/>
          <w:highlight w:val="none"/>
        </w:rPr>
      </w:pPr>
      <w:r>
        <w:rPr>
          <w:rFonts w:hint="eastAsia" w:ascii="宋体" w:hAnsi="宋体" w:eastAsia="宋体" w:cs="宋体"/>
          <w:color w:val="000000"/>
          <w:kern w:val="24"/>
          <w:sz w:val="24"/>
          <w:szCs w:val="24"/>
          <w:highlight w:val="none"/>
        </w:rPr>
        <w:t>注：一般故障是指设备参数设置故障，需要对设备进行参数调整或者程序重新设置；较大故障是指设备非关键部位损坏，需要更换备品备件；重大故障是指设备核心部件损坏，需要更换核心部件。</w:t>
      </w:r>
    </w:p>
    <w:p>
      <w:pPr>
        <w:pStyle w:val="62"/>
        <w:spacing w:line="360" w:lineRule="auto"/>
        <w:ind w:firstLine="480" w:firstLineChars="200"/>
        <w:rPr>
          <w:rFonts w:hint="eastAsia" w:ascii="宋体" w:hAnsi="宋体" w:eastAsia="宋体" w:cs="宋体"/>
          <w:color w:val="000000"/>
          <w:kern w:val="24"/>
          <w:sz w:val="24"/>
          <w:szCs w:val="24"/>
          <w:highlight w:val="none"/>
        </w:rPr>
      </w:pPr>
      <w:r>
        <w:rPr>
          <w:rFonts w:hint="eastAsia" w:ascii="宋体" w:hAnsi="宋体" w:eastAsia="宋体" w:cs="宋体"/>
          <w:color w:val="000000"/>
          <w:kern w:val="24"/>
          <w:sz w:val="24"/>
          <w:szCs w:val="24"/>
          <w:highlight w:val="none"/>
        </w:rPr>
        <w:t>2、</w:t>
      </w:r>
      <w:r>
        <w:rPr>
          <w:rFonts w:hint="eastAsia" w:ascii="宋体" w:hAnsi="宋体" w:eastAsia="宋体" w:cs="宋体"/>
          <w:color w:val="000000"/>
          <w:kern w:val="24"/>
          <w:sz w:val="24"/>
          <w:szCs w:val="24"/>
          <w:highlight w:val="none"/>
          <w:lang w:eastAsia="zh-CN"/>
        </w:rPr>
        <w:t>乙方</w:t>
      </w:r>
      <w:r>
        <w:rPr>
          <w:rFonts w:hint="eastAsia" w:ascii="宋体" w:hAnsi="宋体" w:eastAsia="宋体" w:cs="宋体"/>
          <w:color w:val="000000"/>
          <w:kern w:val="24"/>
          <w:sz w:val="24"/>
          <w:szCs w:val="24"/>
          <w:highlight w:val="none"/>
        </w:rPr>
        <w:t>需安排设备使用维护的现场培训，培训的人数和深度必须满足</w:t>
      </w:r>
      <w:r>
        <w:rPr>
          <w:rFonts w:hint="eastAsia" w:ascii="宋体" w:hAnsi="宋体" w:eastAsia="宋体" w:cs="宋体"/>
          <w:color w:val="000000"/>
          <w:kern w:val="24"/>
          <w:sz w:val="24"/>
          <w:szCs w:val="24"/>
          <w:highlight w:val="none"/>
          <w:lang w:eastAsia="zh-CN"/>
        </w:rPr>
        <w:t>招标</w:t>
      </w:r>
      <w:r>
        <w:rPr>
          <w:rFonts w:hint="eastAsia" w:ascii="宋体" w:hAnsi="宋体" w:eastAsia="宋体" w:cs="宋体"/>
          <w:color w:val="000000"/>
          <w:kern w:val="24"/>
          <w:sz w:val="24"/>
          <w:szCs w:val="24"/>
          <w:highlight w:val="none"/>
        </w:rPr>
        <w:t>文件的要求，费用已包含在合同价中，</w:t>
      </w:r>
      <w:r>
        <w:rPr>
          <w:rFonts w:hint="eastAsia" w:ascii="宋体" w:hAnsi="宋体" w:eastAsia="宋体" w:cs="宋体"/>
          <w:color w:val="000000"/>
          <w:kern w:val="24"/>
          <w:sz w:val="24"/>
          <w:szCs w:val="24"/>
          <w:highlight w:val="none"/>
          <w:lang w:eastAsia="zh-CN"/>
        </w:rPr>
        <w:t>甲方</w:t>
      </w:r>
      <w:r>
        <w:rPr>
          <w:rFonts w:hint="eastAsia" w:ascii="宋体" w:hAnsi="宋体" w:eastAsia="宋体" w:cs="宋体"/>
          <w:color w:val="000000"/>
          <w:kern w:val="24"/>
          <w:sz w:val="24"/>
          <w:szCs w:val="24"/>
          <w:highlight w:val="none"/>
        </w:rPr>
        <w:t>不再另行支付。</w:t>
      </w:r>
    </w:p>
    <w:p>
      <w:pPr>
        <w:pStyle w:val="62"/>
        <w:spacing w:line="360" w:lineRule="auto"/>
        <w:ind w:firstLine="480" w:firstLineChars="200"/>
        <w:rPr>
          <w:rFonts w:hint="eastAsia" w:ascii="宋体" w:hAnsi="宋体" w:eastAsia="宋体" w:cs="宋体"/>
          <w:color w:val="000000"/>
          <w:kern w:val="24"/>
          <w:sz w:val="24"/>
          <w:szCs w:val="24"/>
          <w:highlight w:val="none"/>
        </w:rPr>
      </w:pPr>
      <w:r>
        <w:rPr>
          <w:rFonts w:hint="eastAsia" w:ascii="宋体" w:hAnsi="宋体" w:eastAsia="宋体" w:cs="宋体"/>
          <w:color w:val="000000"/>
          <w:kern w:val="24"/>
          <w:sz w:val="24"/>
          <w:szCs w:val="24"/>
          <w:highlight w:val="none"/>
        </w:rPr>
        <w:t>3、</w:t>
      </w:r>
      <w:r>
        <w:rPr>
          <w:rFonts w:hint="eastAsia" w:ascii="宋体" w:hAnsi="宋体" w:eastAsia="宋体" w:cs="宋体"/>
          <w:color w:val="000000"/>
          <w:kern w:val="24"/>
          <w:sz w:val="24"/>
          <w:szCs w:val="24"/>
          <w:highlight w:val="none"/>
          <w:lang w:eastAsia="zh-CN"/>
        </w:rPr>
        <w:t>乙方</w:t>
      </w:r>
      <w:r>
        <w:rPr>
          <w:rFonts w:hint="eastAsia" w:ascii="宋体" w:hAnsi="宋体" w:eastAsia="宋体" w:cs="宋体"/>
          <w:color w:val="000000"/>
          <w:kern w:val="24"/>
          <w:sz w:val="24"/>
          <w:szCs w:val="24"/>
          <w:highlight w:val="none"/>
        </w:rPr>
        <w:t>每年免费提供备品备件及常用材料的价目表。</w:t>
      </w:r>
    </w:p>
    <w:p>
      <w:pPr>
        <w:pStyle w:val="62"/>
        <w:spacing w:line="360" w:lineRule="auto"/>
        <w:ind w:firstLine="480" w:firstLineChars="200"/>
        <w:rPr>
          <w:rFonts w:hint="eastAsia" w:ascii="宋体" w:hAnsi="宋体" w:eastAsia="宋体" w:cs="宋体"/>
          <w:color w:val="000000"/>
          <w:kern w:val="24"/>
          <w:sz w:val="24"/>
          <w:szCs w:val="24"/>
          <w:highlight w:val="none"/>
        </w:rPr>
      </w:pPr>
      <w:r>
        <w:rPr>
          <w:rFonts w:hint="eastAsia" w:ascii="宋体" w:hAnsi="宋体" w:eastAsia="宋体" w:cs="宋体"/>
          <w:color w:val="000000"/>
          <w:kern w:val="24"/>
          <w:sz w:val="24"/>
          <w:szCs w:val="24"/>
          <w:highlight w:val="none"/>
        </w:rPr>
        <w:t>4、</w:t>
      </w:r>
      <w:r>
        <w:rPr>
          <w:rFonts w:hint="eastAsia" w:ascii="宋体" w:hAnsi="宋体" w:eastAsia="宋体" w:cs="宋体"/>
          <w:color w:val="000000"/>
          <w:kern w:val="24"/>
          <w:sz w:val="24"/>
          <w:szCs w:val="24"/>
          <w:highlight w:val="none"/>
          <w:lang w:eastAsia="zh-CN"/>
        </w:rPr>
        <w:t>乙方</w:t>
      </w:r>
      <w:r>
        <w:rPr>
          <w:rFonts w:hint="eastAsia" w:ascii="宋体" w:hAnsi="宋体" w:eastAsia="宋体" w:cs="宋体"/>
          <w:color w:val="000000"/>
          <w:kern w:val="24"/>
          <w:sz w:val="24"/>
          <w:szCs w:val="24"/>
          <w:highlight w:val="none"/>
        </w:rPr>
        <w:t>进行就位、安装、调试，以及进行维修、保养等工作时，应当遵守劳动安全等规章制度，听从</w:t>
      </w:r>
      <w:r>
        <w:rPr>
          <w:rFonts w:hint="eastAsia" w:ascii="宋体" w:hAnsi="宋体" w:eastAsia="宋体" w:cs="宋体"/>
          <w:color w:val="000000"/>
          <w:kern w:val="24"/>
          <w:sz w:val="24"/>
          <w:szCs w:val="24"/>
          <w:highlight w:val="none"/>
          <w:lang w:eastAsia="zh-CN"/>
        </w:rPr>
        <w:t>甲方</w:t>
      </w:r>
      <w:r>
        <w:rPr>
          <w:rFonts w:hint="eastAsia" w:ascii="宋体" w:hAnsi="宋体" w:eastAsia="宋体" w:cs="宋体"/>
          <w:color w:val="000000"/>
          <w:kern w:val="24"/>
          <w:sz w:val="24"/>
          <w:szCs w:val="24"/>
          <w:highlight w:val="none"/>
        </w:rPr>
        <w:t>的安全指挥，对因</w:t>
      </w:r>
      <w:r>
        <w:rPr>
          <w:rFonts w:hint="eastAsia" w:ascii="宋体" w:hAnsi="宋体" w:eastAsia="宋体" w:cs="宋体"/>
          <w:color w:val="000000"/>
          <w:kern w:val="24"/>
          <w:sz w:val="24"/>
          <w:szCs w:val="24"/>
          <w:highlight w:val="none"/>
          <w:lang w:eastAsia="zh-CN"/>
        </w:rPr>
        <w:t>乙方</w:t>
      </w:r>
      <w:r>
        <w:rPr>
          <w:rFonts w:hint="eastAsia" w:ascii="宋体" w:hAnsi="宋体" w:eastAsia="宋体" w:cs="宋体"/>
          <w:color w:val="000000"/>
          <w:kern w:val="24"/>
          <w:sz w:val="24"/>
          <w:szCs w:val="24"/>
          <w:highlight w:val="none"/>
        </w:rPr>
        <w:t>履行上述工作给</w:t>
      </w:r>
      <w:r>
        <w:rPr>
          <w:rFonts w:hint="eastAsia" w:ascii="宋体" w:hAnsi="宋体" w:eastAsia="宋体" w:cs="宋体"/>
          <w:color w:val="000000"/>
          <w:kern w:val="24"/>
          <w:sz w:val="24"/>
          <w:szCs w:val="24"/>
          <w:highlight w:val="none"/>
          <w:lang w:eastAsia="zh-CN"/>
        </w:rPr>
        <w:t>甲方</w:t>
      </w:r>
      <w:r>
        <w:rPr>
          <w:rFonts w:hint="eastAsia" w:ascii="宋体" w:hAnsi="宋体" w:eastAsia="宋体" w:cs="宋体"/>
          <w:color w:val="000000"/>
          <w:kern w:val="24"/>
          <w:sz w:val="24"/>
          <w:szCs w:val="24"/>
          <w:highlight w:val="none"/>
        </w:rPr>
        <w:t>与第三人造成的损害责任(包括但不限于人身损害、财产损害等)，以及造成</w:t>
      </w:r>
      <w:r>
        <w:rPr>
          <w:rFonts w:hint="eastAsia" w:ascii="宋体" w:hAnsi="宋体" w:eastAsia="宋体" w:cs="宋体"/>
          <w:color w:val="000000"/>
          <w:kern w:val="24"/>
          <w:sz w:val="24"/>
          <w:szCs w:val="24"/>
          <w:highlight w:val="none"/>
          <w:lang w:eastAsia="zh-CN"/>
        </w:rPr>
        <w:t>乙方</w:t>
      </w:r>
      <w:r>
        <w:rPr>
          <w:rFonts w:hint="eastAsia" w:ascii="宋体" w:hAnsi="宋体" w:eastAsia="宋体" w:cs="宋体"/>
          <w:color w:val="000000"/>
          <w:kern w:val="24"/>
          <w:sz w:val="24"/>
          <w:szCs w:val="24"/>
          <w:highlight w:val="none"/>
        </w:rPr>
        <w:t>自身的损害责任，均由</w:t>
      </w:r>
      <w:r>
        <w:rPr>
          <w:rFonts w:hint="eastAsia" w:ascii="宋体" w:hAnsi="宋体" w:eastAsia="宋体" w:cs="宋体"/>
          <w:color w:val="000000"/>
          <w:kern w:val="24"/>
          <w:sz w:val="24"/>
          <w:szCs w:val="24"/>
          <w:highlight w:val="none"/>
          <w:lang w:eastAsia="zh-CN"/>
        </w:rPr>
        <w:t>乙方</w:t>
      </w:r>
      <w:r>
        <w:rPr>
          <w:rFonts w:hint="eastAsia" w:ascii="宋体" w:hAnsi="宋体" w:eastAsia="宋体" w:cs="宋体"/>
          <w:color w:val="000000"/>
          <w:kern w:val="24"/>
          <w:sz w:val="24"/>
          <w:szCs w:val="24"/>
          <w:highlight w:val="none"/>
        </w:rPr>
        <w:t>承担。如</w:t>
      </w:r>
      <w:r>
        <w:rPr>
          <w:rFonts w:hint="eastAsia" w:ascii="宋体" w:hAnsi="宋体" w:eastAsia="宋体" w:cs="宋体"/>
          <w:color w:val="000000"/>
          <w:kern w:val="24"/>
          <w:sz w:val="24"/>
          <w:szCs w:val="24"/>
          <w:highlight w:val="none"/>
          <w:lang w:eastAsia="zh-CN"/>
        </w:rPr>
        <w:t>甲方</w:t>
      </w:r>
      <w:r>
        <w:rPr>
          <w:rFonts w:hint="eastAsia" w:ascii="宋体" w:hAnsi="宋体" w:eastAsia="宋体" w:cs="宋体"/>
          <w:color w:val="000000"/>
          <w:kern w:val="24"/>
          <w:sz w:val="24"/>
          <w:szCs w:val="24"/>
          <w:highlight w:val="none"/>
        </w:rPr>
        <w:t>先行承担责任的，</w:t>
      </w:r>
      <w:r>
        <w:rPr>
          <w:rFonts w:hint="eastAsia" w:ascii="宋体" w:hAnsi="宋体" w:eastAsia="宋体" w:cs="宋体"/>
          <w:color w:val="000000"/>
          <w:kern w:val="24"/>
          <w:sz w:val="24"/>
          <w:szCs w:val="24"/>
          <w:highlight w:val="none"/>
          <w:lang w:eastAsia="zh-CN"/>
        </w:rPr>
        <w:t>甲方</w:t>
      </w:r>
      <w:r>
        <w:rPr>
          <w:rFonts w:hint="eastAsia" w:ascii="宋体" w:hAnsi="宋体" w:eastAsia="宋体" w:cs="宋体"/>
          <w:color w:val="000000"/>
          <w:kern w:val="24"/>
          <w:sz w:val="24"/>
          <w:szCs w:val="24"/>
          <w:highlight w:val="none"/>
        </w:rPr>
        <w:t>有权向</w:t>
      </w:r>
      <w:r>
        <w:rPr>
          <w:rFonts w:hint="eastAsia" w:ascii="宋体" w:hAnsi="宋体" w:eastAsia="宋体" w:cs="宋体"/>
          <w:color w:val="000000"/>
          <w:kern w:val="24"/>
          <w:sz w:val="24"/>
          <w:szCs w:val="24"/>
          <w:highlight w:val="none"/>
          <w:lang w:eastAsia="zh-CN"/>
        </w:rPr>
        <w:t>乙方</w:t>
      </w:r>
      <w:r>
        <w:rPr>
          <w:rFonts w:hint="eastAsia" w:ascii="宋体" w:hAnsi="宋体" w:eastAsia="宋体" w:cs="宋体"/>
          <w:color w:val="000000"/>
          <w:kern w:val="24"/>
          <w:sz w:val="24"/>
          <w:szCs w:val="24"/>
          <w:highlight w:val="none"/>
        </w:rPr>
        <w:t>追偿损失（包括但不限于赔偿费、诉讼费、律师费等），并有权从任何应该支付或将要支付给</w:t>
      </w:r>
      <w:r>
        <w:rPr>
          <w:rFonts w:hint="eastAsia" w:ascii="宋体" w:hAnsi="宋体" w:eastAsia="宋体" w:cs="宋体"/>
          <w:color w:val="000000"/>
          <w:kern w:val="24"/>
          <w:sz w:val="24"/>
          <w:szCs w:val="24"/>
          <w:highlight w:val="none"/>
          <w:lang w:eastAsia="zh-CN"/>
        </w:rPr>
        <w:t>乙方</w:t>
      </w:r>
      <w:r>
        <w:rPr>
          <w:rFonts w:hint="eastAsia" w:ascii="宋体" w:hAnsi="宋体" w:eastAsia="宋体" w:cs="宋体"/>
          <w:color w:val="000000"/>
          <w:kern w:val="24"/>
          <w:sz w:val="24"/>
          <w:szCs w:val="24"/>
          <w:highlight w:val="none"/>
        </w:rPr>
        <w:t>的金额中扣除该偿还金额。</w:t>
      </w:r>
    </w:p>
    <w:p>
      <w:pPr>
        <w:pStyle w:val="62"/>
        <w:spacing w:line="360" w:lineRule="auto"/>
        <w:ind w:firstLine="480" w:firstLineChars="200"/>
        <w:rPr>
          <w:rFonts w:hint="eastAsia" w:ascii="宋体" w:hAnsi="宋体" w:eastAsia="宋体" w:cs="宋体"/>
          <w:color w:val="000000"/>
          <w:kern w:val="24"/>
          <w:sz w:val="24"/>
          <w:szCs w:val="24"/>
          <w:highlight w:val="none"/>
          <w:lang w:val="en-US" w:eastAsia="zh-CN"/>
        </w:rPr>
      </w:pPr>
      <w:r>
        <w:rPr>
          <w:rFonts w:hint="eastAsia" w:ascii="宋体" w:hAnsi="宋体" w:eastAsia="宋体" w:cs="宋体"/>
          <w:color w:val="000000"/>
          <w:kern w:val="24"/>
          <w:sz w:val="24"/>
          <w:szCs w:val="24"/>
          <w:highlight w:val="none"/>
          <w:lang w:val="en-US" w:eastAsia="zh-CN"/>
        </w:rPr>
        <w:t>5、乙方将售后服务委托其他公司负责的</w:t>
      </w:r>
      <w:r>
        <w:rPr>
          <w:rFonts w:hint="eastAsia" w:ascii="宋体" w:hAnsi="宋体" w:eastAsia="宋体" w:cs="宋体"/>
          <w:color w:val="auto"/>
          <w:sz w:val="24"/>
          <w:szCs w:val="24"/>
          <w:highlight w:val="none"/>
        </w:rPr>
        <w:t>，该公司</w:t>
      </w:r>
      <w:r>
        <w:rPr>
          <w:rFonts w:hint="eastAsia" w:ascii="宋体" w:hAnsi="宋体" w:eastAsia="宋体" w:cs="宋体"/>
          <w:color w:val="auto"/>
          <w:sz w:val="24"/>
          <w:szCs w:val="24"/>
          <w:highlight w:val="none"/>
          <w:lang w:eastAsia="zh-CN"/>
        </w:rPr>
        <w:t>售后服务</w:t>
      </w:r>
      <w:r>
        <w:rPr>
          <w:rFonts w:hint="eastAsia" w:ascii="宋体" w:hAnsi="宋体" w:eastAsia="宋体" w:cs="宋体"/>
          <w:color w:val="auto"/>
          <w:sz w:val="24"/>
          <w:szCs w:val="24"/>
          <w:highlight w:val="none"/>
        </w:rPr>
        <w:t>工作不得转包</w:t>
      </w:r>
      <w:r>
        <w:rPr>
          <w:rFonts w:hint="eastAsia" w:ascii="宋体" w:hAnsi="宋体" w:eastAsia="宋体" w:cs="宋体"/>
          <w:color w:val="auto"/>
          <w:sz w:val="24"/>
          <w:szCs w:val="24"/>
          <w:highlight w:val="none"/>
          <w:lang w:eastAsia="zh-CN"/>
        </w:rPr>
        <w:t>，并同时按上述条款执行售后服务工作。</w:t>
      </w:r>
    </w:p>
    <w:p>
      <w:pPr>
        <w:pStyle w:val="62"/>
        <w:keepNext/>
        <w:keepLines/>
        <w:spacing w:before="120" w:after="120" w:line="360" w:lineRule="auto"/>
        <w:outlineLvl w:val="3"/>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rPr>
        <w:t>十一、</w:t>
      </w:r>
      <w:r>
        <w:rPr>
          <w:rFonts w:hint="eastAsia" w:ascii="宋体" w:hAnsi="宋体" w:cs="宋体"/>
          <w:b/>
          <w:bCs/>
          <w:color w:val="000000"/>
          <w:sz w:val="24"/>
          <w:szCs w:val="24"/>
          <w:highlight w:val="none"/>
          <w:lang w:val="en-US" w:eastAsia="zh-CN"/>
        </w:rPr>
        <w:t>付款、变更与结算</w:t>
      </w:r>
      <w:r>
        <w:rPr>
          <w:rFonts w:hint="eastAsia" w:ascii="宋体" w:hAnsi="宋体" w:eastAsia="宋体" w:cs="宋体"/>
          <w:b/>
          <w:bCs/>
          <w:color w:val="000000"/>
          <w:sz w:val="24"/>
          <w:szCs w:val="24"/>
          <w:highlight w:val="none"/>
        </w:rPr>
        <w:t>方式</w:t>
      </w:r>
    </w:p>
    <w:p>
      <w:pPr>
        <w:pStyle w:val="62"/>
        <w:keepNext/>
        <w:keepLines/>
        <w:spacing w:before="120" w:after="120" w:line="360" w:lineRule="auto"/>
        <w:ind w:firstLine="482" w:firstLineChars="200"/>
        <w:outlineLvl w:val="3"/>
        <w:rPr>
          <w:rFonts w:hint="default" w:ascii="宋体" w:hAnsi="宋体" w:eastAsia="宋体" w:cs="宋体"/>
          <w:b/>
          <w:bCs/>
          <w:color w:val="000000"/>
          <w:kern w:val="2"/>
          <w:sz w:val="24"/>
          <w:szCs w:val="24"/>
          <w:highlight w:val="none"/>
          <w:lang w:val="en-US" w:eastAsia="zh-CN"/>
        </w:rPr>
      </w:pPr>
      <w:r>
        <w:rPr>
          <w:rFonts w:hint="eastAsia" w:ascii="宋体" w:hAnsi="宋体" w:eastAsia="宋体" w:cs="宋体"/>
          <w:b/>
          <w:bCs/>
          <w:color w:val="000000"/>
          <w:kern w:val="2"/>
          <w:sz w:val="24"/>
          <w:szCs w:val="24"/>
          <w:highlight w:val="none"/>
          <w:lang w:val="en-US" w:eastAsia="zh-CN"/>
        </w:rPr>
        <w:t>1、付款方式</w:t>
      </w:r>
    </w:p>
    <w:p>
      <w:pPr>
        <w:spacing w:line="360" w:lineRule="auto"/>
        <w:ind w:firstLine="480" w:firstLineChars="200"/>
        <w:rPr>
          <w:rFonts w:hint="eastAsia" w:ascii="宋体" w:hAnsi="宋体" w:eastAsia="宋体" w:cs="宋体"/>
          <w:color w:val="000000"/>
          <w:kern w:val="2"/>
          <w:sz w:val="24"/>
          <w:szCs w:val="24"/>
          <w:highlight w:val="none"/>
        </w:rPr>
      </w:pPr>
      <w:r>
        <w:rPr>
          <w:rFonts w:hint="eastAsia" w:ascii="宋体" w:hAnsi="宋体" w:eastAsia="宋体" w:cs="宋体"/>
          <w:color w:val="000000"/>
          <w:kern w:val="2"/>
          <w:sz w:val="24"/>
          <w:szCs w:val="24"/>
          <w:highlight w:val="none"/>
        </w:rPr>
        <w:t>（1）乙方在签定合同后7天内，向甲方提交签约合同总价</w:t>
      </w:r>
      <w:r>
        <w:rPr>
          <w:rFonts w:hint="eastAsia" w:eastAsia="宋体" w:cs="宋体"/>
          <w:color w:val="000000"/>
          <w:kern w:val="2"/>
          <w:sz w:val="24"/>
          <w:szCs w:val="24"/>
          <w:highlight w:val="none"/>
          <w:lang w:eastAsia="zh-CN"/>
        </w:rPr>
        <w:t>2.5%</w:t>
      </w:r>
      <w:r>
        <w:rPr>
          <w:rFonts w:hint="eastAsia" w:ascii="宋体" w:hAnsi="宋体" w:eastAsia="宋体" w:cs="宋体"/>
          <w:color w:val="000000"/>
          <w:kern w:val="2"/>
          <w:sz w:val="24"/>
          <w:szCs w:val="24"/>
          <w:highlight w:val="none"/>
        </w:rPr>
        <w:t>的履约担保，同时</w:t>
      </w:r>
      <w:r>
        <w:rPr>
          <w:rFonts w:hint="eastAsia" w:eastAsia="宋体" w:cs="宋体"/>
          <w:color w:val="000000"/>
          <w:kern w:val="2"/>
          <w:sz w:val="24"/>
          <w:szCs w:val="24"/>
          <w:highlight w:val="none"/>
          <w:lang w:eastAsia="zh-CN"/>
        </w:rPr>
        <w:t>向甲方</w:t>
      </w:r>
      <w:r>
        <w:rPr>
          <w:rFonts w:hint="eastAsia" w:ascii="宋体" w:hAnsi="宋体" w:eastAsia="宋体" w:cs="宋体"/>
          <w:color w:val="000000"/>
          <w:kern w:val="2"/>
          <w:sz w:val="24"/>
          <w:szCs w:val="24"/>
          <w:highlight w:val="none"/>
        </w:rPr>
        <w:t>提交</w:t>
      </w:r>
      <w:r>
        <w:rPr>
          <w:rFonts w:hint="eastAsia" w:eastAsia="宋体" w:cs="宋体"/>
          <w:color w:val="000000"/>
          <w:kern w:val="2"/>
          <w:sz w:val="24"/>
          <w:szCs w:val="24"/>
          <w:highlight w:val="none"/>
          <w:lang w:eastAsia="zh-CN"/>
        </w:rPr>
        <w:t>与预付款等额的预付款担保</w:t>
      </w:r>
      <w:r>
        <w:rPr>
          <w:rFonts w:hint="eastAsia" w:ascii="宋体" w:hAnsi="宋体" w:eastAsia="宋体" w:cs="宋体"/>
          <w:color w:val="000000"/>
          <w:kern w:val="2"/>
          <w:sz w:val="24"/>
          <w:szCs w:val="24"/>
          <w:highlight w:val="none"/>
        </w:rPr>
        <w:t>。</w:t>
      </w:r>
    </w:p>
    <w:p>
      <w:pPr>
        <w:spacing w:line="360" w:lineRule="auto"/>
        <w:ind w:firstLine="480" w:firstLineChars="200"/>
        <w:rPr>
          <w:rFonts w:hint="eastAsia" w:ascii="宋体" w:hAnsi="宋体" w:eastAsia="宋体" w:cs="宋体"/>
          <w:b w:val="0"/>
          <w:bCs/>
          <w:color w:val="000000"/>
          <w:kern w:val="2"/>
          <w:sz w:val="24"/>
          <w:szCs w:val="24"/>
          <w:highlight w:val="none"/>
          <w:shd w:val="clear" w:color="auto" w:fill="auto"/>
        </w:rPr>
      </w:pPr>
      <w:r>
        <w:rPr>
          <w:rFonts w:hint="eastAsia" w:ascii="宋体" w:hAnsi="宋体" w:eastAsia="宋体" w:cs="宋体"/>
          <w:b w:val="0"/>
          <w:bCs/>
          <w:color w:val="000000"/>
          <w:kern w:val="2"/>
          <w:sz w:val="24"/>
          <w:szCs w:val="24"/>
          <w:highlight w:val="none"/>
          <w:shd w:val="clear" w:color="auto" w:fill="auto"/>
        </w:rPr>
        <w:t>（2）合同签订并生效后，</w:t>
      </w:r>
      <w:r>
        <w:rPr>
          <w:rFonts w:hint="eastAsia" w:cs="宋体"/>
          <w:b w:val="0"/>
          <w:bCs/>
          <w:color w:val="000000"/>
          <w:kern w:val="2"/>
          <w:sz w:val="24"/>
          <w:szCs w:val="24"/>
          <w:highlight w:val="none"/>
          <w:shd w:val="clear" w:color="auto" w:fill="auto"/>
          <w:lang w:val="en-US" w:eastAsia="zh-CN"/>
        </w:rPr>
        <w:t>经甲方审批程序结束</w:t>
      </w:r>
      <w:r>
        <w:rPr>
          <w:rFonts w:hint="eastAsia" w:ascii="宋体" w:hAnsi="宋体" w:eastAsia="宋体" w:cs="宋体"/>
          <w:b w:val="0"/>
          <w:bCs/>
          <w:color w:val="000000"/>
          <w:kern w:val="2"/>
          <w:sz w:val="24"/>
          <w:szCs w:val="24"/>
          <w:highlight w:val="none"/>
          <w:shd w:val="clear" w:color="auto" w:fill="auto"/>
        </w:rPr>
        <w:t>后10个工作日内支付合同总价的</w:t>
      </w:r>
      <w:r>
        <w:rPr>
          <w:rFonts w:hint="eastAsia" w:eastAsia="宋体" w:cs="宋体"/>
          <w:b w:val="0"/>
          <w:bCs/>
          <w:color w:val="000000"/>
          <w:kern w:val="2"/>
          <w:sz w:val="24"/>
          <w:szCs w:val="24"/>
          <w:highlight w:val="none"/>
          <w:shd w:val="clear" w:color="auto" w:fill="auto"/>
          <w:lang w:val="en-US" w:eastAsia="zh-CN"/>
        </w:rPr>
        <w:t>4</w:t>
      </w:r>
      <w:r>
        <w:rPr>
          <w:rFonts w:hint="eastAsia" w:ascii="宋体" w:hAnsi="宋体" w:eastAsia="宋体" w:cs="宋体"/>
          <w:b w:val="0"/>
          <w:bCs/>
          <w:color w:val="000000"/>
          <w:kern w:val="2"/>
          <w:sz w:val="24"/>
          <w:szCs w:val="24"/>
          <w:highlight w:val="none"/>
          <w:shd w:val="clear" w:color="auto" w:fill="auto"/>
        </w:rPr>
        <w:t>0%作为预付款。</w:t>
      </w:r>
    </w:p>
    <w:p>
      <w:pPr>
        <w:spacing w:line="360" w:lineRule="auto"/>
        <w:ind w:firstLine="480" w:firstLineChars="200"/>
        <w:rPr>
          <w:rFonts w:hint="eastAsia" w:ascii="宋体" w:hAnsi="宋体" w:eastAsia="宋体" w:cs="宋体"/>
          <w:b w:val="0"/>
          <w:bCs/>
          <w:color w:val="000000"/>
          <w:sz w:val="24"/>
          <w:szCs w:val="24"/>
          <w:highlight w:val="none"/>
          <w:shd w:val="clear" w:color="auto" w:fill="auto"/>
        </w:rPr>
      </w:pPr>
      <w:r>
        <w:rPr>
          <w:rFonts w:hint="eastAsia" w:ascii="宋体" w:hAnsi="宋体" w:eastAsia="宋体" w:cs="宋体"/>
          <w:b w:val="0"/>
          <w:bCs/>
          <w:color w:val="000000"/>
          <w:kern w:val="2"/>
          <w:sz w:val="24"/>
          <w:szCs w:val="24"/>
          <w:highlight w:val="none"/>
          <w:shd w:val="clear" w:color="auto" w:fill="auto"/>
        </w:rPr>
        <w:t>（3）</w:t>
      </w:r>
      <w:r>
        <w:rPr>
          <w:rFonts w:hint="eastAsia" w:ascii="宋体" w:hAnsi="宋体" w:eastAsia="宋体" w:cs="宋体"/>
          <w:b w:val="0"/>
          <w:bCs/>
          <w:color w:val="000000"/>
          <w:kern w:val="2"/>
          <w:sz w:val="24"/>
          <w:szCs w:val="24"/>
          <w:highlight w:val="none"/>
          <w:shd w:val="clear" w:color="auto" w:fill="auto"/>
          <w:lang w:eastAsia="zh-CN"/>
        </w:rPr>
        <w:t>医用纯水系统核心设备及核心部件运抵施工现场</w:t>
      </w:r>
      <w:r>
        <w:rPr>
          <w:rFonts w:hint="eastAsia" w:eastAsia="宋体" w:cs="宋体"/>
          <w:b w:val="0"/>
          <w:bCs/>
          <w:color w:val="000000"/>
          <w:kern w:val="2"/>
          <w:sz w:val="24"/>
          <w:szCs w:val="24"/>
          <w:highlight w:val="none"/>
          <w:shd w:val="clear" w:color="auto" w:fill="auto"/>
          <w:lang w:eastAsia="zh-CN"/>
        </w:rPr>
        <w:t>，经甲方确认，</w:t>
      </w:r>
      <w:r>
        <w:rPr>
          <w:rFonts w:hint="eastAsia" w:ascii="宋体" w:hAnsi="宋体" w:eastAsia="宋体" w:cs="宋体"/>
          <w:b w:val="0"/>
          <w:bCs/>
          <w:color w:val="000000"/>
          <w:kern w:val="2"/>
          <w:sz w:val="24"/>
          <w:szCs w:val="24"/>
          <w:highlight w:val="none"/>
          <w:shd w:val="clear" w:color="auto" w:fill="auto"/>
          <w:lang w:eastAsia="zh-CN"/>
        </w:rPr>
        <w:t>并按甲方要求提交支付申请</w:t>
      </w:r>
      <w:r>
        <w:rPr>
          <w:rFonts w:hint="eastAsia" w:cs="宋体"/>
          <w:b w:val="0"/>
          <w:bCs/>
          <w:color w:val="000000"/>
          <w:kern w:val="2"/>
          <w:sz w:val="24"/>
          <w:szCs w:val="24"/>
          <w:highlight w:val="none"/>
          <w:shd w:val="clear" w:color="auto" w:fill="auto"/>
          <w:lang w:eastAsia="zh-CN"/>
        </w:rPr>
        <w:t>，</w:t>
      </w:r>
      <w:r>
        <w:rPr>
          <w:rFonts w:hint="eastAsia" w:cs="宋体"/>
          <w:b w:val="0"/>
          <w:bCs/>
          <w:color w:val="000000"/>
          <w:kern w:val="2"/>
          <w:sz w:val="24"/>
          <w:szCs w:val="24"/>
          <w:highlight w:val="none"/>
          <w:shd w:val="clear" w:color="auto" w:fill="auto"/>
          <w:lang w:val="en-US" w:eastAsia="zh-CN"/>
        </w:rPr>
        <w:t>经甲方审批程序结束</w:t>
      </w:r>
      <w:r>
        <w:rPr>
          <w:rFonts w:hint="eastAsia" w:ascii="宋体" w:hAnsi="宋体" w:eastAsia="宋体" w:cs="宋体"/>
          <w:b w:val="0"/>
          <w:bCs/>
          <w:color w:val="000000"/>
          <w:kern w:val="2"/>
          <w:sz w:val="24"/>
          <w:szCs w:val="24"/>
          <w:highlight w:val="none"/>
          <w:shd w:val="clear" w:color="auto" w:fill="auto"/>
          <w:lang w:eastAsia="zh-CN"/>
        </w:rPr>
        <w:t>后</w:t>
      </w:r>
      <w:r>
        <w:rPr>
          <w:rFonts w:hint="eastAsia" w:ascii="宋体" w:hAnsi="宋体" w:eastAsia="宋体" w:cs="宋体"/>
          <w:b w:val="0"/>
          <w:bCs/>
          <w:color w:val="000000"/>
          <w:kern w:val="2"/>
          <w:sz w:val="24"/>
          <w:szCs w:val="24"/>
          <w:highlight w:val="none"/>
          <w:shd w:val="clear" w:color="auto" w:fill="auto"/>
          <w:lang w:val="en-US" w:eastAsia="zh-CN"/>
        </w:rPr>
        <w:t>10个工作日内</w:t>
      </w:r>
      <w:r>
        <w:rPr>
          <w:rFonts w:hint="eastAsia" w:ascii="宋体" w:hAnsi="宋体" w:eastAsia="宋体" w:cs="宋体"/>
          <w:b w:val="0"/>
          <w:bCs/>
          <w:color w:val="000000"/>
          <w:kern w:val="2"/>
          <w:sz w:val="24"/>
          <w:szCs w:val="24"/>
          <w:highlight w:val="none"/>
          <w:shd w:val="clear" w:color="auto" w:fill="auto"/>
          <w:lang w:eastAsia="zh-CN"/>
        </w:rPr>
        <w:t>，支付至合同总价款的</w:t>
      </w:r>
      <w:r>
        <w:rPr>
          <w:rFonts w:hint="eastAsia" w:ascii="宋体" w:hAnsi="宋体" w:eastAsia="宋体" w:cs="宋体"/>
          <w:b w:val="0"/>
          <w:bCs/>
          <w:color w:val="000000"/>
          <w:kern w:val="2"/>
          <w:sz w:val="24"/>
          <w:szCs w:val="24"/>
          <w:highlight w:val="none"/>
          <w:shd w:val="clear" w:color="auto" w:fill="auto"/>
          <w:lang w:val="en-US" w:eastAsia="zh-CN"/>
        </w:rPr>
        <w:t>60%；</w:t>
      </w:r>
      <w:r>
        <w:rPr>
          <w:rFonts w:hint="eastAsia" w:ascii="宋体" w:hAnsi="宋体" w:eastAsia="宋体" w:cs="宋体"/>
          <w:b w:val="0"/>
          <w:bCs/>
          <w:color w:val="000000"/>
          <w:kern w:val="2"/>
          <w:sz w:val="24"/>
          <w:szCs w:val="24"/>
          <w:highlight w:val="none"/>
          <w:shd w:val="clear" w:color="auto" w:fill="auto"/>
        </w:rPr>
        <w:t xml:space="preserve"> </w:t>
      </w:r>
    </w:p>
    <w:p>
      <w:pPr>
        <w:spacing w:line="360" w:lineRule="auto"/>
        <w:ind w:firstLine="480" w:firstLineChars="200"/>
        <w:rPr>
          <w:rFonts w:hint="eastAsia" w:ascii="宋体" w:hAnsi="宋体" w:eastAsia="宋体" w:cs="宋体"/>
          <w:color w:val="000000"/>
          <w:kern w:val="2"/>
          <w:sz w:val="24"/>
          <w:szCs w:val="24"/>
          <w:highlight w:val="none"/>
        </w:rPr>
      </w:pPr>
      <w:r>
        <w:rPr>
          <w:rFonts w:hint="eastAsia" w:ascii="宋体" w:hAnsi="宋体" w:eastAsia="宋体" w:cs="宋体"/>
          <w:color w:val="000000"/>
          <w:kern w:val="2"/>
          <w:sz w:val="24"/>
          <w:szCs w:val="24"/>
          <w:highlight w:val="none"/>
        </w:rPr>
        <w:t>（5）在</w:t>
      </w:r>
      <w:r>
        <w:rPr>
          <w:rFonts w:hint="eastAsia" w:ascii="宋体" w:hAnsi="宋体" w:eastAsia="宋体" w:cs="宋体"/>
          <w:color w:val="000000"/>
          <w:kern w:val="2"/>
          <w:sz w:val="24"/>
          <w:szCs w:val="24"/>
          <w:highlight w:val="none"/>
          <w:lang w:eastAsia="zh-CN"/>
        </w:rPr>
        <w:t>系统</w:t>
      </w:r>
      <w:r>
        <w:rPr>
          <w:rFonts w:hint="eastAsia" w:ascii="宋体" w:hAnsi="宋体" w:eastAsia="宋体" w:cs="宋体"/>
          <w:color w:val="000000"/>
          <w:kern w:val="2"/>
          <w:sz w:val="24"/>
          <w:szCs w:val="24"/>
          <w:highlight w:val="none"/>
        </w:rPr>
        <w:t>安装、调试完成，</w:t>
      </w:r>
      <w:r>
        <w:rPr>
          <w:rFonts w:hint="eastAsia" w:ascii="宋体" w:hAnsi="宋体" w:eastAsia="宋体" w:cs="宋体"/>
          <w:color w:val="000000"/>
          <w:kern w:val="2"/>
          <w:sz w:val="24"/>
          <w:szCs w:val="24"/>
          <w:highlight w:val="none"/>
          <w:lang w:eastAsia="zh-CN"/>
        </w:rPr>
        <w:t>经验收、试运行合格</w:t>
      </w:r>
      <w:r>
        <w:rPr>
          <w:rFonts w:hint="eastAsia" w:ascii="宋体" w:hAnsi="宋体" w:eastAsia="宋体" w:cs="宋体"/>
          <w:color w:val="000000"/>
          <w:kern w:val="2"/>
          <w:sz w:val="24"/>
          <w:szCs w:val="24"/>
          <w:highlight w:val="none"/>
        </w:rPr>
        <w:t>并按甲方要求移交所有资料</w:t>
      </w:r>
      <w:r>
        <w:rPr>
          <w:rFonts w:hint="eastAsia" w:cs="宋体"/>
          <w:color w:val="000000"/>
          <w:kern w:val="2"/>
          <w:sz w:val="24"/>
          <w:szCs w:val="24"/>
          <w:highlight w:val="none"/>
          <w:lang w:eastAsia="zh-CN"/>
        </w:rPr>
        <w:t>，</w:t>
      </w:r>
      <w:r>
        <w:rPr>
          <w:rFonts w:hint="eastAsia" w:cs="宋体"/>
          <w:b w:val="0"/>
          <w:bCs/>
          <w:color w:val="000000"/>
          <w:kern w:val="2"/>
          <w:sz w:val="24"/>
          <w:szCs w:val="24"/>
          <w:highlight w:val="none"/>
          <w:shd w:val="clear" w:color="auto" w:fill="auto"/>
          <w:lang w:val="en-US" w:eastAsia="zh-CN"/>
        </w:rPr>
        <w:t>经甲方审批程序结束后</w:t>
      </w:r>
      <w:r>
        <w:rPr>
          <w:rFonts w:hint="eastAsia" w:ascii="宋体" w:hAnsi="宋体" w:eastAsia="宋体" w:cs="宋体"/>
          <w:color w:val="000000"/>
          <w:kern w:val="2"/>
          <w:sz w:val="24"/>
          <w:szCs w:val="24"/>
          <w:highlight w:val="none"/>
        </w:rPr>
        <w:t>10个工作日内支付至合同总价款的</w:t>
      </w:r>
      <w:r>
        <w:rPr>
          <w:rFonts w:hint="eastAsia" w:eastAsia="宋体" w:cs="宋体"/>
          <w:color w:val="000000"/>
          <w:kern w:val="2"/>
          <w:sz w:val="24"/>
          <w:szCs w:val="24"/>
          <w:highlight w:val="none"/>
          <w:lang w:val="en-US" w:eastAsia="zh-CN"/>
        </w:rPr>
        <w:t>80</w:t>
      </w:r>
      <w:r>
        <w:rPr>
          <w:rFonts w:hint="eastAsia" w:ascii="宋体" w:hAnsi="宋体" w:eastAsia="宋体" w:cs="宋体"/>
          <w:color w:val="000000"/>
          <w:kern w:val="2"/>
          <w:sz w:val="24"/>
          <w:szCs w:val="24"/>
          <w:highlight w:val="none"/>
        </w:rPr>
        <w:t>%；，并</w:t>
      </w:r>
      <w:r>
        <w:rPr>
          <w:rFonts w:hint="eastAsia" w:ascii="宋体" w:hAnsi="宋体" w:eastAsia="宋体" w:cs="宋体"/>
          <w:color w:val="000000"/>
          <w:kern w:val="2"/>
          <w:sz w:val="24"/>
          <w:szCs w:val="24"/>
          <w:highlight w:val="none"/>
          <w:lang w:eastAsia="zh-CN"/>
        </w:rPr>
        <w:t>在验收、试运行合格，且所有合同义务都已履行完毕后</w:t>
      </w:r>
      <w:r>
        <w:rPr>
          <w:rFonts w:hint="eastAsia" w:ascii="宋体" w:hAnsi="宋体" w:eastAsia="宋体" w:cs="宋体"/>
          <w:color w:val="000000"/>
          <w:kern w:val="2"/>
          <w:sz w:val="24"/>
          <w:szCs w:val="24"/>
          <w:highlight w:val="none"/>
          <w:lang w:val="en-US" w:eastAsia="zh-CN"/>
        </w:rPr>
        <w:t>28日历天内无息</w:t>
      </w:r>
      <w:r>
        <w:rPr>
          <w:rFonts w:hint="eastAsia" w:ascii="宋体" w:hAnsi="宋体" w:eastAsia="宋体" w:cs="宋体"/>
          <w:color w:val="000000"/>
          <w:kern w:val="2"/>
          <w:sz w:val="24"/>
          <w:szCs w:val="24"/>
          <w:highlight w:val="none"/>
        </w:rPr>
        <w:t>退还履约保证金</w:t>
      </w:r>
      <w:r>
        <w:rPr>
          <w:rFonts w:hint="eastAsia" w:ascii="宋体" w:hAnsi="宋体" w:eastAsia="宋体" w:cs="宋体"/>
          <w:color w:val="000000"/>
          <w:kern w:val="2"/>
          <w:sz w:val="24"/>
          <w:szCs w:val="24"/>
          <w:highlight w:val="none"/>
          <w:lang w:eastAsia="zh-CN"/>
        </w:rPr>
        <w:t>（</w:t>
      </w:r>
      <w:r>
        <w:rPr>
          <w:rFonts w:hint="eastAsia" w:eastAsia="宋体" w:cs="宋体"/>
          <w:bCs/>
          <w:color w:val="auto"/>
          <w:sz w:val="24"/>
          <w:szCs w:val="24"/>
          <w:highlight w:val="none"/>
          <w:lang w:eastAsia="zh-CN"/>
        </w:rPr>
        <w:t>采用金融机构、保险公司、担保机构出具的保函等形式提交履约担保的，则保函自动失效</w:t>
      </w:r>
      <w:r>
        <w:rPr>
          <w:rFonts w:hint="eastAsia" w:ascii="宋体" w:hAnsi="宋体" w:eastAsia="宋体" w:cs="宋体"/>
          <w:color w:val="000000"/>
          <w:kern w:val="2"/>
          <w:sz w:val="24"/>
          <w:szCs w:val="24"/>
          <w:highlight w:val="none"/>
          <w:lang w:eastAsia="zh-CN"/>
        </w:rPr>
        <w:t>）</w:t>
      </w:r>
      <w:r>
        <w:rPr>
          <w:rFonts w:hint="eastAsia" w:ascii="宋体" w:hAnsi="宋体" w:eastAsia="宋体" w:cs="宋体"/>
          <w:color w:val="000000"/>
          <w:kern w:val="2"/>
          <w:sz w:val="24"/>
          <w:szCs w:val="24"/>
          <w:highlight w:val="none"/>
        </w:rPr>
        <w:t>。</w:t>
      </w:r>
    </w:p>
    <w:p>
      <w:pPr>
        <w:spacing w:line="360" w:lineRule="auto"/>
        <w:ind w:firstLine="480" w:firstLineChars="200"/>
        <w:rPr>
          <w:rFonts w:hint="eastAsia" w:ascii="宋体" w:hAnsi="宋体" w:eastAsia="宋体" w:cs="宋体"/>
          <w:color w:val="000000"/>
          <w:kern w:val="2"/>
          <w:sz w:val="24"/>
          <w:szCs w:val="24"/>
          <w:highlight w:val="none"/>
        </w:rPr>
      </w:pPr>
      <w:r>
        <w:rPr>
          <w:rFonts w:hint="eastAsia" w:ascii="宋体" w:hAnsi="宋体" w:eastAsia="宋体" w:cs="宋体"/>
          <w:color w:val="000000"/>
          <w:kern w:val="2"/>
          <w:sz w:val="24"/>
          <w:szCs w:val="24"/>
          <w:highlight w:val="none"/>
        </w:rPr>
        <w:t>（6）医院启用纯水系统二个月后无质量问题的</w:t>
      </w:r>
      <w:r>
        <w:rPr>
          <w:rFonts w:hint="eastAsia" w:ascii="宋体" w:hAnsi="宋体" w:eastAsia="宋体" w:cs="宋体"/>
          <w:color w:val="000000"/>
          <w:kern w:val="2"/>
          <w:sz w:val="24"/>
          <w:szCs w:val="24"/>
          <w:highlight w:val="none"/>
          <w:lang w:eastAsia="zh-CN"/>
        </w:rPr>
        <w:t>，</w:t>
      </w:r>
      <w:r>
        <w:rPr>
          <w:rFonts w:hint="eastAsia" w:cs="宋体"/>
          <w:b w:val="0"/>
          <w:bCs/>
          <w:color w:val="000000"/>
          <w:kern w:val="2"/>
          <w:sz w:val="24"/>
          <w:szCs w:val="24"/>
          <w:highlight w:val="none"/>
          <w:shd w:val="clear" w:color="auto" w:fill="auto"/>
          <w:lang w:val="en-US" w:eastAsia="zh-CN"/>
        </w:rPr>
        <w:t>经甲方审批程序结束后</w:t>
      </w:r>
      <w:r>
        <w:rPr>
          <w:rFonts w:hint="eastAsia" w:ascii="宋体" w:hAnsi="宋体" w:eastAsia="宋体" w:cs="宋体"/>
          <w:color w:val="000000"/>
          <w:kern w:val="2"/>
          <w:sz w:val="24"/>
          <w:szCs w:val="24"/>
          <w:highlight w:val="none"/>
        </w:rPr>
        <w:t>10个工作日内支付至结算总价的97</w:t>
      </w:r>
      <w:r>
        <w:rPr>
          <w:rFonts w:hint="eastAsia" w:ascii="宋体" w:hAnsi="宋体" w:eastAsia="宋体" w:cs="宋体"/>
          <w:color w:val="000000"/>
          <w:kern w:val="2"/>
          <w:sz w:val="24"/>
          <w:szCs w:val="24"/>
          <w:highlight w:val="none"/>
          <w:lang w:val="en-US" w:eastAsia="zh-CN"/>
        </w:rPr>
        <w:t>.5</w:t>
      </w:r>
      <w:r>
        <w:rPr>
          <w:rFonts w:hint="eastAsia" w:ascii="宋体" w:hAnsi="宋体" w:eastAsia="宋体" w:cs="宋体"/>
          <w:color w:val="000000"/>
          <w:kern w:val="2"/>
          <w:sz w:val="24"/>
          <w:szCs w:val="24"/>
          <w:highlight w:val="none"/>
        </w:rPr>
        <w:t>%</w:t>
      </w:r>
      <w:r>
        <w:rPr>
          <w:rFonts w:hint="eastAsia" w:cs="宋体"/>
          <w:color w:val="000000"/>
          <w:kern w:val="2"/>
          <w:sz w:val="24"/>
          <w:szCs w:val="24"/>
          <w:highlight w:val="none"/>
          <w:lang w:eastAsia="zh-CN"/>
        </w:rPr>
        <w:t>，</w:t>
      </w:r>
      <w:r>
        <w:rPr>
          <w:rFonts w:hint="eastAsia" w:cs="宋体"/>
          <w:color w:val="000000"/>
          <w:kern w:val="2"/>
          <w:sz w:val="24"/>
          <w:szCs w:val="24"/>
          <w:highlight w:val="none"/>
          <w:lang w:val="en-US" w:eastAsia="zh-CN"/>
        </w:rPr>
        <w:t>结算方式按合同第11条付款变更与结算方式的第2条结算方式办理</w:t>
      </w:r>
      <w:r>
        <w:rPr>
          <w:rFonts w:hint="eastAsia" w:cs="宋体"/>
          <w:color w:val="000000"/>
          <w:kern w:val="2"/>
          <w:sz w:val="24"/>
          <w:szCs w:val="24"/>
          <w:highlight w:val="none"/>
          <w:lang w:eastAsia="zh-CN"/>
        </w:rPr>
        <w:t>。余款2.5%作为质量保证金，</w:t>
      </w:r>
      <w:r>
        <w:rPr>
          <w:rFonts w:hint="eastAsia" w:ascii="宋体" w:hAnsi="宋体" w:eastAsia="宋体" w:cs="宋体"/>
          <w:color w:val="000000"/>
          <w:kern w:val="2"/>
          <w:sz w:val="24"/>
          <w:szCs w:val="24"/>
          <w:highlight w:val="none"/>
        </w:rPr>
        <w:t>待质量保证期满无质量问题</w:t>
      </w:r>
      <w:r>
        <w:rPr>
          <w:rFonts w:hint="eastAsia" w:ascii="宋体" w:hAnsi="宋体" w:eastAsia="宋体" w:cs="宋体"/>
          <w:color w:val="000000"/>
          <w:kern w:val="2"/>
          <w:sz w:val="24"/>
          <w:szCs w:val="24"/>
          <w:highlight w:val="none"/>
          <w:lang w:eastAsia="zh-CN"/>
        </w:rPr>
        <w:t>并</w:t>
      </w:r>
      <w:r>
        <w:rPr>
          <w:rFonts w:hint="eastAsia" w:cs="宋体"/>
          <w:b w:val="0"/>
          <w:bCs/>
          <w:color w:val="000000"/>
          <w:kern w:val="2"/>
          <w:sz w:val="24"/>
          <w:szCs w:val="24"/>
          <w:highlight w:val="none"/>
          <w:shd w:val="clear" w:color="auto" w:fill="auto"/>
          <w:lang w:val="en-US" w:eastAsia="zh-CN"/>
        </w:rPr>
        <w:t>经甲方审批程序结束后</w:t>
      </w:r>
      <w:r>
        <w:rPr>
          <w:rFonts w:hint="eastAsia" w:ascii="宋体" w:hAnsi="宋体" w:eastAsia="宋体" w:cs="宋体"/>
          <w:color w:val="000000"/>
          <w:kern w:val="2"/>
          <w:sz w:val="24"/>
          <w:szCs w:val="24"/>
          <w:highlight w:val="none"/>
        </w:rPr>
        <w:t>10工作日内付清（不计利息）。</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2"/>
          <w:sz w:val="24"/>
          <w:szCs w:val="24"/>
          <w:highlight w:val="none"/>
        </w:rPr>
      </w:pPr>
      <w:r>
        <w:rPr>
          <w:rFonts w:hint="eastAsia" w:ascii="宋体" w:hAnsi="宋体" w:eastAsia="宋体" w:cs="宋体"/>
          <w:color w:val="000000"/>
          <w:kern w:val="2"/>
          <w:sz w:val="24"/>
          <w:szCs w:val="24"/>
          <w:highlight w:val="none"/>
          <w:lang w:val="en-US" w:eastAsia="zh-CN"/>
        </w:rPr>
        <w:t>（7）</w:t>
      </w:r>
      <w:r>
        <w:rPr>
          <w:rFonts w:hint="eastAsia" w:ascii="宋体" w:hAnsi="宋体" w:eastAsia="宋体" w:cs="宋体"/>
          <w:color w:val="000000"/>
          <w:kern w:val="2"/>
          <w:sz w:val="24"/>
          <w:szCs w:val="24"/>
          <w:highlight w:val="none"/>
          <w:lang w:eastAsia="zh-CN"/>
        </w:rPr>
        <w:t>甲方</w:t>
      </w:r>
      <w:r>
        <w:rPr>
          <w:rFonts w:hint="eastAsia" w:ascii="宋体" w:hAnsi="宋体" w:eastAsia="宋体" w:cs="宋体"/>
          <w:color w:val="000000"/>
          <w:kern w:val="2"/>
          <w:sz w:val="24"/>
          <w:szCs w:val="24"/>
          <w:highlight w:val="none"/>
        </w:rPr>
        <w:t>在支付本合同项下的任一合同价款前，</w:t>
      </w:r>
      <w:r>
        <w:rPr>
          <w:rFonts w:hint="eastAsia" w:ascii="宋体" w:hAnsi="宋体" w:eastAsia="宋体" w:cs="宋体"/>
          <w:color w:val="000000"/>
          <w:kern w:val="2"/>
          <w:sz w:val="24"/>
          <w:szCs w:val="24"/>
          <w:highlight w:val="none"/>
          <w:lang w:eastAsia="zh-CN"/>
        </w:rPr>
        <w:t>乙方</w:t>
      </w:r>
      <w:r>
        <w:rPr>
          <w:rFonts w:hint="eastAsia" w:ascii="宋体" w:hAnsi="宋体" w:eastAsia="宋体" w:cs="宋体"/>
          <w:color w:val="000000"/>
          <w:kern w:val="2"/>
          <w:sz w:val="24"/>
          <w:szCs w:val="24"/>
          <w:highlight w:val="none"/>
        </w:rPr>
        <w:t>须向</w:t>
      </w:r>
      <w:r>
        <w:rPr>
          <w:rFonts w:hint="eastAsia" w:ascii="宋体" w:hAnsi="宋体" w:eastAsia="宋体" w:cs="宋体"/>
          <w:color w:val="000000"/>
          <w:kern w:val="2"/>
          <w:sz w:val="24"/>
          <w:szCs w:val="24"/>
          <w:highlight w:val="none"/>
          <w:lang w:eastAsia="zh-CN"/>
        </w:rPr>
        <w:t>甲方</w:t>
      </w:r>
      <w:r>
        <w:rPr>
          <w:rFonts w:hint="eastAsia" w:ascii="宋体" w:hAnsi="宋体" w:eastAsia="宋体" w:cs="宋体"/>
          <w:color w:val="000000"/>
          <w:kern w:val="2"/>
          <w:sz w:val="24"/>
          <w:szCs w:val="24"/>
          <w:highlight w:val="none"/>
        </w:rPr>
        <w:t>提供符合相关法律规定的</w:t>
      </w:r>
      <w:r>
        <w:rPr>
          <w:rFonts w:hint="eastAsia" w:ascii="宋体" w:hAnsi="宋体" w:eastAsia="宋体" w:cs="宋体"/>
          <w:color w:val="000000"/>
          <w:kern w:val="2"/>
          <w:sz w:val="24"/>
          <w:szCs w:val="24"/>
          <w:highlight w:val="none"/>
          <w:lang w:eastAsia="zh-CN"/>
        </w:rPr>
        <w:t>甲方</w:t>
      </w:r>
      <w:r>
        <w:rPr>
          <w:rFonts w:hint="eastAsia" w:ascii="宋体" w:hAnsi="宋体" w:eastAsia="宋体" w:cs="宋体"/>
          <w:color w:val="000000"/>
          <w:kern w:val="2"/>
          <w:sz w:val="24"/>
          <w:szCs w:val="24"/>
          <w:highlight w:val="none"/>
        </w:rPr>
        <w:t>要求的等额有效增值税专用发票，否则</w:t>
      </w:r>
      <w:r>
        <w:rPr>
          <w:rFonts w:hint="eastAsia" w:ascii="宋体" w:hAnsi="宋体" w:eastAsia="宋体" w:cs="宋体"/>
          <w:color w:val="000000"/>
          <w:kern w:val="2"/>
          <w:sz w:val="24"/>
          <w:szCs w:val="24"/>
          <w:highlight w:val="none"/>
          <w:lang w:eastAsia="zh-CN"/>
        </w:rPr>
        <w:t>甲方</w:t>
      </w:r>
      <w:r>
        <w:rPr>
          <w:rFonts w:hint="eastAsia" w:ascii="宋体" w:hAnsi="宋体" w:eastAsia="宋体" w:cs="宋体"/>
          <w:color w:val="000000"/>
          <w:kern w:val="2"/>
          <w:sz w:val="24"/>
          <w:szCs w:val="24"/>
          <w:highlight w:val="none"/>
        </w:rPr>
        <w:t>有权拒绝支付合同价款，且不承担因其不支付合同价款或迟延支付合同价款引起的任何责任。</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default"/>
          <w:color w:val="000000"/>
          <w:highlight w:val="none"/>
          <w:lang w:val="en-US" w:eastAsia="zh-CN"/>
        </w:rPr>
      </w:pPr>
      <w:r>
        <w:rPr>
          <w:rFonts w:hint="eastAsia" w:ascii="宋体" w:hAnsi="宋体" w:eastAsia="宋体" w:cs="宋体"/>
          <w:color w:val="000000"/>
          <w:kern w:val="2"/>
          <w:sz w:val="24"/>
          <w:szCs w:val="24"/>
          <w:highlight w:val="none"/>
          <w:lang w:val="en-US" w:eastAsia="zh-CN"/>
        </w:rPr>
        <w:t>（8）乙方应在合同条款规定的支付期限末，按甲方指定的格式向甲方提交一式四份《工程计量审核确认单、项目资金支付审批表》（见附件四），说明乙方在支付期限末应获得支付的相关款项</w:t>
      </w:r>
      <w:r>
        <w:rPr>
          <w:rFonts w:hint="eastAsia" w:cs="宋体"/>
          <w:color w:val="000000"/>
          <w:kern w:val="2"/>
          <w:sz w:val="24"/>
          <w:szCs w:val="24"/>
          <w:highlight w:val="none"/>
          <w:lang w:val="en-US" w:eastAsia="zh-CN"/>
        </w:rPr>
        <w:t>，因审批程序时间延迟支付甲方不承担违约责任。</w:t>
      </w:r>
    </w:p>
    <w:p>
      <w:pPr>
        <w:pStyle w:val="58"/>
        <w:spacing w:line="400" w:lineRule="exact"/>
        <w:ind w:firstLine="480" w:firstLineChars="200"/>
        <w:rPr>
          <w:rFonts w:hint="eastAsia" w:ascii="宋体" w:hAnsi="宋体" w:cs="宋体"/>
          <w:color w:val="000000"/>
          <w:kern w:val="2"/>
          <w:sz w:val="24"/>
          <w:szCs w:val="24"/>
          <w:highlight w:val="none"/>
          <w:lang w:val="en-US" w:eastAsia="zh-CN"/>
        </w:rPr>
      </w:pPr>
      <w:r>
        <w:rPr>
          <w:rFonts w:hint="eastAsia" w:ascii="宋体" w:hAnsi="宋体" w:cs="宋体"/>
          <w:color w:val="000000"/>
          <w:kern w:val="2"/>
          <w:sz w:val="24"/>
          <w:szCs w:val="24"/>
          <w:highlight w:val="none"/>
          <w:lang w:val="en-US" w:eastAsia="zh-CN"/>
        </w:rPr>
        <w:t>2</w:t>
      </w:r>
      <w:r>
        <w:rPr>
          <w:rFonts w:hint="eastAsia" w:ascii="宋体" w:hAnsi="宋体" w:eastAsia="宋体" w:cs="宋体"/>
          <w:color w:val="000000"/>
          <w:kern w:val="2"/>
          <w:sz w:val="24"/>
          <w:szCs w:val="24"/>
          <w:highlight w:val="none"/>
          <w:lang w:val="en-US" w:eastAsia="zh-CN"/>
        </w:rPr>
        <w:t>、结算方式</w:t>
      </w:r>
      <w:r>
        <w:rPr>
          <w:rFonts w:hint="eastAsia" w:ascii="宋体" w:hAnsi="宋体" w:cs="宋体"/>
          <w:color w:val="000000"/>
          <w:kern w:val="2"/>
          <w:sz w:val="24"/>
          <w:szCs w:val="24"/>
          <w:highlight w:val="none"/>
          <w:lang w:val="en-US" w:eastAsia="zh-CN"/>
        </w:rPr>
        <w:t xml:space="preserve"> </w:t>
      </w:r>
    </w:p>
    <w:p>
      <w:pPr>
        <w:spacing w:line="360" w:lineRule="auto"/>
        <w:ind w:firstLine="480" w:firstLineChars="200"/>
        <w:rPr>
          <w:rFonts w:hint="eastAsia" w:ascii="宋体" w:hAnsi="宋体" w:eastAsia="宋体" w:cs="宋体"/>
          <w:color w:val="000000"/>
          <w:kern w:val="2"/>
          <w:sz w:val="24"/>
          <w:szCs w:val="24"/>
          <w:highlight w:val="none"/>
          <w:lang w:val="en-US" w:eastAsia="zh-CN"/>
        </w:rPr>
      </w:pPr>
      <w:r>
        <w:rPr>
          <w:rFonts w:hint="eastAsia" w:ascii="宋体" w:hAnsi="宋体" w:eastAsia="宋体" w:cs="宋体"/>
          <w:color w:val="000000"/>
          <w:kern w:val="2"/>
          <w:sz w:val="24"/>
          <w:szCs w:val="24"/>
          <w:highlight w:val="none"/>
          <w:lang w:val="en-US" w:eastAsia="zh-CN"/>
        </w:rPr>
        <w:t>（1）</w:t>
      </w:r>
      <w:r>
        <w:rPr>
          <w:rFonts w:hint="eastAsia" w:ascii="宋体" w:hAnsi="宋体" w:eastAsia="宋体" w:cs="宋体"/>
          <w:color w:val="000000"/>
          <w:kern w:val="2"/>
          <w:sz w:val="24"/>
          <w:szCs w:val="24"/>
          <w:highlight w:val="none"/>
        </w:rPr>
        <w:t>结算</w:t>
      </w:r>
      <w:r>
        <w:rPr>
          <w:rFonts w:hint="eastAsia" w:ascii="宋体" w:hAnsi="宋体" w:eastAsia="宋体" w:cs="宋体"/>
          <w:color w:val="000000"/>
          <w:kern w:val="2"/>
          <w:sz w:val="24"/>
          <w:szCs w:val="24"/>
          <w:highlight w:val="none"/>
          <w:lang w:eastAsia="zh-CN"/>
        </w:rPr>
        <w:t>总价</w:t>
      </w:r>
      <w:r>
        <w:rPr>
          <w:rFonts w:hint="eastAsia" w:ascii="宋体" w:hAnsi="宋体" w:eastAsia="宋体" w:cs="宋体"/>
          <w:color w:val="000000"/>
          <w:kern w:val="2"/>
          <w:sz w:val="24"/>
          <w:szCs w:val="24"/>
          <w:highlight w:val="none"/>
        </w:rPr>
        <w:t>将由</w:t>
      </w:r>
      <w:r>
        <w:rPr>
          <w:rFonts w:hint="eastAsia" w:ascii="宋体" w:hAnsi="宋体" w:eastAsia="宋体" w:cs="宋体"/>
          <w:color w:val="000000"/>
          <w:kern w:val="2"/>
          <w:sz w:val="24"/>
          <w:szCs w:val="24"/>
          <w:highlight w:val="none"/>
          <w:lang w:eastAsia="zh-CN"/>
        </w:rPr>
        <w:t>采购人</w:t>
      </w:r>
      <w:r>
        <w:rPr>
          <w:rFonts w:hint="eastAsia" w:ascii="宋体" w:hAnsi="宋体" w:eastAsia="宋体" w:cs="宋体"/>
          <w:color w:val="000000"/>
          <w:kern w:val="2"/>
          <w:sz w:val="24"/>
          <w:szCs w:val="24"/>
          <w:highlight w:val="none"/>
        </w:rPr>
        <w:t>委托</w:t>
      </w:r>
      <w:r>
        <w:rPr>
          <w:rFonts w:hint="eastAsia" w:ascii="宋体" w:hAnsi="宋体" w:eastAsia="宋体" w:cs="宋体"/>
          <w:color w:val="000000"/>
          <w:kern w:val="2"/>
          <w:sz w:val="24"/>
          <w:szCs w:val="24"/>
          <w:highlight w:val="none"/>
          <w:lang w:val="en-US" w:eastAsia="zh-CN"/>
        </w:rPr>
        <w:t>全过程工程咨询单位</w:t>
      </w:r>
      <w:r>
        <w:rPr>
          <w:rFonts w:hint="eastAsia" w:ascii="宋体" w:hAnsi="宋体" w:eastAsia="宋体" w:cs="宋体"/>
          <w:color w:val="000000"/>
          <w:kern w:val="2"/>
          <w:sz w:val="24"/>
          <w:szCs w:val="24"/>
          <w:highlight w:val="none"/>
        </w:rPr>
        <w:t>审核；工程结算审查追加费由</w:t>
      </w:r>
      <w:r>
        <w:rPr>
          <w:rFonts w:hint="eastAsia" w:ascii="宋体" w:hAnsi="宋体" w:eastAsia="宋体" w:cs="宋体"/>
          <w:color w:val="000000"/>
          <w:kern w:val="2"/>
          <w:sz w:val="24"/>
          <w:szCs w:val="24"/>
          <w:highlight w:val="none"/>
          <w:lang w:eastAsia="zh-CN"/>
        </w:rPr>
        <w:t>乙方</w:t>
      </w:r>
      <w:r>
        <w:rPr>
          <w:rFonts w:hint="eastAsia" w:ascii="宋体" w:hAnsi="宋体" w:eastAsia="宋体" w:cs="宋体"/>
          <w:color w:val="000000"/>
          <w:kern w:val="2"/>
          <w:sz w:val="24"/>
          <w:szCs w:val="24"/>
          <w:highlight w:val="none"/>
        </w:rPr>
        <w:t>承担，</w:t>
      </w:r>
      <w:r>
        <w:rPr>
          <w:rFonts w:hint="eastAsia" w:ascii="宋体" w:hAnsi="宋体" w:eastAsia="宋体" w:cs="宋体"/>
          <w:color w:val="000000"/>
          <w:kern w:val="2"/>
          <w:sz w:val="24"/>
          <w:szCs w:val="24"/>
          <w:highlight w:val="none"/>
          <w:lang w:eastAsia="zh-CN"/>
        </w:rPr>
        <w:t>甲方</w:t>
      </w:r>
      <w:r>
        <w:rPr>
          <w:rFonts w:hint="eastAsia" w:ascii="宋体" w:hAnsi="宋体" w:eastAsia="宋体" w:cs="宋体"/>
          <w:color w:val="000000"/>
          <w:kern w:val="2"/>
          <w:sz w:val="24"/>
          <w:szCs w:val="24"/>
          <w:highlight w:val="none"/>
        </w:rPr>
        <w:t>采用代扣代付的形式，从工程款或履约保证金中直接扣除后向审核单位支付，追加费收费标准为</w:t>
      </w:r>
      <w:r>
        <w:rPr>
          <w:rFonts w:hint="eastAsia" w:ascii="宋体" w:hAnsi="宋体" w:eastAsia="宋体" w:cs="宋体"/>
          <w:color w:val="000000"/>
          <w:kern w:val="2"/>
          <w:sz w:val="24"/>
          <w:szCs w:val="24"/>
          <w:highlight w:val="none"/>
          <w:lang w:eastAsia="zh-CN"/>
        </w:rPr>
        <w:t>：</w:t>
      </w:r>
      <w:r>
        <w:rPr>
          <w:rFonts w:hint="eastAsia" w:ascii="宋体" w:hAnsi="宋体" w:eastAsia="宋体" w:cs="宋体"/>
          <w:color w:val="000000"/>
          <w:kern w:val="2"/>
          <w:sz w:val="24"/>
          <w:szCs w:val="24"/>
          <w:highlight w:val="none"/>
        </w:rPr>
        <w:t>【核增额×5%＋（核减额－送审工程造价×5%）×5%】</w:t>
      </w:r>
      <w:r>
        <w:rPr>
          <w:rFonts w:hint="eastAsia" w:ascii="宋体" w:hAnsi="宋体" w:eastAsia="宋体" w:cs="宋体"/>
          <w:color w:val="000000"/>
          <w:kern w:val="2"/>
          <w:sz w:val="24"/>
          <w:szCs w:val="24"/>
          <w:highlight w:val="none"/>
          <w:lang w:eastAsia="zh-CN"/>
        </w:rPr>
        <w:t>。结算总价经审定后按如下原则执行：经审定的结算总价高于合同价的，按合同价结算，经审定的结算总价低于合同价的，按结算总价结算。本条所述合同价，若合同履行过程中甲方有变更的，按变更后调整的合同价执行。</w:t>
      </w:r>
    </w:p>
    <w:p>
      <w:pPr>
        <w:spacing w:line="360" w:lineRule="auto"/>
        <w:ind w:firstLine="480" w:firstLineChars="200"/>
        <w:rPr>
          <w:rFonts w:hint="eastAsia" w:ascii="宋体" w:hAnsi="宋体" w:eastAsia="宋体" w:cs="宋体"/>
          <w:color w:val="000000"/>
          <w:kern w:val="2"/>
          <w:sz w:val="24"/>
          <w:szCs w:val="24"/>
          <w:highlight w:val="none"/>
        </w:rPr>
      </w:pPr>
      <w:r>
        <w:rPr>
          <w:rFonts w:hint="eastAsia" w:ascii="宋体" w:hAnsi="宋体" w:eastAsia="宋体" w:cs="宋体"/>
          <w:color w:val="000000"/>
          <w:kern w:val="2"/>
          <w:sz w:val="24"/>
          <w:szCs w:val="24"/>
          <w:highlight w:val="none"/>
          <w:lang w:eastAsia="zh-CN"/>
        </w:rPr>
        <w:t>（</w:t>
      </w:r>
      <w:r>
        <w:rPr>
          <w:rFonts w:hint="eastAsia" w:ascii="宋体" w:hAnsi="宋体" w:eastAsia="宋体" w:cs="宋体"/>
          <w:color w:val="000000"/>
          <w:kern w:val="2"/>
          <w:sz w:val="24"/>
          <w:szCs w:val="24"/>
          <w:highlight w:val="none"/>
          <w:lang w:val="en-US" w:eastAsia="zh-CN"/>
        </w:rPr>
        <w:t>2</w:t>
      </w:r>
      <w:r>
        <w:rPr>
          <w:rFonts w:hint="eastAsia" w:ascii="宋体" w:hAnsi="宋体" w:eastAsia="宋体" w:cs="宋体"/>
          <w:color w:val="000000"/>
          <w:kern w:val="2"/>
          <w:sz w:val="24"/>
          <w:szCs w:val="24"/>
          <w:highlight w:val="none"/>
          <w:lang w:eastAsia="zh-CN"/>
        </w:rPr>
        <w:t>）乙方</w:t>
      </w:r>
      <w:r>
        <w:rPr>
          <w:rFonts w:hint="eastAsia" w:ascii="宋体" w:hAnsi="宋体" w:eastAsia="宋体" w:cs="宋体"/>
          <w:color w:val="000000"/>
          <w:kern w:val="2"/>
          <w:sz w:val="24"/>
          <w:szCs w:val="24"/>
          <w:highlight w:val="none"/>
        </w:rPr>
        <w:t>应充分考虑并消化材料市场价格的波动因素，因此产生的波动，本合同价格不作调整。</w:t>
      </w:r>
    </w:p>
    <w:p>
      <w:pPr>
        <w:spacing w:line="360" w:lineRule="auto"/>
        <w:ind w:firstLine="480" w:firstLineChars="200"/>
        <w:rPr>
          <w:rFonts w:hint="eastAsia" w:ascii="宋体" w:hAnsi="宋体" w:eastAsia="宋体" w:cs="宋体"/>
          <w:color w:val="000000"/>
          <w:kern w:val="2"/>
          <w:sz w:val="24"/>
          <w:szCs w:val="24"/>
          <w:highlight w:val="none"/>
        </w:rPr>
      </w:pPr>
      <w:r>
        <w:rPr>
          <w:rFonts w:hint="eastAsia" w:ascii="宋体" w:hAnsi="宋体" w:eastAsia="宋体" w:cs="宋体"/>
          <w:color w:val="000000"/>
          <w:kern w:val="2"/>
          <w:sz w:val="24"/>
          <w:szCs w:val="24"/>
          <w:highlight w:val="none"/>
          <w:lang w:eastAsia="zh-CN"/>
        </w:rPr>
        <w:t>（</w:t>
      </w:r>
      <w:r>
        <w:rPr>
          <w:rFonts w:hint="eastAsia" w:ascii="宋体" w:hAnsi="宋体" w:eastAsia="宋体" w:cs="宋体"/>
          <w:color w:val="000000"/>
          <w:kern w:val="2"/>
          <w:sz w:val="24"/>
          <w:szCs w:val="24"/>
          <w:highlight w:val="none"/>
          <w:lang w:val="en-US" w:eastAsia="zh-CN"/>
        </w:rPr>
        <w:t>3</w:t>
      </w:r>
      <w:r>
        <w:rPr>
          <w:rFonts w:hint="eastAsia" w:ascii="宋体" w:hAnsi="宋体" w:eastAsia="宋体" w:cs="宋体"/>
          <w:color w:val="000000"/>
          <w:kern w:val="2"/>
          <w:sz w:val="24"/>
          <w:szCs w:val="24"/>
          <w:highlight w:val="none"/>
          <w:lang w:eastAsia="zh-CN"/>
        </w:rPr>
        <w:t>）</w:t>
      </w:r>
      <w:r>
        <w:rPr>
          <w:rFonts w:hint="eastAsia" w:ascii="宋体" w:hAnsi="宋体" w:eastAsia="宋体" w:cs="宋体"/>
          <w:color w:val="000000"/>
          <w:sz w:val="24"/>
          <w:szCs w:val="24"/>
          <w:highlight w:val="none"/>
          <w:lang w:val="en-US" w:eastAsia="zh-CN"/>
        </w:rPr>
        <w:t>甲方</w:t>
      </w:r>
      <w:r>
        <w:rPr>
          <w:rFonts w:hint="eastAsia" w:eastAsia="宋体" w:cs="宋体"/>
          <w:b w:val="0"/>
          <w:bCs w:val="0"/>
          <w:color w:val="auto"/>
          <w:sz w:val="24"/>
          <w:szCs w:val="24"/>
          <w:highlight w:val="none"/>
          <w:lang w:eastAsia="zh-CN"/>
        </w:rPr>
        <w:t>有权根据项目建设的实际情况和需要、设计变更以及中标供应商供应服务情况等，调整供货的范围和数量，即变更</w:t>
      </w:r>
      <w:r>
        <w:rPr>
          <w:rFonts w:hint="eastAsia" w:ascii="宋体" w:hAnsi="宋体" w:eastAsia="宋体" w:cs="宋体"/>
          <w:color w:val="000000"/>
          <w:kern w:val="2"/>
          <w:sz w:val="24"/>
          <w:szCs w:val="24"/>
          <w:highlight w:val="none"/>
        </w:rPr>
        <w:t>，</w:t>
      </w:r>
      <w:r>
        <w:rPr>
          <w:rFonts w:hint="eastAsia" w:ascii="宋体" w:hAnsi="宋体" w:eastAsia="宋体" w:cs="宋体"/>
          <w:color w:val="000000"/>
          <w:kern w:val="2"/>
          <w:sz w:val="24"/>
          <w:szCs w:val="24"/>
          <w:highlight w:val="none"/>
          <w:lang w:eastAsia="zh-CN"/>
        </w:rPr>
        <w:t>乙方可以提出变更主张，但乙方提出的变更须经甲方审核确认后方有效，发生变更后，乙方</w:t>
      </w:r>
      <w:r>
        <w:rPr>
          <w:rFonts w:hint="eastAsia" w:ascii="宋体" w:hAnsi="宋体" w:eastAsia="宋体" w:cs="宋体"/>
          <w:color w:val="000000"/>
          <w:kern w:val="2"/>
          <w:sz w:val="24"/>
          <w:szCs w:val="24"/>
          <w:highlight w:val="none"/>
        </w:rPr>
        <w:t>应根据实际使用量供货</w:t>
      </w:r>
      <w:r>
        <w:rPr>
          <w:rFonts w:hint="eastAsia" w:ascii="宋体" w:hAnsi="宋体" w:eastAsia="宋体" w:cs="宋体"/>
          <w:color w:val="000000"/>
          <w:kern w:val="2"/>
          <w:sz w:val="24"/>
          <w:szCs w:val="24"/>
          <w:highlight w:val="none"/>
          <w:lang w:eastAsia="zh-CN"/>
        </w:rPr>
        <w:t>，甲方根据变更相应调整</w:t>
      </w:r>
      <w:r>
        <w:rPr>
          <w:rFonts w:hint="eastAsia" w:ascii="宋体" w:hAnsi="宋体" w:eastAsia="宋体" w:cs="宋体"/>
          <w:color w:val="000000"/>
          <w:kern w:val="2"/>
          <w:sz w:val="24"/>
          <w:szCs w:val="24"/>
          <w:highlight w:val="none"/>
        </w:rPr>
        <w:t>。</w:t>
      </w:r>
    </w:p>
    <w:p>
      <w:pPr>
        <w:spacing w:line="360" w:lineRule="auto"/>
        <w:ind w:firstLine="480" w:firstLineChars="200"/>
        <w:rPr>
          <w:rFonts w:hint="eastAsia" w:ascii="宋体" w:hAnsi="宋体" w:eastAsia="宋体" w:cs="宋体"/>
          <w:color w:val="000000"/>
          <w:kern w:val="2"/>
          <w:sz w:val="24"/>
          <w:szCs w:val="24"/>
          <w:highlight w:val="none"/>
        </w:rPr>
      </w:pPr>
      <w:r>
        <w:rPr>
          <w:rFonts w:hint="eastAsia" w:ascii="宋体" w:hAnsi="宋体" w:eastAsia="宋体" w:cs="宋体"/>
          <w:color w:val="000000"/>
          <w:kern w:val="2"/>
          <w:sz w:val="24"/>
          <w:szCs w:val="24"/>
          <w:highlight w:val="none"/>
          <w:lang w:eastAsia="zh-CN"/>
        </w:rPr>
        <w:t>（</w:t>
      </w:r>
      <w:r>
        <w:rPr>
          <w:rFonts w:hint="eastAsia" w:ascii="宋体" w:hAnsi="宋体" w:eastAsia="宋体" w:cs="宋体"/>
          <w:color w:val="000000"/>
          <w:kern w:val="2"/>
          <w:sz w:val="24"/>
          <w:szCs w:val="24"/>
          <w:highlight w:val="none"/>
          <w:lang w:val="en-US" w:eastAsia="zh-CN"/>
        </w:rPr>
        <w:t>4</w:t>
      </w:r>
      <w:r>
        <w:rPr>
          <w:rFonts w:hint="eastAsia" w:ascii="宋体" w:hAnsi="宋体" w:eastAsia="宋体" w:cs="宋体"/>
          <w:color w:val="000000"/>
          <w:kern w:val="2"/>
          <w:sz w:val="24"/>
          <w:szCs w:val="24"/>
          <w:highlight w:val="none"/>
          <w:lang w:eastAsia="zh-CN"/>
        </w:rPr>
        <w:t>）</w:t>
      </w:r>
      <w:r>
        <w:rPr>
          <w:rFonts w:hint="eastAsia" w:ascii="宋体" w:hAnsi="宋体" w:eastAsia="宋体" w:cs="宋体"/>
          <w:color w:val="000000"/>
          <w:kern w:val="2"/>
          <w:sz w:val="24"/>
          <w:szCs w:val="24"/>
          <w:highlight w:val="none"/>
        </w:rPr>
        <w:t>因前述变更引起的相关价格的确定方式如下：合同中已有适用于变更的</w:t>
      </w:r>
      <w:r>
        <w:rPr>
          <w:rFonts w:hint="eastAsia" w:ascii="宋体" w:hAnsi="宋体" w:eastAsia="宋体" w:cs="宋体"/>
          <w:color w:val="000000"/>
          <w:kern w:val="2"/>
          <w:sz w:val="24"/>
          <w:szCs w:val="24"/>
          <w:highlight w:val="none"/>
          <w:lang w:eastAsia="zh-CN"/>
        </w:rPr>
        <w:t>价格的，</w:t>
      </w:r>
      <w:r>
        <w:rPr>
          <w:rFonts w:hint="eastAsia" w:ascii="宋体" w:hAnsi="宋体" w:eastAsia="宋体" w:cs="宋体"/>
          <w:color w:val="000000"/>
          <w:kern w:val="2"/>
          <w:sz w:val="24"/>
          <w:szCs w:val="24"/>
          <w:highlight w:val="none"/>
        </w:rPr>
        <w:t>按合同中已有的价格执行；合同中有类似于变更的</w:t>
      </w:r>
      <w:r>
        <w:rPr>
          <w:rFonts w:hint="eastAsia" w:ascii="宋体" w:hAnsi="宋体" w:eastAsia="宋体" w:cs="宋体"/>
          <w:color w:val="000000"/>
          <w:kern w:val="2"/>
          <w:sz w:val="24"/>
          <w:szCs w:val="24"/>
          <w:highlight w:val="none"/>
          <w:lang w:eastAsia="zh-CN"/>
        </w:rPr>
        <w:t>价格的，</w:t>
      </w:r>
      <w:r>
        <w:rPr>
          <w:rFonts w:hint="eastAsia" w:ascii="宋体" w:hAnsi="宋体" w:eastAsia="宋体" w:cs="宋体"/>
          <w:color w:val="000000"/>
          <w:kern w:val="2"/>
          <w:sz w:val="24"/>
          <w:szCs w:val="24"/>
          <w:highlight w:val="none"/>
        </w:rPr>
        <w:t>参照合同中类似的价格执行；合同中没有适用于变更或者没有类似于变更的</w:t>
      </w:r>
      <w:r>
        <w:rPr>
          <w:rFonts w:hint="eastAsia" w:ascii="宋体" w:hAnsi="宋体" w:eastAsia="宋体" w:cs="宋体"/>
          <w:color w:val="000000"/>
          <w:kern w:val="2"/>
          <w:sz w:val="24"/>
          <w:szCs w:val="24"/>
          <w:highlight w:val="none"/>
          <w:lang w:eastAsia="zh-CN"/>
        </w:rPr>
        <w:t>价格的</w:t>
      </w:r>
      <w:r>
        <w:rPr>
          <w:rFonts w:hint="eastAsia" w:ascii="宋体" w:hAnsi="宋体" w:eastAsia="宋体" w:cs="宋体"/>
          <w:color w:val="000000"/>
          <w:kern w:val="2"/>
          <w:sz w:val="24"/>
          <w:szCs w:val="24"/>
          <w:highlight w:val="none"/>
        </w:rPr>
        <w:t>，由买卖双方协商确定。如投标文件中对同一设备报价有两个或两个以上的价格的，则结算时</w:t>
      </w:r>
      <w:r>
        <w:rPr>
          <w:rFonts w:hint="eastAsia" w:ascii="宋体" w:hAnsi="宋体" w:eastAsia="宋体" w:cs="宋体"/>
          <w:color w:val="000000"/>
          <w:kern w:val="2"/>
          <w:sz w:val="24"/>
          <w:szCs w:val="24"/>
          <w:highlight w:val="none"/>
          <w:lang w:eastAsia="zh-CN"/>
        </w:rPr>
        <w:t>按最低价执行</w:t>
      </w:r>
      <w:r>
        <w:rPr>
          <w:rFonts w:hint="eastAsia" w:ascii="宋体" w:hAnsi="宋体" w:eastAsia="宋体" w:cs="宋体"/>
          <w:color w:val="000000"/>
          <w:kern w:val="2"/>
          <w:sz w:val="24"/>
          <w:szCs w:val="24"/>
          <w:highlight w:val="none"/>
        </w:rPr>
        <w:t>。</w:t>
      </w:r>
    </w:p>
    <w:p>
      <w:pPr>
        <w:spacing w:line="360" w:lineRule="auto"/>
        <w:ind w:firstLine="480" w:firstLineChars="200"/>
        <w:rPr>
          <w:rFonts w:hint="eastAsia" w:ascii="宋体" w:hAnsi="宋体" w:eastAsia="宋体" w:cs="宋体"/>
          <w:color w:val="000000"/>
          <w:kern w:val="2"/>
          <w:sz w:val="24"/>
          <w:szCs w:val="24"/>
          <w:highlight w:val="none"/>
          <w:lang w:eastAsia="zh-CN"/>
        </w:rPr>
      </w:pPr>
      <w:r>
        <w:rPr>
          <w:rFonts w:hint="eastAsia" w:ascii="宋体" w:hAnsi="宋体" w:eastAsia="宋体" w:cs="宋体"/>
          <w:color w:val="000000"/>
          <w:kern w:val="2"/>
          <w:sz w:val="24"/>
          <w:szCs w:val="24"/>
          <w:highlight w:val="none"/>
          <w:lang w:eastAsia="zh-CN"/>
        </w:rPr>
        <w:t>（</w:t>
      </w:r>
      <w:r>
        <w:rPr>
          <w:rFonts w:hint="eastAsia" w:ascii="宋体" w:hAnsi="宋体" w:eastAsia="宋体" w:cs="宋体"/>
          <w:color w:val="000000"/>
          <w:kern w:val="2"/>
          <w:sz w:val="24"/>
          <w:szCs w:val="24"/>
          <w:highlight w:val="none"/>
          <w:lang w:val="en-US" w:eastAsia="zh-CN"/>
        </w:rPr>
        <w:t>5</w:t>
      </w:r>
      <w:r>
        <w:rPr>
          <w:rFonts w:hint="eastAsia" w:ascii="宋体" w:hAnsi="宋体" w:eastAsia="宋体" w:cs="宋体"/>
          <w:color w:val="000000"/>
          <w:kern w:val="2"/>
          <w:sz w:val="24"/>
          <w:szCs w:val="24"/>
          <w:highlight w:val="none"/>
          <w:lang w:eastAsia="zh-CN"/>
        </w:rPr>
        <w:t>）本项目合同总价内已经包含了乙方应承担的所有风险，当不可抗力发生时，甲乙双方应共同协商，采取有力挽救措施降低本项目的损失，并各自承担经济上的损失和采取挽救措施造成的成本，甲乙双方均不得以不可抗力为由提出合同价变更、费用索赔等主张，但不可抗力造成工期延误的，工期可以顺延。不可抗力的辨识除按国家法定情形执行外，现阶段同时将疫情纳入不可抗力的范围。</w:t>
      </w:r>
    </w:p>
    <w:p>
      <w:pPr>
        <w:outlineLvl w:val="9"/>
        <w:rPr>
          <w:rFonts w:hint="eastAsia"/>
          <w:highlight w:val="none"/>
        </w:rPr>
      </w:pPr>
    </w:p>
    <w:p>
      <w:pPr>
        <w:pStyle w:val="62"/>
        <w:keepNext/>
        <w:keepLines/>
        <w:spacing w:before="120" w:after="120" w:line="360" w:lineRule="auto"/>
        <w:outlineLvl w:val="3"/>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rPr>
        <w:t>十二、违约责任</w:t>
      </w:r>
    </w:p>
    <w:p>
      <w:pPr>
        <w:pStyle w:val="62"/>
        <w:spacing w:line="360" w:lineRule="auto"/>
        <w:ind w:firstLine="482" w:firstLineChars="200"/>
        <w:rPr>
          <w:rFonts w:hint="eastAsia" w:ascii="宋体" w:hAnsi="宋体" w:eastAsia="宋体" w:cs="宋体"/>
          <w:b/>
          <w:bCs/>
          <w:color w:val="000000"/>
          <w:kern w:val="24"/>
          <w:sz w:val="24"/>
          <w:szCs w:val="24"/>
          <w:highlight w:val="none"/>
          <w:lang w:val="en-US" w:eastAsia="zh-CN"/>
        </w:rPr>
      </w:pPr>
      <w:r>
        <w:rPr>
          <w:rFonts w:hint="eastAsia" w:ascii="宋体" w:hAnsi="宋体" w:eastAsia="宋体" w:cs="宋体"/>
          <w:b/>
          <w:bCs/>
          <w:color w:val="000000"/>
          <w:kern w:val="24"/>
          <w:sz w:val="24"/>
          <w:szCs w:val="24"/>
          <w:highlight w:val="none"/>
          <w:lang w:val="en-US" w:eastAsia="zh-CN"/>
        </w:rPr>
        <w:t>（一）甲方的违约责任</w:t>
      </w:r>
    </w:p>
    <w:p>
      <w:pPr>
        <w:pStyle w:val="62"/>
        <w:spacing w:line="360" w:lineRule="auto"/>
        <w:ind w:firstLine="480" w:firstLineChars="200"/>
        <w:rPr>
          <w:rFonts w:hint="eastAsia" w:ascii="宋体" w:hAnsi="宋体" w:eastAsia="宋体" w:cs="宋体"/>
          <w:color w:val="000000"/>
          <w:kern w:val="24"/>
          <w:sz w:val="24"/>
          <w:szCs w:val="24"/>
          <w:highlight w:val="none"/>
          <w:lang w:val="en-US" w:eastAsia="zh-CN"/>
        </w:rPr>
      </w:pPr>
      <w:r>
        <w:rPr>
          <w:rFonts w:hint="eastAsia" w:ascii="宋体" w:hAnsi="宋体" w:eastAsia="宋体" w:cs="宋体"/>
          <w:color w:val="000000"/>
          <w:kern w:val="24"/>
          <w:sz w:val="24"/>
          <w:szCs w:val="24"/>
          <w:highlight w:val="none"/>
          <w:lang w:val="en-US" w:eastAsia="zh-CN"/>
        </w:rPr>
        <w:t>1、甲方无故未按合同约定支付乙方相应合同价款，且经双方协商未果的，视为甲方违约，乙方有权向甲方追责，并可同时中止履行合同义务；</w:t>
      </w:r>
    </w:p>
    <w:p>
      <w:pPr>
        <w:pStyle w:val="62"/>
        <w:spacing w:line="360" w:lineRule="auto"/>
        <w:ind w:firstLine="480" w:firstLineChars="200"/>
        <w:rPr>
          <w:rFonts w:hint="eastAsia" w:ascii="宋体" w:hAnsi="宋体" w:eastAsia="宋体" w:cs="宋体"/>
          <w:color w:val="000000"/>
          <w:kern w:val="24"/>
          <w:sz w:val="24"/>
          <w:szCs w:val="24"/>
          <w:highlight w:val="none"/>
          <w:lang w:val="en-US" w:eastAsia="zh-CN"/>
        </w:rPr>
      </w:pPr>
      <w:r>
        <w:rPr>
          <w:rFonts w:hint="eastAsia" w:ascii="宋体" w:hAnsi="宋体" w:eastAsia="宋体" w:cs="宋体"/>
          <w:color w:val="000000"/>
          <w:kern w:val="24"/>
          <w:sz w:val="24"/>
          <w:szCs w:val="24"/>
          <w:highlight w:val="none"/>
          <w:lang w:val="en-US" w:eastAsia="zh-CN"/>
        </w:rPr>
        <w:t>2、因设计单位设计图纸有误或其他施工单位施工有误，导致乙方不能正确安装设备，并经乙方向甲方提出整改意见后，未在双方协商的整改期限内整改完毕的，视为甲方违约，乙方有权向甲方提出相应的工期索赔和设备仓储保管等方面的费用索赔；</w:t>
      </w:r>
    </w:p>
    <w:p>
      <w:pPr>
        <w:pStyle w:val="62"/>
        <w:spacing w:line="360" w:lineRule="auto"/>
        <w:ind w:firstLine="480" w:firstLineChars="200"/>
        <w:rPr>
          <w:rFonts w:hint="eastAsia" w:ascii="宋体" w:hAnsi="宋体" w:eastAsia="宋体" w:cs="宋体"/>
          <w:color w:val="000000"/>
          <w:kern w:val="24"/>
          <w:sz w:val="24"/>
          <w:szCs w:val="24"/>
          <w:highlight w:val="none"/>
          <w:lang w:val="en-US" w:eastAsia="zh-CN"/>
        </w:rPr>
      </w:pPr>
      <w:r>
        <w:rPr>
          <w:rFonts w:hint="eastAsia" w:ascii="宋体" w:hAnsi="宋体" w:eastAsia="宋体" w:cs="宋体"/>
          <w:color w:val="000000"/>
          <w:kern w:val="24"/>
          <w:sz w:val="24"/>
          <w:szCs w:val="24"/>
          <w:highlight w:val="none"/>
          <w:lang w:val="en-US" w:eastAsia="zh-CN"/>
        </w:rPr>
        <w:t>3、当甲方因上述违约情形或其他情形导致本合同已无继续履行下去的可能，乙方可单方面解除合同，并有权继续向甲方追责及追偿。</w:t>
      </w:r>
    </w:p>
    <w:p>
      <w:pPr>
        <w:pStyle w:val="62"/>
        <w:spacing w:line="360" w:lineRule="auto"/>
        <w:ind w:firstLine="482" w:firstLineChars="200"/>
        <w:rPr>
          <w:rFonts w:hint="default" w:ascii="宋体" w:hAnsi="宋体" w:eastAsia="宋体" w:cs="宋体"/>
          <w:b/>
          <w:bCs/>
          <w:color w:val="000000"/>
          <w:kern w:val="24"/>
          <w:sz w:val="24"/>
          <w:szCs w:val="24"/>
          <w:highlight w:val="none"/>
          <w:lang w:val="en-US" w:eastAsia="zh-CN"/>
        </w:rPr>
      </w:pPr>
      <w:r>
        <w:rPr>
          <w:rFonts w:hint="eastAsia" w:ascii="宋体" w:hAnsi="宋体" w:eastAsia="宋体" w:cs="宋体"/>
          <w:b/>
          <w:bCs/>
          <w:color w:val="000000"/>
          <w:kern w:val="24"/>
          <w:sz w:val="24"/>
          <w:szCs w:val="24"/>
          <w:highlight w:val="none"/>
          <w:lang w:val="en-US" w:eastAsia="zh-CN"/>
        </w:rPr>
        <w:t>（二）乙方的违约责任</w:t>
      </w:r>
    </w:p>
    <w:p>
      <w:pPr>
        <w:pStyle w:val="62"/>
        <w:spacing w:line="360" w:lineRule="auto"/>
        <w:ind w:firstLine="480" w:firstLineChars="200"/>
        <w:rPr>
          <w:rFonts w:hint="eastAsia" w:ascii="宋体" w:hAnsi="宋体" w:eastAsia="宋体" w:cs="宋体"/>
          <w:color w:val="000000"/>
          <w:kern w:val="24"/>
          <w:sz w:val="24"/>
          <w:szCs w:val="24"/>
          <w:highlight w:val="none"/>
        </w:rPr>
      </w:pPr>
      <w:r>
        <w:rPr>
          <w:rFonts w:hint="eastAsia" w:ascii="宋体" w:hAnsi="宋体" w:eastAsia="宋体" w:cs="宋体"/>
          <w:color w:val="000000"/>
          <w:kern w:val="24"/>
          <w:sz w:val="24"/>
          <w:szCs w:val="24"/>
          <w:highlight w:val="none"/>
          <w:lang w:val="en-US" w:eastAsia="zh-CN"/>
        </w:rPr>
        <w:t>1、</w:t>
      </w:r>
      <w:r>
        <w:rPr>
          <w:rFonts w:hint="eastAsia" w:ascii="宋体" w:hAnsi="宋体" w:eastAsia="宋体" w:cs="宋体"/>
          <w:color w:val="000000"/>
          <w:kern w:val="24"/>
          <w:sz w:val="24"/>
          <w:szCs w:val="24"/>
          <w:highlight w:val="none"/>
        </w:rPr>
        <w:t>凡设备在开箱检验、就位、安装、调试、设备试运转过程中发现的设备质量问题，由</w:t>
      </w:r>
      <w:r>
        <w:rPr>
          <w:rFonts w:hint="eastAsia" w:ascii="宋体" w:hAnsi="宋体" w:eastAsia="宋体" w:cs="宋体"/>
          <w:color w:val="000000"/>
          <w:kern w:val="24"/>
          <w:sz w:val="24"/>
          <w:szCs w:val="24"/>
          <w:highlight w:val="none"/>
          <w:lang w:eastAsia="zh-CN"/>
        </w:rPr>
        <w:t>乙方</w:t>
      </w:r>
      <w:r>
        <w:rPr>
          <w:rFonts w:hint="eastAsia" w:ascii="宋体" w:hAnsi="宋体" w:eastAsia="宋体" w:cs="宋体"/>
          <w:color w:val="000000"/>
          <w:kern w:val="24"/>
          <w:sz w:val="24"/>
          <w:szCs w:val="24"/>
          <w:highlight w:val="none"/>
        </w:rPr>
        <w:t>负责处理，实行包换、包退、直至产品符合质量要求。</w:t>
      </w:r>
      <w:r>
        <w:rPr>
          <w:rFonts w:hint="eastAsia" w:ascii="宋体" w:hAnsi="宋体" w:eastAsia="宋体" w:cs="宋体"/>
          <w:color w:val="000000"/>
          <w:kern w:val="24"/>
          <w:sz w:val="24"/>
          <w:szCs w:val="24"/>
          <w:highlight w:val="none"/>
          <w:lang w:eastAsia="zh-CN"/>
        </w:rPr>
        <w:t>乙方</w:t>
      </w:r>
      <w:r>
        <w:rPr>
          <w:rFonts w:hint="eastAsia" w:ascii="宋体" w:hAnsi="宋体" w:eastAsia="宋体" w:cs="宋体"/>
          <w:color w:val="000000"/>
          <w:kern w:val="24"/>
          <w:sz w:val="24"/>
          <w:szCs w:val="24"/>
          <w:highlight w:val="none"/>
        </w:rPr>
        <w:t>应当承担因调换、退货发生的逾期交货责任、一切费用及因此导致</w:t>
      </w:r>
      <w:r>
        <w:rPr>
          <w:rFonts w:hint="eastAsia" w:ascii="宋体" w:hAnsi="宋体" w:eastAsia="宋体" w:cs="宋体"/>
          <w:color w:val="000000"/>
          <w:kern w:val="24"/>
          <w:sz w:val="24"/>
          <w:szCs w:val="24"/>
          <w:highlight w:val="none"/>
          <w:lang w:eastAsia="zh-CN"/>
        </w:rPr>
        <w:t>甲方</w:t>
      </w:r>
      <w:r>
        <w:rPr>
          <w:rFonts w:hint="eastAsia" w:ascii="宋体" w:hAnsi="宋体" w:eastAsia="宋体" w:cs="宋体"/>
          <w:color w:val="000000"/>
          <w:kern w:val="24"/>
          <w:sz w:val="24"/>
          <w:szCs w:val="24"/>
          <w:highlight w:val="none"/>
        </w:rPr>
        <w:t>的经济损失，并承担相关责任。</w:t>
      </w:r>
    </w:p>
    <w:p>
      <w:pPr>
        <w:pStyle w:val="6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kern w:val="24"/>
          <w:sz w:val="24"/>
          <w:szCs w:val="24"/>
          <w:highlight w:val="none"/>
        </w:rPr>
      </w:pPr>
      <w:r>
        <w:rPr>
          <w:rFonts w:hint="eastAsia" w:ascii="宋体" w:hAnsi="宋体" w:eastAsia="宋体" w:cs="宋体"/>
          <w:color w:val="000000"/>
          <w:kern w:val="24"/>
          <w:sz w:val="24"/>
          <w:szCs w:val="24"/>
          <w:highlight w:val="none"/>
          <w:lang w:val="en-US" w:eastAsia="zh-CN"/>
        </w:rPr>
        <w:t>2、</w:t>
      </w:r>
      <w:r>
        <w:rPr>
          <w:rFonts w:hint="eastAsia" w:ascii="宋体" w:hAnsi="宋体" w:eastAsia="宋体" w:cs="宋体"/>
          <w:color w:val="000000"/>
          <w:kern w:val="24"/>
          <w:sz w:val="24"/>
          <w:szCs w:val="24"/>
          <w:highlight w:val="none"/>
          <w:lang w:eastAsia="zh-CN"/>
        </w:rPr>
        <w:t>乙方</w:t>
      </w:r>
      <w:r>
        <w:rPr>
          <w:rFonts w:hint="eastAsia" w:ascii="宋体" w:hAnsi="宋体" w:eastAsia="宋体" w:cs="宋体"/>
          <w:color w:val="000000"/>
          <w:kern w:val="24"/>
          <w:sz w:val="24"/>
          <w:szCs w:val="24"/>
          <w:highlight w:val="none"/>
        </w:rPr>
        <w:t>应在接到</w:t>
      </w:r>
      <w:r>
        <w:rPr>
          <w:rFonts w:hint="eastAsia" w:ascii="宋体" w:hAnsi="宋体" w:eastAsia="宋体" w:cs="宋体"/>
          <w:color w:val="000000"/>
          <w:kern w:val="24"/>
          <w:sz w:val="24"/>
          <w:szCs w:val="24"/>
          <w:highlight w:val="none"/>
          <w:lang w:eastAsia="zh-CN"/>
        </w:rPr>
        <w:t>甲方</w:t>
      </w:r>
      <w:r>
        <w:rPr>
          <w:rFonts w:hint="eastAsia" w:ascii="宋体" w:hAnsi="宋体" w:eastAsia="宋体" w:cs="宋体"/>
          <w:color w:val="000000"/>
          <w:kern w:val="24"/>
          <w:sz w:val="24"/>
          <w:szCs w:val="24"/>
          <w:highlight w:val="none"/>
        </w:rPr>
        <w:t>通知后1小时内响应，协助</w:t>
      </w:r>
      <w:r>
        <w:rPr>
          <w:rFonts w:hint="eastAsia" w:ascii="宋体" w:hAnsi="宋体" w:eastAsia="宋体" w:cs="宋体"/>
          <w:color w:val="000000"/>
          <w:kern w:val="24"/>
          <w:sz w:val="24"/>
          <w:szCs w:val="24"/>
          <w:highlight w:val="none"/>
          <w:lang w:eastAsia="zh-CN"/>
        </w:rPr>
        <w:t>甲方</w:t>
      </w:r>
      <w:r>
        <w:rPr>
          <w:rFonts w:hint="eastAsia" w:ascii="宋体" w:hAnsi="宋体" w:eastAsia="宋体" w:cs="宋体"/>
          <w:color w:val="000000"/>
          <w:kern w:val="24"/>
          <w:sz w:val="24"/>
          <w:szCs w:val="24"/>
          <w:highlight w:val="none"/>
        </w:rPr>
        <w:t>排除故障。若不能按本合同约定时限按时排除故障的，</w:t>
      </w:r>
      <w:r>
        <w:rPr>
          <w:rFonts w:hint="eastAsia" w:ascii="宋体" w:hAnsi="宋体" w:eastAsia="宋体" w:cs="宋体"/>
          <w:color w:val="000000"/>
          <w:kern w:val="24"/>
          <w:sz w:val="24"/>
          <w:szCs w:val="24"/>
          <w:highlight w:val="none"/>
          <w:lang w:eastAsia="zh-CN"/>
        </w:rPr>
        <w:t>乙方</w:t>
      </w:r>
      <w:r>
        <w:rPr>
          <w:rFonts w:hint="eastAsia" w:ascii="宋体" w:hAnsi="宋体" w:eastAsia="宋体" w:cs="宋体"/>
          <w:color w:val="000000"/>
          <w:kern w:val="24"/>
          <w:sz w:val="24"/>
          <w:szCs w:val="24"/>
          <w:highlight w:val="none"/>
        </w:rPr>
        <w:t>须提供同等性能、同等配置的货物替换。若</w:t>
      </w:r>
      <w:r>
        <w:rPr>
          <w:rFonts w:hint="eastAsia" w:ascii="宋体" w:hAnsi="宋体" w:eastAsia="宋体" w:cs="宋体"/>
          <w:color w:val="000000"/>
          <w:kern w:val="24"/>
          <w:sz w:val="24"/>
          <w:szCs w:val="24"/>
          <w:highlight w:val="none"/>
          <w:lang w:eastAsia="zh-CN"/>
        </w:rPr>
        <w:t>乙方</w:t>
      </w:r>
      <w:r>
        <w:rPr>
          <w:rFonts w:hint="eastAsia" w:ascii="宋体" w:hAnsi="宋体" w:eastAsia="宋体" w:cs="宋体"/>
          <w:color w:val="000000"/>
          <w:kern w:val="24"/>
          <w:sz w:val="24"/>
          <w:szCs w:val="24"/>
          <w:highlight w:val="none"/>
        </w:rPr>
        <w:t>未及时提供服务，</w:t>
      </w:r>
      <w:r>
        <w:rPr>
          <w:rFonts w:hint="eastAsia" w:ascii="宋体" w:hAnsi="宋体" w:eastAsia="宋体" w:cs="宋体"/>
          <w:color w:val="000000"/>
          <w:kern w:val="24"/>
          <w:sz w:val="24"/>
          <w:szCs w:val="24"/>
          <w:highlight w:val="none"/>
          <w:lang w:eastAsia="zh-CN"/>
        </w:rPr>
        <w:t>甲方</w:t>
      </w:r>
      <w:r>
        <w:rPr>
          <w:rFonts w:hint="eastAsia" w:ascii="宋体" w:hAnsi="宋体" w:eastAsia="宋体" w:cs="宋体"/>
          <w:color w:val="000000"/>
          <w:kern w:val="24"/>
          <w:sz w:val="24"/>
          <w:szCs w:val="24"/>
          <w:highlight w:val="none"/>
        </w:rPr>
        <w:t>有权自行委托第三方维修，由此产生的费用由</w:t>
      </w:r>
      <w:r>
        <w:rPr>
          <w:rFonts w:hint="eastAsia" w:ascii="宋体" w:hAnsi="宋体" w:eastAsia="宋体" w:cs="宋体"/>
          <w:color w:val="000000"/>
          <w:kern w:val="24"/>
          <w:sz w:val="24"/>
          <w:szCs w:val="24"/>
          <w:highlight w:val="none"/>
          <w:lang w:eastAsia="zh-CN"/>
        </w:rPr>
        <w:t>乙方</w:t>
      </w:r>
      <w:r>
        <w:rPr>
          <w:rFonts w:hint="eastAsia" w:ascii="宋体" w:hAnsi="宋体" w:eastAsia="宋体" w:cs="宋体"/>
          <w:color w:val="000000"/>
          <w:kern w:val="24"/>
          <w:sz w:val="24"/>
          <w:szCs w:val="24"/>
          <w:highlight w:val="none"/>
        </w:rPr>
        <w:t>承担。</w:t>
      </w:r>
    </w:p>
    <w:p>
      <w:pPr>
        <w:pStyle w:val="6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b w:val="0"/>
          <w:bCs w:val="0"/>
          <w:color w:val="000000"/>
          <w:sz w:val="24"/>
          <w:szCs w:val="24"/>
          <w:highlight w:val="none"/>
          <w:lang w:val="en-US" w:eastAsia="zh-CN"/>
        </w:rPr>
        <w:t>3、</w:t>
      </w:r>
      <w:r>
        <w:rPr>
          <w:rFonts w:hint="eastAsia" w:ascii="宋体" w:hAnsi="宋体" w:eastAsia="宋体" w:cs="宋体"/>
          <w:b w:val="0"/>
          <w:bCs w:val="0"/>
          <w:color w:val="000000"/>
          <w:sz w:val="24"/>
          <w:szCs w:val="24"/>
          <w:highlight w:val="none"/>
        </w:rPr>
        <w:t>除不可抗力以外，如</w:t>
      </w:r>
      <w:r>
        <w:rPr>
          <w:rFonts w:hint="eastAsia" w:ascii="宋体" w:hAnsi="宋体" w:eastAsia="宋体" w:cs="宋体"/>
          <w:b w:val="0"/>
          <w:bCs w:val="0"/>
          <w:color w:val="000000"/>
          <w:sz w:val="24"/>
          <w:szCs w:val="24"/>
          <w:highlight w:val="none"/>
          <w:lang w:eastAsia="zh-CN"/>
        </w:rPr>
        <w:t>乙方</w:t>
      </w:r>
      <w:r>
        <w:rPr>
          <w:rFonts w:hint="eastAsia" w:ascii="宋体" w:hAnsi="宋体" w:eastAsia="宋体" w:cs="宋体"/>
          <w:b w:val="0"/>
          <w:bCs w:val="0"/>
          <w:color w:val="000000"/>
          <w:sz w:val="24"/>
          <w:szCs w:val="24"/>
          <w:highlight w:val="none"/>
        </w:rPr>
        <w:t>发生不能按期交货或提供服务，</w:t>
      </w:r>
      <w:r>
        <w:rPr>
          <w:rFonts w:hint="eastAsia" w:ascii="宋体" w:hAnsi="宋体" w:eastAsia="宋体" w:cs="宋体"/>
          <w:b w:val="0"/>
          <w:bCs w:val="0"/>
          <w:color w:val="000000"/>
          <w:sz w:val="24"/>
          <w:szCs w:val="24"/>
          <w:highlight w:val="none"/>
          <w:lang w:eastAsia="zh-CN"/>
        </w:rPr>
        <w:t>甲方</w:t>
      </w:r>
      <w:r>
        <w:rPr>
          <w:rFonts w:hint="eastAsia" w:ascii="宋体" w:hAnsi="宋体" w:eastAsia="宋体" w:cs="宋体"/>
          <w:b w:val="0"/>
          <w:bCs w:val="0"/>
          <w:color w:val="000000"/>
          <w:sz w:val="24"/>
          <w:szCs w:val="24"/>
          <w:highlight w:val="none"/>
        </w:rPr>
        <w:t>发生中途退货等情况，应及时以书面形式通知对方。买卖双方应本着友好的态度进行协商，妥善解决。如协商无效，按下列规定计算并支付违约金。</w:t>
      </w:r>
    </w:p>
    <w:p>
      <w:pPr>
        <w:pStyle w:val="6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000000"/>
          <w:sz w:val="24"/>
          <w:szCs w:val="24"/>
          <w:highlight w:val="none"/>
        </w:rPr>
      </w:pPr>
      <w:r>
        <w:rPr>
          <w:rFonts w:hint="eastAsia" w:ascii="宋体" w:hAnsi="宋体" w:eastAsia="宋体" w:cs="宋体"/>
          <w:b w:val="0"/>
          <w:bCs w:val="0"/>
          <w:color w:val="000000"/>
          <w:sz w:val="24"/>
          <w:szCs w:val="24"/>
          <w:highlight w:val="none"/>
          <w:lang w:val="en-US" w:eastAsia="zh-CN"/>
        </w:rPr>
        <w:t>4</w:t>
      </w:r>
      <w:r>
        <w:rPr>
          <w:rFonts w:hint="eastAsia" w:ascii="宋体" w:hAnsi="宋体" w:eastAsia="宋体" w:cs="宋体"/>
          <w:b w:val="0"/>
          <w:bCs w:val="0"/>
          <w:color w:val="000000"/>
          <w:sz w:val="24"/>
          <w:szCs w:val="24"/>
          <w:highlight w:val="none"/>
        </w:rPr>
        <w:t>、</w:t>
      </w:r>
      <w:r>
        <w:rPr>
          <w:rFonts w:hint="eastAsia" w:ascii="宋体" w:hAnsi="宋体" w:eastAsia="宋体" w:cs="宋体"/>
          <w:b w:val="0"/>
          <w:bCs w:val="0"/>
          <w:color w:val="000000"/>
          <w:sz w:val="24"/>
          <w:szCs w:val="24"/>
          <w:highlight w:val="none"/>
          <w:lang w:eastAsia="zh-CN"/>
        </w:rPr>
        <w:t>乙方</w:t>
      </w:r>
      <w:r>
        <w:rPr>
          <w:rFonts w:hint="eastAsia" w:ascii="宋体" w:hAnsi="宋体" w:eastAsia="宋体" w:cs="宋体"/>
          <w:b w:val="0"/>
          <w:bCs w:val="0"/>
          <w:color w:val="000000"/>
          <w:sz w:val="24"/>
          <w:szCs w:val="24"/>
          <w:highlight w:val="none"/>
        </w:rPr>
        <w:t>逾期交货应向</w:t>
      </w:r>
      <w:r>
        <w:rPr>
          <w:rFonts w:hint="eastAsia" w:ascii="宋体" w:hAnsi="宋体" w:eastAsia="宋体" w:cs="宋体"/>
          <w:b w:val="0"/>
          <w:bCs w:val="0"/>
          <w:color w:val="000000"/>
          <w:sz w:val="24"/>
          <w:szCs w:val="24"/>
          <w:highlight w:val="none"/>
          <w:lang w:eastAsia="zh-CN"/>
        </w:rPr>
        <w:t>甲方</w:t>
      </w:r>
      <w:r>
        <w:rPr>
          <w:rFonts w:hint="eastAsia" w:ascii="宋体" w:hAnsi="宋体" w:eastAsia="宋体" w:cs="宋体"/>
          <w:b w:val="0"/>
          <w:bCs w:val="0"/>
          <w:color w:val="000000"/>
          <w:sz w:val="24"/>
          <w:szCs w:val="24"/>
          <w:highlight w:val="none"/>
        </w:rPr>
        <w:t>偿付违约金，每逾期一天，按本合同总价的千分之一赔偿，整机中的零部件逾期交货，按整机逾期交货计算违约金。逾期交货超过90天，</w:t>
      </w:r>
      <w:r>
        <w:rPr>
          <w:rFonts w:hint="eastAsia" w:ascii="宋体" w:hAnsi="宋体" w:eastAsia="宋体" w:cs="宋体"/>
          <w:b w:val="0"/>
          <w:bCs w:val="0"/>
          <w:color w:val="000000"/>
          <w:sz w:val="24"/>
          <w:szCs w:val="24"/>
          <w:highlight w:val="none"/>
          <w:lang w:eastAsia="zh-CN"/>
        </w:rPr>
        <w:t>甲方</w:t>
      </w:r>
      <w:r>
        <w:rPr>
          <w:rFonts w:hint="eastAsia" w:ascii="宋体" w:hAnsi="宋体" w:eastAsia="宋体" w:cs="宋体"/>
          <w:b w:val="0"/>
          <w:bCs w:val="0"/>
          <w:color w:val="000000"/>
          <w:sz w:val="24"/>
          <w:szCs w:val="24"/>
          <w:highlight w:val="none"/>
        </w:rPr>
        <w:t>有权提前终止本合同。</w:t>
      </w:r>
    </w:p>
    <w:p>
      <w:pPr>
        <w:pStyle w:val="6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000000"/>
          <w:sz w:val="24"/>
          <w:szCs w:val="24"/>
          <w:highlight w:val="none"/>
        </w:rPr>
      </w:pPr>
      <w:r>
        <w:rPr>
          <w:rFonts w:hint="eastAsia" w:ascii="宋体" w:hAnsi="宋体" w:eastAsia="宋体" w:cs="宋体"/>
          <w:b w:val="0"/>
          <w:bCs w:val="0"/>
          <w:color w:val="000000"/>
          <w:sz w:val="24"/>
          <w:szCs w:val="24"/>
          <w:highlight w:val="none"/>
          <w:lang w:val="en-US" w:eastAsia="zh-CN"/>
        </w:rPr>
        <w:t>5</w:t>
      </w:r>
      <w:r>
        <w:rPr>
          <w:rFonts w:hint="eastAsia" w:ascii="宋体" w:hAnsi="宋体" w:eastAsia="宋体" w:cs="宋体"/>
          <w:b w:val="0"/>
          <w:bCs w:val="0"/>
          <w:color w:val="000000"/>
          <w:sz w:val="24"/>
          <w:szCs w:val="24"/>
          <w:highlight w:val="none"/>
        </w:rPr>
        <w:t>、</w:t>
      </w:r>
      <w:r>
        <w:rPr>
          <w:rFonts w:hint="eastAsia" w:ascii="宋体" w:hAnsi="宋体" w:eastAsia="宋体" w:cs="宋体"/>
          <w:b w:val="0"/>
          <w:bCs w:val="0"/>
          <w:color w:val="000000"/>
          <w:sz w:val="24"/>
          <w:szCs w:val="24"/>
          <w:highlight w:val="none"/>
          <w:lang w:eastAsia="zh-CN"/>
        </w:rPr>
        <w:t>乙方</w:t>
      </w:r>
      <w:r>
        <w:rPr>
          <w:rFonts w:hint="eastAsia" w:ascii="宋体" w:hAnsi="宋体" w:eastAsia="宋体" w:cs="宋体"/>
          <w:b w:val="0"/>
          <w:bCs w:val="0"/>
          <w:color w:val="000000"/>
          <w:sz w:val="24"/>
          <w:szCs w:val="24"/>
          <w:highlight w:val="none"/>
        </w:rPr>
        <w:t>不能交货或</w:t>
      </w:r>
      <w:r>
        <w:rPr>
          <w:rFonts w:hint="eastAsia" w:ascii="宋体" w:hAnsi="宋体" w:eastAsia="宋体" w:cs="宋体"/>
          <w:b w:val="0"/>
          <w:bCs w:val="0"/>
          <w:color w:val="000000"/>
          <w:sz w:val="24"/>
          <w:szCs w:val="24"/>
          <w:highlight w:val="none"/>
          <w:lang w:eastAsia="zh-CN"/>
        </w:rPr>
        <w:t>甲方</w:t>
      </w:r>
      <w:r>
        <w:rPr>
          <w:rFonts w:hint="eastAsia" w:ascii="宋体" w:hAnsi="宋体" w:eastAsia="宋体" w:cs="宋体"/>
          <w:b w:val="0"/>
          <w:bCs w:val="0"/>
          <w:color w:val="000000"/>
          <w:sz w:val="24"/>
          <w:szCs w:val="24"/>
          <w:highlight w:val="none"/>
        </w:rPr>
        <w:t>中途退货：</w:t>
      </w:r>
    </w:p>
    <w:p>
      <w:pPr>
        <w:pStyle w:val="6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b w:val="0"/>
          <w:bCs w:val="0"/>
          <w:color w:val="000000"/>
          <w:sz w:val="24"/>
          <w:szCs w:val="24"/>
          <w:highlight w:val="none"/>
          <w:lang w:val="en-US" w:eastAsia="zh-CN"/>
        </w:rPr>
        <w:t>5.1</w:t>
      </w:r>
      <w:r>
        <w:rPr>
          <w:rFonts w:hint="eastAsia" w:ascii="宋体" w:hAnsi="宋体" w:eastAsia="宋体" w:cs="宋体"/>
          <w:b w:val="0"/>
          <w:bCs w:val="0"/>
          <w:color w:val="000000"/>
          <w:sz w:val="24"/>
          <w:szCs w:val="24"/>
          <w:highlight w:val="none"/>
          <w:lang w:eastAsia="zh-CN"/>
        </w:rPr>
        <w:t>乙方</w:t>
      </w:r>
      <w:r>
        <w:rPr>
          <w:rFonts w:hint="eastAsia" w:ascii="宋体" w:hAnsi="宋体" w:eastAsia="宋体" w:cs="宋体"/>
          <w:b w:val="0"/>
          <w:bCs w:val="0"/>
          <w:color w:val="000000"/>
          <w:sz w:val="24"/>
          <w:szCs w:val="24"/>
          <w:highlight w:val="none"/>
        </w:rPr>
        <w:t>不能交货或单方解除合同，应全额退还</w:t>
      </w:r>
      <w:r>
        <w:rPr>
          <w:rFonts w:hint="eastAsia" w:ascii="宋体" w:hAnsi="宋体" w:eastAsia="宋体" w:cs="宋体"/>
          <w:b w:val="0"/>
          <w:bCs w:val="0"/>
          <w:color w:val="000000"/>
          <w:sz w:val="24"/>
          <w:szCs w:val="24"/>
          <w:highlight w:val="none"/>
          <w:lang w:eastAsia="zh-CN"/>
        </w:rPr>
        <w:t>甲</w:t>
      </w:r>
      <w:r>
        <w:rPr>
          <w:rFonts w:hint="eastAsia" w:ascii="宋体" w:hAnsi="宋体" w:eastAsia="宋体" w:cs="宋体"/>
          <w:color w:val="000000"/>
          <w:sz w:val="24"/>
          <w:szCs w:val="24"/>
          <w:highlight w:val="none"/>
          <w:lang w:eastAsia="zh-CN"/>
        </w:rPr>
        <w:t>方</w:t>
      </w:r>
      <w:r>
        <w:rPr>
          <w:rFonts w:hint="eastAsia" w:ascii="宋体" w:hAnsi="宋体" w:eastAsia="宋体" w:cs="宋体"/>
          <w:color w:val="000000"/>
          <w:sz w:val="24"/>
          <w:szCs w:val="24"/>
          <w:highlight w:val="none"/>
        </w:rPr>
        <w:t>支付的预付款和同期银行利息，同时应向</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偿付违约金，违约金按本合同总价的10％计付，同时履约担保不予退还，如违约金不足以弥补</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损失的，超过部分由</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继续向</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赔偿。</w:t>
      </w:r>
    </w:p>
    <w:p>
      <w:pPr>
        <w:pStyle w:val="62"/>
        <w:keepNext w:val="0"/>
        <w:keepLines w:val="0"/>
        <w:pageBreakBefore w:val="0"/>
        <w:widowControl w:val="0"/>
        <w:kinsoku/>
        <w:wordWrap/>
        <w:overflowPunct/>
        <w:topLinePunct w:val="0"/>
        <w:autoSpaceDE/>
        <w:autoSpaceDN/>
        <w:bidi w:val="0"/>
        <w:adjustRightInd/>
        <w:snapToGrid/>
        <w:spacing w:line="360" w:lineRule="auto"/>
        <w:ind w:firstLine="240" w:firstLineChars="1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5.2</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中途退货，应向</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偿付违约金，违约金按</w:t>
      </w:r>
      <w:r>
        <w:rPr>
          <w:rFonts w:hint="eastAsia" w:ascii="宋体" w:hAnsi="宋体" w:cs="宋体"/>
          <w:color w:val="000000"/>
          <w:sz w:val="24"/>
          <w:szCs w:val="24"/>
          <w:highlight w:val="none"/>
          <w:lang w:val="en-US" w:eastAsia="zh-CN"/>
        </w:rPr>
        <w:t>退货货款总值</w:t>
      </w:r>
      <w:r>
        <w:rPr>
          <w:rFonts w:hint="eastAsia" w:ascii="宋体" w:hAnsi="宋体" w:eastAsia="宋体" w:cs="宋体"/>
          <w:color w:val="000000"/>
          <w:sz w:val="24"/>
          <w:szCs w:val="24"/>
          <w:highlight w:val="none"/>
        </w:rPr>
        <w:t>的10%计付。</w:t>
      </w:r>
    </w:p>
    <w:p>
      <w:pPr>
        <w:pStyle w:val="62"/>
        <w:spacing w:line="360" w:lineRule="auto"/>
        <w:ind w:firstLine="420"/>
        <w:rPr>
          <w:rFonts w:hint="eastAsia" w:ascii="宋体" w:hAnsi="宋体" w:eastAsia="宋体" w:cs="宋体"/>
          <w:color w:val="000000"/>
          <w:sz w:val="24"/>
          <w:szCs w:val="24"/>
          <w:highlight w:val="none"/>
        </w:rPr>
      </w:pPr>
      <w:r>
        <w:rPr>
          <w:rFonts w:hint="eastAsia" w:ascii="宋体" w:hAnsi="宋体" w:eastAsia="宋体" w:cs="宋体"/>
          <w:color w:val="000000"/>
          <w:kern w:val="24"/>
          <w:sz w:val="24"/>
          <w:szCs w:val="24"/>
          <w:highlight w:val="none"/>
          <w:lang w:val="en-US" w:eastAsia="zh-CN"/>
        </w:rPr>
        <w:t>6</w:t>
      </w:r>
      <w:r>
        <w:rPr>
          <w:rFonts w:hint="eastAsia" w:ascii="宋体" w:hAnsi="宋体" w:eastAsia="宋体" w:cs="宋体"/>
          <w:color w:val="000000"/>
          <w:kern w:val="24"/>
          <w:sz w:val="24"/>
          <w:szCs w:val="24"/>
          <w:highlight w:val="none"/>
        </w:rPr>
        <w:t>、</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逾期交货超过90天的，</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有权解除合同，</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需退还</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已经支付的全部款项，并要求</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按合同总价的10%承担违约金；同时，其履约保证金不予退还（或据此向履约担保单位无条件索取其履约保证金）。</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因逾期交货或因其他违约行为导致</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解除本合同的，</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应向</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支付本合同货款总额的10%的违约金且履约保证金不予返还，如造成</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损失超过违约金的，超出部分由</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继续承担赔偿责任。</w:t>
      </w:r>
    </w:p>
    <w:p>
      <w:pPr>
        <w:pStyle w:val="62"/>
        <w:spacing w:line="360" w:lineRule="auto"/>
        <w:ind w:firstLine="42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7</w:t>
      </w:r>
      <w:r>
        <w:rPr>
          <w:rFonts w:hint="eastAsia" w:ascii="宋体" w:hAnsi="宋体" w:eastAsia="宋体" w:cs="宋体"/>
          <w:color w:val="000000"/>
          <w:sz w:val="24"/>
          <w:szCs w:val="24"/>
          <w:highlight w:val="none"/>
        </w:rPr>
        <w:t>、</w:t>
      </w:r>
      <w:r>
        <w:rPr>
          <w:rFonts w:hint="eastAsia" w:ascii="宋体" w:hAnsi="宋体" w:eastAsia="宋体" w:cs="宋体"/>
          <w:color w:val="000000"/>
          <w:sz w:val="24"/>
          <w:szCs w:val="24"/>
          <w:highlight w:val="none"/>
          <w:lang w:eastAsia="zh-CN"/>
        </w:rPr>
        <w:t>乙方</w:t>
      </w:r>
      <w:r>
        <w:rPr>
          <w:rFonts w:hint="eastAsia" w:ascii="宋体" w:hAnsi="宋体" w:cs="宋体"/>
          <w:color w:val="000000"/>
          <w:sz w:val="24"/>
          <w:szCs w:val="24"/>
          <w:highlight w:val="none"/>
          <w:lang w:val="en-US" w:eastAsia="zh-CN"/>
        </w:rPr>
        <w:t>应按招标文件要求组建项目组负责本项目的具体实施并提供相应服务，相关人员未按甲方要求按时</w:t>
      </w:r>
      <w:r>
        <w:rPr>
          <w:rFonts w:hint="eastAsia" w:ascii="宋体" w:hAnsi="宋体" w:eastAsia="宋体" w:cs="宋体"/>
          <w:color w:val="000000"/>
          <w:sz w:val="24"/>
          <w:szCs w:val="24"/>
          <w:highlight w:val="none"/>
        </w:rPr>
        <w:t>到位的，罚款</w:t>
      </w:r>
      <w:r>
        <w:rPr>
          <w:rFonts w:hint="eastAsia" w:ascii="宋体" w:hAnsi="宋体" w:eastAsia="宋体" w:cs="宋体"/>
          <w:color w:val="000000"/>
          <w:sz w:val="24"/>
          <w:szCs w:val="24"/>
          <w:highlight w:val="none"/>
          <w:lang w:val="en-US" w:eastAsia="zh-CN"/>
        </w:rPr>
        <w:t>人民币</w:t>
      </w:r>
      <w:r>
        <w:rPr>
          <w:rFonts w:hint="eastAsia" w:ascii="宋体" w:hAnsi="宋体" w:eastAsia="宋体" w:cs="宋体"/>
          <w:color w:val="000000"/>
          <w:sz w:val="24"/>
          <w:szCs w:val="24"/>
          <w:highlight w:val="none"/>
        </w:rPr>
        <w:t>10000元/人次*天，并需赔偿因此而给</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造成的全部损失（含</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需额外支付给其他协作单位的费用）。</w:t>
      </w:r>
    </w:p>
    <w:p>
      <w:pPr>
        <w:pStyle w:val="62"/>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8</w:t>
      </w:r>
      <w:r>
        <w:rPr>
          <w:rFonts w:hint="eastAsia" w:ascii="宋体" w:hAnsi="宋体" w:eastAsia="宋体" w:cs="宋体"/>
          <w:color w:val="000000"/>
          <w:sz w:val="24"/>
          <w:szCs w:val="24"/>
          <w:highlight w:val="none"/>
        </w:rPr>
        <w:t>、</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违反售后服务承诺的，每违反一次，</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有权要求</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支付</w:t>
      </w:r>
      <w:r>
        <w:rPr>
          <w:rFonts w:hint="eastAsia" w:ascii="宋体" w:hAnsi="宋体" w:eastAsia="宋体" w:cs="宋体"/>
          <w:color w:val="000000"/>
          <w:sz w:val="24"/>
          <w:szCs w:val="24"/>
          <w:highlight w:val="none"/>
          <w:lang w:val="en-US" w:eastAsia="zh-CN"/>
        </w:rPr>
        <w:t>10000</w:t>
      </w:r>
      <w:r>
        <w:rPr>
          <w:rFonts w:hint="eastAsia" w:ascii="宋体" w:hAnsi="宋体" w:eastAsia="宋体" w:cs="宋体"/>
          <w:color w:val="000000"/>
          <w:sz w:val="24"/>
          <w:szCs w:val="24"/>
          <w:highlight w:val="none"/>
        </w:rPr>
        <w:t>元违约金，违约超过</w:t>
      </w:r>
      <w:r>
        <w:rPr>
          <w:rFonts w:hint="eastAsia" w:ascii="宋体" w:hAnsi="宋体" w:eastAsia="宋体" w:cs="宋体"/>
          <w:color w:val="000000"/>
          <w:sz w:val="24"/>
          <w:szCs w:val="24"/>
          <w:highlight w:val="none"/>
          <w:lang w:val="en-US" w:eastAsia="zh-CN"/>
        </w:rPr>
        <w:t>3</w:t>
      </w:r>
      <w:r>
        <w:rPr>
          <w:rFonts w:hint="eastAsia" w:ascii="宋体" w:hAnsi="宋体" w:eastAsia="宋体" w:cs="宋体"/>
          <w:color w:val="000000"/>
          <w:sz w:val="24"/>
          <w:szCs w:val="24"/>
          <w:highlight w:val="none"/>
        </w:rPr>
        <w:t>次或给</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造成</w:t>
      </w:r>
      <w:r>
        <w:rPr>
          <w:rFonts w:hint="eastAsia" w:ascii="宋体" w:hAnsi="宋体" w:eastAsia="宋体" w:cs="宋体"/>
          <w:color w:val="000000"/>
          <w:sz w:val="24"/>
          <w:szCs w:val="24"/>
          <w:highlight w:val="none"/>
          <w:lang w:val="en-US" w:eastAsia="zh-CN"/>
        </w:rPr>
        <w:t>10</w:t>
      </w:r>
      <w:r>
        <w:rPr>
          <w:rFonts w:hint="eastAsia" w:ascii="宋体" w:hAnsi="宋体" w:eastAsia="宋体" w:cs="宋体"/>
          <w:color w:val="000000"/>
          <w:sz w:val="24"/>
          <w:szCs w:val="24"/>
          <w:highlight w:val="none"/>
        </w:rPr>
        <w:t>万元以上的损失时，</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有权罚没其全部质保金，同时，</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的合同义务并不因此而免除。</w:t>
      </w:r>
    </w:p>
    <w:p>
      <w:pPr>
        <w:pStyle w:val="62"/>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9</w:t>
      </w:r>
      <w:r>
        <w:rPr>
          <w:rFonts w:hint="eastAsia" w:ascii="宋体" w:hAnsi="宋体" w:eastAsia="宋体" w:cs="宋体"/>
          <w:color w:val="000000"/>
          <w:sz w:val="24"/>
          <w:szCs w:val="24"/>
          <w:highlight w:val="none"/>
        </w:rPr>
        <w:t>、</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未能依约履行保修义务时，</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为及时止损，有权另行委托其他第三方进行维护保养，相应费用全部由</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承担，并且</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有权按发生费用的10%加收管理费，上述费用全部直接从质保金中扣除，若有不足，有权继续向</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追偿。</w:t>
      </w:r>
    </w:p>
    <w:p>
      <w:pPr>
        <w:pStyle w:val="62"/>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10</w:t>
      </w:r>
      <w:r>
        <w:rPr>
          <w:rFonts w:hint="eastAsia" w:ascii="宋体" w:hAnsi="宋体" w:eastAsia="宋体" w:cs="宋体"/>
          <w:color w:val="000000"/>
          <w:sz w:val="24"/>
          <w:szCs w:val="24"/>
          <w:highlight w:val="none"/>
        </w:rPr>
        <w:t>、因</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违约解除合同的，合同于</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发出书面解除合同通知书之日起解除，同时</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不予退还其履约保证金（或据此向履约担保单位无条件索取其履约保证金）。</w:t>
      </w:r>
    </w:p>
    <w:p>
      <w:pPr>
        <w:pStyle w:val="62"/>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11</w:t>
      </w:r>
      <w:r>
        <w:rPr>
          <w:rFonts w:hint="eastAsia" w:ascii="宋体" w:hAnsi="宋体" w:eastAsia="宋体" w:cs="宋体"/>
          <w:color w:val="000000"/>
          <w:sz w:val="24"/>
          <w:szCs w:val="24"/>
          <w:highlight w:val="none"/>
        </w:rPr>
        <w:t>、如</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未能履行合同规定的任何一项义务，</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均有权从履约保证金或货款中直接扣除应由</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承担的违约金、赔偿款等费用。</w:t>
      </w:r>
    </w:p>
    <w:p>
      <w:pPr>
        <w:pStyle w:val="62"/>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12</w:t>
      </w:r>
      <w:r>
        <w:rPr>
          <w:rFonts w:hint="eastAsia" w:ascii="宋体" w:hAnsi="宋体" w:eastAsia="宋体" w:cs="宋体"/>
          <w:color w:val="000000"/>
          <w:sz w:val="24"/>
          <w:szCs w:val="24"/>
          <w:highlight w:val="none"/>
        </w:rPr>
        <w:t>、如</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因供货质量问题给</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造成损失，则全部由</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负责，并承担返修费用，</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按照合同法保留索赔的权利。</w:t>
      </w:r>
    </w:p>
    <w:p>
      <w:pPr>
        <w:pStyle w:val="62"/>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w:t>
      </w:r>
      <w:r>
        <w:rPr>
          <w:rFonts w:hint="eastAsia" w:ascii="宋体" w:hAnsi="宋体" w:eastAsia="宋体" w:cs="宋体"/>
          <w:color w:val="000000"/>
          <w:sz w:val="24"/>
          <w:szCs w:val="24"/>
          <w:highlight w:val="none"/>
          <w:lang w:val="en-US" w:eastAsia="zh-CN"/>
        </w:rPr>
        <w:t>3</w:t>
      </w:r>
      <w:r>
        <w:rPr>
          <w:rFonts w:hint="eastAsia" w:ascii="宋体" w:hAnsi="宋体" w:eastAsia="宋体" w:cs="宋体"/>
          <w:color w:val="000000"/>
          <w:sz w:val="24"/>
          <w:szCs w:val="24"/>
          <w:highlight w:val="none"/>
        </w:rPr>
        <w:t>、</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依据本合同应向</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承担的损失费用范围包括但不限于</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遭受的损失、损害赔偿金、违约金、利息、仲裁费、诉讼费、律师费、公证费、鉴定费、检测费、差旅费、</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向第三方支付的违约金或赔偿金等各项费用。</w:t>
      </w:r>
    </w:p>
    <w:p>
      <w:pPr>
        <w:pStyle w:val="62"/>
        <w:spacing w:line="360" w:lineRule="auto"/>
        <w:ind w:firstLine="480" w:firstLineChars="200"/>
        <w:rPr>
          <w:rFonts w:hint="eastAsia" w:ascii="宋体" w:hAnsi="宋体" w:eastAsia="宋体" w:cs="宋体"/>
          <w:color w:val="000000"/>
          <w:sz w:val="24"/>
          <w:szCs w:val="24"/>
          <w:highlight w:val="none"/>
          <w:lang w:val="en-US" w:eastAsia="zh-CN" w:bidi="ar-SA"/>
        </w:rPr>
      </w:pPr>
      <w:r>
        <w:rPr>
          <w:rFonts w:hint="eastAsia" w:ascii="宋体" w:hAnsi="宋体" w:eastAsia="宋体" w:cs="宋体"/>
          <w:color w:val="000000"/>
          <w:sz w:val="24"/>
          <w:szCs w:val="24"/>
          <w:highlight w:val="none"/>
          <w:lang w:val="en-US" w:eastAsia="zh-CN" w:bidi="ar-SA"/>
        </w:rPr>
        <w:t>14、若乙方使用假冒、劣质材料施工或施工中途偷换材料，一经发现，甲方或全过程工程咨询单位有权制止使用，有权要求停工、返工或终止合同。无论甲方及全过程工程咨询单位是否发现和制止，由于使用假冒劣质材料施工后所引起的一切损失、费用、责任均由乙方自负，甲方有权对</w:t>
      </w:r>
      <w:r>
        <w:rPr>
          <w:rFonts w:hint="eastAsia" w:ascii="宋体" w:hAnsi="宋体" w:cs="宋体"/>
          <w:color w:val="000000"/>
          <w:sz w:val="24"/>
          <w:szCs w:val="24"/>
          <w:highlight w:val="none"/>
          <w:lang w:val="en-US" w:eastAsia="zh-CN" w:bidi="ar-SA"/>
        </w:rPr>
        <w:t>乙方</w:t>
      </w:r>
      <w:r>
        <w:rPr>
          <w:rFonts w:hint="eastAsia" w:ascii="宋体" w:hAnsi="宋体" w:eastAsia="宋体" w:cs="宋体"/>
          <w:color w:val="000000"/>
          <w:sz w:val="24"/>
          <w:szCs w:val="24"/>
          <w:highlight w:val="none"/>
          <w:lang w:val="en-US" w:eastAsia="zh-CN" w:bidi="ar-SA"/>
        </w:rPr>
        <w:t>处以违约金，不论使用假冒劣质材料的金额大小和材料种类，违约金额一律以涉及的假冒劣质材料总金额和本合同总金额的2%的二者中的最大金额为准，造成人身伤害的，违约金额不受此限制。</w:t>
      </w:r>
    </w:p>
    <w:p>
      <w:pPr>
        <w:pStyle w:val="62"/>
        <w:spacing w:line="360" w:lineRule="auto"/>
        <w:ind w:firstLine="480" w:firstLineChars="200"/>
        <w:rPr>
          <w:rFonts w:hint="default" w:ascii="宋体" w:hAnsi="宋体" w:eastAsia="宋体" w:cs="宋体"/>
          <w:color w:val="000000"/>
          <w:sz w:val="24"/>
          <w:szCs w:val="24"/>
          <w:highlight w:val="none"/>
          <w:lang w:val="en-US" w:eastAsia="zh-CN" w:bidi="ar-SA"/>
        </w:rPr>
      </w:pPr>
      <w:r>
        <w:rPr>
          <w:rFonts w:hint="eastAsia" w:ascii="宋体" w:hAnsi="宋体" w:cs="宋体"/>
          <w:color w:val="000000"/>
          <w:sz w:val="24"/>
          <w:szCs w:val="24"/>
          <w:highlight w:val="none"/>
          <w:lang w:val="en-US" w:eastAsia="zh-CN" w:bidi="ar-SA"/>
        </w:rPr>
        <w:t>15、本</w:t>
      </w:r>
      <w:r>
        <w:rPr>
          <w:rFonts w:hint="eastAsia" w:eastAsia="宋体" w:cs="宋体"/>
          <w:color w:val="auto"/>
          <w:sz w:val="24"/>
          <w:szCs w:val="24"/>
          <w:highlight w:val="none"/>
          <w:lang w:eastAsia="zh-CN"/>
        </w:rPr>
        <w:t>总体建设项目</w:t>
      </w:r>
      <w:r>
        <w:rPr>
          <w:rFonts w:hint="eastAsia" w:cs="宋体"/>
          <w:color w:val="auto"/>
          <w:sz w:val="24"/>
          <w:szCs w:val="24"/>
          <w:highlight w:val="none"/>
          <w:lang w:val="en-US" w:eastAsia="zh-CN"/>
        </w:rPr>
        <w:t>质量总要求须</w:t>
      </w:r>
      <w:r>
        <w:rPr>
          <w:rFonts w:hint="eastAsia" w:eastAsia="宋体" w:cs="宋体"/>
          <w:color w:val="auto"/>
          <w:sz w:val="24"/>
          <w:szCs w:val="24"/>
          <w:highlight w:val="none"/>
          <w:lang w:eastAsia="zh-CN"/>
        </w:rPr>
        <w:t>达到</w:t>
      </w:r>
      <w:r>
        <w:rPr>
          <w:rFonts w:hint="eastAsia" w:eastAsia="宋体" w:cs="宋体"/>
          <w:b/>
          <w:bCs/>
          <w:color w:val="auto"/>
          <w:sz w:val="24"/>
          <w:szCs w:val="24"/>
          <w:highlight w:val="none"/>
          <w:lang w:eastAsia="zh-CN"/>
        </w:rPr>
        <w:t>符合国家施工质量验收规范合格标准，确保“钱江杯”，争创“鲁班奖”</w:t>
      </w:r>
      <w:r>
        <w:rPr>
          <w:rFonts w:hint="eastAsia" w:cs="宋体"/>
          <w:b/>
          <w:bCs/>
          <w:color w:val="auto"/>
          <w:sz w:val="24"/>
          <w:szCs w:val="24"/>
          <w:highlight w:val="none"/>
          <w:lang w:eastAsia="zh-CN"/>
        </w:rPr>
        <w:t>，</w:t>
      </w:r>
      <w:r>
        <w:rPr>
          <w:rFonts w:hint="eastAsia" w:cs="宋体"/>
          <w:b w:val="0"/>
          <w:bCs w:val="0"/>
          <w:color w:val="auto"/>
          <w:sz w:val="24"/>
          <w:szCs w:val="24"/>
          <w:highlight w:val="none"/>
          <w:lang w:val="en-US" w:eastAsia="zh-CN"/>
        </w:rPr>
        <w:t>如因乙方原因导致本总体建设项目创杯不成功的，甲方有权要求乙方进行整改，并扣除应支付的剩余合同价款以及质量保证金等，同时依法向乙方追偿甲方的一切损失（包括总承包服务管理费等）。</w:t>
      </w:r>
    </w:p>
    <w:p>
      <w:pPr>
        <w:pStyle w:val="62"/>
        <w:spacing w:after="156" w:line="360" w:lineRule="auto"/>
        <w:ind w:firstLine="482" w:firstLineChars="200"/>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rPr>
        <w:t>（</w:t>
      </w:r>
      <w:r>
        <w:rPr>
          <w:rFonts w:hint="eastAsia" w:ascii="宋体" w:hAnsi="宋体" w:eastAsia="宋体" w:cs="宋体"/>
          <w:b/>
          <w:bCs/>
          <w:color w:val="000000"/>
          <w:sz w:val="24"/>
          <w:szCs w:val="24"/>
          <w:highlight w:val="none"/>
          <w:lang w:eastAsia="zh-CN"/>
        </w:rPr>
        <w:t>三</w:t>
      </w:r>
      <w:r>
        <w:rPr>
          <w:rFonts w:hint="eastAsia" w:ascii="宋体" w:hAnsi="宋体" w:eastAsia="宋体" w:cs="宋体"/>
          <w:b/>
          <w:bCs/>
          <w:color w:val="000000"/>
          <w:sz w:val="24"/>
          <w:szCs w:val="24"/>
          <w:highlight w:val="none"/>
        </w:rPr>
        <w:t>）违约终止合同</w:t>
      </w:r>
    </w:p>
    <w:p>
      <w:pPr>
        <w:pStyle w:val="62"/>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在</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存在如下违约情况时，有权考虑并提出终止全部或部分合同。</w:t>
      </w:r>
    </w:p>
    <w:p>
      <w:pPr>
        <w:pStyle w:val="62"/>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1.1</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未能在合同规定期限或</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同意延长的期限内交付全部或部分设备。</w:t>
      </w:r>
    </w:p>
    <w:p>
      <w:pPr>
        <w:pStyle w:val="62"/>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1.2</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未能履行合同规定的其他义务。</w:t>
      </w:r>
    </w:p>
    <w:p>
      <w:pPr>
        <w:pStyle w:val="62"/>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1.3</w:t>
      </w:r>
      <w:r>
        <w:rPr>
          <w:rFonts w:hint="eastAsia" w:ascii="宋体" w:hAnsi="宋体" w:eastAsia="宋体" w:cs="宋体"/>
          <w:color w:val="000000"/>
          <w:sz w:val="24"/>
          <w:szCs w:val="24"/>
          <w:highlight w:val="none"/>
        </w:rPr>
        <w:t xml:space="preserve"> 在发生上述情况后，</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收到</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的违约通知后30天内未能纠正其过失。</w:t>
      </w:r>
    </w:p>
    <w:p>
      <w:pPr>
        <w:pStyle w:val="62"/>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应继续执行合同中未终止部分。</w:t>
      </w:r>
    </w:p>
    <w:p>
      <w:pPr>
        <w:pStyle w:val="62"/>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3、在</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提出终止部分合同的情况下，并不解除</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未能在合同规定期限或</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同意延长的期限内交付全部或部分设备的产品质量责任。</w:t>
      </w:r>
    </w:p>
    <w:p>
      <w:pPr>
        <w:pStyle w:val="62"/>
        <w:spacing w:line="360" w:lineRule="auto"/>
        <w:ind w:firstLine="480" w:firstLineChars="200"/>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4、甲方未能履行合同规定的义务，并经乙方数次协商无果的，乙方可提出终止合同并有继续向甲方追责以保护自身合法权益的权利。</w:t>
      </w:r>
    </w:p>
    <w:p>
      <w:pPr>
        <w:pStyle w:val="62"/>
        <w:spacing w:after="156" w:line="360" w:lineRule="auto"/>
        <w:ind w:firstLine="482" w:firstLineChars="200"/>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rPr>
        <w:t>（</w:t>
      </w:r>
      <w:r>
        <w:rPr>
          <w:rFonts w:hint="eastAsia" w:ascii="宋体" w:hAnsi="宋体" w:eastAsia="宋体" w:cs="宋体"/>
          <w:b/>
          <w:bCs/>
          <w:color w:val="000000"/>
          <w:sz w:val="24"/>
          <w:szCs w:val="24"/>
          <w:highlight w:val="none"/>
          <w:lang w:eastAsia="zh-CN"/>
        </w:rPr>
        <w:t>四</w:t>
      </w:r>
      <w:r>
        <w:rPr>
          <w:rFonts w:hint="eastAsia" w:ascii="宋体" w:hAnsi="宋体" w:eastAsia="宋体" w:cs="宋体"/>
          <w:b/>
          <w:bCs/>
          <w:color w:val="000000"/>
          <w:sz w:val="24"/>
          <w:szCs w:val="24"/>
          <w:highlight w:val="none"/>
        </w:rPr>
        <w:t>）破产终止合同</w:t>
      </w:r>
    </w:p>
    <w:p>
      <w:pPr>
        <w:pStyle w:val="62"/>
        <w:spacing w:line="360" w:lineRule="auto"/>
        <w:ind w:firstLine="410" w:firstLineChars="171"/>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如果</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破产或无清偿能力或提供本合同项下设备及</w:t>
      </w:r>
      <w:r>
        <w:rPr>
          <w:rFonts w:hint="eastAsia" w:ascii="宋体" w:hAnsi="宋体" w:eastAsia="宋体" w:cs="宋体"/>
          <w:color w:val="000000"/>
          <w:kern w:val="24"/>
          <w:sz w:val="24"/>
          <w:szCs w:val="24"/>
          <w:highlight w:val="none"/>
        </w:rPr>
        <w:t>组装就位</w:t>
      </w:r>
      <w:r>
        <w:rPr>
          <w:rFonts w:hint="eastAsia" w:ascii="宋体" w:hAnsi="宋体" w:eastAsia="宋体" w:cs="宋体"/>
          <w:color w:val="000000"/>
          <w:sz w:val="24"/>
          <w:szCs w:val="24"/>
          <w:highlight w:val="none"/>
        </w:rPr>
        <w:t>服务能力，或面临破产、丧失清偿能力、商业信誉或提供本合同项下设备及</w:t>
      </w:r>
      <w:r>
        <w:rPr>
          <w:rFonts w:hint="eastAsia" w:ascii="宋体" w:hAnsi="宋体" w:eastAsia="宋体" w:cs="宋体"/>
          <w:color w:val="000000"/>
          <w:kern w:val="24"/>
          <w:sz w:val="24"/>
          <w:szCs w:val="24"/>
          <w:highlight w:val="none"/>
        </w:rPr>
        <w:t>组装就位</w:t>
      </w:r>
      <w:r>
        <w:rPr>
          <w:rFonts w:hint="eastAsia" w:ascii="宋体" w:hAnsi="宋体" w:eastAsia="宋体" w:cs="宋体"/>
          <w:color w:val="000000"/>
          <w:sz w:val="24"/>
          <w:szCs w:val="24"/>
          <w:highlight w:val="none"/>
        </w:rPr>
        <w:t>服务能力的现实可能时，</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有权在任何时候以书面通知</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终止合同。该终止合同将不损害或影响</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已经采取或将要采取的补救措施的权利。</w:t>
      </w:r>
    </w:p>
    <w:p>
      <w:pPr>
        <w:pStyle w:val="62"/>
        <w:spacing w:line="360" w:lineRule="auto"/>
        <w:ind w:firstLine="410" w:firstLineChars="171"/>
        <w:rPr>
          <w:rFonts w:hint="eastAsia" w:ascii="宋体" w:hAnsi="宋体" w:eastAsia="宋体" w:cs="宋体"/>
          <w:color w:val="000000"/>
          <w:sz w:val="24"/>
          <w:szCs w:val="24"/>
          <w:highlight w:val="none"/>
          <w:lang w:eastAsia="zh-CN"/>
        </w:rPr>
      </w:pPr>
      <w:r>
        <w:rPr>
          <w:rFonts w:hint="eastAsia" w:ascii="宋体" w:hAnsi="宋体" w:eastAsia="宋体" w:cs="宋体"/>
          <w:color w:val="000000"/>
          <w:sz w:val="24"/>
          <w:szCs w:val="24"/>
          <w:highlight w:val="none"/>
          <w:lang w:eastAsia="zh-CN"/>
        </w:rPr>
        <w:t>如果甲方出现上述相同情形时，乙方有对等终止合同和采取补救措施的权利。</w:t>
      </w:r>
    </w:p>
    <w:p>
      <w:pPr>
        <w:pStyle w:val="62"/>
        <w:keepNext/>
        <w:keepLines/>
        <w:spacing w:before="120" w:after="120" w:line="360" w:lineRule="auto"/>
        <w:outlineLvl w:val="3"/>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rPr>
        <w:t>十三、解决合同纠纷的方法</w:t>
      </w:r>
    </w:p>
    <w:p>
      <w:pPr>
        <w:pStyle w:val="62"/>
        <w:spacing w:line="360" w:lineRule="auto"/>
        <w:ind w:firstLine="420"/>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按国家有关法律解决。发生争议按下列方式解决：</w:t>
      </w:r>
    </w:p>
    <w:p>
      <w:pPr>
        <w:pStyle w:val="62"/>
        <w:spacing w:line="360" w:lineRule="auto"/>
        <w:ind w:firstLine="472" w:firstLineChars="200"/>
        <w:rPr>
          <w:rFonts w:hint="eastAsia" w:ascii="宋体" w:hAnsi="宋体" w:eastAsia="宋体" w:cs="宋体"/>
          <w:color w:val="000000"/>
          <w:spacing w:val="-2"/>
          <w:kern w:val="24"/>
          <w:sz w:val="24"/>
          <w:szCs w:val="24"/>
          <w:highlight w:val="none"/>
        </w:rPr>
      </w:pPr>
      <w:r>
        <w:rPr>
          <w:rFonts w:hint="eastAsia" w:ascii="宋体" w:hAnsi="宋体" w:eastAsia="宋体" w:cs="宋体"/>
          <w:color w:val="000000"/>
          <w:spacing w:val="-2"/>
          <w:kern w:val="24"/>
          <w:sz w:val="24"/>
          <w:szCs w:val="24"/>
          <w:highlight w:val="none"/>
        </w:rPr>
        <w:t>1、双方在执行合同中所发生的一切争议，应通过协商解决。如协商不成，依法向</w:t>
      </w:r>
      <w:r>
        <w:rPr>
          <w:rFonts w:hint="eastAsia" w:ascii="宋体" w:hAnsi="宋体" w:eastAsia="宋体" w:cs="宋体"/>
          <w:color w:val="000000"/>
          <w:spacing w:val="-2"/>
          <w:kern w:val="24"/>
          <w:sz w:val="24"/>
          <w:szCs w:val="24"/>
          <w:highlight w:val="none"/>
          <w:lang w:eastAsia="zh-CN"/>
        </w:rPr>
        <w:t>甲方</w:t>
      </w:r>
      <w:r>
        <w:rPr>
          <w:rFonts w:hint="eastAsia" w:ascii="宋体" w:hAnsi="宋体" w:eastAsia="宋体" w:cs="宋体"/>
          <w:color w:val="000000"/>
          <w:spacing w:val="-2"/>
          <w:kern w:val="24"/>
          <w:sz w:val="24"/>
          <w:szCs w:val="24"/>
          <w:highlight w:val="none"/>
        </w:rPr>
        <w:t>住所地法院提起诉讼。</w:t>
      </w:r>
    </w:p>
    <w:p>
      <w:pPr>
        <w:pStyle w:val="62"/>
        <w:spacing w:line="360" w:lineRule="auto"/>
        <w:ind w:firstLine="472" w:firstLineChars="200"/>
        <w:rPr>
          <w:rFonts w:hint="eastAsia" w:ascii="宋体" w:hAnsi="宋体" w:eastAsia="宋体" w:cs="宋体"/>
          <w:color w:val="000000"/>
          <w:spacing w:val="-2"/>
          <w:kern w:val="24"/>
          <w:sz w:val="24"/>
          <w:szCs w:val="24"/>
          <w:highlight w:val="none"/>
        </w:rPr>
      </w:pPr>
      <w:r>
        <w:rPr>
          <w:rFonts w:hint="eastAsia" w:ascii="宋体" w:hAnsi="宋体" w:eastAsia="宋体" w:cs="宋体"/>
          <w:color w:val="000000"/>
          <w:spacing w:val="-2"/>
          <w:kern w:val="24"/>
          <w:sz w:val="24"/>
          <w:szCs w:val="24"/>
          <w:highlight w:val="none"/>
        </w:rPr>
        <w:t>2、在诉讼期间，除正在进行诉讼的部分外，本合同其他部分应继续执行，否则，未履行方需承担其因不作为而产生的违约责任。</w:t>
      </w:r>
    </w:p>
    <w:p>
      <w:pPr>
        <w:pStyle w:val="62"/>
        <w:spacing w:line="360" w:lineRule="auto"/>
        <w:ind w:firstLine="472" w:firstLineChars="200"/>
        <w:rPr>
          <w:rFonts w:hint="eastAsia" w:ascii="宋体" w:hAnsi="宋体" w:eastAsia="宋体" w:cs="宋体"/>
          <w:color w:val="000000"/>
          <w:spacing w:val="-2"/>
          <w:kern w:val="24"/>
          <w:sz w:val="24"/>
          <w:szCs w:val="24"/>
          <w:highlight w:val="none"/>
        </w:rPr>
      </w:pPr>
      <w:r>
        <w:rPr>
          <w:rFonts w:hint="eastAsia" w:ascii="宋体" w:hAnsi="宋体" w:eastAsia="宋体" w:cs="宋体"/>
          <w:color w:val="000000"/>
          <w:spacing w:val="-2"/>
          <w:kern w:val="24"/>
          <w:sz w:val="24"/>
          <w:szCs w:val="24"/>
          <w:highlight w:val="none"/>
        </w:rPr>
        <w:t>3、诉讼费用除法院机构另行有判决外，由败诉方承担。</w:t>
      </w:r>
    </w:p>
    <w:p>
      <w:pPr>
        <w:pStyle w:val="62"/>
        <w:spacing w:line="360" w:lineRule="auto"/>
        <w:ind w:firstLine="472" w:firstLineChars="200"/>
        <w:rPr>
          <w:rFonts w:hint="eastAsia" w:ascii="宋体" w:hAnsi="宋体" w:eastAsia="宋体" w:cs="宋体"/>
          <w:color w:val="000000"/>
          <w:spacing w:val="-2"/>
          <w:kern w:val="24"/>
          <w:sz w:val="24"/>
          <w:szCs w:val="24"/>
          <w:highlight w:val="none"/>
        </w:rPr>
      </w:pPr>
      <w:r>
        <w:rPr>
          <w:rFonts w:hint="eastAsia" w:ascii="宋体" w:hAnsi="宋体" w:eastAsia="宋体" w:cs="宋体"/>
          <w:color w:val="000000"/>
          <w:spacing w:val="-2"/>
          <w:kern w:val="24"/>
          <w:sz w:val="24"/>
          <w:szCs w:val="24"/>
          <w:highlight w:val="none"/>
        </w:rPr>
        <w:t>4、产品的质量问题发生争议，由</w:t>
      </w:r>
      <w:r>
        <w:rPr>
          <w:rFonts w:hint="eastAsia" w:ascii="宋体" w:hAnsi="宋体" w:eastAsia="宋体" w:cs="宋体"/>
          <w:color w:val="000000"/>
          <w:spacing w:val="-2"/>
          <w:kern w:val="24"/>
          <w:sz w:val="24"/>
          <w:szCs w:val="24"/>
          <w:highlight w:val="none"/>
          <w:u w:val="none"/>
          <w:lang w:val="en-US" w:eastAsia="zh-CN"/>
        </w:rPr>
        <w:t>具备检测资质的单位</w:t>
      </w:r>
      <w:r>
        <w:rPr>
          <w:rFonts w:hint="eastAsia" w:ascii="宋体" w:hAnsi="宋体" w:eastAsia="宋体" w:cs="宋体"/>
          <w:color w:val="000000"/>
          <w:spacing w:val="-2"/>
          <w:kern w:val="24"/>
          <w:sz w:val="24"/>
          <w:szCs w:val="24"/>
          <w:highlight w:val="none"/>
        </w:rPr>
        <w:t>或</w:t>
      </w:r>
      <w:r>
        <w:rPr>
          <w:rFonts w:hint="eastAsia" w:ascii="宋体" w:hAnsi="宋体" w:eastAsia="宋体" w:cs="宋体"/>
          <w:color w:val="000000"/>
          <w:spacing w:val="-2"/>
          <w:kern w:val="24"/>
          <w:sz w:val="24"/>
          <w:szCs w:val="24"/>
          <w:highlight w:val="none"/>
          <w:lang w:val="en-US" w:eastAsia="zh-CN"/>
        </w:rPr>
        <w:t>甲方</w:t>
      </w:r>
      <w:r>
        <w:rPr>
          <w:rFonts w:hint="eastAsia" w:ascii="宋体" w:hAnsi="宋体" w:eastAsia="宋体" w:cs="宋体"/>
          <w:color w:val="000000"/>
          <w:spacing w:val="-2"/>
          <w:kern w:val="24"/>
          <w:sz w:val="24"/>
          <w:szCs w:val="24"/>
          <w:highlight w:val="none"/>
        </w:rPr>
        <w:t>指定的技术单位（第三方检测机构）进行质量鉴定，该鉴定结论为终局鉴定，鉴定费用由责任方承担。</w:t>
      </w:r>
    </w:p>
    <w:p>
      <w:pPr>
        <w:pStyle w:val="62"/>
        <w:keepNext/>
        <w:keepLines/>
        <w:spacing w:before="120" w:after="120" w:line="360" w:lineRule="auto"/>
        <w:outlineLvl w:val="3"/>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rPr>
        <w:t>十四、所有权与知识产权</w:t>
      </w:r>
    </w:p>
    <w:p>
      <w:pPr>
        <w:pStyle w:val="62"/>
        <w:spacing w:line="360" w:lineRule="auto"/>
        <w:ind w:firstLine="420"/>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保证所供货物所有权无任何抵押、查封等权属瑕疵且</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保证</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在使用该货物或其任何一部分时不受第三方提出侵犯专利权、商标权或工业设计权等知识产权方面的指控。如由此导致任何第三方提出侵权指控，</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须与第三方交涉并承担可能发生的一切法律责任和费用，包括由此对</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造成的一切直接和间接损失。</w:t>
      </w:r>
    </w:p>
    <w:p>
      <w:pPr>
        <w:pStyle w:val="62"/>
        <w:keepNext/>
        <w:keepLines/>
        <w:spacing w:before="120" w:after="120" w:line="360" w:lineRule="auto"/>
        <w:outlineLvl w:val="3"/>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rPr>
        <w:t>十五、合同生效及其他</w:t>
      </w:r>
    </w:p>
    <w:p>
      <w:pPr>
        <w:pStyle w:val="62"/>
        <w:spacing w:line="360" w:lineRule="auto"/>
        <w:ind w:firstLine="480" w:firstLineChars="200"/>
        <w:rPr>
          <w:rFonts w:hint="eastAsia" w:ascii="宋体" w:hAnsi="宋体" w:eastAsia="宋体" w:cs="宋体"/>
          <w:color w:val="000000"/>
          <w:kern w:val="24"/>
          <w:sz w:val="24"/>
          <w:szCs w:val="24"/>
          <w:highlight w:val="none"/>
        </w:rPr>
      </w:pPr>
      <w:r>
        <w:rPr>
          <w:rFonts w:hint="eastAsia" w:ascii="宋体" w:hAnsi="宋体" w:eastAsia="宋体" w:cs="宋体"/>
          <w:color w:val="000000"/>
          <w:kern w:val="24"/>
          <w:sz w:val="24"/>
          <w:szCs w:val="24"/>
          <w:highlight w:val="none"/>
        </w:rPr>
        <w:t>1、合同经双方法定代表人或授权代表签字并加盖单位公章及</w:t>
      </w:r>
      <w:r>
        <w:rPr>
          <w:rFonts w:hint="eastAsia" w:ascii="宋体" w:hAnsi="宋体" w:eastAsia="宋体" w:cs="宋体"/>
          <w:color w:val="000000"/>
          <w:kern w:val="24"/>
          <w:sz w:val="24"/>
          <w:szCs w:val="24"/>
          <w:highlight w:val="none"/>
          <w:lang w:eastAsia="zh-CN"/>
        </w:rPr>
        <w:t>乙方</w:t>
      </w:r>
      <w:r>
        <w:rPr>
          <w:rFonts w:hint="eastAsia" w:ascii="宋体" w:hAnsi="宋体" w:eastAsia="宋体" w:cs="宋体"/>
          <w:color w:val="000000"/>
          <w:kern w:val="24"/>
          <w:sz w:val="24"/>
          <w:szCs w:val="24"/>
          <w:highlight w:val="none"/>
        </w:rPr>
        <w:t>提交了履约保证后生效。</w:t>
      </w:r>
    </w:p>
    <w:p>
      <w:pPr>
        <w:pStyle w:val="62"/>
        <w:spacing w:line="360" w:lineRule="auto"/>
        <w:ind w:firstLine="480" w:firstLineChars="200"/>
        <w:rPr>
          <w:rFonts w:hint="eastAsia" w:ascii="宋体" w:hAnsi="宋体" w:eastAsia="宋体" w:cs="宋体"/>
          <w:color w:val="000000"/>
          <w:kern w:val="24"/>
          <w:sz w:val="24"/>
          <w:szCs w:val="24"/>
          <w:highlight w:val="none"/>
        </w:rPr>
      </w:pPr>
      <w:r>
        <w:rPr>
          <w:rFonts w:hint="eastAsia" w:ascii="宋体" w:hAnsi="宋体" w:eastAsia="宋体" w:cs="宋体"/>
          <w:color w:val="000000"/>
          <w:kern w:val="24"/>
          <w:sz w:val="24"/>
          <w:szCs w:val="24"/>
          <w:highlight w:val="none"/>
        </w:rPr>
        <w:t>2、合同签订地点：</w:t>
      </w:r>
      <w:r>
        <w:rPr>
          <w:rFonts w:hint="eastAsia" w:ascii="宋体" w:hAnsi="宋体" w:cs="宋体"/>
          <w:color w:val="000000"/>
          <w:spacing w:val="-2"/>
          <w:kern w:val="24"/>
          <w:sz w:val="24"/>
          <w:szCs w:val="24"/>
          <w:highlight w:val="none"/>
          <w:u w:val="single"/>
          <w:lang w:val="en-US" w:eastAsia="zh-CN"/>
        </w:rPr>
        <w:t>绍兴市上虞杭州湾经济开发区</w:t>
      </w:r>
      <w:r>
        <w:rPr>
          <w:rFonts w:hint="eastAsia" w:ascii="宋体" w:hAnsi="宋体" w:eastAsia="宋体" w:cs="宋体"/>
          <w:color w:val="000000"/>
          <w:kern w:val="24"/>
          <w:sz w:val="24"/>
          <w:szCs w:val="24"/>
          <w:highlight w:val="none"/>
          <w:u w:val="none"/>
        </w:rPr>
        <w:t>。</w:t>
      </w:r>
    </w:p>
    <w:p>
      <w:pPr>
        <w:pStyle w:val="62"/>
        <w:spacing w:line="360" w:lineRule="auto"/>
        <w:ind w:firstLine="480" w:firstLineChars="200"/>
        <w:rPr>
          <w:rFonts w:hint="eastAsia" w:ascii="宋体" w:hAnsi="宋体" w:eastAsia="宋体" w:cs="宋体"/>
          <w:color w:val="000000"/>
          <w:kern w:val="24"/>
          <w:sz w:val="24"/>
          <w:szCs w:val="24"/>
          <w:highlight w:val="none"/>
        </w:rPr>
      </w:pPr>
      <w:r>
        <w:rPr>
          <w:rFonts w:hint="eastAsia" w:ascii="宋体" w:hAnsi="宋体" w:eastAsia="宋体" w:cs="宋体"/>
          <w:color w:val="000000"/>
          <w:kern w:val="24"/>
          <w:sz w:val="24"/>
          <w:szCs w:val="24"/>
          <w:highlight w:val="none"/>
        </w:rPr>
        <w:t>3、合同执行中，如需修改或补充合同内容，经协商，双方应签署书面修改或补充协议。该协议将作为合同不可分割的一部分。</w:t>
      </w:r>
    </w:p>
    <w:p>
      <w:pPr>
        <w:pStyle w:val="62"/>
        <w:keepNext/>
        <w:keepLines/>
        <w:spacing w:before="120" w:after="120" w:line="360" w:lineRule="auto"/>
        <w:outlineLvl w:val="3"/>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rPr>
        <w:t>十六、合同的修改</w:t>
      </w:r>
    </w:p>
    <w:p>
      <w:pPr>
        <w:pStyle w:val="62"/>
        <w:spacing w:line="360" w:lineRule="auto"/>
        <w:ind w:firstLine="480" w:firstLineChars="200"/>
        <w:rPr>
          <w:rFonts w:hint="eastAsia" w:ascii="宋体" w:hAnsi="宋体" w:eastAsia="宋体" w:cs="宋体"/>
          <w:color w:val="000000"/>
          <w:kern w:val="24"/>
          <w:sz w:val="24"/>
          <w:szCs w:val="24"/>
          <w:highlight w:val="none"/>
        </w:rPr>
      </w:pPr>
      <w:r>
        <w:rPr>
          <w:rFonts w:hint="eastAsia" w:ascii="宋体" w:hAnsi="宋体" w:eastAsia="宋体" w:cs="宋体"/>
          <w:color w:val="000000"/>
          <w:kern w:val="24"/>
          <w:sz w:val="24"/>
          <w:szCs w:val="24"/>
          <w:highlight w:val="none"/>
        </w:rPr>
        <w:t>1、</w:t>
      </w:r>
      <w:r>
        <w:rPr>
          <w:rFonts w:hint="eastAsia" w:ascii="宋体" w:hAnsi="宋体" w:eastAsia="宋体" w:cs="宋体"/>
          <w:color w:val="000000"/>
          <w:kern w:val="24"/>
          <w:sz w:val="24"/>
          <w:szCs w:val="24"/>
          <w:highlight w:val="none"/>
          <w:lang w:eastAsia="zh-CN"/>
        </w:rPr>
        <w:t>本合同原则上不予修改，如合同中确有不足之处必须进行修改的，须经双方协商确定后方可进行修改，但法律法规规定不能修改的除外</w:t>
      </w:r>
      <w:r>
        <w:rPr>
          <w:rFonts w:hint="eastAsia" w:ascii="宋体" w:hAnsi="宋体" w:eastAsia="宋体" w:cs="宋体"/>
          <w:color w:val="000000"/>
          <w:kern w:val="24"/>
          <w:sz w:val="24"/>
          <w:szCs w:val="24"/>
          <w:highlight w:val="none"/>
        </w:rPr>
        <w:t>。</w:t>
      </w:r>
    </w:p>
    <w:p>
      <w:pPr>
        <w:pStyle w:val="62"/>
        <w:spacing w:line="360" w:lineRule="auto"/>
        <w:ind w:firstLine="480" w:firstLineChars="200"/>
        <w:rPr>
          <w:rFonts w:hint="eastAsia" w:ascii="宋体" w:hAnsi="宋体" w:eastAsia="宋体" w:cs="宋体"/>
          <w:color w:val="000000"/>
          <w:kern w:val="24"/>
          <w:sz w:val="24"/>
          <w:szCs w:val="24"/>
          <w:highlight w:val="none"/>
        </w:rPr>
      </w:pPr>
      <w:r>
        <w:rPr>
          <w:rFonts w:hint="eastAsia" w:ascii="宋体" w:hAnsi="宋体" w:eastAsia="宋体" w:cs="宋体"/>
          <w:color w:val="000000"/>
          <w:kern w:val="24"/>
          <w:sz w:val="24"/>
          <w:szCs w:val="24"/>
          <w:highlight w:val="none"/>
        </w:rPr>
        <w:t>2、除非</w:t>
      </w:r>
      <w:r>
        <w:rPr>
          <w:rFonts w:hint="eastAsia" w:ascii="宋体" w:hAnsi="宋体" w:eastAsia="宋体" w:cs="宋体"/>
          <w:color w:val="000000"/>
          <w:kern w:val="24"/>
          <w:sz w:val="24"/>
          <w:szCs w:val="24"/>
          <w:highlight w:val="none"/>
          <w:lang w:eastAsia="zh-CN"/>
        </w:rPr>
        <w:t>甲方</w:t>
      </w:r>
      <w:r>
        <w:rPr>
          <w:rFonts w:hint="eastAsia" w:ascii="宋体" w:hAnsi="宋体" w:eastAsia="宋体" w:cs="宋体"/>
          <w:color w:val="000000"/>
          <w:kern w:val="24"/>
          <w:sz w:val="24"/>
          <w:szCs w:val="24"/>
          <w:highlight w:val="none"/>
        </w:rPr>
        <w:t>对</w:t>
      </w:r>
      <w:r>
        <w:rPr>
          <w:rFonts w:hint="eastAsia" w:ascii="宋体" w:hAnsi="宋体" w:eastAsia="宋体" w:cs="宋体"/>
          <w:color w:val="000000"/>
          <w:kern w:val="24"/>
          <w:sz w:val="24"/>
          <w:szCs w:val="24"/>
          <w:highlight w:val="none"/>
          <w:lang w:eastAsia="zh-CN"/>
        </w:rPr>
        <w:t>本次供货的范围、数量和技术规格等</w:t>
      </w:r>
      <w:r>
        <w:rPr>
          <w:rFonts w:hint="eastAsia" w:ascii="宋体" w:hAnsi="宋体" w:eastAsia="宋体" w:cs="宋体"/>
          <w:color w:val="000000"/>
          <w:kern w:val="24"/>
          <w:sz w:val="24"/>
          <w:szCs w:val="24"/>
          <w:highlight w:val="none"/>
        </w:rPr>
        <w:t>提出</w:t>
      </w:r>
      <w:r>
        <w:rPr>
          <w:rFonts w:hint="eastAsia" w:ascii="宋体" w:hAnsi="宋体" w:eastAsia="宋体" w:cs="宋体"/>
          <w:color w:val="000000"/>
          <w:kern w:val="24"/>
          <w:sz w:val="24"/>
          <w:szCs w:val="24"/>
          <w:highlight w:val="none"/>
          <w:lang w:eastAsia="zh-CN"/>
        </w:rPr>
        <w:t>变更</w:t>
      </w:r>
      <w:r>
        <w:rPr>
          <w:rFonts w:hint="eastAsia" w:ascii="宋体" w:hAnsi="宋体" w:eastAsia="宋体" w:cs="宋体"/>
          <w:color w:val="000000"/>
          <w:kern w:val="24"/>
          <w:sz w:val="24"/>
          <w:szCs w:val="24"/>
          <w:highlight w:val="none"/>
        </w:rPr>
        <w:t>，</w:t>
      </w:r>
      <w:r>
        <w:rPr>
          <w:rFonts w:hint="eastAsia" w:ascii="宋体" w:hAnsi="宋体" w:eastAsia="宋体" w:cs="宋体"/>
          <w:color w:val="000000"/>
          <w:kern w:val="24"/>
          <w:sz w:val="24"/>
          <w:szCs w:val="24"/>
          <w:highlight w:val="none"/>
          <w:lang w:eastAsia="zh-CN"/>
        </w:rPr>
        <w:t>否则乙方</w:t>
      </w:r>
      <w:r>
        <w:rPr>
          <w:rFonts w:hint="eastAsia" w:ascii="宋体" w:hAnsi="宋体" w:eastAsia="宋体" w:cs="宋体"/>
          <w:color w:val="000000"/>
          <w:kern w:val="24"/>
          <w:sz w:val="24"/>
          <w:szCs w:val="24"/>
          <w:highlight w:val="none"/>
        </w:rPr>
        <w:t>不得对价格提出任何</w:t>
      </w:r>
      <w:r>
        <w:rPr>
          <w:rFonts w:hint="eastAsia" w:ascii="宋体" w:hAnsi="宋体" w:eastAsia="宋体" w:cs="宋体"/>
          <w:color w:val="000000"/>
          <w:kern w:val="24"/>
          <w:sz w:val="24"/>
          <w:szCs w:val="24"/>
          <w:highlight w:val="none"/>
          <w:lang w:eastAsia="zh-CN"/>
        </w:rPr>
        <w:t>调整</w:t>
      </w:r>
      <w:r>
        <w:rPr>
          <w:rFonts w:hint="eastAsia" w:ascii="宋体" w:hAnsi="宋体" w:eastAsia="宋体" w:cs="宋体"/>
          <w:color w:val="000000"/>
          <w:kern w:val="24"/>
          <w:sz w:val="24"/>
          <w:szCs w:val="24"/>
          <w:highlight w:val="none"/>
        </w:rPr>
        <w:t>要求。</w:t>
      </w:r>
    </w:p>
    <w:p>
      <w:pPr>
        <w:pStyle w:val="62"/>
        <w:keepNext/>
        <w:keepLines/>
        <w:spacing w:before="120" w:after="120" w:line="360" w:lineRule="auto"/>
        <w:outlineLvl w:val="3"/>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rPr>
        <w:t>十七、通知</w:t>
      </w:r>
    </w:p>
    <w:p>
      <w:pPr>
        <w:pStyle w:val="62"/>
        <w:spacing w:line="360" w:lineRule="auto"/>
        <w:ind w:firstLine="480" w:firstLineChars="200"/>
        <w:rPr>
          <w:rFonts w:hint="eastAsia" w:ascii="宋体" w:hAnsi="宋体" w:eastAsia="宋体" w:cs="宋体"/>
          <w:color w:val="000000"/>
          <w:kern w:val="24"/>
          <w:sz w:val="24"/>
          <w:szCs w:val="24"/>
          <w:highlight w:val="none"/>
        </w:rPr>
      </w:pPr>
      <w:r>
        <w:rPr>
          <w:rFonts w:hint="eastAsia" w:ascii="宋体" w:hAnsi="宋体" w:eastAsia="宋体" w:cs="宋体"/>
          <w:color w:val="000000"/>
          <w:kern w:val="24"/>
          <w:sz w:val="24"/>
          <w:szCs w:val="24"/>
          <w:highlight w:val="none"/>
        </w:rPr>
        <w:t>本合同任何一方给另一方的通知，都应以书面形式发送。双方确认本合同尾部的联系方式为有效送达方式，任何一方按照该联系方式发送函件或其他文件等均视为有效送达且在该方发送后第二天即视为对方已收到。如因一方约定联系方式变更后未及时通知另一方，导致另一方发出的通知无法按时送达，或者在收件地址未变更的情况下，书面通知被以任何原因退回的，退回之日视为送达之日，相应责任由未及时通知约定联系方式变更的责任方承担。该送达方式同样适用于司法机关、仲裁机构的法律文书送达。</w:t>
      </w:r>
    </w:p>
    <w:p>
      <w:pPr>
        <w:pStyle w:val="62"/>
        <w:keepNext/>
        <w:keepLines/>
        <w:spacing w:before="120" w:after="120" w:line="360" w:lineRule="auto"/>
        <w:outlineLvl w:val="3"/>
        <w:rPr>
          <w:rFonts w:hint="eastAsia" w:ascii="宋体" w:hAnsi="宋体" w:eastAsia="宋体" w:cs="宋体"/>
          <w:b/>
          <w:bCs/>
          <w:color w:val="000000"/>
          <w:sz w:val="24"/>
          <w:szCs w:val="24"/>
          <w:highlight w:val="none"/>
          <w:lang w:val="en-US" w:eastAsia="zh-CN" w:bidi="ar-SA"/>
        </w:rPr>
      </w:pPr>
      <w:r>
        <w:rPr>
          <w:rFonts w:hint="eastAsia" w:ascii="宋体" w:hAnsi="宋体" w:eastAsia="宋体" w:cs="宋体"/>
          <w:b/>
          <w:bCs/>
          <w:color w:val="000000"/>
          <w:sz w:val="24"/>
          <w:szCs w:val="24"/>
          <w:highlight w:val="none"/>
          <w:lang w:val="en-US" w:eastAsia="zh-CN" w:bidi="ar-SA"/>
        </w:rPr>
        <w:t>十八、其它条款</w:t>
      </w:r>
    </w:p>
    <w:p>
      <w:pPr>
        <w:spacing w:line="360" w:lineRule="auto"/>
        <w:ind w:firstLine="480" w:firstLineChars="200"/>
        <w:rPr>
          <w:rFonts w:hint="eastAsia" w:ascii="宋体" w:hAnsi="宋体" w:eastAsia="宋体" w:cs="宋体"/>
          <w:color w:val="000000"/>
          <w:kern w:val="24"/>
          <w:sz w:val="24"/>
          <w:szCs w:val="24"/>
          <w:highlight w:val="none"/>
          <w:lang w:val="en-US" w:eastAsia="zh-CN" w:bidi="ar-SA"/>
        </w:rPr>
      </w:pPr>
      <w:r>
        <w:rPr>
          <w:rFonts w:hint="eastAsia" w:ascii="宋体" w:hAnsi="宋体" w:eastAsia="宋体" w:cs="宋体"/>
          <w:color w:val="000000"/>
          <w:kern w:val="24"/>
          <w:sz w:val="24"/>
          <w:szCs w:val="24"/>
          <w:highlight w:val="none"/>
          <w:lang w:val="en-US" w:eastAsia="zh-CN" w:bidi="ar-SA"/>
        </w:rPr>
        <w:t>1、项目人员管理</w:t>
      </w:r>
    </w:p>
    <w:p>
      <w:pPr>
        <w:spacing w:line="360" w:lineRule="auto"/>
        <w:ind w:firstLine="480" w:firstLineChars="200"/>
        <w:rPr>
          <w:rFonts w:hint="eastAsia" w:ascii="宋体" w:hAnsi="宋体" w:eastAsia="宋体" w:cs="宋体"/>
          <w:color w:val="000000"/>
          <w:kern w:val="24"/>
          <w:sz w:val="24"/>
          <w:szCs w:val="24"/>
          <w:highlight w:val="none"/>
          <w:lang w:val="en-US" w:eastAsia="zh-CN" w:bidi="ar-SA"/>
        </w:rPr>
      </w:pPr>
      <w:r>
        <w:rPr>
          <w:rFonts w:hint="eastAsia" w:ascii="宋体" w:hAnsi="宋体" w:eastAsia="宋体" w:cs="宋体"/>
          <w:color w:val="000000"/>
          <w:kern w:val="24"/>
          <w:sz w:val="24"/>
          <w:szCs w:val="24"/>
          <w:highlight w:val="none"/>
          <w:lang w:val="en-US" w:eastAsia="zh-CN" w:bidi="ar-SA"/>
        </w:rPr>
        <w:t>1.1未经甲方、全过程工程咨询单位同意不得擅自更换项目人员，乙方擅自更换项目负责人或技术负责人的，处以签约合同价2%的违约金。</w:t>
      </w:r>
    </w:p>
    <w:p>
      <w:pPr>
        <w:spacing w:line="360" w:lineRule="auto"/>
        <w:ind w:firstLine="480" w:firstLineChars="200"/>
        <w:rPr>
          <w:rFonts w:hint="eastAsia" w:ascii="宋体" w:hAnsi="宋体" w:eastAsia="宋体" w:cs="宋体"/>
          <w:color w:val="000000"/>
          <w:kern w:val="24"/>
          <w:sz w:val="24"/>
          <w:szCs w:val="24"/>
          <w:highlight w:val="none"/>
          <w:lang w:val="en-US" w:eastAsia="zh-CN" w:bidi="ar-SA"/>
        </w:rPr>
      </w:pPr>
      <w:r>
        <w:rPr>
          <w:rFonts w:hint="eastAsia" w:ascii="宋体" w:hAnsi="宋体" w:eastAsia="宋体" w:cs="宋体"/>
          <w:color w:val="000000"/>
          <w:kern w:val="24"/>
          <w:sz w:val="24"/>
          <w:szCs w:val="24"/>
          <w:highlight w:val="none"/>
          <w:lang w:val="en-US" w:eastAsia="zh-CN" w:bidi="ar-SA"/>
        </w:rPr>
        <w:t>1.2在合同实施期间，项目负责人更换须符合虞政办发〔2020〕44号文件要求（上级主管部门备案后），技术负责人和其它管理人员在合同实施期间实行现场考勤，涉及更换的须经甲方、全过程工程咨询单位书面同意，更换的人员必须具备同等资格资历或高于以上。</w:t>
      </w:r>
    </w:p>
    <w:p>
      <w:pPr>
        <w:spacing w:line="360" w:lineRule="auto"/>
        <w:ind w:firstLine="480" w:firstLineChars="200"/>
        <w:rPr>
          <w:rFonts w:hint="eastAsia" w:ascii="宋体" w:hAnsi="宋体" w:eastAsia="宋体" w:cs="宋体"/>
          <w:color w:val="000000"/>
          <w:kern w:val="24"/>
          <w:sz w:val="24"/>
          <w:szCs w:val="24"/>
          <w:highlight w:val="none"/>
          <w:lang w:val="en-US" w:eastAsia="zh-CN" w:bidi="ar-SA"/>
        </w:rPr>
      </w:pPr>
      <w:r>
        <w:rPr>
          <w:rFonts w:hint="eastAsia" w:ascii="宋体" w:hAnsi="宋体" w:eastAsia="宋体" w:cs="宋体"/>
          <w:color w:val="000000"/>
          <w:kern w:val="24"/>
          <w:sz w:val="24"/>
          <w:szCs w:val="24"/>
          <w:highlight w:val="none"/>
          <w:lang w:val="en-US" w:eastAsia="zh-CN" w:bidi="ar-SA"/>
        </w:rPr>
        <w:t>1.3关于项目负责人每月在施工现场的时间要求：项目负责人月考勤率80%，其他管理人员月考勤率90%。低于考核标准，缺勤一天的违约金及延误工期一天的违约金处罚项目负责人处以人民币3000元/天、技术负责人处以人民币3000元/天。</w:t>
      </w:r>
    </w:p>
    <w:p>
      <w:pPr>
        <w:spacing w:line="360" w:lineRule="auto"/>
        <w:ind w:firstLine="480" w:firstLineChars="200"/>
        <w:rPr>
          <w:rFonts w:hint="default"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pPr>
      <w:r>
        <w:rPr>
          <w:rFonts w:hint="eastAsia" w:cs="宋体"/>
          <w:b w:val="0"/>
          <w:bCs w:val="0"/>
          <w:color w:val="000000" w:themeColor="text1"/>
          <w:kern w:val="2"/>
          <w:sz w:val="24"/>
          <w:szCs w:val="24"/>
          <w:highlight w:val="none"/>
          <w:lang w:val="en-US" w:eastAsia="zh-CN" w:bidi="ar-SA"/>
          <w14:textFill>
            <w14:solidFill>
              <w14:schemeClr w14:val="tx1"/>
            </w14:solidFill>
          </w14:textFill>
        </w:rPr>
        <w:t>1.4合同双方及全过程咨询单位联系人</w:t>
      </w:r>
    </w:p>
    <w:p>
      <w:pPr>
        <w:spacing w:line="360" w:lineRule="auto"/>
        <w:ind w:firstLine="480" w:firstLineChars="200"/>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甲方单位名称：</w:t>
      </w:r>
      <w:r>
        <w:rPr>
          <w:rFonts w:hint="eastAsia" w:ascii="宋体" w:hAnsi="宋体" w:eastAsia="宋体" w:cs="宋体"/>
          <w:b w:val="0"/>
          <w:bCs w:val="0"/>
          <w:color w:val="000000" w:themeColor="text1"/>
          <w:kern w:val="2"/>
          <w:sz w:val="24"/>
          <w:szCs w:val="24"/>
          <w:highlight w:val="none"/>
          <w:u w:val="single"/>
          <w:lang w:val="en-US" w:eastAsia="zh-CN" w:bidi="ar-SA"/>
          <w14:textFill>
            <w14:solidFill>
              <w14:schemeClr w14:val="tx1"/>
            </w14:solidFill>
          </w14:textFill>
        </w:rPr>
        <w:t xml:space="preserve"> 绍兴市上虞杭州湾滨海新城投资开发建设有限公司  </w:t>
      </w:r>
      <w:r>
        <w:rPr>
          <w:rFonts w:hint="eastAsia" w:ascii="宋体" w:hAnsi="宋体" w:eastAsia="宋体" w:cs="宋体"/>
          <w:b w:val="0"/>
          <w:bCs w:val="0"/>
          <w:color w:val="000000" w:themeColor="text1"/>
          <w:kern w:val="2"/>
          <w:sz w:val="24"/>
          <w:szCs w:val="24"/>
          <w:highlight w:val="none"/>
          <w:u w:val="none"/>
          <w:lang w:val="en-US" w:eastAsia="zh-CN" w:bidi="ar-SA"/>
          <w14:textFill>
            <w14:solidFill>
              <w14:schemeClr w14:val="tx1"/>
            </w14:solidFill>
          </w14:textFill>
        </w:rPr>
        <w:t>。</w:t>
      </w:r>
    </w:p>
    <w:p>
      <w:pPr>
        <w:spacing w:line="360" w:lineRule="auto"/>
        <w:ind w:firstLine="480" w:firstLineChars="200"/>
        <w:rPr>
          <w:rFonts w:hint="eastAsia" w:ascii="宋体" w:hAnsi="宋体" w:eastAsia="宋体" w:cs="宋体"/>
          <w:color w:val="000000" w:themeColor="text1"/>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甲方收件人</w:t>
      </w:r>
      <w:r>
        <w:rPr>
          <w:rFonts w:hint="eastAsia" w:cs="宋体"/>
          <w:b w:val="0"/>
          <w:bCs w:val="0"/>
          <w:color w:val="000000" w:themeColor="text1"/>
          <w:kern w:val="2"/>
          <w:sz w:val="24"/>
          <w:szCs w:val="24"/>
          <w:highlight w:val="none"/>
          <w:lang w:val="en-US" w:eastAsia="zh-CN" w:bidi="ar-SA"/>
          <w14:textFill>
            <w14:solidFill>
              <w14:schemeClr w14:val="tx1"/>
            </w14:solidFill>
          </w14:textFill>
        </w:rPr>
        <w:t>、联系电话</w:t>
      </w: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w:t>
      </w:r>
      <w:r>
        <w:rPr>
          <w:rFonts w:hint="eastAsia" w:ascii="宋体" w:hAnsi="宋体" w:eastAsia="宋体" w:cs="宋体"/>
          <w:b w:val="0"/>
          <w:bCs w:val="0"/>
          <w:color w:val="000000" w:themeColor="text1"/>
          <w:kern w:val="2"/>
          <w:sz w:val="24"/>
          <w:szCs w:val="24"/>
          <w:highlight w:val="none"/>
          <w:u w:val="single"/>
          <w:lang w:val="en-US" w:eastAsia="zh-CN" w:bidi="ar-SA"/>
          <w14:textFill>
            <w14:solidFill>
              <w14:schemeClr w14:val="tx1"/>
            </w14:solidFill>
          </w14:textFill>
        </w:rPr>
        <w:t xml:space="preserve"> </w:t>
      </w:r>
      <w:r>
        <w:rPr>
          <w:rFonts w:hint="eastAsia" w:cs="宋体"/>
          <w:b w:val="0"/>
          <w:bCs w:val="0"/>
          <w:color w:val="000000" w:themeColor="text1"/>
          <w:kern w:val="2"/>
          <w:sz w:val="24"/>
          <w:szCs w:val="24"/>
          <w:highlight w:val="none"/>
          <w:u w:val="single"/>
          <w:lang w:val="en-US" w:eastAsia="zh-CN" w:bidi="ar-SA"/>
          <w14:textFill>
            <w14:solidFill>
              <w14:schemeClr w14:val="tx1"/>
            </w14:solidFill>
          </w14:textFill>
        </w:rPr>
        <w:t xml:space="preserve">                         </w:t>
      </w:r>
      <w:r>
        <w:rPr>
          <w:rFonts w:hint="eastAsia" w:ascii="宋体" w:hAnsi="宋体" w:eastAsia="宋体" w:cs="宋体"/>
          <w:b w:val="0"/>
          <w:bCs w:val="0"/>
          <w:color w:val="000000" w:themeColor="text1"/>
          <w:kern w:val="2"/>
          <w:sz w:val="24"/>
          <w:szCs w:val="24"/>
          <w:highlight w:val="none"/>
          <w:u w:val="single"/>
          <w:lang w:val="en-US" w:eastAsia="zh-CN" w:bidi="ar-SA"/>
          <w14:textFill>
            <w14:solidFill>
              <w14:schemeClr w14:val="tx1"/>
            </w14:solidFill>
          </w14:textFill>
        </w:rPr>
        <w:t xml:space="preserve"> </w:t>
      </w:r>
      <w:r>
        <w:rPr>
          <w:rFonts w:hint="eastAsia" w:ascii="宋体" w:hAnsi="宋体" w:eastAsia="宋体" w:cs="宋体"/>
          <w:b w:val="0"/>
          <w:bCs w:val="0"/>
          <w:color w:val="000000" w:themeColor="text1"/>
          <w:kern w:val="2"/>
          <w:sz w:val="24"/>
          <w:szCs w:val="24"/>
          <w:highlight w:val="none"/>
          <w:u w:val="none"/>
          <w:lang w:val="en-US" w:eastAsia="zh-CN" w:bidi="ar-SA"/>
          <w14:textFill>
            <w14:solidFill>
              <w14:schemeClr w14:val="tx1"/>
            </w14:solidFill>
          </w14:textFill>
        </w:rPr>
        <w:t>。</w:t>
      </w:r>
    </w:p>
    <w:p>
      <w:pPr>
        <w:spacing w:line="360" w:lineRule="auto"/>
        <w:ind w:firstLine="480" w:firstLineChars="200"/>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全过程咨询单位名称：</w:t>
      </w:r>
      <w:r>
        <w:rPr>
          <w:rFonts w:hint="eastAsia" w:ascii="宋体" w:hAnsi="宋体" w:eastAsia="宋体" w:cs="宋体"/>
          <w:b w:val="0"/>
          <w:bCs w:val="0"/>
          <w:color w:val="000000" w:themeColor="text1"/>
          <w:kern w:val="2"/>
          <w:sz w:val="24"/>
          <w:szCs w:val="24"/>
          <w:highlight w:val="none"/>
          <w:u w:val="single"/>
          <w:lang w:val="en-US" w:eastAsia="zh-CN" w:bidi="ar-SA"/>
          <w14:textFill>
            <w14:solidFill>
              <w14:schemeClr w14:val="tx1"/>
            </w14:solidFill>
          </w14:textFill>
        </w:rPr>
        <w:t xml:space="preserve"> 浙江五洲工程项目管理有限公司（杭州千城建筑设计集团股份有限公司）</w:t>
      </w: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w:t>
      </w:r>
    </w:p>
    <w:p>
      <w:pPr>
        <w:spacing w:line="360" w:lineRule="auto"/>
        <w:ind w:firstLine="480" w:firstLineChars="200"/>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全过程咨询单位联系人</w:t>
      </w:r>
      <w:r>
        <w:rPr>
          <w:rFonts w:hint="eastAsia" w:cs="宋体"/>
          <w:b w:val="0"/>
          <w:bCs w:val="0"/>
          <w:color w:val="000000" w:themeColor="text1"/>
          <w:kern w:val="2"/>
          <w:sz w:val="24"/>
          <w:szCs w:val="24"/>
          <w:highlight w:val="none"/>
          <w:lang w:val="en-US" w:eastAsia="zh-CN" w:bidi="ar-SA"/>
          <w14:textFill>
            <w14:solidFill>
              <w14:schemeClr w14:val="tx1"/>
            </w14:solidFill>
          </w14:textFill>
        </w:rPr>
        <w:t>、联系电话</w:t>
      </w: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w:t>
      </w:r>
      <w:r>
        <w:rPr>
          <w:rFonts w:hint="eastAsia" w:ascii="宋体" w:hAnsi="宋体" w:eastAsia="宋体" w:cs="宋体"/>
          <w:b w:val="0"/>
          <w:bCs w:val="0"/>
          <w:color w:val="000000" w:themeColor="text1"/>
          <w:kern w:val="2"/>
          <w:sz w:val="24"/>
          <w:szCs w:val="24"/>
          <w:highlight w:val="none"/>
          <w:u w:val="single"/>
          <w:lang w:val="en-US" w:eastAsia="zh-CN" w:bidi="ar-SA"/>
          <w14:textFill>
            <w14:solidFill>
              <w14:schemeClr w14:val="tx1"/>
            </w14:solidFill>
          </w14:textFill>
        </w:rPr>
        <w:t xml:space="preserve"> </w:t>
      </w:r>
      <w:r>
        <w:rPr>
          <w:rFonts w:hint="eastAsia" w:cs="宋体"/>
          <w:b w:val="0"/>
          <w:bCs w:val="0"/>
          <w:color w:val="000000" w:themeColor="text1"/>
          <w:kern w:val="2"/>
          <w:sz w:val="24"/>
          <w:szCs w:val="24"/>
          <w:highlight w:val="none"/>
          <w:u w:val="single"/>
          <w:lang w:val="en-US" w:eastAsia="zh-CN" w:bidi="ar-SA"/>
          <w14:textFill>
            <w14:solidFill>
              <w14:schemeClr w14:val="tx1"/>
            </w14:solidFill>
          </w14:textFill>
        </w:rPr>
        <w:t xml:space="preserve">                </w:t>
      </w:r>
      <w:r>
        <w:rPr>
          <w:rFonts w:hint="eastAsia" w:ascii="宋体" w:hAnsi="宋体" w:eastAsia="宋体" w:cs="宋体"/>
          <w:b w:val="0"/>
          <w:bCs w:val="0"/>
          <w:color w:val="000000" w:themeColor="text1"/>
          <w:kern w:val="2"/>
          <w:sz w:val="24"/>
          <w:szCs w:val="24"/>
          <w:highlight w:val="none"/>
          <w:u w:val="single"/>
          <w:lang w:val="en-US" w:eastAsia="zh-CN" w:bidi="ar-SA"/>
          <w14:textFill>
            <w14:solidFill>
              <w14:schemeClr w14:val="tx1"/>
            </w14:solidFill>
          </w14:textFill>
        </w:rPr>
        <w:t xml:space="preserve"> </w:t>
      </w: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w:t>
      </w:r>
    </w:p>
    <w:p>
      <w:pPr>
        <w:spacing w:line="360" w:lineRule="auto"/>
        <w:ind w:firstLine="480" w:firstLineChars="200"/>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乙方单位名称：</w:t>
      </w:r>
      <w:r>
        <w:rPr>
          <w:rFonts w:hint="eastAsia" w:ascii="宋体" w:hAnsi="宋体" w:eastAsia="宋体" w:cs="宋体"/>
          <w:b w:val="0"/>
          <w:bCs w:val="0"/>
          <w:color w:val="000000" w:themeColor="text1"/>
          <w:kern w:val="2"/>
          <w:sz w:val="24"/>
          <w:szCs w:val="24"/>
          <w:highlight w:val="none"/>
          <w:u w:val="single"/>
          <w:lang w:val="en-US" w:eastAsia="zh-CN" w:bidi="ar-SA"/>
          <w14:textFill>
            <w14:solidFill>
              <w14:schemeClr w14:val="tx1"/>
            </w14:solidFill>
          </w14:textFill>
        </w:rPr>
        <w:t xml:space="preserve"> </w:t>
      </w:r>
      <w:r>
        <w:rPr>
          <w:rFonts w:hint="eastAsia" w:cs="宋体"/>
          <w:b w:val="0"/>
          <w:bCs w:val="0"/>
          <w:color w:val="000000" w:themeColor="text1"/>
          <w:kern w:val="2"/>
          <w:sz w:val="24"/>
          <w:szCs w:val="24"/>
          <w:highlight w:val="none"/>
          <w:u w:val="single"/>
          <w:lang w:val="en-US" w:eastAsia="zh-CN" w:bidi="ar-SA"/>
          <w14:textFill>
            <w14:solidFill>
              <w14:schemeClr w14:val="tx1"/>
            </w14:solidFill>
          </w14:textFill>
        </w:rPr>
        <w:t xml:space="preserve">                        </w:t>
      </w:r>
      <w:r>
        <w:rPr>
          <w:rFonts w:hint="eastAsia" w:ascii="宋体" w:hAnsi="宋体" w:eastAsia="宋体" w:cs="宋体"/>
          <w:b w:val="0"/>
          <w:bCs w:val="0"/>
          <w:color w:val="000000" w:themeColor="text1"/>
          <w:kern w:val="2"/>
          <w:sz w:val="24"/>
          <w:szCs w:val="24"/>
          <w:highlight w:val="none"/>
          <w:u w:val="single"/>
          <w:lang w:val="en-US" w:eastAsia="zh-CN" w:bidi="ar-SA"/>
          <w14:textFill>
            <w14:solidFill>
              <w14:schemeClr w14:val="tx1"/>
            </w14:solidFill>
          </w14:textFill>
        </w:rPr>
        <w:t xml:space="preserve"> </w:t>
      </w: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w:t>
      </w:r>
    </w:p>
    <w:p>
      <w:pPr>
        <w:spacing w:line="360" w:lineRule="auto"/>
        <w:ind w:firstLine="480" w:firstLineChars="200"/>
        <w:rPr>
          <w:rFonts w:hint="eastAsia" w:ascii="宋体" w:hAnsi="宋体" w:eastAsia="宋体" w:cs="宋体"/>
          <w:color w:val="000000"/>
          <w:kern w:val="24"/>
          <w:sz w:val="24"/>
          <w:szCs w:val="24"/>
          <w:highlight w:val="none"/>
          <w:lang w:val="en-US" w:eastAsia="zh-CN" w:bidi="ar-SA"/>
        </w:rPr>
      </w:pP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乙方联系人</w:t>
      </w:r>
      <w:r>
        <w:rPr>
          <w:rFonts w:hint="eastAsia" w:cs="宋体"/>
          <w:b w:val="0"/>
          <w:bCs w:val="0"/>
          <w:color w:val="000000" w:themeColor="text1"/>
          <w:kern w:val="2"/>
          <w:sz w:val="24"/>
          <w:szCs w:val="24"/>
          <w:highlight w:val="none"/>
          <w:lang w:val="en-US" w:eastAsia="zh-CN" w:bidi="ar-SA"/>
          <w14:textFill>
            <w14:solidFill>
              <w14:schemeClr w14:val="tx1"/>
            </w14:solidFill>
          </w14:textFill>
        </w:rPr>
        <w:t>、联系电话</w:t>
      </w: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w:t>
      </w:r>
      <w:r>
        <w:rPr>
          <w:rFonts w:hint="eastAsia" w:ascii="宋体" w:hAnsi="宋体" w:eastAsia="宋体" w:cs="宋体"/>
          <w:b w:val="0"/>
          <w:bCs w:val="0"/>
          <w:color w:val="000000" w:themeColor="text1"/>
          <w:kern w:val="2"/>
          <w:sz w:val="24"/>
          <w:szCs w:val="24"/>
          <w:highlight w:val="none"/>
          <w:u w:val="single"/>
          <w:lang w:val="en-US" w:eastAsia="zh-CN" w:bidi="ar-SA"/>
          <w14:textFill>
            <w14:solidFill>
              <w14:schemeClr w14:val="tx1"/>
            </w14:solidFill>
          </w14:textFill>
        </w:rPr>
        <w:t xml:space="preserve"> </w:t>
      </w:r>
      <w:r>
        <w:rPr>
          <w:rFonts w:hint="eastAsia"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b w:val="0"/>
          <w:bCs w:val="0"/>
          <w:color w:val="000000" w:themeColor="text1"/>
          <w:kern w:val="2"/>
          <w:sz w:val="24"/>
          <w:szCs w:val="24"/>
          <w:highlight w:val="none"/>
          <w:u w:val="single"/>
          <w:lang w:val="en-US" w:eastAsia="zh-CN" w:bidi="ar-SA"/>
          <w14:textFill>
            <w14:solidFill>
              <w14:schemeClr w14:val="tx1"/>
            </w14:solidFill>
          </w14:textFill>
        </w:rPr>
        <w:t xml:space="preserve"> </w:t>
      </w:r>
      <w:r>
        <w:rPr>
          <w:rFonts w:hint="eastAsia" w:cs="宋体"/>
          <w:color w:val="000000"/>
          <w:kern w:val="24"/>
          <w:sz w:val="24"/>
          <w:szCs w:val="24"/>
          <w:highlight w:val="none"/>
          <w:lang w:val="en-US" w:eastAsia="zh-CN" w:bidi="ar-SA"/>
        </w:rPr>
        <w:t>。</w:t>
      </w:r>
    </w:p>
    <w:p>
      <w:pPr>
        <w:spacing w:line="360" w:lineRule="auto"/>
        <w:ind w:firstLine="480" w:firstLineChars="200"/>
        <w:rPr>
          <w:rFonts w:hint="eastAsia" w:ascii="宋体" w:hAnsi="宋体" w:eastAsia="宋体" w:cs="宋体"/>
          <w:color w:val="000000"/>
          <w:kern w:val="24"/>
          <w:sz w:val="24"/>
          <w:szCs w:val="24"/>
          <w:highlight w:val="none"/>
          <w:lang w:val="en-US" w:eastAsia="zh-CN" w:bidi="ar-SA"/>
        </w:rPr>
      </w:pPr>
      <w:r>
        <w:rPr>
          <w:rFonts w:hint="eastAsia" w:ascii="宋体" w:hAnsi="宋体" w:eastAsia="宋体" w:cs="宋体"/>
          <w:color w:val="000000"/>
          <w:kern w:val="24"/>
          <w:sz w:val="24"/>
          <w:szCs w:val="24"/>
          <w:highlight w:val="none"/>
          <w:lang w:val="en-US" w:eastAsia="zh-CN" w:bidi="ar-SA"/>
        </w:rPr>
        <w:t>2、履约执行</w:t>
      </w:r>
    </w:p>
    <w:p>
      <w:pPr>
        <w:adjustRightInd w:val="0"/>
        <w:snapToGrid w:val="0"/>
        <w:spacing w:line="360" w:lineRule="auto"/>
        <w:ind w:firstLine="480" w:firstLineChars="200"/>
        <w:rPr>
          <w:rFonts w:hint="eastAsia" w:ascii="宋体" w:hAnsi="宋体" w:eastAsia="宋体" w:cs="宋体"/>
          <w:color w:val="000000"/>
          <w:kern w:val="24"/>
          <w:sz w:val="24"/>
          <w:szCs w:val="24"/>
          <w:highlight w:val="none"/>
          <w:lang w:val="en-US" w:eastAsia="zh-CN" w:bidi="ar-SA"/>
        </w:rPr>
      </w:pPr>
      <w:r>
        <w:rPr>
          <w:rFonts w:hint="eastAsia" w:ascii="宋体" w:hAnsi="宋体" w:eastAsia="宋体" w:cs="宋体"/>
          <w:color w:val="000000"/>
          <w:kern w:val="24"/>
          <w:sz w:val="24"/>
          <w:szCs w:val="24"/>
          <w:highlight w:val="none"/>
          <w:lang w:val="en-US" w:eastAsia="zh-CN" w:bidi="ar-SA"/>
        </w:rPr>
        <w:t>2.1合同签订后如乙方无故停工或中途退场，甲方有权向乙方收取签约合同价2%的违约金，并由乙方向甲方赔偿由此造成的一切经济损失。</w:t>
      </w:r>
    </w:p>
    <w:p>
      <w:pPr>
        <w:adjustRightInd w:val="0"/>
        <w:snapToGrid w:val="0"/>
        <w:spacing w:line="360" w:lineRule="auto"/>
        <w:ind w:firstLine="480" w:firstLineChars="200"/>
        <w:rPr>
          <w:rFonts w:hint="eastAsia" w:ascii="宋体" w:hAnsi="宋体" w:eastAsia="宋体" w:cs="宋体"/>
          <w:color w:val="000000"/>
          <w:kern w:val="24"/>
          <w:sz w:val="24"/>
          <w:szCs w:val="24"/>
          <w:highlight w:val="none"/>
          <w:lang w:val="en-US" w:eastAsia="zh-CN" w:bidi="ar-SA"/>
        </w:rPr>
      </w:pPr>
      <w:r>
        <w:rPr>
          <w:rFonts w:hint="eastAsia" w:ascii="宋体" w:hAnsi="宋体" w:eastAsia="宋体" w:cs="宋体"/>
          <w:color w:val="000000"/>
          <w:kern w:val="24"/>
          <w:sz w:val="24"/>
          <w:szCs w:val="24"/>
          <w:highlight w:val="none"/>
          <w:lang w:val="en-US" w:eastAsia="zh-CN" w:bidi="ar-SA"/>
        </w:rPr>
        <w:t>2.2为了保质保量的顺利完成工程建设任务，充分调动民工工作的积极性，切实保障民工的劳动成果，乙方须严格执行行业管理单位关于无欠薪方案的相关措施，并在本合同签订时签署“民工工资无欠薪协议”。根据《浙江省人民政府办公厅关于深入开展“浙江无欠薪”行动的通知》（浙政办发〔2017〕80号）等文件要求，在建工程项目必须落实“六项制度”。</w:t>
      </w:r>
    </w:p>
    <w:p>
      <w:pPr>
        <w:adjustRightInd w:val="0"/>
        <w:snapToGrid w:val="0"/>
        <w:spacing w:line="360" w:lineRule="auto"/>
        <w:ind w:firstLine="480" w:firstLineChars="200"/>
        <w:rPr>
          <w:rFonts w:hint="eastAsia" w:ascii="宋体" w:hAnsi="宋体" w:eastAsia="宋体" w:cs="宋体"/>
          <w:color w:val="000000"/>
          <w:kern w:val="24"/>
          <w:sz w:val="24"/>
          <w:szCs w:val="24"/>
          <w:highlight w:val="none"/>
          <w:lang w:val="en-US" w:eastAsia="zh-CN" w:bidi="ar-SA"/>
        </w:rPr>
      </w:pPr>
      <w:r>
        <w:rPr>
          <w:rFonts w:hint="eastAsia" w:ascii="宋体" w:hAnsi="宋体" w:eastAsia="宋体" w:cs="宋体"/>
          <w:color w:val="000000"/>
          <w:kern w:val="24"/>
          <w:sz w:val="24"/>
          <w:szCs w:val="24"/>
          <w:highlight w:val="none"/>
          <w:lang w:val="en-US" w:eastAsia="zh-CN" w:bidi="ar-SA"/>
        </w:rPr>
        <w:t>2.3乙方应确保民工工资的及时支付，如不及时支付，视作违约，甲方有权代乙方支付民工工资，并在</w:t>
      </w:r>
      <w:r>
        <w:rPr>
          <w:rFonts w:hint="eastAsia" w:cs="宋体"/>
          <w:color w:val="000000"/>
          <w:kern w:val="24"/>
          <w:sz w:val="24"/>
          <w:szCs w:val="24"/>
          <w:highlight w:val="none"/>
          <w:lang w:val="en-US" w:eastAsia="zh-CN" w:bidi="ar-SA"/>
        </w:rPr>
        <w:t>应支付款项</w:t>
      </w:r>
      <w:r>
        <w:rPr>
          <w:rFonts w:hint="eastAsia" w:ascii="宋体" w:hAnsi="宋体" w:eastAsia="宋体" w:cs="宋体"/>
          <w:color w:val="000000"/>
          <w:kern w:val="24"/>
          <w:sz w:val="24"/>
          <w:szCs w:val="24"/>
          <w:highlight w:val="none"/>
          <w:lang w:val="en-US" w:eastAsia="zh-CN" w:bidi="ar-SA"/>
        </w:rPr>
        <w:t>中扣除。因乙方的原因或过错拖欠设备款、人工工资、劳务费、材料费或其他赔偿款等发生纠纷，债权人在起诉时把甲方也列为共同被告，由此造成甲方诉讼费、律师费等支出或依法先行垫付相关费用的，甲方有权向乙方追索，并有权在乙方可得的合同款中先行扣除。</w:t>
      </w:r>
    </w:p>
    <w:p>
      <w:pPr>
        <w:adjustRightInd w:val="0"/>
        <w:snapToGrid w:val="0"/>
        <w:spacing w:line="360" w:lineRule="auto"/>
        <w:ind w:firstLine="480" w:firstLineChars="200"/>
        <w:rPr>
          <w:rFonts w:hint="eastAsia" w:ascii="宋体" w:hAnsi="宋体" w:eastAsia="宋体" w:cs="宋体"/>
          <w:color w:val="000000"/>
          <w:kern w:val="24"/>
          <w:sz w:val="24"/>
          <w:szCs w:val="24"/>
          <w:highlight w:val="none"/>
          <w:lang w:val="en-US" w:eastAsia="zh-CN" w:bidi="ar-SA"/>
        </w:rPr>
      </w:pPr>
      <w:r>
        <w:rPr>
          <w:rFonts w:hint="eastAsia" w:ascii="宋体" w:hAnsi="宋体" w:eastAsia="宋体" w:cs="宋体"/>
          <w:color w:val="000000"/>
          <w:kern w:val="24"/>
          <w:sz w:val="24"/>
          <w:szCs w:val="24"/>
          <w:highlight w:val="none"/>
          <w:lang w:val="en-US" w:eastAsia="zh-CN" w:bidi="ar-SA"/>
        </w:rPr>
        <w:t>2.4如合同约定内容有重复或不一致的表述的，按最严格条款内容执行。</w:t>
      </w:r>
    </w:p>
    <w:p>
      <w:pPr>
        <w:spacing w:line="360" w:lineRule="auto"/>
        <w:ind w:firstLine="480" w:firstLineChars="200"/>
        <w:rPr>
          <w:rFonts w:hint="eastAsia" w:ascii="宋体" w:hAnsi="宋体" w:eastAsia="宋体" w:cs="宋体"/>
          <w:color w:val="000000"/>
          <w:kern w:val="24"/>
          <w:sz w:val="24"/>
          <w:szCs w:val="24"/>
          <w:highlight w:val="none"/>
          <w:lang w:val="en-US" w:eastAsia="zh-CN" w:bidi="ar-SA"/>
        </w:rPr>
      </w:pPr>
      <w:r>
        <w:rPr>
          <w:rFonts w:hint="eastAsia" w:ascii="宋体" w:hAnsi="宋体" w:eastAsia="宋体" w:cs="宋体"/>
          <w:color w:val="000000"/>
          <w:kern w:val="24"/>
          <w:sz w:val="24"/>
          <w:szCs w:val="24"/>
          <w:highlight w:val="none"/>
          <w:lang w:val="en-US" w:eastAsia="zh-CN" w:bidi="ar-SA"/>
        </w:rPr>
        <w:t>3、安全管理和文明施工</w:t>
      </w:r>
    </w:p>
    <w:p>
      <w:pPr>
        <w:adjustRightInd w:val="0"/>
        <w:snapToGrid w:val="0"/>
        <w:spacing w:line="360" w:lineRule="auto"/>
        <w:ind w:firstLine="480" w:firstLineChars="200"/>
        <w:rPr>
          <w:rFonts w:hint="eastAsia" w:ascii="宋体" w:hAnsi="宋体" w:eastAsia="宋体" w:cs="宋体"/>
          <w:color w:val="000000"/>
          <w:kern w:val="24"/>
          <w:sz w:val="24"/>
          <w:szCs w:val="24"/>
          <w:highlight w:val="none"/>
          <w:lang w:val="en-US" w:eastAsia="zh-CN" w:bidi="ar-SA"/>
        </w:rPr>
      </w:pPr>
      <w:r>
        <w:rPr>
          <w:rFonts w:hint="eastAsia" w:ascii="宋体" w:hAnsi="宋体" w:eastAsia="宋体" w:cs="宋体"/>
          <w:color w:val="000000"/>
          <w:kern w:val="24"/>
          <w:sz w:val="24"/>
          <w:szCs w:val="24"/>
          <w:highlight w:val="none"/>
          <w:lang w:val="en-US" w:eastAsia="zh-CN" w:bidi="ar-SA"/>
        </w:rPr>
        <w:t>3.1在施工过程中，因工程质量、安全、进度等问题，乙方未按甲方或全过程工程咨询单位整改通知单进行整改或整改不力，导致甲方或全过程工程咨询单位就该问题签发第二次整改通知的，每发生一起应向甲方支付违约金1万元；在三次书面通知后乙方仍未按要求进行整改的，甲方有权向乙方收取签约合同价2%的违约金，且甲方有权单方终止合同并要求乙方承担全部违约责任。</w:t>
      </w:r>
    </w:p>
    <w:p>
      <w:pPr>
        <w:adjustRightInd w:val="0"/>
        <w:snapToGrid w:val="0"/>
        <w:spacing w:line="360" w:lineRule="auto"/>
        <w:ind w:firstLine="480" w:firstLineChars="200"/>
        <w:rPr>
          <w:rFonts w:hint="eastAsia" w:ascii="宋体" w:hAnsi="宋体" w:eastAsia="宋体" w:cs="宋体"/>
          <w:color w:val="000000"/>
          <w:kern w:val="24"/>
          <w:sz w:val="24"/>
          <w:szCs w:val="24"/>
          <w:highlight w:val="none"/>
          <w:lang w:val="en-US" w:eastAsia="zh-CN" w:bidi="ar-SA"/>
        </w:rPr>
      </w:pPr>
      <w:r>
        <w:rPr>
          <w:rFonts w:hint="eastAsia" w:ascii="宋体" w:hAnsi="宋体" w:eastAsia="宋体" w:cs="宋体"/>
          <w:color w:val="000000"/>
          <w:kern w:val="24"/>
          <w:sz w:val="24"/>
          <w:szCs w:val="24"/>
          <w:highlight w:val="none"/>
          <w:lang w:val="en-US" w:eastAsia="zh-CN" w:bidi="ar-SA"/>
        </w:rPr>
        <w:t>3.2在施工过程中若出现工程质量、进度、安全、文明施工和人员未到岗到位等问题被行政监管部门发整改通知单，乙方在限期内未整改或整改未到位的向甲方支付违约金2万元/次；被行政监管部门通报批评或被新闻媒体曝光的向甲方支付违约金20万元/次。</w:t>
      </w:r>
    </w:p>
    <w:p>
      <w:pPr>
        <w:spacing w:line="360" w:lineRule="auto"/>
        <w:ind w:firstLine="480" w:firstLineChars="200"/>
        <w:rPr>
          <w:rFonts w:hint="eastAsia" w:ascii="宋体" w:hAnsi="宋体" w:eastAsia="宋体" w:cs="宋体"/>
          <w:color w:val="000000"/>
          <w:kern w:val="24"/>
          <w:sz w:val="24"/>
          <w:szCs w:val="24"/>
          <w:highlight w:val="none"/>
          <w:lang w:val="en-US" w:eastAsia="zh-CN" w:bidi="ar-SA"/>
        </w:rPr>
      </w:pPr>
      <w:r>
        <w:rPr>
          <w:rFonts w:hint="eastAsia" w:ascii="宋体" w:hAnsi="宋体" w:eastAsia="宋体" w:cs="宋体"/>
          <w:color w:val="000000"/>
          <w:kern w:val="24"/>
          <w:sz w:val="24"/>
          <w:szCs w:val="24"/>
          <w:highlight w:val="none"/>
          <w:lang w:val="en-US" w:eastAsia="zh-CN" w:bidi="ar-SA"/>
        </w:rPr>
        <w:t>4、乙方在执行甲方有关建设管理办法和细则时，应仔细阅读和审核其中规定，对有疑义的要及时告知甲方，不免除乙方因执行甲方有关建设管理办法和细则而应承担的相应责任。</w:t>
      </w:r>
    </w:p>
    <w:p>
      <w:pPr>
        <w:pStyle w:val="62"/>
        <w:snapToGrid w:val="0"/>
        <w:spacing w:line="360" w:lineRule="auto"/>
        <w:ind w:firstLine="420"/>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5、乙方应遵守施工现场的有关规章制度，负责为乙方现场人员购买劳动保险和人身保险，以及负责乙方人员从事现场工作遭受的人身伤害赔偿责任。</w:t>
      </w:r>
    </w:p>
    <w:p>
      <w:pPr>
        <w:pStyle w:val="62"/>
        <w:snapToGrid w:val="0"/>
        <w:spacing w:line="360" w:lineRule="auto"/>
        <w:ind w:firstLine="42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6</w:t>
      </w:r>
      <w:r>
        <w:rPr>
          <w:rFonts w:hint="eastAsia" w:ascii="宋体" w:hAnsi="宋体" w:eastAsia="宋体" w:cs="宋体"/>
          <w:color w:val="000000"/>
          <w:sz w:val="24"/>
          <w:szCs w:val="24"/>
          <w:highlight w:val="none"/>
        </w:rPr>
        <w:t>、</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应负责派出多年工作经验的工程师在现场负责</w:t>
      </w:r>
      <w:r>
        <w:rPr>
          <w:rFonts w:hint="eastAsia" w:ascii="宋体" w:hAnsi="宋体" w:eastAsia="宋体" w:cs="宋体"/>
          <w:color w:val="000000"/>
          <w:sz w:val="24"/>
          <w:szCs w:val="24"/>
          <w:highlight w:val="none"/>
          <w:lang w:eastAsia="zh-CN"/>
        </w:rPr>
        <w:t>安装</w:t>
      </w:r>
      <w:r>
        <w:rPr>
          <w:rFonts w:hint="eastAsia" w:ascii="宋体" w:hAnsi="宋体" w:eastAsia="宋体" w:cs="宋体"/>
          <w:color w:val="000000"/>
          <w:sz w:val="24"/>
          <w:szCs w:val="24"/>
          <w:highlight w:val="none"/>
        </w:rPr>
        <w:t>和调试。</w:t>
      </w:r>
    </w:p>
    <w:p>
      <w:pPr>
        <w:pStyle w:val="62"/>
        <w:snapToGrid w:val="0"/>
        <w:spacing w:line="360" w:lineRule="auto"/>
        <w:ind w:firstLine="42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7</w:t>
      </w:r>
      <w:r>
        <w:rPr>
          <w:rFonts w:hint="eastAsia" w:ascii="宋体" w:hAnsi="宋体" w:eastAsia="宋体" w:cs="宋体"/>
          <w:color w:val="000000"/>
          <w:sz w:val="24"/>
          <w:szCs w:val="24"/>
          <w:highlight w:val="none"/>
        </w:rPr>
        <w:t>、</w:t>
      </w:r>
      <w:r>
        <w:rPr>
          <w:rFonts w:hint="eastAsia" w:ascii="宋体" w:hAnsi="宋体" w:eastAsia="宋体" w:cs="宋体"/>
          <w:color w:val="000000"/>
          <w:spacing w:val="-2"/>
          <w:sz w:val="24"/>
          <w:szCs w:val="24"/>
          <w:highlight w:val="none"/>
          <w:lang w:eastAsia="zh-CN"/>
        </w:rPr>
        <w:t>乙方</w:t>
      </w:r>
      <w:r>
        <w:rPr>
          <w:rFonts w:hint="eastAsia" w:ascii="宋体" w:hAnsi="宋体" w:eastAsia="宋体" w:cs="宋体"/>
          <w:color w:val="000000"/>
          <w:spacing w:val="-2"/>
          <w:sz w:val="24"/>
          <w:szCs w:val="24"/>
          <w:highlight w:val="none"/>
        </w:rPr>
        <w:t>的投标文件和补充文件、</w:t>
      </w:r>
      <w:r>
        <w:rPr>
          <w:rFonts w:hint="eastAsia" w:ascii="宋体" w:hAnsi="宋体" w:eastAsia="宋体" w:cs="宋体"/>
          <w:color w:val="000000"/>
          <w:spacing w:val="-2"/>
          <w:sz w:val="24"/>
          <w:szCs w:val="24"/>
          <w:highlight w:val="none"/>
          <w:lang w:eastAsia="zh-CN"/>
        </w:rPr>
        <w:t>甲方</w:t>
      </w:r>
      <w:r>
        <w:rPr>
          <w:rFonts w:hint="eastAsia" w:ascii="宋体" w:hAnsi="宋体" w:eastAsia="宋体" w:cs="宋体"/>
          <w:color w:val="000000"/>
          <w:spacing w:val="-2"/>
          <w:sz w:val="24"/>
          <w:szCs w:val="24"/>
          <w:highlight w:val="none"/>
        </w:rPr>
        <w:t>的招标</w:t>
      </w:r>
      <w:r>
        <w:rPr>
          <w:rFonts w:hint="eastAsia" w:ascii="宋体" w:hAnsi="宋体" w:eastAsia="宋体" w:cs="宋体"/>
          <w:color w:val="000000"/>
          <w:spacing w:val="-2"/>
          <w:sz w:val="24"/>
          <w:szCs w:val="24"/>
          <w:highlight w:val="none"/>
          <w:lang w:eastAsia="zh-CN"/>
        </w:rPr>
        <w:t>文件</w:t>
      </w:r>
      <w:r>
        <w:rPr>
          <w:rFonts w:hint="eastAsia" w:ascii="宋体" w:hAnsi="宋体" w:eastAsia="宋体" w:cs="宋体"/>
          <w:color w:val="000000"/>
          <w:spacing w:val="-2"/>
          <w:sz w:val="24"/>
          <w:szCs w:val="24"/>
          <w:highlight w:val="none"/>
        </w:rPr>
        <w:t>及询标答疑纪要作为本合同的附件，与本合同具有同等法律效力。</w:t>
      </w:r>
    </w:p>
    <w:p>
      <w:pPr>
        <w:pStyle w:val="62"/>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8</w:t>
      </w:r>
      <w:r>
        <w:rPr>
          <w:rFonts w:hint="eastAsia" w:ascii="宋体" w:hAnsi="宋体" w:eastAsia="宋体" w:cs="宋体"/>
          <w:color w:val="000000"/>
          <w:sz w:val="24"/>
          <w:szCs w:val="24"/>
          <w:highlight w:val="none"/>
        </w:rPr>
        <w:t>、归档资料应符合浙江省重点工程档案管理及验收标准并能通过档案验收，且项目电子档案需在</w:t>
      </w:r>
      <w:r>
        <w:rPr>
          <w:rFonts w:hint="eastAsia" w:ascii="宋体" w:hAnsi="宋体" w:eastAsia="宋体" w:cs="宋体"/>
          <w:color w:val="000000"/>
          <w:sz w:val="24"/>
          <w:szCs w:val="24"/>
          <w:highlight w:val="none"/>
          <w:lang w:eastAsia="zh-CN"/>
        </w:rPr>
        <w:t>本合同项下的所有</w:t>
      </w:r>
      <w:r>
        <w:rPr>
          <w:rFonts w:hint="eastAsia" w:ascii="宋体" w:hAnsi="宋体" w:eastAsia="宋体" w:cs="宋体"/>
          <w:color w:val="000000"/>
          <w:sz w:val="24"/>
          <w:szCs w:val="24"/>
          <w:highlight w:val="none"/>
        </w:rPr>
        <w:t>工作完成后的3个月内向</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（或总承</w:t>
      </w:r>
      <w:r>
        <w:rPr>
          <w:rFonts w:hint="eastAsia" w:ascii="宋体" w:hAnsi="宋体" w:eastAsia="宋体" w:cs="宋体"/>
          <w:b w:val="0"/>
          <w:bCs w:val="0"/>
          <w:color w:val="000000"/>
          <w:sz w:val="24"/>
          <w:szCs w:val="24"/>
          <w:highlight w:val="none"/>
        </w:rPr>
        <w:t>包单位）移交。逾期未提交的，每逾期一天，</w:t>
      </w:r>
      <w:r>
        <w:rPr>
          <w:rFonts w:hint="eastAsia" w:ascii="宋体" w:hAnsi="宋体" w:eastAsia="宋体" w:cs="宋体"/>
          <w:b w:val="0"/>
          <w:bCs w:val="0"/>
          <w:color w:val="000000"/>
          <w:sz w:val="24"/>
          <w:szCs w:val="24"/>
          <w:highlight w:val="none"/>
          <w:lang w:eastAsia="zh-CN"/>
        </w:rPr>
        <w:t>乙方</w:t>
      </w:r>
      <w:r>
        <w:rPr>
          <w:rFonts w:hint="eastAsia" w:ascii="宋体" w:hAnsi="宋体" w:eastAsia="宋体" w:cs="宋体"/>
          <w:b w:val="0"/>
          <w:bCs w:val="0"/>
          <w:color w:val="000000"/>
          <w:sz w:val="24"/>
          <w:szCs w:val="24"/>
          <w:highlight w:val="none"/>
        </w:rPr>
        <w:t>应向</w:t>
      </w:r>
      <w:r>
        <w:rPr>
          <w:rFonts w:hint="eastAsia" w:ascii="宋体" w:hAnsi="宋体" w:eastAsia="宋体" w:cs="宋体"/>
          <w:b w:val="0"/>
          <w:bCs w:val="0"/>
          <w:color w:val="000000"/>
          <w:sz w:val="24"/>
          <w:szCs w:val="24"/>
          <w:highlight w:val="none"/>
          <w:lang w:eastAsia="zh-CN"/>
        </w:rPr>
        <w:t>甲方</w:t>
      </w:r>
      <w:r>
        <w:rPr>
          <w:rFonts w:hint="eastAsia" w:ascii="宋体" w:hAnsi="宋体" w:eastAsia="宋体" w:cs="宋体"/>
          <w:b w:val="0"/>
          <w:bCs w:val="0"/>
          <w:color w:val="000000"/>
          <w:sz w:val="24"/>
          <w:szCs w:val="24"/>
          <w:highlight w:val="none"/>
        </w:rPr>
        <w:t>支付</w:t>
      </w:r>
      <w:r>
        <w:rPr>
          <w:rFonts w:hint="eastAsia" w:ascii="宋体" w:hAnsi="宋体" w:eastAsia="宋体" w:cs="宋体"/>
          <w:b w:val="0"/>
          <w:bCs w:val="0"/>
          <w:color w:val="000000"/>
          <w:sz w:val="24"/>
          <w:szCs w:val="24"/>
          <w:highlight w:val="none"/>
          <w:lang w:val="en-US" w:eastAsia="zh-CN"/>
        </w:rPr>
        <w:t>人民币</w:t>
      </w:r>
      <w:r>
        <w:rPr>
          <w:rFonts w:hint="eastAsia" w:ascii="宋体" w:hAnsi="宋体" w:eastAsia="宋体" w:cs="宋体"/>
          <w:b w:val="0"/>
          <w:bCs w:val="0"/>
          <w:color w:val="000000"/>
          <w:sz w:val="24"/>
          <w:szCs w:val="24"/>
          <w:highlight w:val="none"/>
        </w:rPr>
        <w:t>壹万元作为违约金。</w:t>
      </w:r>
    </w:p>
    <w:p>
      <w:pPr>
        <w:pStyle w:val="62"/>
        <w:spacing w:line="360" w:lineRule="auto"/>
        <w:ind w:left="-2" w:leftChars="-1" w:firstLine="480" w:firstLineChars="200"/>
        <w:rPr>
          <w:rFonts w:hint="eastAsia" w:ascii="宋体" w:hAnsi="宋体" w:eastAsia="宋体" w:cs="宋体"/>
          <w:color w:val="000000"/>
          <w:spacing w:val="-2"/>
          <w:sz w:val="24"/>
          <w:szCs w:val="24"/>
          <w:highlight w:val="none"/>
        </w:rPr>
      </w:pPr>
      <w:r>
        <w:rPr>
          <w:rFonts w:hint="eastAsia" w:ascii="宋体" w:hAnsi="宋体" w:eastAsia="宋体" w:cs="宋体"/>
          <w:color w:val="000000"/>
          <w:sz w:val="24"/>
          <w:szCs w:val="24"/>
          <w:highlight w:val="none"/>
          <w:lang w:val="en-US" w:eastAsia="zh-CN"/>
        </w:rPr>
        <w:t>9</w:t>
      </w:r>
      <w:r>
        <w:rPr>
          <w:rFonts w:hint="eastAsia" w:ascii="宋体" w:hAnsi="宋体" w:eastAsia="宋体" w:cs="宋体"/>
          <w:color w:val="000000"/>
          <w:sz w:val="24"/>
          <w:szCs w:val="24"/>
          <w:highlight w:val="none"/>
        </w:rPr>
        <w:t>、</w:t>
      </w:r>
      <w:r>
        <w:rPr>
          <w:rFonts w:hint="eastAsia" w:ascii="宋体" w:hAnsi="宋体" w:eastAsia="宋体" w:cs="宋体"/>
          <w:color w:val="000000"/>
          <w:spacing w:val="-2"/>
          <w:sz w:val="24"/>
          <w:szCs w:val="24"/>
          <w:highlight w:val="none"/>
        </w:rPr>
        <w:t>本合同一式十二份，</w:t>
      </w:r>
      <w:bookmarkStart w:id="498" w:name="_Hlk533420174"/>
      <w:r>
        <w:rPr>
          <w:rFonts w:hint="eastAsia" w:ascii="宋体" w:hAnsi="宋体" w:eastAsia="宋体" w:cs="宋体"/>
          <w:color w:val="000000"/>
          <w:spacing w:val="-2"/>
          <w:sz w:val="24"/>
          <w:szCs w:val="24"/>
          <w:highlight w:val="none"/>
          <w:lang w:eastAsia="zh-CN"/>
        </w:rPr>
        <w:t>甲方</w:t>
      </w:r>
      <w:r>
        <w:rPr>
          <w:rFonts w:hint="eastAsia" w:ascii="宋体" w:hAnsi="宋体" w:eastAsia="宋体" w:cs="宋体"/>
          <w:color w:val="000000"/>
          <w:spacing w:val="-2"/>
          <w:sz w:val="24"/>
          <w:szCs w:val="24"/>
          <w:highlight w:val="none"/>
        </w:rPr>
        <w:t>八份，</w:t>
      </w:r>
      <w:r>
        <w:rPr>
          <w:rFonts w:hint="eastAsia" w:ascii="宋体" w:hAnsi="宋体" w:eastAsia="宋体" w:cs="宋体"/>
          <w:color w:val="000000"/>
          <w:spacing w:val="-2"/>
          <w:sz w:val="24"/>
          <w:szCs w:val="24"/>
          <w:highlight w:val="none"/>
          <w:lang w:eastAsia="zh-CN"/>
        </w:rPr>
        <w:t>乙方</w:t>
      </w:r>
      <w:r>
        <w:rPr>
          <w:rFonts w:hint="eastAsia" w:ascii="宋体" w:hAnsi="宋体" w:eastAsia="宋体" w:cs="宋体"/>
          <w:color w:val="000000"/>
          <w:spacing w:val="-2"/>
          <w:sz w:val="24"/>
          <w:szCs w:val="24"/>
          <w:highlight w:val="none"/>
        </w:rPr>
        <w:t>四份，</w:t>
      </w:r>
      <w:bookmarkEnd w:id="498"/>
      <w:r>
        <w:rPr>
          <w:rFonts w:hint="eastAsia" w:ascii="宋体" w:hAnsi="宋体" w:eastAsia="宋体" w:cs="宋体"/>
          <w:color w:val="000000"/>
          <w:spacing w:val="-2"/>
          <w:sz w:val="24"/>
          <w:szCs w:val="24"/>
          <w:highlight w:val="none"/>
        </w:rPr>
        <w:t>均具有同等法律效力。本合同未尽事宜，双方另行协商，签订书面补充协议。</w:t>
      </w:r>
    </w:p>
    <w:p>
      <w:pPr>
        <w:pStyle w:val="62"/>
        <w:spacing w:line="360" w:lineRule="auto"/>
        <w:ind w:left="-2" w:leftChars="-1" w:firstLine="480" w:firstLineChars="200"/>
        <w:rPr>
          <w:rFonts w:hint="eastAsia" w:ascii="宋体" w:hAnsi="宋体" w:eastAsia="宋体" w:cs="宋体"/>
          <w:color w:val="000000"/>
          <w:sz w:val="24"/>
          <w:szCs w:val="24"/>
          <w:highlight w:val="none"/>
          <w:lang w:val="en-US" w:eastAsia="zh-CN" w:bidi="ar-SA"/>
        </w:rPr>
      </w:pPr>
      <w:r>
        <w:rPr>
          <w:rFonts w:hint="eastAsia" w:ascii="宋体" w:hAnsi="宋体" w:eastAsia="宋体" w:cs="宋体"/>
          <w:color w:val="000000"/>
          <w:sz w:val="24"/>
          <w:szCs w:val="24"/>
          <w:highlight w:val="none"/>
          <w:lang w:val="en-US" w:eastAsia="zh-CN" w:bidi="ar-SA"/>
        </w:rPr>
        <w:t>10、 本合同的附件清单：下列附件为参考格式，使用时以经双方确认的格式和内容为准</w:t>
      </w:r>
      <w:r>
        <w:rPr>
          <w:rFonts w:hint="eastAsia" w:ascii="宋体" w:hAnsi="宋体" w:cs="宋体"/>
          <w:color w:val="000000"/>
          <w:sz w:val="24"/>
          <w:szCs w:val="24"/>
          <w:highlight w:val="none"/>
          <w:lang w:val="en-US" w:eastAsia="zh-CN" w:bidi="ar-SA"/>
        </w:rPr>
        <w:t>，未规定格式的以双方确认的格式为准</w:t>
      </w:r>
      <w:r>
        <w:rPr>
          <w:rFonts w:hint="eastAsia" w:ascii="宋体" w:hAnsi="宋体" w:eastAsia="宋体" w:cs="宋体"/>
          <w:color w:val="000000"/>
          <w:sz w:val="24"/>
          <w:szCs w:val="24"/>
          <w:highlight w:val="none"/>
          <w:lang w:val="en-US" w:eastAsia="zh-CN" w:bidi="ar-SA"/>
        </w:rPr>
        <w:t>。</w:t>
      </w:r>
    </w:p>
    <w:p>
      <w:pPr>
        <w:pStyle w:val="62"/>
        <w:spacing w:line="360" w:lineRule="auto"/>
        <w:ind w:firstLine="480" w:firstLineChars="200"/>
        <w:rPr>
          <w:rFonts w:hint="eastAsia" w:ascii="宋体" w:hAnsi="宋体" w:eastAsia="宋体" w:cs="宋体"/>
          <w:color w:val="000000"/>
          <w:sz w:val="24"/>
          <w:szCs w:val="24"/>
          <w:highlight w:val="none"/>
          <w:lang w:val="en-US" w:eastAsia="zh-CN" w:bidi="ar-SA"/>
        </w:rPr>
      </w:pPr>
      <w:r>
        <w:rPr>
          <w:rFonts w:hint="eastAsia" w:ascii="宋体" w:hAnsi="宋体" w:eastAsia="宋体" w:cs="宋体"/>
          <w:color w:val="000000"/>
          <w:sz w:val="24"/>
          <w:szCs w:val="24"/>
          <w:highlight w:val="none"/>
          <w:lang w:val="en-US" w:eastAsia="zh-CN" w:bidi="ar-SA"/>
        </w:rPr>
        <w:br w:type="page"/>
      </w:r>
      <w:r>
        <w:rPr>
          <w:rFonts w:hint="eastAsia" w:ascii="宋体" w:hAnsi="宋体" w:eastAsia="宋体" w:cs="宋体"/>
          <w:color w:val="000000"/>
          <w:sz w:val="24"/>
          <w:szCs w:val="24"/>
          <w:highlight w:val="none"/>
          <w:lang w:val="en-US" w:eastAsia="zh-CN" w:bidi="ar-SA"/>
        </w:rPr>
        <w:t>附件一：《</w:t>
      </w:r>
      <w:r>
        <w:rPr>
          <w:rFonts w:hint="eastAsia" w:ascii="宋体" w:hAnsi="宋体" w:cs="宋体"/>
          <w:color w:val="000000"/>
          <w:sz w:val="24"/>
          <w:szCs w:val="24"/>
          <w:highlight w:val="none"/>
          <w:lang w:val="en-US" w:eastAsia="zh-CN" w:bidi="ar-SA"/>
        </w:rPr>
        <w:t>投标</w:t>
      </w:r>
      <w:r>
        <w:rPr>
          <w:rFonts w:hint="eastAsia" w:ascii="宋体" w:hAnsi="宋体" w:eastAsia="宋体" w:cs="宋体"/>
          <w:color w:val="000000"/>
          <w:sz w:val="24"/>
          <w:szCs w:val="24"/>
          <w:highlight w:val="none"/>
          <w:lang w:val="en-US" w:eastAsia="zh-CN" w:bidi="ar-SA"/>
        </w:rPr>
        <w:t>设备及材料清单》；</w:t>
      </w:r>
    </w:p>
    <w:p>
      <w:pPr>
        <w:pStyle w:val="62"/>
        <w:spacing w:line="360" w:lineRule="auto"/>
        <w:ind w:firstLine="480" w:firstLineChars="200"/>
        <w:rPr>
          <w:rFonts w:hint="eastAsia" w:ascii="宋体" w:hAnsi="宋体" w:eastAsia="宋体" w:cs="宋体"/>
          <w:color w:val="000000"/>
          <w:sz w:val="24"/>
          <w:szCs w:val="24"/>
          <w:highlight w:val="none"/>
          <w:lang w:val="en-US" w:eastAsia="zh-CN" w:bidi="ar-SA"/>
        </w:rPr>
      </w:pPr>
      <w:r>
        <w:rPr>
          <w:rFonts w:hint="eastAsia" w:ascii="宋体" w:hAnsi="宋体" w:eastAsia="宋体" w:cs="宋体"/>
          <w:color w:val="000000"/>
          <w:sz w:val="24"/>
          <w:szCs w:val="24"/>
          <w:highlight w:val="none"/>
          <w:lang w:val="en-US" w:eastAsia="zh-CN" w:bidi="ar-SA"/>
        </w:rPr>
        <w:t>附件二：《</w:t>
      </w:r>
      <w:r>
        <w:rPr>
          <w:rFonts w:hint="eastAsia" w:ascii="宋体" w:hAnsi="宋体" w:cs="宋体"/>
          <w:color w:val="000000"/>
          <w:sz w:val="24"/>
          <w:szCs w:val="24"/>
          <w:highlight w:val="none"/>
          <w:lang w:val="en-US" w:eastAsia="zh-CN" w:bidi="ar-SA"/>
        </w:rPr>
        <w:t>投标</w:t>
      </w:r>
      <w:r>
        <w:rPr>
          <w:rFonts w:hint="eastAsia" w:ascii="宋体" w:hAnsi="宋体" w:eastAsia="宋体" w:cs="宋体"/>
          <w:color w:val="000000"/>
          <w:sz w:val="24"/>
          <w:szCs w:val="24"/>
          <w:highlight w:val="none"/>
          <w:lang w:val="en-US" w:eastAsia="zh-CN" w:bidi="ar-SA"/>
        </w:rPr>
        <w:t>产品技术规格书》；</w:t>
      </w:r>
    </w:p>
    <w:p>
      <w:pPr>
        <w:pStyle w:val="62"/>
        <w:spacing w:line="360" w:lineRule="auto"/>
        <w:ind w:firstLine="480" w:firstLineChars="200"/>
        <w:rPr>
          <w:rFonts w:hint="eastAsia" w:ascii="宋体" w:hAnsi="宋体" w:eastAsia="宋体" w:cs="宋体"/>
          <w:color w:val="000000"/>
          <w:sz w:val="24"/>
          <w:szCs w:val="24"/>
          <w:highlight w:val="none"/>
          <w:lang w:val="en-US" w:eastAsia="zh-CN" w:bidi="ar-SA"/>
        </w:rPr>
      </w:pPr>
      <w:r>
        <w:rPr>
          <w:rFonts w:hint="eastAsia" w:ascii="宋体" w:hAnsi="宋体" w:eastAsia="宋体" w:cs="宋体"/>
          <w:color w:val="000000"/>
          <w:sz w:val="24"/>
          <w:szCs w:val="24"/>
          <w:highlight w:val="none"/>
          <w:lang w:val="en-US" w:eastAsia="zh-CN" w:bidi="ar-SA"/>
        </w:rPr>
        <w:t>附件三：《维保及有偿服务收费标准》；</w:t>
      </w:r>
    </w:p>
    <w:p>
      <w:pPr>
        <w:pStyle w:val="62"/>
        <w:spacing w:line="360" w:lineRule="auto"/>
        <w:ind w:firstLine="480" w:firstLineChars="200"/>
        <w:rPr>
          <w:rFonts w:hint="eastAsia" w:ascii="宋体" w:hAnsi="宋体" w:eastAsia="宋体" w:cs="宋体"/>
          <w:color w:val="000000"/>
          <w:sz w:val="24"/>
          <w:szCs w:val="24"/>
          <w:highlight w:val="none"/>
          <w:lang w:val="en-US" w:eastAsia="zh-CN" w:bidi="ar-SA"/>
        </w:rPr>
      </w:pPr>
      <w:r>
        <w:rPr>
          <w:rFonts w:hint="eastAsia" w:ascii="宋体" w:hAnsi="宋体" w:eastAsia="宋体" w:cs="宋体"/>
          <w:color w:val="000000"/>
          <w:sz w:val="24"/>
          <w:szCs w:val="24"/>
          <w:highlight w:val="none"/>
          <w:lang w:val="en-US" w:eastAsia="zh-CN" w:bidi="ar-SA"/>
        </w:rPr>
        <w:t>附件四：《工程计量审核确认单、项目资金支付审批表》；</w:t>
      </w:r>
    </w:p>
    <w:p>
      <w:pPr>
        <w:pStyle w:val="62"/>
        <w:spacing w:line="360" w:lineRule="auto"/>
        <w:ind w:firstLine="480" w:firstLineChars="200"/>
        <w:rPr>
          <w:rFonts w:hint="eastAsia" w:ascii="宋体" w:hAnsi="宋体" w:eastAsia="宋体" w:cs="宋体"/>
          <w:color w:val="000000"/>
          <w:sz w:val="24"/>
          <w:szCs w:val="24"/>
          <w:highlight w:val="none"/>
          <w:lang w:val="en-US" w:eastAsia="zh-CN" w:bidi="ar-SA"/>
        </w:rPr>
      </w:pPr>
      <w:r>
        <w:rPr>
          <w:rFonts w:hint="eastAsia" w:ascii="宋体" w:hAnsi="宋体" w:eastAsia="宋体" w:cs="宋体"/>
          <w:color w:val="000000"/>
          <w:sz w:val="24"/>
          <w:szCs w:val="24"/>
          <w:highlight w:val="none"/>
          <w:lang w:val="en-US" w:eastAsia="zh-CN" w:bidi="ar-SA"/>
        </w:rPr>
        <w:t>附件五：《质量保修书》；</w:t>
      </w:r>
    </w:p>
    <w:p>
      <w:pPr>
        <w:pStyle w:val="62"/>
        <w:spacing w:line="360" w:lineRule="auto"/>
        <w:ind w:firstLine="480" w:firstLineChars="200"/>
        <w:rPr>
          <w:rFonts w:hint="eastAsia" w:ascii="宋体" w:hAnsi="宋体" w:cs="宋体"/>
          <w:color w:val="000000"/>
          <w:sz w:val="24"/>
          <w:szCs w:val="24"/>
          <w:highlight w:val="none"/>
          <w:lang w:val="en-US" w:eastAsia="zh-CN" w:bidi="ar-SA"/>
        </w:rPr>
      </w:pPr>
      <w:r>
        <w:rPr>
          <w:rFonts w:hint="eastAsia" w:ascii="宋体" w:hAnsi="宋体" w:eastAsia="宋体" w:cs="宋体"/>
          <w:color w:val="000000"/>
          <w:sz w:val="24"/>
          <w:szCs w:val="24"/>
          <w:highlight w:val="none"/>
          <w:lang w:val="en-US" w:eastAsia="zh-CN" w:bidi="ar-SA"/>
        </w:rPr>
        <w:t>附件六：《医用纯水系统安装工程与施工总承包界面划分》</w:t>
      </w:r>
      <w:r>
        <w:rPr>
          <w:rFonts w:hint="eastAsia" w:ascii="宋体" w:hAnsi="宋体" w:cs="宋体"/>
          <w:color w:val="000000"/>
          <w:sz w:val="24"/>
          <w:szCs w:val="24"/>
          <w:highlight w:val="none"/>
          <w:lang w:val="en-US" w:eastAsia="zh-CN" w:bidi="ar-SA"/>
        </w:rPr>
        <w:t>；</w:t>
      </w:r>
    </w:p>
    <w:p>
      <w:pPr>
        <w:pStyle w:val="62"/>
        <w:spacing w:line="360" w:lineRule="auto"/>
        <w:ind w:firstLine="480" w:firstLineChars="200"/>
        <w:rPr>
          <w:rFonts w:hint="eastAsia" w:ascii="宋体" w:hAnsi="宋体" w:cs="宋体"/>
          <w:color w:val="000000"/>
          <w:sz w:val="24"/>
          <w:szCs w:val="24"/>
          <w:highlight w:val="none"/>
          <w:lang w:val="en-US" w:eastAsia="zh-CN" w:bidi="ar-SA"/>
        </w:rPr>
      </w:pPr>
      <w:r>
        <w:rPr>
          <w:rFonts w:hint="eastAsia" w:ascii="宋体" w:hAnsi="宋体" w:cs="宋体"/>
          <w:color w:val="000000"/>
          <w:sz w:val="24"/>
          <w:szCs w:val="24"/>
          <w:highlight w:val="none"/>
          <w:lang w:val="en-US" w:eastAsia="zh-CN" w:bidi="ar-SA"/>
        </w:rPr>
        <w:t>附件七：《履约保函》；</w:t>
      </w:r>
    </w:p>
    <w:p>
      <w:pPr>
        <w:pStyle w:val="62"/>
        <w:spacing w:line="360" w:lineRule="auto"/>
        <w:ind w:firstLine="480" w:firstLineChars="200"/>
        <w:rPr>
          <w:rFonts w:hint="eastAsia" w:ascii="宋体" w:hAnsi="宋体" w:cs="宋体"/>
          <w:color w:val="000000"/>
          <w:sz w:val="24"/>
          <w:szCs w:val="24"/>
          <w:highlight w:val="none"/>
          <w:lang w:val="en-US" w:eastAsia="zh-CN" w:bidi="ar-SA"/>
        </w:rPr>
      </w:pPr>
      <w:r>
        <w:rPr>
          <w:rFonts w:hint="eastAsia" w:ascii="宋体" w:hAnsi="宋体" w:cs="宋体"/>
          <w:color w:val="000000"/>
          <w:sz w:val="24"/>
          <w:szCs w:val="24"/>
          <w:highlight w:val="none"/>
          <w:lang w:val="en-US" w:eastAsia="zh-CN" w:bidi="ar-SA"/>
        </w:rPr>
        <w:t>附件八：《总承包服务管理费约定》；</w:t>
      </w:r>
    </w:p>
    <w:p>
      <w:pPr>
        <w:pStyle w:val="62"/>
        <w:spacing w:line="360" w:lineRule="auto"/>
        <w:ind w:firstLine="480" w:firstLineChars="200"/>
        <w:rPr>
          <w:rFonts w:hint="eastAsia" w:ascii="宋体" w:hAnsi="宋体" w:eastAsia="宋体" w:cs="宋体"/>
          <w:color w:val="000000"/>
          <w:sz w:val="24"/>
          <w:szCs w:val="24"/>
          <w:highlight w:val="none"/>
          <w:lang w:val="en-US" w:eastAsia="zh-CN" w:bidi="ar-SA"/>
        </w:rPr>
      </w:pPr>
      <w:r>
        <w:rPr>
          <w:rFonts w:hint="eastAsia" w:ascii="宋体" w:hAnsi="宋体" w:cs="宋体"/>
          <w:color w:val="000000"/>
          <w:sz w:val="24"/>
          <w:szCs w:val="24"/>
          <w:highlight w:val="none"/>
          <w:lang w:val="en-US" w:eastAsia="zh-CN" w:bidi="ar-SA"/>
        </w:rPr>
        <w:t>附件九：《拟投入本项目人员组成表》</w:t>
      </w:r>
      <w:r>
        <w:rPr>
          <w:rFonts w:hint="eastAsia" w:ascii="宋体" w:hAnsi="宋体" w:eastAsia="宋体" w:cs="宋体"/>
          <w:color w:val="000000"/>
          <w:sz w:val="24"/>
          <w:szCs w:val="24"/>
          <w:highlight w:val="none"/>
          <w:lang w:val="en-US" w:eastAsia="zh-CN" w:bidi="ar-SA"/>
        </w:rPr>
        <w:t>。</w:t>
      </w:r>
    </w:p>
    <w:p>
      <w:pPr>
        <w:autoSpaceDE w:val="0"/>
        <w:autoSpaceDN w:val="0"/>
        <w:adjustRightInd w:val="0"/>
        <w:spacing w:line="360" w:lineRule="auto"/>
        <w:ind w:firstLine="480" w:firstLineChars="200"/>
        <w:rPr>
          <w:rFonts w:hint="eastAsia" w:ascii="宋体" w:hAnsi="宋体" w:eastAsia="宋体" w:cs="宋体"/>
          <w:color w:val="000000"/>
          <w:sz w:val="24"/>
          <w:szCs w:val="24"/>
          <w:highlight w:val="none"/>
        </w:rPr>
      </w:pPr>
    </w:p>
    <w:p>
      <w:pPr>
        <w:autoSpaceDE w:val="0"/>
        <w:autoSpaceDN w:val="0"/>
        <w:adjustRightInd w:val="0"/>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采购人（甲方）：(盖章)             </w:t>
      </w:r>
      <w:r>
        <w:rPr>
          <w:rFonts w:hint="eastAsia" w:ascii="宋体" w:hAnsi="宋体" w:eastAsia="宋体" w:cs="宋体"/>
          <w:color w:val="000000"/>
          <w:sz w:val="24"/>
          <w:szCs w:val="24"/>
          <w:highlight w:val="none"/>
          <w:lang w:val="en-US" w:eastAsia="zh-CN"/>
        </w:rPr>
        <w:t xml:space="preserve">      </w:t>
      </w:r>
      <w:r>
        <w:rPr>
          <w:rFonts w:hint="eastAsia" w:ascii="宋体" w:hAnsi="宋体" w:eastAsia="宋体" w:cs="宋体"/>
          <w:color w:val="000000"/>
          <w:sz w:val="24"/>
          <w:szCs w:val="24"/>
          <w:highlight w:val="none"/>
        </w:rPr>
        <w:t xml:space="preserve"> </w:t>
      </w:r>
      <w:r>
        <w:rPr>
          <w:rFonts w:hint="eastAsia" w:ascii="宋体" w:hAnsi="宋体" w:eastAsia="宋体" w:cs="宋体"/>
          <w:color w:val="000000"/>
          <w:sz w:val="24"/>
          <w:szCs w:val="24"/>
          <w:highlight w:val="none"/>
          <w:lang w:val="en-US" w:eastAsia="zh-CN"/>
        </w:rPr>
        <w:t xml:space="preserve"> </w:t>
      </w:r>
      <w:r>
        <w:rPr>
          <w:rFonts w:hint="eastAsia" w:ascii="宋体" w:hAnsi="宋体" w:eastAsia="宋体" w:cs="宋体"/>
          <w:color w:val="000000"/>
          <w:sz w:val="24"/>
          <w:szCs w:val="24"/>
          <w:highlight w:val="none"/>
        </w:rPr>
        <w:t>供货人（乙方）：(盖章)</w:t>
      </w:r>
    </w:p>
    <w:p>
      <w:pPr>
        <w:autoSpaceDE w:val="0"/>
        <w:autoSpaceDN w:val="0"/>
        <w:adjustRightInd w:val="0"/>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法定代表人或其委托代理人：           </w:t>
      </w:r>
      <w:r>
        <w:rPr>
          <w:rFonts w:hint="eastAsia" w:ascii="宋体" w:hAnsi="宋体" w:eastAsia="宋体" w:cs="宋体"/>
          <w:color w:val="000000"/>
          <w:sz w:val="24"/>
          <w:szCs w:val="24"/>
          <w:highlight w:val="none"/>
          <w:lang w:val="en-US" w:eastAsia="zh-CN"/>
        </w:rPr>
        <w:t xml:space="preserve">      </w:t>
      </w:r>
      <w:r>
        <w:rPr>
          <w:rFonts w:hint="eastAsia" w:ascii="宋体" w:hAnsi="宋体" w:eastAsia="宋体" w:cs="宋体"/>
          <w:color w:val="000000"/>
          <w:sz w:val="24"/>
          <w:szCs w:val="24"/>
          <w:highlight w:val="none"/>
        </w:rPr>
        <w:t>法定代表人或其委托代理人：</w:t>
      </w:r>
    </w:p>
    <w:p>
      <w:pPr>
        <w:autoSpaceDE w:val="0"/>
        <w:autoSpaceDN w:val="0"/>
        <w:adjustRightInd w:val="0"/>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（签字）                             </w:t>
      </w:r>
      <w:r>
        <w:rPr>
          <w:rFonts w:hint="eastAsia" w:ascii="宋体" w:hAnsi="宋体" w:eastAsia="宋体" w:cs="宋体"/>
          <w:color w:val="000000"/>
          <w:sz w:val="24"/>
          <w:szCs w:val="24"/>
          <w:highlight w:val="none"/>
          <w:lang w:val="en-US" w:eastAsia="zh-CN"/>
        </w:rPr>
        <w:t xml:space="preserve">    </w:t>
      </w:r>
      <w:r>
        <w:rPr>
          <w:rFonts w:hint="eastAsia" w:ascii="宋体" w:hAnsi="宋体" w:eastAsia="宋体" w:cs="宋体"/>
          <w:color w:val="000000"/>
          <w:sz w:val="24"/>
          <w:szCs w:val="24"/>
          <w:highlight w:val="none"/>
        </w:rPr>
        <w:t xml:space="preserve"> （签字）</w:t>
      </w:r>
    </w:p>
    <w:p>
      <w:pPr>
        <w:autoSpaceDE w:val="0"/>
        <w:autoSpaceDN w:val="0"/>
        <w:adjustRightInd w:val="0"/>
        <w:spacing w:line="360" w:lineRule="auto"/>
        <w:ind w:firstLine="480" w:firstLineChars="200"/>
        <w:rPr>
          <w:rFonts w:hint="eastAsia" w:ascii="宋体" w:hAnsi="宋体" w:eastAsia="宋体" w:cs="宋体"/>
          <w:color w:val="000000"/>
          <w:sz w:val="24"/>
          <w:szCs w:val="24"/>
          <w:highlight w:val="none"/>
          <w:u w:val="single"/>
        </w:rPr>
      </w:pPr>
      <w:r>
        <w:rPr>
          <w:rFonts w:hint="eastAsia" w:ascii="宋体" w:hAnsi="宋体" w:eastAsia="宋体" w:cs="宋体"/>
          <w:color w:val="000000"/>
          <w:sz w:val="24"/>
          <w:szCs w:val="24"/>
          <w:highlight w:val="none"/>
        </w:rPr>
        <w:t>组织机构代码：</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 xml:space="preserve">    </w:t>
      </w:r>
      <w:r>
        <w:rPr>
          <w:rFonts w:hint="eastAsia" w:ascii="宋体" w:hAnsi="宋体" w:eastAsia="宋体" w:cs="宋体"/>
          <w:color w:val="000000"/>
          <w:sz w:val="24"/>
          <w:szCs w:val="24"/>
          <w:highlight w:val="none"/>
          <w:lang w:val="en-US" w:eastAsia="zh-CN"/>
        </w:rPr>
        <w:t xml:space="preserve">      </w:t>
      </w:r>
      <w:r>
        <w:rPr>
          <w:rFonts w:hint="eastAsia" w:ascii="宋体" w:hAnsi="宋体" w:eastAsia="宋体" w:cs="宋体"/>
          <w:color w:val="000000"/>
          <w:sz w:val="24"/>
          <w:szCs w:val="24"/>
          <w:highlight w:val="none"/>
        </w:rPr>
        <w:t xml:space="preserve"> 组织机构代码：</w:t>
      </w:r>
      <w:r>
        <w:rPr>
          <w:rFonts w:hint="eastAsia" w:ascii="宋体" w:hAnsi="宋体" w:eastAsia="宋体" w:cs="宋体"/>
          <w:color w:val="000000"/>
          <w:sz w:val="24"/>
          <w:szCs w:val="24"/>
          <w:highlight w:val="none"/>
          <w:u w:val="single"/>
        </w:rPr>
        <w:t xml:space="preserve">                    </w:t>
      </w:r>
    </w:p>
    <w:p>
      <w:pPr>
        <w:autoSpaceDE w:val="0"/>
        <w:autoSpaceDN w:val="0"/>
        <w:adjustRightInd w:val="0"/>
        <w:spacing w:line="360" w:lineRule="auto"/>
        <w:ind w:firstLine="480" w:firstLineChars="200"/>
        <w:rPr>
          <w:rFonts w:hint="eastAsia" w:ascii="宋体" w:hAnsi="宋体" w:eastAsia="宋体" w:cs="宋体"/>
          <w:color w:val="000000"/>
          <w:sz w:val="24"/>
          <w:szCs w:val="24"/>
          <w:highlight w:val="none"/>
          <w:u w:val="single"/>
        </w:rPr>
      </w:pPr>
      <w:r>
        <w:rPr>
          <w:rFonts w:hint="eastAsia" w:ascii="宋体" w:hAnsi="宋体" w:eastAsia="宋体" w:cs="宋体"/>
          <w:color w:val="000000"/>
          <w:sz w:val="24"/>
          <w:szCs w:val="24"/>
          <w:highlight w:val="none"/>
        </w:rPr>
        <w:t>地  址：</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 xml:space="preserve">     </w:t>
      </w:r>
      <w:r>
        <w:rPr>
          <w:rFonts w:hint="eastAsia" w:ascii="宋体" w:hAnsi="宋体" w:eastAsia="宋体" w:cs="宋体"/>
          <w:color w:val="000000"/>
          <w:sz w:val="24"/>
          <w:szCs w:val="24"/>
          <w:highlight w:val="none"/>
          <w:lang w:val="en-US" w:eastAsia="zh-CN"/>
        </w:rPr>
        <w:t xml:space="preserve">      </w:t>
      </w:r>
      <w:r>
        <w:rPr>
          <w:rFonts w:hint="eastAsia" w:ascii="宋体" w:hAnsi="宋体" w:eastAsia="宋体" w:cs="宋体"/>
          <w:color w:val="000000"/>
          <w:sz w:val="24"/>
          <w:szCs w:val="24"/>
          <w:highlight w:val="none"/>
        </w:rPr>
        <w:t>地  址：</w:t>
      </w:r>
      <w:r>
        <w:rPr>
          <w:rFonts w:hint="eastAsia" w:ascii="宋体" w:hAnsi="宋体" w:eastAsia="宋体" w:cs="宋体"/>
          <w:color w:val="000000"/>
          <w:sz w:val="24"/>
          <w:szCs w:val="24"/>
          <w:highlight w:val="none"/>
          <w:u w:val="single"/>
        </w:rPr>
        <w:t xml:space="preserve">                          </w:t>
      </w:r>
    </w:p>
    <w:p>
      <w:pPr>
        <w:autoSpaceDE w:val="0"/>
        <w:autoSpaceDN w:val="0"/>
        <w:adjustRightInd w:val="0"/>
        <w:spacing w:line="360" w:lineRule="auto"/>
        <w:ind w:firstLine="480" w:firstLineChars="200"/>
        <w:rPr>
          <w:rFonts w:hint="eastAsia" w:ascii="宋体" w:hAnsi="宋体" w:eastAsia="宋体" w:cs="宋体"/>
          <w:color w:val="000000"/>
          <w:sz w:val="24"/>
          <w:szCs w:val="24"/>
          <w:highlight w:val="none"/>
          <w:u w:val="single"/>
        </w:rPr>
      </w:pPr>
      <w:r>
        <w:rPr>
          <w:rFonts w:hint="eastAsia" w:ascii="宋体" w:hAnsi="宋体" w:eastAsia="宋体" w:cs="宋体"/>
          <w:color w:val="000000"/>
          <w:sz w:val="24"/>
          <w:szCs w:val="24"/>
          <w:highlight w:val="none"/>
        </w:rPr>
        <w:t>邮政编码：</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 xml:space="preserve">    </w:t>
      </w:r>
      <w:r>
        <w:rPr>
          <w:rFonts w:hint="eastAsia" w:ascii="宋体" w:hAnsi="宋体" w:eastAsia="宋体" w:cs="宋体"/>
          <w:color w:val="000000"/>
          <w:sz w:val="24"/>
          <w:szCs w:val="24"/>
          <w:highlight w:val="none"/>
          <w:lang w:val="en-US" w:eastAsia="zh-CN"/>
        </w:rPr>
        <w:t xml:space="preserve">      </w:t>
      </w:r>
      <w:r>
        <w:rPr>
          <w:rFonts w:hint="eastAsia" w:ascii="宋体" w:hAnsi="宋体" w:eastAsia="宋体" w:cs="宋体"/>
          <w:color w:val="000000"/>
          <w:sz w:val="24"/>
          <w:szCs w:val="24"/>
          <w:highlight w:val="none"/>
        </w:rPr>
        <w:t xml:space="preserve"> 邮政编码：</w:t>
      </w:r>
      <w:r>
        <w:rPr>
          <w:rFonts w:hint="eastAsia" w:ascii="宋体" w:hAnsi="宋体" w:eastAsia="宋体" w:cs="宋体"/>
          <w:color w:val="000000"/>
          <w:sz w:val="24"/>
          <w:szCs w:val="24"/>
          <w:highlight w:val="none"/>
          <w:u w:val="single"/>
        </w:rPr>
        <w:t xml:space="preserve">                        </w:t>
      </w:r>
    </w:p>
    <w:p>
      <w:pPr>
        <w:autoSpaceDE w:val="0"/>
        <w:autoSpaceDN w:val="0"/>
        <w:adjustRightInd w:val="0"/>
        <w:spacing w:line="360" w:lineRule="auto"/>
        <w:ind w:firstLine="480" w:firstLineChars="200"/>
        <w:rPr>
          <w:rFonts w:hint="eastAsia" w:ascii="宋体" w:hAnsi="宋体" w:eastAsia="宋体" w:cs="宋体"/>
          <w:color w:val="000000"/>
          <w:sz w:val="24"/>
          <w:szCs w:val="24"/>
          <w:highlight w:val="none"/>
          <w:u w:val="single"/>
        </w:rPr>
      </w:pPr>
      <w:r>
        <w:rPr>
          <w:rFonts w:hint="eastAsia" w:ascii="宋体" w:hAnsi="宋体" w:eastAsia="宋体" w:cs="宋体"/>
          <w:color w:val="000000"/>
          <w:sz w:val="24"/>
          <w:szCs w:val="24"/>
          <w:highlight w:val="none"/>
        </w:rPr>
        <w:t xml:space="preserve">法定代表人： </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 xml:space="preserve">     </w:t>
      </w:r>
      <w:r>
        <w:rPr>
          <w:rFonts w:hint="eastAsia" w:ascii="宋体" w:hAnsi="宋体" w:eastAsia="宋体" w:cs="宋体"/>
          <w:color w:val="000000"/>
          <w:sz w:val="24"/>
          <w:szCs w:val="24"/>
          <w:highlight w:val="none"/>
          <w:lang w:val="en-US" w:eastAsia="zh-CN"/>
        </w:rPr>
        <w:t xml:space="preserve">      </w:t>
      </w:r>
      <w:r>
        <w:rPr>
          <w:rFonts w:hint="eastAsia" w:ascii="宋体" w:hAnsi="宋体" w:eastAsia="宋体" w:cs="宋体"/>
          <w:color w:val="000000"/>
          <w:sz w:val="24"/>
          <w:szCs w:val="24"/>
          <w:highlight w:val="none"/>
        </w:rPr>
        <w:t>法定代表人：</w:t>
      </w:r>
      <w:r>
        <w:rPr>
          <w:rFonts w:hint="eastAsia" w:ascii="宋体" w:hAnsi="宋体" w:eastAsia="宋体" w:cs="宋体"/>
          <w:color w:val="000000"/>
          <w:sz w:val="24"/>
          <w:szCs w:val="24"/>
          <w:highlight w:val="none"/>
          <w:u w:val="single"/>
        </w:rPr>
        <w:t xml:space="preserve">                      </w:t>
      </w:r>
    </w:p>
    <w:p>
      <w:pPr>
        <w:autoSpaceDE w:val="0"/>
        <w:autoSpaceDN w:val="0"/>
        <w:adjustRightInd w:val="0"/>
        <w:spacing w:line="360" w:lineRule="auto"/>
        <w:ind w:firstLine="480" w:firstLineChars="200"/>
        <w:rPr>
          <w:rFonts w:hint="eastAsia" w:ascii="宋体" w:hAnsi="宋体" w:eastAsia="宋体" w:cs="宋体"/>
          <w:color w:val="000000"/>
          <w:sz w:val="24"/>
          <w:szCs w:val="24"/>
          <w:highlight w:val="none"/>
          <w:u w:val="single"/>
        </w:rPr>
      </w:pPr>
      <w:r>
        <w:rPr>
          <w:rFonts w:hint="eastAsia" w:ascii="宋体" w:hAnsi="宋体" w:eastAsia="宋体" w:cs="宋体"/>
          <w:color w:val="000000"/>
          <w:sz w:val="24"/>
          <w:szCs w:val="24"/>
          <w:highlight w:val="none"/>
        </w:rPr>
        <w:t>电  话：</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 xml:space="preserve">     </w:t>
      </w:r>
      <w:r>
        <w:rPr>
          <w:rFonts w:hint="eastAsia" w:ascii="宋体" w:hAnsi="宋体" w:eastAsia="宋体" w:cs="宋体"/>
          <w:color w:val="000000"/>
          <w:sz w:val="24"/>
          <w:szCs w:val="24"/>
          <w:highlight w:val="none"/>
          <w:lang w:val="en-US" w:eastAsia="zh-CN"/>
        </w:rPr>
        <w:t xml:space="preserve">      </w:t>
      </w:r>
      <w:r>
        <w:rPr>
          <w:rFonts w:hint="eastAsia" w:ascii="宋体" w:hAnsi="宋体" w:eastAsia="宋体" w:cs="宋体"/>
          <w:color w:val="000000"/>
          <w:sz w:val="24"/>
          <w:szCs w:val="24"/>
          <w:highlight w:val="none"/>
        </w:rPr>
        <w:t>电  话：</w:t>
      </w:r>
      <w:r>
        <w:rPr>
          <w:rFonts w:hint="eastAsia" w:ascii="宋体" w:hAnsi="宋体" w:eastAsia="宋体" w:cs="宋体"/>
          <w:color w:val="000000"/>
          <w:sz w:val="24"/>
          <w:szCs w:val="24"/>
          <w:highlight w:val="none"/>
          <w:u w:val="single"/>
        </w:rPr>
        <w:t xml:space="preserve">                          </w:t>
      </w:r>
    </w:p>
    <w:p>
      <w:pPr>
        <w:autoSpaceDE w:val="0"/>
        <w:autoSpaceDN w:val="0"/>
        <w:adjustRightInd w:val="0"/>
        <w:spacing w:line="360" w:lineRule="auto"/>
        <w:ind w:firstLine="480" w:firstLineChars="200"/>
        <w:rPr>
          <w:rFonts w:hint="eastAsia" w:ascii="宋体" w:hAnsi="宋体" w:eastAsia="宋体" w:cs="宋体"/>
          <w:color w:val="000000"/>
          <w:sz w:val="24"/>
          <w:szCs w:val="24"/>
          <w:highlight w:val="none"/>
          <w:u w:val="single"/>
        </w:rPr>
      </w:pPr>
      <w:r>
        <w:rPr>
          <w:rFonts w:hint="eastAsia" w:ascii="宋体" w:hAnsi="宋体" w:eastAsia="宋体" w:cs="宋体"/>
          <w:color w:val="000000"/>
          <w:sz w:val="24"/>
          <w:szCs w:val="24"/>
          <w:highlight w:val="none"/>
        </w:rPr>
        <w:t>传  真：</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 xml:space="preserve">     </w:t>
      </w:r>
      <w:r>
        <w:rPr>
          <w:rFonts w:hint="eastAsia" w:ascii="宋体" w:hAnsi="宋体" w:eastAsia="宋体" w:cs="宋体"/>
          <w:color w:val="000000"/>
          <w:sz w:val="24"/>
          <w:szCs w:val="24"/>
          <w:highlight w:val="none"/>
          <w:lang w:val="en-US" w:eastAsia="zh-CN"/>
        </w:rPr>
        <w:t xml:space="preserve">      </w:t>
      </w:r>
      <w:r>
        <w:rPr>
          <w:rFonts w:hint="eastAsia" w:ascii="宋体" w:hAnsi="宋体" w:eastAsia="宋体" w:cs="宋体"/>
          <w:color w:val="000000"/>
          <w:sz w:val="24"/>
          <w:szCs w:val="24"/>
          <w:highlight w:val="none"/>
        </w:rPr>
        <w:t>传  真：</w:t>
      </w:r>
      <w:r>
        <w:rPr>
          <w:rFonts w:hint="eastAsia" w:ascii="宋体" w:hAnsi="宋体" w:eastAsia="宋体" w:cs="宋体"/>
          <w:color w:val="000000"/>
          <w:sz w:val="24"/>
          <w:szCs w:val="24"/>
          <w:highlight w:val="none"/>
          <w:u w:val="single"/>
        </w:rPr>
        <w:t xml:space="preserve">                          </w:t>
      </w:r>
    </w:p>
    <w:p>
      <w:pPr>
        <w:autoSpaceDE w:val="0"/>
        <w:autoSpaceDN w:val="0"/>
        <w:adjustRightInd w:val="0"/>
        <w:spacing w:line="360" w:lineRule="auto"/>
        <w:ind w:firstLine="480" w:firstLineChars="200"/>
        <w:rPr>
          <w:rFonts w:hint="eastAsia" w:ascii="宋体" w:hAnsi="宋体" w:eastAsia="宋体" w:cs="宋体"/>
          <w:color w:val="000000"/>
          <w:sz w:val="24"/>
          <w:szCs w:val="24"/>
          <w:highlight w:val="none"/>
          <w:u w:val="single"/>
        </w:rPr>
      </w:pPr>
      <w:r>
        <w:rPr>
          <w:rFonts w:hint="eastAsia" w:ascii="宋体" w:hAnsi="宋体" w:eastAsia="宋体" w:cs="宋体"/>
          <w:color w:val="000000"/>
          <w:sz w:val="24"/>
          <w:szCs w:val="24"/>
          <w:highlight w:val="none"/>
        </w:rPr>
        <w:t>电子信箱：</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 xml:space="preserve">   </w:t>
      </w:r>
      <w:r>
        <w:rPr>
          <w:rFonts w:hint="eastAsia" w:ascii="宋体" w:hAnsi="宋体" w:eastAsia="宋体" w:cs="宋体"/>
          <w:color w:val="000000"/>
          <w:sz w:val="24"/>
          <w:szCs w:val="24"/>
          <w:highlight w:val="none"/>
          <w:lang w:val="en-US" w:eastAsia="zh-CN"/>
        </w:rPr>
        <w:t xml:space="preserve"> </w:t>
      </w:r>
      <w:r>
        <w:rPr>
          <w:rFonts w:hint="eastAsia" w:ascii="宋体" w:hAnsi="宋体" w:eastAsia="宋体" w:cs="宋体"/>
          <w:color w:val="000000"/>
          <w:sz w:val="24"/>
          <w:szCs w:val="24"/>
          <w:highlight w:val="none"/>
        </w:rPr>
        <w:t xml:space="preserve"> </w:t>
      </w:r>
      <w:r>
        <w:rPr>
          <w:rFonts w:hint="eastAsia" w:ascii="宋体" w:hAnsi="宋体" w:eastAsia="宋体" w:cs="宋体"/>
          <w:color w:val="000000"/>
          <w:sz w:val="24"/>
          <w:szCs w:val="24"/>
          <w:highlight w:val="none"/>
          <w:lang w:val="en-US" w:eastAsia="zh-CN"/>
        </w:rPr>
        <w:t xml:space="preserve">     </w:t>
      </w:r>
      <w:r>
        <w:rPr>
          <w:rFonts w:hint="eastAsia" w:ascii="宋体" w:hAnsi="宋体" w:eastAsia="宋体" w:cs="宋体"/>
          <w:color w:val="000000"/>
          <w:sz w:val="24"/>
          <w:szCs w:val="24"/>
          <w:highlight w:val="none"/>
        </w:rPr>
        <w:t xml:space="preserve"> 电子信箱：</w:t>
      </w:r>
      <w:r>
        <w:rPr>
          <w:rFonts w:hint="eastAsia" w:ascii="宋体" w:hAnsi="宋体" w:eastAsia="宋体" w:cs="宋体"/>
          <w:color w:val="000000"/>
          <w:sz w:val="24"/>
          <w:szCs w:val="24"/>
          <w:highlight w:val="none"/>
          <w:u w:val="single"/>
        </w:rPr>
        <w:t xml:space="preserve">                        </w:t>
      </w:r>
    </w:p>
    <w:p>
      <w:pPr>
        <w:autoSpaceDE w:val="0"/>
        <w:autoSpaceDN w:val="0"/>
        <w:adjustRightInd w:val="0"/>
        <w:spacing w:line="360" w:lineRule="auto"/>
        <w:ind w:firstLine="480" w:firstLineChars="200"/>
        <w:rPr>
          <w:rFonts w:hint="eastAsia" w:ascii="宋体" w:hAnsi="宋体" w:eastAsia="宋体" w:cs="宋体"/>
          <w:color w:val="000000"/>
          <w:sz w:val="24"/>
          <w:szCs w:val="24"/>
          <w:highlight w:val="none"/>
          <w:u w:val="single"/>
        </w:rPr>
      </w:pPr>
      <w:r>
        <w:rPr>
          <w:rFonts w:hint="eastAsia" w:ascii="宋体" w:hAnsi="宋体" w:eastAsia="宋体" w:cs="宋体"/>
          <w:color w:val="000000"/>
          <w:sz w:val="24"/>
          <w:szCs w:val="24"/>
          <w:highlight w:val="none"/>
        </w:rPr>
        <w:t>开户银行：</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 xml:space="preserve">    </w:t>
      </w:r>
      <w:r>
        <w:rPr>
          <w:rFonts w:hint="eastAsia" w:ascii="宋体" w:hAnsi="宋体" w:eastAsia="宋体" w:cs="宋体"/>
          <w:color w:val="000000"/>
          <w:sz w:val="24"/>
          <w:szCs w:val="24"/>
          <w:highlight w:val="none"/>
          <w:lang w:val="en-US" w:eastAsia="zh-CN"/>
        </w:rPr>
        <w:t xml:space="preserve"> </w:t>
      </w:r>
      <w:r>
        <w:rPr>
          <w:rFonts w:hint="eastAsia" w:ascii="宋体" w:hAnsi="宋体" w:eastAsia="宋体" w:cs="宋体"/>
          <w:color w:val="000000"/>
          <w:sz w:val="24"/>
          <w:szCs w:val="24"/>
          <w:highlight w:val="none"/>
        </w:rPr>
        <w:t xml:space="preserve"> </w:t>
      </w:r>
      <w:r>
        <w:rPr>
          <w:rFonts w:hint="eastAsia" w:ascii="宋体" w:hAnsi="宋体" w:eastAsia="宋体" w:cs="宋体"/>
          <w:color w:val="000000"/>
          <w:sz w:val="24"/>
          <w:szCs w:val="24"/>
          <w:highlight w:val="none"/>
          <w:lang w:val="en-US" w:eastAsia="zh-CN"/>
        </w:rPr>
        <w:t xml:space="preserve">     </w:t>
      </w:r>
      <w:r>
        <w:rPr>
          <w:rFonts w:hint="eastAsia" w:ascii="宋体" w:hAnsi="宋体" w:eastAsia="宋体" w:cs="宋体"/>
          <w:color w:val="000000"/>
          <w:sz w:val="24"/>
          <w:szCs w:val="24"/>
          <w:highlight w:val="none"/>
        </w:rPr>
        <w:t>开户银行：</w:t>
      </w:r>
      <w:r>
        <w:rPr>
          <w:rFonts w:hint="eastAsia" w:ascii="宋体" w:hAnsi="宋体" w:eastAsia="宋体" w:cs="宋体"/>
          <w:color w:val="000000"/>
          <w:sz w:val="24"/>
          <w:szCs w:val="24"/>
          <w:highlight w:val="none"/>
          <w:u w:val="single"/>
        </w:rPr>
        <w:t xml:space="preserve">                        </w:t>
      </w:r>
    </w:p>
    <w:p>
      <w:pPr>
        <w:spacing w:line="360" w:lineRule="auto"/>
        <w:ind w:firstLine="480" w:firstLineChars="200"/>
        <w:rPr>
          <w:rFonts w:hint="eastAsia"/>
          <w:highlight w:val="none"/>
          <w:lang w:val="en-US" w:eastAsia="zh-CN"/>
        </w:rPr>
      </w:pPr>
      <w:r>
        <w:rPr>
          <w:rFonts w:hint="eastAsia" w:ascii="宋体" w:hAnsi="宋体" w:eastAsia="宋体" w:cs="宋体"/>
          <w:color w:val="000000"/>
          <w:sz w:val="24"/>
          <w:szCs w:val="24"/>
          <w:highlight w:val="none"/>
        </w:rPr>
        <w:t>账  号：</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 xml:space="preserve">    </w:t>
      </w:r>
      <w:r>
        <w:rPr>
          <w:rFonts w:hint="eastAsia" w:ascii="宋体" w:hAnsi="宋体" w:eastAsia="宋体" w:cs="宋体"/>
          <w:color w:val="000000"/>
          <w:sz w:val="24"/>
          <w:szCs w:val="24"/>
          <w:highlight w:val="none"/>
          <w:lang w:val="en-US" w:eastAsia="zh-CN"/>
        </w:rPr>
        <w:t xml:space="preserve">      </w:t>
      </w:r>
      <w:r>
        <w:rPr>
          <w:rFonts w:hint="eastAsia" w:ascii="宋体" w:hAnsi="宋体" w:eastAsia="宋体" w:cs="宋体"/>
          <w:color w:val="000000"/>
          <w:sz w:val="24"/>
          <w:szCs w:val="24"/>
          <w:highlight w:val="none"/>
        </w:rPr>
        <w:t xml:space="preserve"> 账  号：</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u w:val="single"/>
        </w:rPr>
        <w:br w:type="page"/>
      </w:r>
    </w:p>
    <w:p>
      <w:pPr>
        <w:pStyle w:val="3"/>
        <w:bidi w:val="0"/>
        <w:spacing w:line="360" w:lineRule="auto"/>
        <w:rPr>
          <w:rFonts w:hint="eastAsia" w:ascii="宋体" w:hAnsi="宋体" w:eastAsia="宋体" w:cs="宋体"/>
          <w:color w:val="000000"/>
          <w:sz w:val="24"/>
          <w:szCs w:val="24"/>
          <w:highlight w:val="none"/>
          <w:u w:val="single"/>
        </w:rPr>
      </w:pPr>
      <w:bookmarkStart w:id="499" w:name="_Toc21986"/>
      <w:r>
        <w:rPr>
          <w:rFonts w:hint="eastAsia" w:ascii="宋体" w:hAnsi="宋体" w:eastAsia="宋体" w:cs="宋体"/>
          <w:color w:val="000000"/>
          <w:highlight w:val="none"/>
          <w:lang w:val="en-US" w:eastAsia="zh-CN"/>
        </w:rPr>
        <w:t>附件一：</w:t>
      </w:r>
      <w:bookmarkEnd w:id="499"/>
    </w:p>
    <w:p>
      <w:pPr>
        <w:bidi w:val="0"/>
        <w:spacing w:line="360" w:lineRule="auto"/>
        <w:jc w:val="center"/>
        <w:rPr>
          <w:rFonts w:hint="eastAsia" w:ascii="宋体" w:hAnsi="宋体" w:eastAsia="宋体" w:cs="宋体"/>
          <w:b/>
          <w:bCs/>
          <w:color w:val="000000"/>
          <w:kern w:val="2"/>
          <w:sz w:val="30"/>
          <w:szCs w:val="30"/>
          <w:highlight w:val="none"/>
          <w:lang w:val="en-US" w:eastAsia="zh-CN" w:bidi="ar-SA"/>
        </w:rPr>
      </w:pPr>
      <w:r>
        <w:rPr>
          <w:rFonts w:hint="eastAsia" w:cs="宋体"/>
          <w:b/>
          <w:bCs/>
          <w:color w:val="000000"/>
          <w:kern w:val="2"/>
          <w:sz w:val="30"/>
          <w:szCs w:val="30"/>
          <w:highlight w:val="none"/>
          <w:lang w:val="en-US" w:eastAsia="zh-CN" w:bidi="ar-SA"/>
        </w:rPr>
        <w:t>投标</w:t>
      </w:r>
      <w:r>
        <w:rPr>
          <w:rFonts w:hint="eastAsia" w:ascii="宋体" w:hAnsi="宋体" w:eastAsia="宋体" w:cs="宋体"/>
          <w:b/>
          <w:bCs/>
          <w:color w:val="000000"/>
          <w:kern w:val="2"/>
          <w:sz w:val="30"/>
          <w:szCs w:val="30"/>
          <w:highlight w:val="none"/>
          <w:lang w:val="en-US" w:eastAsia="zh-CN" w:bidi="ar-SA"/>
        </w:rPr>
        <w:t>设备及材料清单</w:t>
      </w:r>
    </w:p>
    <w:p>
      <w:pPr>
        <w:rPr>
          <w:rFonts w:hint="eastAsia" w:ascii="宋体" w:hAnsi="宋体" w:eastAsia="宋体" w:cs="宋体"/>
          <w:color w:val="000000"/>
          <w:highlight w:val="none"/>
          <w:lang w:val="en-US" w:eastAsia="zh-CN"/>
        </w:rPr>
      </w:pPr>
      <w:bookmarkStart w:id="500" w:name="_Toc2773"/>
      <w:r>
        <w:rPr>
          <w:rFonts w:hint="eastAsia" w:ascii="宋体" w:hAnsi="宋体" w:eastAsia="宋体" w:cs="宋体"/>
          <w:color w:val="000000"/>
          <w:highlight w:val="none"/>
          <w:lang w:val="en-US" w:eastAsia="zh-CN"/>
        </w:rPr>
        <w:br w:type="page"/>
      </w:r>
    </w:p>
    <w:p>
      <w:pPr>
        <w:pStyle w:val="3"/>
        <w:bidi w:val="0"/>
        <w:spacing w:line="360" w:lineRule="auto"/>
        <w:rPr>
          <w:rFonts w:hint="eastAsia" w:ascii="宋体" w:hAnsi="宋体" w:eastAsia="宋体" w:cs="宋体"/>
          <w:b w:val="0"/>
          <w:bCs w:val="0"/>
          <w:color w:val="000000"/>
          <w:kern w:val="2"/>
          <w:sz w:val="24"/>
          <w:szCs w:val="24"/>
          <w:highlight w:val="none"/>
          <w:lang w:val="en-US" w:eastAsia="zh-CN" w:bidi="ar-SA"/>
        </w:rPr>
      </w:pPr>
      <w:r>
        <w:rPr>
          <w:rFonts w:hint="eastAsia" w:ascii="宋体" w:hAnsi="宋体" w:eastAsia="宋体" w:cs="宋体"/>
          <w:color w:val="000000"/>
          <w:highlight w:val="none"/>
          <w:lang w:val="en-US" w:eastAsia="zh-CN"/>
        </w:rPr>
        <w:t>附件二：</w:t>
      </w:r>
      <w:bookmarkEnd w:id="500"/>
    </w:p>
    <w:p>
      <w:pPr>
        <w:pStyle w:val="20"/>
        <w:spacing w:line="360" w:lineRule="auto"/>
        <w:rPr>
          <w:rFonts w:hint="eastAsia" w:ascii="宋体" w:hAnsi="宋体" w:eastAsia="宋体" w:cs="宋体"/>
          <w:b/>
          <w:bCs/>
          <w:color w:val="000000"/>
          <w:kern w:val="2"/>
          <w:sz w:val="32"/>
          <w:szCs w:val="32"/>
          <w:highlight w:val="none"/>
          <w:lang w:val="en-US" w:eastAsia="zh-CN" w:bidi="ar-SA"/>
        </w:rPr>
      </w:pPr>
      <w:r>
        <w:rPr>
          <w:rFonts w:hint="eastAsia" w:cs="宋体"/>
          <w:b/>
          <w:bCs/>
          <w:color w:val="000000"/>
          <w:sz w:val="32"/>
          <w:szCs w:val="32"/>
          <w:highlight w:val="none"/>
          <w:lang w:val="en-US" w:eastAsia="zh-CN"/>
        </w:rPr>
        <w:t>投标</w:t>
      </w:r>
      <w:r>
        <w:rPr>
          <w:rFonts w:hint="eastAsia" w:ascii="宋体" w:hAnsi="宋体" w:eastAsia="宋体" w:cs="宋体"/>
          <w:b/>
          <w:bCs/>
          <w:color w:val="000000"/>
          <w:sz w:val="32"/>
          <w:szCs w:val="32"/>
          <w:highlight w:val="none"/>
          <w:lang w:val="en-US" w:eastAsia="zh-CN"/>
        </w:rPr>
        <w:t>产品技术规格书</w:t>
      </w:r>
    </w:p>
    <w:p>
      <w:pPr>
        <w:pStyle w:val="20"/>
        <w:spacing w:line="360" w:lineRule="auto"/>
        <w:rPr>
          <w:rFonts w:hint="eastAsia" w:ascii="宋体" w:hAnsi="宋体" w:eastAsia="宋体" w:cs="宋体"/>
          <w:b w:val="0"/>
          <w:bCs w:val="0"/>
          <w:color w:val="000000"/>
          <w:kern w:val="2"/>
          <w:sz w:val="24"/>
          <w:szCs w:val="24"/>
          <w:highlight w:val="none"/>
          <w:lang w:val="en-US" w:eastAsia="zh-CN" w:bidi="ar-SA"/>
        </w:rPr>
      </w:pPr>
    </w:p>
    <w:p>
      <w:pPr>
        <w:pStyle w:val="20"/>
        <w:spacing w:line="360" w:lineRule="auto"/>
        <w:rPr>
          <w:rFonts w:hint="eastAsia" w:ascii="宋体" w:hAnsi="宋体" w:eastAsia="宋体" w:cs="宋体"/>
          <w:b w:val="0"/>
          <w:bCs w:val="0"/>
          <w:color w:val="000000"/>
          <w:kern w:val="2"/>
          <w:sz w:val="24"/>
          <w:szCs w:val="24"/>
          <w:highlight w:val="none"/>
          <w:lang w:val="en-US" w:eastAsia="zh-CN" w:bidi="ar-SA"/>
        </w:rPr>
      </w:pPr>
    </w:p>
    <w:p>
      <w:pPr>
        <w:pStyle w:val="20"/>
        <w:spacing w:line="360" w:lineRule="auto"/>
        <w:rPr>
          <w:rFonts w:hint="eastAsia" w:ascii="宋体" w:hAnsi="宋体" w:eastAsia="宋体" w:cs="宋体"/>
          <w:b w:val="0"/>
          <w:bCs w:val="0"/>
          <w:color w:val="000000"/>
          <w:kern w:val="2"/>
          <w:sz w:val="24"/>
          <w:szCs w:val="24"/>
          <w:highlight w:val="none"/>
          <w:lang w:val="en-US" w:eastAsia="zh-CN" w:bidi="ar-SA"/>
        </w:rPr>
      </w:pPr>
    </w:p>
    <w:p>
      <w:pPr>
        <w:pStyle w:val="20"/>
        <w:spacing w:line="360" w:lineRule="auto"/>
        <w:rPr>
          <w:rFonts w:hint="eastAsia" w:ascii="宋体" w:hAnsi="宋体" w:eastAsia="宋体" w:cs="宋体"/>
          <w:b w:val="0"/>
          <w:bCs w:val="0"/>
          <w:color w:val="000000"/>
          <w:kern w:val="2"/>
          <w:sz w:val="24"/>
          <w:szCs w:val="24"/>
          <w:highlight w:val="none"/>
          <w:lang w:val="en-US" w:eastAsia="zh-CN" w:bidi="ar-SA"/>
        </w:rPr>
      </w:pPr>
    </w:p>
    <w:p>
      <w:pPr>
        <w:pStyle w:val="20"/>
        <w:spacing w:line="360" w:lineRule="auto"/>
        <w:rPr>
          <w:rFonts w:hint="eastAsia" w:ascii="宋体" w:hAnsi="宋体" w:eastAsia="宋体" w:cs="宋体"/>
          <w:b w:val="0"/>
          <w:bCs w:val="0"/>
          <w:color w:val="000000"/>
          <w:kern w:val="2"/>
          <w:sz w:val="24"/>
          <w:szCs w:val="24"/>
          <w:highlight w:val="none"/>
          <w:lang w:val="en-US" w:eastAsia="zh-CN" w:bidi="ar-SA"/>
        </w:rPr>
      </w:pPr>
    </w:p>
    <w:p>
      <w:pPr>
        <w:pStyle w:val="20"/>
        <w:spacing w:line="360" w:lineRule="auto"/>
        <w:rPr>
          <w:rFonts w:hint="eastAsia" w:ascii="宋体" w:hAnsi="宋体" w:eastAsia="宋体" w:cs="宋体"/>
          <w:b w:val="0"/>
          <w:bCs w:val="0"/>
          <w:color w:val="000000"/>
          <w:kern w:val="2"/>
          <w:sz w:val="24"/>
          <w:szCs w:val="24"/>
          <w:highlight w:val="none"/>
          <w:lang w:val="en-US" w:eastAsia="zh-CN" w:bidi="ar-SA"/>
        </w:rPr>
      </w:pPr>
    </w:p>
    <w:p>
      <w:pPr>
        <w:pStyle w:val="20"/>
        <w:spacing w:line="360" w:lineRule="auto"/>
        <w:rPr>
          <w:rFonts w:hint="eastAsia" w:ascii="宋体" w:hAnsi="宋体" w:eastAsia="宋体" w:cs="宋体"/>
          <w:b w:val="0"/>
          <w:bCs w:val="0"/>
          <w:color w:val="000000"/>
          <w:kern w:val="2"/>
          <w:sz w:val="24"/>
          <w:szCs w:val="24"/>
          <w:highlight w:val="none"/>
          <w:lang w:val="en-US" w:eastAsia="zh-CN" w:bidi="ar-SA"/>
        </w:rPr>
      </w:pPr>
    </w:p>
    <w:p>
      <w:pPr>
        <w:pStyle w:val="20"/>
        <w:spacing w:line="360" w:lineRule="auto"/>
        <w:rPr>
          <w:rFonts w:hint="eastAsia" w:ascii="宋体" w:hAnsi="宋体" w:eastAsia="宋体" w:cs="宋体"/>
          <w:b w:val="0"/>
          <w:bCs w:val="0"/>
          <w:color w:val="000000"/>
          <w:kern w:val="2"/>
          <w:sz w:val="24"/>
          <w:szCs w:val="24"/>
          <w:highlight w:val="none"/>
          <w:lang w:val="en-US" w:eastAsia="zh-CN" w:bidi="ar-SA"/>
        </w:rPr>
      </w:pPr>
    </w:p>
    <w:p>
      <w:pPr>
        <w:pStyle w:val="20"/>
        <w:spacing w:line="360" w:lineRule="auto"/>
        <w:rPr>
          <w:rFonts w:hint="eastAsia" w:ascii="宋体" w:hAnsi="宋体" w:eastAsia="宋体" w:cs="宋体"/>
          <w:b w:val="0"/>
          <w:bCs w:val="0"/>
          <w:color w:val="000000"/>
          <w:kern w:val="2"/>
          <w:sz w:val="24"/>
          <w:szCs w:val="24"/>
          <w:highlight w:val="none"/>
          <w:lang w:val="en-US" w:eastAsia="zh-CN" w:bidi="ar-SA"/>
        </w:rPr>
      </w:pPr>
    </w:p>
    <w:p>
      <w:pPr>
        <w:pStyle w:val="20"/>
        <w:spacing w:line="360" w:lineRule="auto"/>
        <w:rPr>
          <w:rFonts w:hint="eastAsia" w:ascii="宋体" w:hAnsi="宋体" w:eastAsia="宋体" w:cs="宋体"/>
          <w:b w:val="0"/>
          <w:bCs w:val="0"/>
          <w:color w:val="000000"/>
          <w:kern w:val="2"/>
          <w:sz w:val="24"/>
          <w:szCs w:val="24"/>
          <w:highlight w:val="none"/>
          <w:lang w:val="en-US" w:eastAsia="zh-CN" w:bidi="ar-SA"/>
        </w:rPr>
      </w:pPr>
    </w:p>
    <w:p>
      <w:pPr>
        <w:pStyle w:val="20"/>
        <w:spacing w:line="360" w:lineRule="auto"/>
        <w:rPr>
          <w:rFonts w:hint="eastAsia" w:ascii="宋体" w:hAnsi="宋体" w:eastAsia="宋体" w:cs="宋体"/>
          <w:b w:val="0"/>
          <w:bCs w:val="0"/>
          <w:color w:val="000000"/>
          <w:kern w:val="2"/>
          <w:sz w:val="24"/>
          <w:szCs w:val="24"/>
          <w:highlight w:val="none"/>
          <w:lang w:val="en-US" w:eastAsia="zh-CN" w:bidi="ar-SA"/>
        </w:rPr>
      </w:pPr>
    </w:p>
    <w:p>
      <w:pPr>
        <w:pStyle w:val="20"/>
        <w:spacing w:line="360" w:lineRule="auto"/>
        <w:rPr>
          <w:rFonts w:hint="eastAsia" w:ascii="宋体" w:hAnsi="宋体" w:eastAsia="宋体" w:cs="宋体"/>
          <w:b w:val="0"/>
          <w:bCs w:val="0"/>
          <w:color w:val="000000"/>
          <w:kern w:val="2"/>
          <w:sz w:val="24"/>
          <w:szCs w:val="24"/>
          <w:highlight w:val="none"/>
          <w:lang w:val="en-US" w:eastAsia="zh-CN" w:bidi="ar-SA"/>
        </w:rPr>
      </w:pPr>
    </w:p>
    <w:p>
      <w:pPr>
        <w:pStyle w:val="20"/>
        <w:spacing w:line="360" w:lineRule="auto"/>
        <w:rPr>
          <w:rFonts w:hint="eastAsia" w:ascii="宋体" w:hAnsi="宋体" w:eastAsia="宋体" w:cs="宋体"/>
          <w:b w:val="0"/>
          <w:bCs w:val="0"/>
          <w:color w:val="000000"/>
          <w:kern w:val="2"/>
          <w:sz w:val="24"/>
          <w:szCs w:val="24"/>
          <w:highlight w:val="none"/>
          <w:lang w:val="en-US" w:eastAsia="zh-CN" w:bidi="ar-SA"/>
        </w:rPr>
      </w:pPr>
    </w:p>
    <w:p>
      <w:pPr>
        <w:pStyle w:val="20"/>
        <w:spacing w:line="360" w:lineRule="auto"/>
        <w:rPr>
          <w:rFonts w:hint="eastAsia" w:ascii="宋体" w:hAnsi="宋体" w:eastAsia="宋体" w:cs="宋体"/>
          <w:b w:val="0"/>
          <w:bCs w:val="0"/>
          <w:color w:val="000000"/>
          <w:kern w:val="2"/>
          <w:sz w:val="24"/>
          <w:szCs w:val="24"/>
          <w:highlight w:val="none"/>
          <w:lang w:val="en-US" w:eastAsia="zh-CN" w:bidi="ar-SA"/>
        </w:rPr>
      </w:pPr>
    </w:p>
    <w:p>
      <w:pPr>
        <w:pStyle w:val="20"/>
        <w:spacing w:line="360" w:lineRule="auto"/>
        <w:rPr>
          <w:rFonts w:hint="eastAsia" w:ascii="宋体" w:hAnsi="宋体" w:eastAsia="宋体" w:cs="宋体"/>
          <w:b w:val="0"/>
          <w:bCs w:val="0"/>
          <w:color w:val="000000"/>
          <w:kern w:val="2"/>
          <w:sz w:val="24"/>
          <w:szCs w:val="24"/>
          <w:highlight w:val="none"/>
          <w:lang w:val="en-US" w:eastAsia="zh-CN" w:bidi="ar-SA"/>
        </w:rPr>
      </w:pPr>
    </w:p>
    <w:p>
      <w:pPr>
        <w:pStyle w:val="20"/>
        <w:spacing w:line="360" w:lineRule="auto"/>
        <w:rPr>
          <w:rFonts w:hint="eastAsia" w:ascii="宋体" w:hAnsi="宋体" w:eastAsia="宋体" w:cs="宋体"/>
          <w:b w:val="0"/>
          <w:bCs w:val="0"/>
          <w:color w:val="000000"/>
          <w:kern w:val="2"/>
          <w:sz w:val="24"/>
          <w:szCs w:val="24"/>
          <w:highlight w:val="none"/>
          <w:lang w:val="en-US" w:eastAsia="zh-CN" w:bidi="ar-SA"/>
        </w:rPr>
      </w:pPr>
    </w:p>
    <w:p>
      <w:pPr>
        <w:pStyle w:val="20"/>
        <w:spacing w:line="360" w:lineRule="auto"/>
        <w:rPr>
          <w:rFonts w:hint="eastAsia" w:ascii="宋体" w:hAnsi="宋体" w:eastAsia="宋体" w:cs="宋体"/>
          <w:b w:val="0"/>
          <w:bCs w:val="0"/>
          <w:color w:val="000000"/>
          <w:kern w:val="2"/>
          <w:sz w:val="24"/>
          <w:szCs w:val="24"/>
          <w:highlight w:val="none"/>
          <w:lang w:val="en-US" w:eastAsia="zh-CN" w:bidi="ar-SA"/>
        </w:rPr>
      </w:pPr>
    </w:p>
    <w:p>
      <w:pPr>
        <w:pStyle w:val="20"/>
        <w:spacing w:line="360" w:lineRule="auto"/>
        <w:rPr>
          <w:rFonts w:hint="eastAsia" w:ascii="宋体" w:hAnsi="宋体" w:eastAsia="宋体" w:cs="宋体"/>
          <w:b w:val="0"/>
          <w:bCs w:val="0"/>
          <w:color w:val="000000"/>
          <w:kern w:val="2"/>
          <w:sz w:val="24"/>
          <w:szCs w:val="24"/>
          <w:highlight w:val="none"/>
          <w:lang w:val="en-US" w:eastAsia="zh-CN" w:bidi="ar-SA"/>
        </w:rPr>
      </w:pPr>
    </w:p>
    <w:p>
      <w:pPr>
        <w:pStyle w:val="20"/>
        <w:spacing w:line="360" w:lineRule="auto"/>
        <w:rPr>
          <w:rFonts w:hint="eastAsia" w:ascii="宋体" w:hAnsi="宋体" w:eastAsia="宋体" w:cs="宋体"/>
          <w:b w:val="0"/>
          <w:bCs w:val="0"/>
          <w:color w:val="000000"/>
          <w:kern w:val="2"/>
          <w:sz w:val="24"/>
          <w:szCs w:val="24"/>
          <w:highlight w:val="none"/>
          <w:lang w:val="en-US" w:eastAsia="zh-CN" w:bidi="ar-SA"/>
        </w:rPr>
      </w:pPr>
    </w:p>
    <w:p>
      <w:pPr>
        <w:pStyle w:val="20"/>
        <w:spacing w:line="360" w:lineRule="auto"/>
        <w:rPr>
          <w:rFonts w:hint="eastAsia" w:ascii="宋体" w:hAnsi="宋体" w:eastAsia="宋体" w:cs="宋体"/>
          <w:b w:val="0"/>
          <w:bCs w:val="0"/>
          <w:color w:val="000000"/>
          <w:kern w:val="2"/>
          <w:sz w:val="24"/>
          <w:szCs w:val="24"/>
          <w:highlight w:val="none"/>
          <w:lang w:val="en-US" w:eastAsia="zh-CN" w:bidi="ar-SA"/>
        </w:rPr>
      </w:pPr>
    </w:p>
    <w:p>
      <w:pPr>
        <w:pStyle w:val="20"/>
        <w:spacing w:line="360" w:lineRule="auto"/>
        <w:rPr>
          <w:rFonts w:hint="eastAsia" w:ascii="宋体" w:hAnsi="宋体" w:eastAsia="宋体" w:cs="宋体"/>
          <w:b w:val="0"/>
          <w:bCs w:val="0"/>
          <w:color w:val="000000"/>
          <w:kern w:val="2"/>
          <w:sz w:val="24"/>
          <w:szCs w:val="24"/>
          <w:highlight w:val="none"/>
          <w:lang w:val="en-US" w:eastAsia="zh-CN" w:bidi="ar-SA"/>
        </w:rPr>
      </w:pPr>
    </w:p>
    <w:p>
      <w:pPr>
        <w:pStyle w:val="20"/>
        <w:spacing w:line="360" w:lineRule="auto"/>
        <w:rPr>
          <w:rFonts w:hint="eastAsia" w:ascii="宋体" w:hAnsi="宋体" w:eastAsia="宋体" w:cs="宋体"/>
          <w:b w:val="0"/>
          <w:bCs w:val="0"/>
          <w:color w:val="000000"/>
          <w:kern w:val="2"/>
          <w:sz w:val="24"/>
          <w:szCs w:val="24"/>
          <w:highlight w:val="none"/>
          <w:lang w:val="en-US" w:eastAsia="zh-CN" w:bidi="ar-SA"/>
        </w:rPr>
      </w:pPr>
    </w:p>
    <w:p>
      <w:pPr>
        <w:pStyle w:val="20"/>
        <w:spacing w:line="360" w:lineRule="auto"/>
        <w:rPr>
          <w:rFonts w:hint="eastAsia" w:ascii="宋体" w:hAnsi="宋体" w:eastAsia="宋体" w:cs="宋体"/>
          <w:b w:val="0"/>
          <w:bCs w:val="0"/>
          <w:color w:val="000000"/>
          <w:kern w:val="2"/>
          <w:sz w:val="24"/>
          <w:szCs w:val="24"/>
          <w:highlight w:val="none"/>
          <w:lang w:val="en-US" w:eastAsia="zh-CN" w:bidi="ar-SA"/>
        </w:rPr>
      </w:pPr>
    </w:p>
    <w:p>
      <w:pPr>
        <w:pStyle w:val="20"/>
        <w:spacing w:line="360" w:lineRule="auto"/>
        <w:rPr>
          <w:rFonts w:hint="eastAsia" w:ascii="宋体" w:hAnsi="宋体" w:eastAsia="宋体" w:cs="宋体"/>
          <w:b w:val="0"/>
          <w:bCs w:val="0"/>
          <w:color w:val="000000"/>
          <w:kern w:val="2"/>
          <w:sz w:val="24"/>
          <w:szCs w:val="24"/>
          <w:highlight w:val="none"/>
          <w:lang w:val="en-US" w:eastAsia="zh-CN" w:bidi="ar-SA"/>
        </w:rPr>
      </w:pPr>
    </w:p>
    <w:p>
      <w:pPr>
        <w:pStyle w:val="20"/>
        <w:spacing w:line="360" w:lineRule="auto"/>
        <w:rPr>
          <w:rFonts w:hint="eastAsia" w:ascii="宋体" w:hAnsi="宋体" w:eastAsia="宋体" w:cs="宋体"/>
          <w:b w:val="0"/>
          <w:bCs w:val="0"/>
          <w:color w:val="000000"/>
          <w:kern w:val="2"/>
          <w:sz w:val="24"/>
          <w:szCs w:val="24"/>
          <w:highlight w:val="none"/>
          <w:lang w:val="en-US" w:eastAsia="zh-CN" w:bidi="ar-SA"/>
        </w:rPr>
      </w:pPr>
    </w:p>
    <w:p>
      <w:pPr>
        <w:pStyle w:val="20"/>
        <w:spacing w:line="360" w:lineRule="auto"/>
        <w:jc w:val="both"/>
        <w:rPr>
          <w:rFonts w:hint="eastAsia" w:ascii="宋体" w:hAnsi="宋体" w:eastAsia="宋体" w:cs="宋体"/>
          <w:b w:val="0"/>
          <w:bCs w:val="0"/>
          <w:color w:val="000000"/>
          <w:kern w:val="2"/>
          <w:sz w:val="24"/>
          <w:szCs w:val="24"/>
          <w:highlight w:val="none"/>
          <w:lang w:val="en-US" w:eastAsia="zh-CN" w:bidi="ar-SA"/>
        </w:rPr>
      </w:pPr>
    </w:p>
    <w:p>
      <w:pPr>
        <w:pStyle w:val="3"/>
        <w:bidi w:val="0"/>
        <w:spacing w:line="360" w:lineRule="auto"/>
        <w:rPr>
          <w:rFonts w:hint="eastAsia" w:ascii="宋体" w:hAnsi="宋体" w:eastAsia="宋体" w:cs="宋体"/>
          <w:color w:val="000000"/>
          <w:highlight w:val="none"/>
          <w:lang w:val="en-US" w:eastAsia="zh-CN"/>
        </w:rPr>
      </w:pPr>
      <w:bookmarkStart w:id="501" w:name="_Toc31974"/>
      <w:r>
        <w:rPr>
          <w:rFonts w:hint="eastAsia" w:ascii="宋体" w:hAnsi="宋体" w:eastAsia="宋体" w:cs="宋体"/>
          <w:color w:val="000000"/>
          <w:highlight w:val="none"/>
          <w:lang w:val="en-US" w:eastAsia="zh-CN"/>
        </w:rPr>
        <w:t>附件三：</w:t>
      </w:r>
      <w:bookmarkEnd w:id="501"/>
    </w:p>
    <w:p>
      <w:pPr>
        <w:bidi w:val="0"/>
        <w:spacing w:line="360" w:lineRule="auto"/>
        <w:jc w:val="center"/>
        <w:rPr>
          <w:rFonts w:hint="eastAsia" w:ascii="宋体" w:hAnsi="宋体" w:eastAsia="宋体" w:cs="宋体"/>
          <w:b/>
          <w:bCs/>
          <w:color w:val="000000"/>
          <w:kern w:val="2"/>
          <w:sz w:val="30"/>
          <w:szCs w:val="30"/>
          <w:highlight w:val="none"/>
          <w:lang w:val="en-US" w:eastAsia="zh-CN" w:bidi="ar-SA"/>
        </w:rPr>
      </w:pPr>
      <w:r>
        <w:rPr>
          <w:rFonts w:hint="eastAsia" w:ascii="宋体" w:hAnsi="宋体" w:eastAsia="宋体" w:cs="宋体"/>
          <w:b/>
          <w:bCs/>
          <w:color w:val="000000"/>
          <w:kern w:val="2"/>
          <w:sz w:val="30"/>
          <w:szCs w:val="30"/>
          <w:highlight w:val="none"/>
          <w:lang w:val="en-US" w:eastAsia="zh-CN" w:bidi="ar-SA"/>
        </w:rPr>
        <w:t>维保</w:t>
      </w:r>
      <w:r>
        <w:rPr>
          <w:rFonts w:hint="eastAsia" w:cs="宋体"/>
          <w:b/>
          <w:bCs/>
          <w:color w:val="000000"/>
          <w:kern w:val="2"/>
          <w:sz w:val="30"/>
          <w:szCs w:val="30"/>
          <w:highlight w:val="none"/>
          <w:lang w:val="en-US" w:eastAsia="zh-CN" w:bidi="ar-SA"/>
        </w:rPr>
        <w:t>及</w:t>
      </w:r>
      <w:r>
        <w:rPr>
          <w:rFonts w:hint="eastAsia" w:ascii="宋体" w:hAnsi="宋体" w:eastAsia="宋体" w:cs="宋体"/>
          <w:b/>
          <w:bCs/>
          <w:color w:val="000000"/>
          <w:kern w:val="2"/>
          <w:sz w:val="30"/>
          <w:szCs w:val="30"/>
          <w:highlight w:val="none"/>
          <w:lang w:val="en-US" w:eastAsia="zh-CN" w:bidi="ar-SA"/>
        </w:rPr>
        <w:t>有偿服务收费标准</w:t>
      </w:r>
    </w:p>
    <w:p>
      <w:pPr>
        <w:spacing w:line="360" w:lineRule="auto"/>
        <w:ind w:firstLine="480" w:firstLineChars="200"/>
        <w:jc w:val="left"/>
        <w:rPr>
          <w:rFonts w:hint="eastAsia" w:ascii="宋体" w:hAnsi="宋体" w:eastAsia="宋体" w:cs="宋体"/>
          <w:color w:val="000000"/>
          <w:sz w:val="24"/>
          <w:szCs w:val="32"/>
          <w:highlight w:val="none"/>
          <w:lang w:val="en-US" w:eastAsia="zh-CN"/>
        </w:rPr>
      </w:pPr>
      <w:r>
        <w:rPr>
          <w:rFonts w:hint="eastAsia" w:ascii="宋体" w:hAnsi="宋体" w:eastAsia="宋体" w:cs="宋体"/>
          <w:color w:val="000000"/>
          <w:sz w:val="24"/>
          <w:szCs w:val="32"/>
          <w:highlight w:val="none"/>
          <w:lang w:val="en-US" w:eastAsia="zh-CN"/>
        </w:rPr>
        <w:t>根据《中华人共和国民法典》等有关规定，本项目（质保期外）设备损坏维修有偿收费标准：</w:t>
      </w:r>
    </w:p>
    <w:tbl>
      <w:tblPr>
        <w:tblStyle w:val="32"/>
        <w:tblW w:w="8448"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954"/>
        <w:gridCol w:w="1899"/>
        <w:gridCol w:w="1433"/>
        <w:gridCol w:w="1083"/>
        <w:gridCol w:w="1016"/>
        <w:gridCol w:w="1017"/>
        <w:gridCol w:w="1046"/>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954" w:type="dxa"/>
            <w:vMerge w:val="restart"/>
            <w:noWrap w:val="0"/>
            <w:vAlign w:val="center"/>
          </w:tcPr>
          <w:p>
            <w:pPr>
              <w:spacing w:line="360" w:lineRule="auto"/>
              <w:jc w:val="center"/>
              <w:rPr>
                <w:rFonts w:hint="eastAsia" w:ascii="宋体" w:hAnsi="宋体" w:eastAsia="宋体" w:cs="宋体"/>
                <w:color w:val="000000"/>
                <w:sz w:val="24"/>
                <w:highlight w:val="none"/>
              </w:rPr>
            </w:pPr>
            <w:r>
              <w:rPr>
                <w:rFonts w:hint="eastAsia" w:ascii="宋体" w:hAnsi="宋体" w:eastAsia="宋体" w:cs="宋体"/>
                <w:i w:val="0"/>
                <w:iCs w:val="0"/>
                <w:color w:val="000000"/>
                <w:kern w:val="0"/>
                <w:sz w:val="22"/>
                <w:szCs w:val="22"/>
                <w:highlight w:val="none"/>
                <w:u w:val="none"/>
                <w:lang w:val="en-US" w:eastAsia="zh-CN" w:bidi="ar"/>
              </w:rPr>
              <w:t>序号</w:t>
            </w:r>
          </w:p>
        </w:tc>
        <w:tc>
          <w:tcPr>
            <w:tcW w:w="1899" w:type="dxa"/>
            <w:vMerge w:val="restart"/>
            <w:noWrap w:val="0"/>
            <w:vAlign w:val="center"/>
          </w:tcPr>
          <w:p>
            <w:pPr>
              <w:spacing w:line="360" w:lineRule="auto"/>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rPr>
              <w:t>备件名称</w:t>
            </w:r>
          </w:p>
        </w:tc>
        <w:tc>
          <w:tcPr>
            <w:tcW w:w="1433" w:type="dxa"/>
            <w:vMerge w:val="restart"/>
            <w:noWrap w:val="0"/>
            <w:vAlign w:val="center"/>
          </w:tcPr>
          <w:p>
            <w:pPr>
              <w:spacing w:line="360" w:lineRule="auto"/>
              <w:jc w:val="center"/>
              <w:rPr>
                <w:rFonts w:hint="eastAsia" w:ascii="宋体" w:hAnsi="宋体" w:eastAsia="宋体" w:cs="宋体"/>
                <w:color w:val="000000"/>
                <w:sz w:val="24"/>
                <w:highlight w:val="none"/>
              </w:rPr>
            </w:pPr>
            <w:r>
              <w:rPr>
                <w:rFonts w:hint="eastAsia" w:ascii="宋体" w:hAnsi="宋体" w:eastAsia="宋体" w:cs="宋体"/>
                <w:i w:val="0"/>
                <w:iCs w:val="0"/>
                <w:color w:val="000000"/>
                <w:kern w:val="0"/>
                <w:sz w:val="22"/>
                <w:szCs w:val="22"/>
                <w:highlight w:val="none"/>
                <w:u w:val="none"/>
                <w:lang w:val="en-US" w:eastAsia="zh-CN" w:bidi="ar"/>
              </w:rPr>
              <w:t>规格型号及材质</w:t>
            </w:r>
          </w:p>
        </w:tc>
        <w:tc>
          <w:tcPr>
            <w:tcW w:w="1083" w:type="dxa"/>
            <w:vMerge w:val="restart"/>
            <w:noWrap w:val="0"/>
            <w:vAlign w:val="center"/>
          </w:tcPr>
          <w:p>
            <w:pPr>
              <w:spacing w:line="360" w:lineRule="auto"/>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rPr>
              <w:t>单位</w:t>
            </w:r>
          </w:p>
        </w:tc>
        <w:tc>
          <w:tcPr>
            <w:tcW w:w="2033" w:type="dxa"/>
            <w:gridSpan w:val="2"/>
            <w:noWrap w:val="0"/>
            <w:vAlign w:val="center"/>
          </w:tcPr>
          <w:p>
            <w:pPr>
              <w:spacing w:line="360" w:lineRule="auto"/>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rPr>
              <w:t>价格（元）</w:t>
            </w:r>
          </w:p>
        </w:tc>
        <w:tc>
          <w:tcPr>
            <w:tcW w:w="1046" w:type="dxa"/>
            <w:vMerge w:val="restart"/>
            <w:noWrap w:val="0"/>
            <w:vAlign w:val="center"/>
          </w:tcPr>
          <w:p>
            <w:pPr>
              <w:spacing w:line="360" w:lineRule="auto"/>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rPr>
              <w:t>备注</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954" w:type="dxa"/>
            <w:vMerge w:val="continue"/>
            <w:noWrap w:val="0"/>
            <w:vAlign w:val="center"/>
          </w:tcPr>
          <w:p>
            <w:pPr>
              <w:spacing w:line="360" w:lineRule="auto"/>
              <w:jc w:val="center"/>
              <w:rPr>
                <w:rFonts w:hint="eastAsia" w:ascii="宋体" w:hAnsi="宋体" w:eastAsia="宋体" w:cs="宋体"/>
                <w:color w:val="000000"/>
                <w:sz w:val="24"/>
                <w:highlight w:val="none"/>
              </w:rPr>
            </w:pPr>
          </w:p>
        </w:tc>
        <w:tc>
          <w:tcPr>
            <w:tcW w:w="1899" w:type="dxa"/>
            <w:vMerge w:val="continue"/>
            <w:noWrap w:val="0"/>
            <w:vAlign w:val="center"/>
          </w:tcPr>
          <w:p>
            <w:pPr>
              <w:spacing w:line="360" w:lineRule="auto"/>
              <w:jc w:val="center"/>
              <w:rPr>
                <w:rFonts w:hint="eastAsia" w:ascii="宋体" w:hAnsi="宋体" w:eastAsia="宋体" w:cs="宋体"/>
                <w:color w:val="000000"/>
                <w:sz w:val="24"/>
                <w:highlight w:val="none"/>
              </w:rPr>
            </w:pPr>
          </w:p>
        </w:tc>
        <w:tc>
          <w:tcPr>
            <w:tcW w:w="1433" w:type="dxa"/>
            <w:vMerge w:val="continue"/>
            <w:noWrap w:val="0"/>
            <w:vAlign w:val="center"/>
          </w:tcPr>
          <w:p>
            <w:pPr>
              <w:spacing w:line="360" w:lineRule="auto"/>
              <w:jc w:val="center"/>
              <w:rPr>
                <w:rFonts w:hint="eastAsia" w:ascii="宋体" w:hAnsi="宋体" w:eastAsia="宋体" w:cs="宋体"/>
                <w:color w:val="000000"/>
                <w:sz w:val="24"/>
                <w:highlight w:val="none"/>
              </w:rPr>
            </w:pPr>
          </w:p>
        </w:tc>
        <w:tc>
          <w:tcPr>
            <w:tcW w:w="1083" w:type="dxa"/>
            <w:vMerge w:val="continue"/>
            <w:noWrap w:val="0"/>
            <w:vAlign w:val="center"/>
          </w:tcPr>
          <w:p>
            <w:pPr>
              <w:spacing w:line="360" w:lineRule="auto"/>
              <w:jc w:val="center"/>
              <w:rPr>
                <w:rFonts w:hint="eastAsia" w:ascii="宋体" w:hAnsi="宋体" w:eastAsia="宋体" w:cs="宋体"/>
                <w:color w:val="000000"/>
                <w:sz w:val="24"/>
                <w:highlight w:val="none"/>
              </w:rPr>
            </w:pPr>
          </w:p>
        </w:tc>
        <w:tc>
          <w:tcPr>
            <w:tcW w:w="1016" w:type="dxa"/>
            <w:noWrap w:val="0"/>
            <w:vAlign w:val="center"/>
          </w:tcPr>
          <w:p>
            <w:pPr>
              <w:spacing w:line="360" w:lineRule="auto"/>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rPr>
              <w:t>单价</w:t>
            </w:r>
          </w:p>
        </w:tc>
        <w:tc>
          <w:tcPr>
            <w:tcW w:w="1017" w:type="dxa"/>
            <w:noWrap w:val="0"/>
            <w:vAlign w:val="center"/>
          </w:tcPr>
          <w:p>
            <w:pPr>
              <w:spacing w:line="360" w:lineRule="auto"/>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rPr>
              <w:t>总价</w:t>
            </w:r>
          </w:p>
        </w:tc>
        <w:tc>
          <w:tcPr>
            <w:tcW w:w="1046" w:type="dxa"/>
            <w:vMerge w:val="continue"/>
            <w:noWrap w:val="0"/>
            <w:vAlign w:val="center"/>
          </w:tcPr>
          <w:p>
            <w:pPr>
              <w:spacing w:line="360" w:lineRule="auto"/>
              <w:jc w:val="center"/>
              <w:rPr>
                <w:rFonts w:hint="eastAsia" w:ascii="宋体" w:hAnsi="宋体" w:eastAsia="宋体" w:cs="宋体"/>
                <w:color w:val="000000"/>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954" w:type="dxa"/>
            <w:noWrap w:val="0"/>
            <w:vAlign w:val="center"/>
          </w:tcPr>
          <w:p>
            <w:pPr>
              <w:keepNext w:val="0"/>
              <w:keepLines w:val="0"/>
              <w:widowControl/>
              <w:suppressLineNumbers w:val="0"/>
              <w:spacing w:line="360" w:lineRule="auto"/>
              <w:jc w:val="center"/>
              <w:textAlignment w:val="center"/>
              <w:rPr>
                <w:rFonts w:hint="eastAsia" w:ascii="宋体" w:hAnsi="宋体" w:eastAsia="宋体" w:cs="宋体"/>
                <w:color w:val="000000"/>
                <w:sz w:val="24"/>
                <w:highlight w:val="none"/>
              </w:rPr>
            </w:pPr>
            <w:r>
              <w:rPr>
                <w:rFonts w:hint="eastAsia" w:ascii="宋体" w:hAnsi="宋体" w:eastAsia="宋体" w:cs="宋体"/>
                <w:i w:val="0"/>
                <w:iCs w:val="0"/>
                <w:color w:val="000000"/>
                <w:kern w:val="0"/>
                <w:sz w:val="22"/>
                <w:szCs w:val="22"/>
                <w:highlight w:val="none"/>
                <w:u w:val="none"/>
                <w:lang w:val="en-US" w:eastAsia="zh-CN" w:bidi="ar"/>
              </w:rPr>
              <w:t>1</w:t>
            </w:r>
          </w:p>
        </w:tc>
        <w:tc>
          <w:tcPr>
            <w:tcW w:w="1899" w:type="dxa"/>
            <w:noWrap w:val="0"/>
            <w:vAlign w:val="center"/>
          </w:tcPr>
          <w:p>
            <w:pPr>
              <w:keepNext w:val="0"/>
              <w:keepLines w:val="0"/>
              <w:widowControl/>
              <w:suppressLineNumbers w:val="0"/>
              <w:spacing w:line="360" w:lineRule="auto"/>
              <w:jc w:val="center"/>
              <w:textAlignment w:val="center"/>
              <w:rPr>
                <w:rFonts w:hint="eastAsia" w:ascii="宋体" w:hAnsi="宋体" w:eastAsia="宋体" w:cs="宋体"/>
                <w:color w:val="000000"/>
                <w:sz w:val="24"/>
                <w:highlight w:val="none"/>
              </w:rPr>
            </w:pPr>
            <w:r>
              <w:rPr>
                <w:rFonts w:hint="eastAsia" w:ascii="宋体" w:hAnsi="宋体" w:eastAsia="宋体" w:cs="宋体"/>
                <w:i w:val="0"/>
                <w:iCs w:val="0"/>
                <w:color w:val="000000"/>
                <w:kern w:val="0"/>
                <w:sz w:val="22"/>
                <w:szCs w:val="22"/>
                <w:highlight w:val="none"/>
                <w:u w:val="none"/>
                <w:lang w:val="en-US" w:eastAsia="zh-CN" w:bidi="ar"/>
              </w:rPr>
              <w:t>xxx</w:t>
            </w:r>
          </w:p>
        </w:tc>
        <w:tc>
          <w:tcPr>
            <w:tcW w:w="1433" w:type="dxa"/>
            <w:noWrap w:val="0"/>
            <w:vAlign w:val="center"/>
          </w:tcPr>
          <w:p>
            <w:pPr>
              <w:keepNext w:val="0"/>
              <w:keepLines w:val="0"/>
              <w:widowControl/>
              <w:suppressLineNumbers w:val="0"/>
              <w:spacing w:line="360" w:lineRule="auto"/>
              <w:jc w:val="center"/>
              <w:textAlignment w:val="center"/>
              <w:rPr>
                <w:rFonts w:hint="eastAsia" w:ascii="宋体" w:hAnsi="宋体" w:eastAsia="宋体" w:cs="宋体"/>
                <w:color w:val="000000"/>
                <w:sz w:val="24"/>
                <w:highlight w:val="none"/>
              </w:rPr>
            </w:pPr>
            <w:r>
              <w:rPr>
                <w:rFonts w:hint="eastAsia" w:ascii="宋体" w:hAnsi="宋体" w:eastAsia="宋体" w:cs="宋体"/>
                <w:i w:val="0"/>
                <w:iCs w:val="0"/>
                <w:color w:val="000000"/>
                <w:kern w:val="0"/>
                <w:sz w:val="22"/>
                <w:szCs w:val="22"/>
                <w:highlight w:val="none"/>
                <w:u w:val="none"/>
                <w:lang w:val="en-US" w:eastAsia="zh-CN" w:bidi="ar"/>
              </w:rPr>
              <w:t>xxx</w:t>
            </w:r>
          </w:p>
        </w:tc>
        <w:tc>
          <w:tcPr>
            <w:tcW w:w="1083" w:type="dxa"/>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highlight w:val="none"/>
                <w:u w:val="none"/>
                <w:lang w:val="en-US" w:eastAsia="zh-CN" w:bidi="ar"/>
              </w:rPr>
              <w:t>xxx</w:t>
            </w:r>
          </w:p>
        </w:tc>
        <w:tc>
          <w:tcPr>
            <w:tcW w:w="1016" w:type="dxa"/>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highlight w:val="none"/>
                <w:u w:val="none"/>
                <w:lang w:val="en-US" w:eastAsia="zh-CN" w:bidi="ar"/>
              </w:rPr>
              <w:t>xxx</w:t>
            </w:r>
          </w:p>
        </w:tc>
        <w:tc>
          <w:tcPr>
            <w:tcW w:w="1017" w:type="dxa"/>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highlight w:val="none"/>
                <w:u w:val="none"/>
                <w:lang w:val="en-US" w:eastAsia="zh-CN" w:bidi="ar"/>
              </w:rPr>
              <w:t>xxx</w:t>
            </w:r>
          </w:p>
        </w:tc>
        <w:tc>
          <w:tcPr>
            <w:tcW w:w="1046" w:type="dxa"/>
            <w:noWrap w:val="0"/>
            <w:vAlign w:val="center"/>
          </w:tcPr>
          <w:p>
            <w:pPr>
              <w:spacing w:line="360" w:lineRule="auto"/>
              <w:jc w:val="center"/>
              <w:rPr>
                <w:rFonts w:hint="eastAsia" w:ascii="宋体" w:hAnsi="宋体" w:eastAsia="宋体" w:cs="宋体"/>
                <w:color w:val="000000"/>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954" w:type="dxa"/>
            <w:noWrap w:val="0"/>
            <w:vAlign w:val="center"/>
          </w:tcPr>
          <w:p>
            <w:pPr>
              <w:keepNext w:val="0"/>
              <w:keepLines w:val="0"/>
              <w:widowControl/>
              <w:suppressLineNumbers w:val="0"/>
              <w:spacing w:line="360" w:lineRule="auto"/>
              <w:jc w:val="center"/>
              <w:textAlignment w:val="center"/>
              <w:rPr>
                <w:rFonts w:hint="eastAsia" w:ascii="宋体" w:hAnsi="宋体" w:eastAsia="宋体" w:cs="宋体"/>
                <w:color w:val="000000"/>
                <w:sz w:val="24"/>
                <w:highlight w:val="none"/>
              </w:rPr>
            </w:pPr>
            <w:r>
              <w:rPr>
                <w:rFonts w:hint="eastAsia" w:ascii="宋体" w:hAnsi="宋体" w:eastAsia="宋体" w:cs="宋体"/>
                <w:i w:val="0"/>
                <w:iCs w:val="0"/>
                <w:color w:val="000000"/>
                <w:kern w:val="0"/>
                <w:sz w:val="22"/>
                <w:szCs w:val="22"/>
                <w:highlight w:val="none"/>
                <w:u w:val="none"/>
                <w:lang w:val="en-US" w:eastAsia="zh-CN" w:bidi="ar"/>
              </w:rPr>
              <w:t>2</w:t>
            </w:r>
          </w:p>
        </w:tc>
        <w:tc>
          <w:tcPr>
            <w:tcW w:w="1899" w:type="dxa"/>
            <w:noWrap w:val="0"/>
            <w:vAlign w:val="center"/>
          </w:tcPr>
          <w:p>
            <w:pPr>
              <w:keepNext w:val="0"/>
              <w:keepLines w:val="0"/>
              <w:widowControl/>
              <w:suppressLineNumbers w:val="0"/>
              <w:spacing w:line="360" w:lineRule="auto"/>
              <w:jc w:val="center"/>
              <w:textAlignment w:val="center"/>
              <w:rPr>
                <w:rFonts w:hint="eastAsia" w:ascii="宋体" w:hAnsi="宋体" w:eastAsia="宋体" w:cs="宋体"/>
                <w:color w:val="000000"/>
                <w:sz w:val="24"/>
                <w:highlight w:val="none"/>
              </w:rPr>
            </w:pPr>
            <w:r>
              <w:rPr>
                <w:rFonts w:hint="eastAsia" w:ascii="宋体" w:hAnsi="宋体" w:eastAsia="宋体" w:cs="宋体"/>
                <w:i w:val="0"/>
                <w:iCs w:val="0"/>
                <w:color w:val="000000"/>
                <w:kern w:val="0"/>
                <w:sz w:val="22"/>
                <w:szCs w:val="22"/>
                <w:highlight w:val="none"/>
                <w:u w:val="none"/>
                <w:lang w:val="en-US" w:eastAsia="zh-CN" w:bidi="ar"/>
              </w:rPr>
              <w:t>...</w:t>
            </w:r>
          </w:p>
        </w:tc>
        <w:tc>
          <w:tcPr>
            <w:tcW w:w="1433" w:type="dxa"/>
            <w:noWrap w:val="0"/>
            <w:vAlign w:val="center"/>
          </w:tcPr>
          <w:p>
            <w:pPr>
              <w:keepNext w:val="0"/>
              <w:keepLines w:val="0"/>
              <w:widowControl/>
              <w:suppressLineNumbers w:val="0"/>
              <w:spacing w:line="360" w:lineRule="auto"/>
              <w:jc w:val="center"/>
              <w:textAlignment w:val="center"/>
              <w:rPr>
                <w:rFonts w:hint="eastAsia" w:ascii="宋体" w:hAnsi="宋体" w:eastAsia="宋体" w:cs="宋体"/>
                <w:color w:val="000000"/>
                <w:sz w:val="24"/>
                <w:highlight w:val="none"/>
              </w:rPr>
            </w:pPr>
          </w:p>
        </w:tc>
        <w:tc>
          <w:tcPr>
            <w:tcW w:w="1083" w:type="dxa"/>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2"/>
                <w:szCs w:val="22"/>
                <w:highlight w:val="none"/>
                <w:u w:val="none"/>
                <w:lang w:val="en-US" w:eastAsia="zh-CN" w:bidi="ar"/>
              </w:rPr>
            </w:pPr>
          </w:p>
        </w:tc>
        <w:tc>
          <w:tcPr>
            <w:tcW w:w="1016" w:type="dxa"/>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2"/>
                <w:szCs w:val="22"/>
                <w:highlight w:val="none"/>
                <w:u w:val="none"/>
                <w:lang w:val="en-US" w:eastAsia="zh-CN" w:bidi="ar"/>
              </w:rPr>
            </w:pPr>
          </w:p>
        </w:tc>
        <w:tc>
          <w:tcPr>
            <w:tcW w:w="1017" w:type="dxa"/>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2"/>
                <w:szCs w:val="22"/>
                <w:highlight w:val="none"/>
                <w:u w:val="none"/>
                <w:lang w:val="en-US" w:eastAsia="zh-CN" w:bidi="ar"/>
              </w:rPr>
            </w:pPr>
          </w:p>
        </w:tc>
        <w:tc>
          <w:tcPr>
            <w:tcW w:w="1046" w:type="dxa"/>
            <w:noWrap w:val="0"/>
            <w:vAlign w:val="center"/>
          </w:tcPr>
          <w:p>
            <w:pPr>
              <w:spacing w:line="360" w:lineRule="auto"/>
              <w:jc w:val="center"/>
              <w:rPr>
                <w:rFonts w:hint="eastAsia" w:ascii="宋体" w:hAnsi="宋体" w:eastAsia="宋体" w:cs="宋体"/>
                <w:color w:val="000000"/>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954" w:type="dxa"/>
            <w:noWrap w:val="0"/>
            <w:vAlign w:val="center"/>
          </w:tcPr>
          <w:p>
            <w:pPr>
              <w:keepNext w:val="0"/>
              <w:keepLines w:val="0"/>
              <w:widowControl/>
              <w:suppressLineNumbers w:val="0"/>
              <w:spacing w:line="360" w:lineRule="auto"/>
              <w:jc w:val="center"/>
              <w:textAlignment w:val="center"/>
              <w:rPr>
                <w:rFonts w:hint="eastAsia" w:ascii="宋体" w:hAnsi="宋体" w:eastAsia="宋体" w:cs="宋体"/>
                <w:color w:val="000000"/>
                <w:sz w:val="24"/>
                <w:highlight w:val="none"/>
              </w:rPr>
            </w:pPr>
          </w:p>
        </w:tc>
        <w:tc>
          <w:tcPr>
            <w:tcW w:w="1899" w:type="dxa"/>
            <w:noWrap w:val="0"/>
            <w:vAlign w:val="center"/>
          </w:tcPr>
          <w:p>
            <w:pPr>
              <w:keepNext w:val="0"/>
              <w:keepLines w:val="0"/>
              <w:widowControl/>
              <w:suppressLineNumbers w:val="0"/>
              <w:spacing w:line="360" w:lineRule="auto"/>
              <w:jc w:val="center"/>
              <w:textAlignment w:val="center"/>
              <w:rPr>
                <w:rFonts w:hint="eastAsia" w:ascii="宋体" w:hAnsi="宋体" w:eastAsia="宋体" w:cs="宋体"/>
                <w:color w:val="000000"/>
                <w:sz w:val="24"/>
                <w:highlight w:val="none"/>
              </w:rPr>
            </w:pPr>
          </w:p>
        </w:tc>
        <w:tc>
          <w:tcPr>
            <w:tcW w:w="1433" w:type="dxa"/>
            <w:noWrap w:val="0"/>
            <w:vAlign w:val="center"/>
          </w:tcPr>
          <w:p>
            <w:pPr>
              <w:keepNext w:val="0"/>
              <w:keepLines w:val="0"/>
              <w:widowControl/>
              <w:suppressLineNumbers w:val="0"/>
              <w:spacing w:line="360" w:lineRule="auto"/>
              <w:jc w:val="center"/>
              <w:textAlignment w:val="center"/>
              <w:rPr>
                <w:rFonts w:hint="eastAsia" w:ascii="宋体" w:hAnsi="宋体" w:eastAsia="宋体" w:cs="宋体"/>
                <w:color w:val="000000"/>
                <w:sz w:val="24"/>
                <w:highlight w:val="none"/>
              </w:rPr>
            </w:pPr>
          </w:p>
        </w:tc>
        <w:tc>
          <w:tcPr>
            <w:tcW w:w="1083" w:type="dxa"/>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2"/>
                <w:szCs w:val="22"/>
                <w:highlight w:val="none"/>
                <w:u w:val="none"/>
                <w:lang w:val="en-US" w:eastAsia="zh-CN" w:bidi="ar"/>
              </w:rPr>
            </w:pPr>
          </w:p>
        </w:tc>
        <w:tc>
          <w:tcPr>
            <w:tcW w:w="1016" w:type="dxa"/>
            <w:noWrap w:val="0"/>
            <w:vAlign w:val="center"/>
          </w:tcPr>
          <w:p>
            <w:pPr>
              <w:spacing w:line="360" w:lineRule="auto"/>
              <w:jc w:val="center"/>
              <w:rPr>
                <w:rFonts w:hint="eastAsia" w:ascii="宋体" w:hAnsi="宋体" w:eastAsia="宋体" w:cs="宋体"/>
                <w:i w:val="0"/>
                <w:iCs w:val="0"/>
                <w:color w:val="000000"/>
                <w:kern w:val="0"/>
                <w:sz w:val="22"/>
                <w:szCs w:val="22"/>
                <w:highlight w:val="none"/>
                <w:u w:val="none"/>
                <w:lang w:val="en-US" w:eastAsia="zh-CN" w:bidi="ar"/>
              </w:rPr>
            </w:pPr>
          </w:p>
        </w:tc>
        <w:tc>
          <w:tcPr>
            <w:tcW w:w="1017" w:type="dxa"/>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2"/>
                <w:szCs w:val="22"/>
                <w:highlight w:val="none"/>
                <w:u w:val="none"/>
                <w:lang w:val="en-US" w:eastAsia="zh-CN" w:bidi="ar"/>
              </w:rPr>
            </w:pPr>
          </w:p>
        </w:tc>
        <w:tc>
          <w:tcPr>
            <w:tcW w:w="1046" w:type="dxa"/>
            <w:noWrap w:val="0"/>
            <w:vAlign w:val="center"/>
          </w:tcPr>
          <w:p>
            <w:pPr>
              <w:keepNext w:val="0"/>
              <w:keepLines w:val="0"/>
              <w:widowControl/>
              <w:suppressLineNumbers w:val="0"/>
              <w:spacing w:line="360" w:lineRule="auto"/>
              <w:jc w:val="center"/>
              <w:textAlignment w:val="center"/>
              <w:rPr>
                <w:rFonts w:hint="eastAsia" w:ascii="宋体" w:hAnsi="宋体" w:eastAsia="宋体" w:cs="宋体"/>
                <w:color w:val="000000"/>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954" w:type="dxa"/>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2"/>
                <w:szCs w:val="22"/>
                <w:highlight w:val="none"/>
                <w:u w:val="none"/>
                <w:lang w:val="en-US" w:eastAsia="zh-CN" w:bidi="ar"/>
              </w:rPr>
            </w:pPr>
          </w:p>
        </w:tc>
        <w:tc>
          <w:tcPr>
            <w:tcW w:w="1899" w:type="dxa"/>
            <w:noWrap w:val="0"/>
            <w:vAlign w:val="center"/>
          </w:tcPr>
          <w:p>
            <w:pPr>
              <w:keepNext w:val="0"/>
              <w:keepLines w:val="0"/>
              <w:widowControl/>
              <w:suppressLineNumbers w:val="0"/>
              <w:spacing w:line="360" w:lineRule="auto"/>
              <w:jc w:val="center"/>
              <w:textAlignment w:val="center"/>
              <w:rPr>
                <w:rFonts w:hint="eastAsia" w:ascii="宋体" w:hAnsi="宋体" w:eastAsia="宋体" w:cs="宋体"/>
                <w:color w:val="000000"/>
                <w:sz w:val="24"/>
                <w:highlight w:val="none"/>
                <w:lang w:val="en-US" w:eastAsia="zh-CN"/>
              </w:rPr>
            </w:pPr>
          </w:p>
        </w:tc>
        <w:tc>
          <w:tcPr>
            <w:tcW w:w="1433" w:type="dxa"/>
            <w:noWrap w:val="0"/>
            <w:vAlign w:val="center"/>
          </w:tcPr>
          <w:p>
            <w:pPr>
              <w:keepNext w:val="0"/>
              <w:keepLines w:val="0"/>
              <w:widowControl/>
              <w:suppressLineNumbers w:val="0"/>
              <w:spacing w:line="360" w:lineRule="auto"/>
              <w:jc w:val="center"/>
              <w:textAlignment w:val="center"/>
              <w:rPr>
                <w:rFonts w:hint="eastAsia" w:ascii="宋体" w:hAnsi="宋体" w:eastAsia="宋体" w:cs="宋体"/>
                <w:color w:val="000000"/>
                <w:sz w:val="24"/>
                <w:highlight w:val="none"/>
              </w:rPr>
            </w:pPr>
          </w:p>
        </w:tc>
        <w:tc>
          <w:tcPr>
            <w:tcW w:w="1083" w:type="dxa"/>
            <w:noWrap w:val="0"/>
            <w:vAlign w:val="center"/>
          </w:tcPr>
          <w:p>
            <w:pPr>
              <w:keepNext w:val="0"/>
              <w:keepLines w:val="0"/>
              <w:widowControl/>
              <w:suppressLineNumbers w:val="0"/>
              <w:spacing w:line="360" w:lineRule="auto"/>
              <w:jc w:val="center"/>
              <w:textAlignment w:val="center"/>
              <w:rPr>
                <w:rFonts w:hint="eastAsia" w:ascii="宋体" w:hAnsi="宋体" w:eastAsia="宋体" w:cs="宋体"/>
                <w:color w:val="000000"/>
                <w:sz w:val="24"/>
                <w:highlight w:val="none"/>
              </w:rPr>
            </w:pPr>
          </w:p>
        </w:tc>
        <w:tc>
          <w:tcPr>
            <w:tcW w:w="1016" w:type="dxa"/>
            <w:noWrap w:val="0"/>
            <w:vAlign w:val="center"/>
          </w:tcPr>
          <w:p>
            <w:pPr>
              <w:spacing w:line="360" w:lineRule="auto"/>
              <w:jc w:val="center"/>
              <w:rPr>
                <w:rFonts w:hint="eastAsia" w:ascii="宋体" w:hAnsi="宋体" w:eastAsia="宋体" w:cs="宋体"/>
                <w:color w:val="000000"/>
                <w:sz w:val="24"/>
                <w:highlight w:val="none"/>
              </w:rPr>
            </w:pPr>
          </w:p>
        </w:tc>
        <w:tc>
          <w:tcPr>
            <w:tcW w:w="1017" w:type="dxa"/>
            <w:noWrap w:val="0"/>
            <w:vAlign w:val="center"/>
          </w:tcPr>
          <w:p>
            <w:pPr>
              <w:keepNext w:val="0"/>
              <w:keepLines w:val="0"/>
              <w:widowControl/>
              <w:suppressLineNumbers w:val="0"/>
              <w:spacing w:line="360" w:lineRule="auto"/>
              <w:jc w:val="center"/>
              <w:textAlignment w:val="center"/>
              <w:rPr>
                <w:rFonts w:hint="eastAsia" w:ascii="宋体" w:hAnsi="宋体" w:eastAsia="宋体" w:cs="宋体"/>
                <w:color w:val="000000"/>
                <w:sz w:val="24"/>
                <w:highlight w:val="none"/>
              </w:rPr>
            </w:pPr>
          </w:p>
        </w:tc>
        <w:tc>
          <w:tcPr>
            <w:tcW w:w="1046" w:type="dxa"/>
            <w:noWrap w:val="0"/>
            <w:vAlign w:val="center"/>
          </w:tcPr>
          <w:p>
            <w:pPr>
              <w:keepNext w:val="0"/>
              <w:keepLines w:val="0"/>
              <w:widowControl/>
              <w:suppressLineNumbers w:val="0"/>
              <w:spacing w:line="360" w:lineRule="auto"/>
              <w:jc w:val="center"/>
              <w:textAlignment w:val="center"/>
              <w:rPr>
                <w:rFonts w:hint="eastAsia" w:ascii="宋体" w:hAnsi="宋体" w:eastAsia="宋体" w:cs="宋体"/>
                <w:color w:val="000000"/>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954" w:type="dxa"/>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2"/>
                <w:szCs w:val="22"/>
                <w:highlight w:val="none"/>
                <w:u w:val="none"/>
                <w:lang w:val="en-US" w:eastAsia="zh-CN" w:bidi="ar"/>
              </w:rPr>
            </w:pPr>
          </w:p>
        </w:tc>
        <w:tc>
          <w:tcPr>
            <w:tcW w:w="1899" w:type="dxa"/>
            <w:noWrap w:val="0"/>
            <w:vAlign w:val="center"/>
          </w:tcPr>
          <w:p>
            <w:pPr>
              <w:spacing w:line="360" w:lineRule="auto"/>
              <w:jc w:val="center"/>
              <w:rPr>
                <w:rFonts w:hint="eastAsia" w:ascii="宋体" w:hAnsi="宋体" w:eastAsia="宋体" w:cs="宋体"/>
                <w:color w:val="000000"/>
                <w:sz w:val="24"/>
                <w:highlight w:val="none"/>
              </w:rPr>
            </w:pPr>
          </w:p>
        </w:tc>
        <w:tc>
          <w:tcPr>
            <w:tcW w:w="1433" w:type="dxa"/>
            <w:noWrap w:val="0"/>
            <w:vAlign w:val="center"/>
          </w:tcPr>
          <w:p>
            <w:pPr>
              <w:spacing w:line="360" w:lineRule="auto"/>
              <w:jc w:val="center"/>
              <w:rPr>
                <w:rFonts w:hint="eastAsia" w:ascii="宋体" w:hAnsi="宋体" w:eastAsia="宋体" w:cs="宋体"/>
                <w:color w:val="000000"/>
                <w:sz w:val="24"/>
                <w:highlight w:val="none"/>
              </w:rPr>
            </w:pPr>
          </w:p>
        </w:tc>
        <w:tc>
          <w:tcPr>
            <w:tcW w:w="1083" w:type="dxa"/>
            <w:noWrap w:val="0"/>
            <w:vAlign w:val="center"/>
          </w:tcPr>
          <w:p>
            <w:pPr>
              <w:spacing w:line="360" w:lineRule="auto"/>
              <w:jc w:val="center"/>
              <w:rPr>
                <w:rFonts w:hint="eastAsia" w:ascii="宋体" w:hAnsi="宋体" w:eastAsia="宋体" w:cs="宋体"/>
                <w:color w:val="000000"/>
                <w:sz w:val="24"/>
                <w:highlight w:val="none"/>
              </w:rPr>
            </w:pPr>
          </w:p>
        </w:tc>
        <w:tc>
          <w:tcPr>
            <w:tcW w:w="1016" w:type="dxa"/>
            <w:noWrap w:val="0"/>
            <w:vAlign w:val="center"/>
          </w:tcPr>
          <w:p>
            <w:pPr>
              <w:spacing w:line="360" w:lineRule="auto"/>
              <w:jc w:val="center"/>
              <w:rPr>
                <w:rFonts w:hint="eastAsia" w:ascii="宋体" w:hAnsi="宋体" w:eastAsia="宋体" w:cs="宋体"/>
                <w:color w:val="000000"/>
                <w:sz w:val="24"/>
                <w:highlight w:val="none"/>
              </w:rPr>
            </w:pPr>
          </w:p>
        </w:tc>
        <w:tc>
          <w:tcPr>
            <w:tcW w:w="1017" w:type="dxa"/>
            <w:noWrap w:val="0"/>
            <w:vAlign w:val="center"/>
          </w:tcPr>
          <w:p>
            <w:pPr>
              <w:spacing w:line="360" w:lineRule="auto"/>
              <w:jc w:val="center"/>
              <w:rPr>
                <w:rFonts w:hint="eastAsia" w:ascii="宋体" w:hAnsi="宋体" w:eastAsia="宋体" w:cs="宋体"/>
                <w:color w:val="000000"/>
                <w:sz w:val="24"/>
                <w:highlight w:val="none"/>
              </w:rPr>
            </w:pPr>
          </w:p>
        </w:tc>
        <w:tc>
          <w:tcPr>
            <w:tcW w:w="1046" w:type="dxa"/>
            <w:noWrap w:val="0"/>
            <w:vAlign w:val="center"/>
          </w:tcPr>
          <w:p>
            <w:pPr>
              <w:spacing w:line="360" w:lineRule="auto"/>
              <w:jc w:val="center"/>
              <w:rPr>
                <w:rFonts w:hint="eastAsia" w:ascii="宋体" w:hAnsi="宋体" w:eastAsia="宋体" w:cs="宋体"/>
                <w:color w:val="000000"/>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954" w:type="dxa"/>
            <w:noWrap w:val="0"/>
            <w:vAlign w:val="center"/>
          </w:tcPr>
          <w:p>
            <w:pPr>
              <w:spacing w:line="360" w:lineRule="auto"/>
              <w:jc w:val="center"/>
              <w:rPr>
                <w:rFonts w:hint="eastAsia" w:ascii="宋体" w:hAnsi="宋体" w:eastAsia="宋体" w:cs="宋体"/>
                <w:color w:val="000000"/>
                <w:sz w:val="24"/>
                <w:highlight w:val="none"/>
              </w:rPr>
            </w:pPr>
          </w:p>
        </w:tc>
        <w:tc>
          <w:tcPr>
            <w:tcW w:w="1899" w:type="dxa"/>
            <w:noWrap w:val="0"/>
            <w:vAlign w:val="center"/>
          </w:tcPr>
          <w:p>
            <w:pPr>
              <w:spacing w:line="360" w:lineRule="auto"/>
              <w:jc w:val="center"/>
              <w:rPr>
                <w:rFonts w:hint="eastAsia" w:ascii="宋体" w:hAnsi="宋体" w:eastAsia="宋体" w:cs="宋体"/>
                <w:color w:val="000000"/>
                <w:sz w:val="24"/>
                <w:highlight w:val="none"/>
              </w:rPr>
            </w:pPr>
          </w:p>
        </w:tc>
        <w:tc>
          <w:tcPr>
            <w:tcW w:w="1433" w:type="dxa"/>
            <w:noWrap w:val="0"/>
            <w:vAlign w:val="center"/>
          </w:tcPr>
          <w:p>
            <w:pPr>
              <w:spacing w:line="360" w:lineRule="auto"/>
              <w:jc w:val="center"/>
              <w:rPr>
                <w:rFonts w:hint="eastAsia" w:ascii="宋体" w:hAnsi="宋体" w:eastAsia="宋体" w:cs="宋体"/>
                <w:color w:val="000000"/>
                <w:sz w:val="24"/>
                <w:highlight w:val="none"/>
              </w:rPr>
            </w:pPr>
          </w:p>
        </w:tc>
        <w:tc>
          <w:tcPr>
            <w:tcW w:w="1083" w:type="dxa"/>
            <w:noWrap w:val="0"/>
            <w:vAlign w:val="center"/>
          </w:tcPr>
          <w:p>
            <w:pPr>
              <w:spacing w:line="360" w:lineRule="auto"/>
              <w:jc w:val="center"/>
              <w:rPr>
                <w:rFonts w:hint="eastAsia" w:ascii="宋体" w:hAnsi="宋体" w:eastAsia="宋体" w:cs="宋体"/>
                <w:color w:val="000000"/>
                <w:sz w:val="24"/>
                <w:highlight w:val="none"/>
              </w:rPr>
            </w:pPr>
          </w:p>
        </w:tc>
        <w:tc>
          <w:tcPr>
            <w:tcW w:w="1016" w:type="dxa"/>
            <w:noWrap w:val="0"/>
            <w:vAlign w:val="center"/>
          </w:tcPr>
          <w:p>
            <w:pPr>
              <w:spacing w:line="360" w:lineRule="auto"/>
              <w:jc w:val="center"/>
              <w:rPr>
                <w:rFonts w:hint="eastAsia" w:ascii="宋体" w:hAnsi="宋体" w:eastAsia="宋体" w:cs="宋体"/>
                <w:color w:val="000000"/>
                <w:sz w:val="24"/>
                <w:highlight w:val="none"/>
              </w:rPr>
            </w:pPr>
          </w:p>
        </w:tc>
        <w:tc>
          <w:tcPr>
            <w:tcW w:w="1017" w:type="dxa"/>
            <w:noWrap w:val="0"/>
            <w:vAlign w:val="center"/>
          </w:tcPr>
          <w:p>
            <w:pPr>
              <w:spacing w:line="360" w:lineRule="auto"/>
              <w:jc w:val="center"/>
              <w:rPr>
                <w:rFonts w:hint="eastAsia" w:ascii="宋体" w:hAnsi="宋体" w:eastAsia="宋体" w:cs="宋体"/>
                <w:color w:val="000000"/>
                <w:sz w:val="24"/>
                <w:highlight w:val="none"/>
              </w:rPr>
            </w:pPr>
          </w:p>
        </w:tc>
        <w:tc>
          <w:tcPr>
            <w:tcW w:w="1046" w:type="dxa"/>
            <w:noWrap w:val="0"/>
            <w:vAlign w:val="center"/>
          </w:tcPr>
          <w:p>
            <w:pPr>
              <w:spacing w:line="360" w:lineRule="auto"/>
              <w:jc w:val="center"/>
              <w:rPr>
                <w:rFonts w:hint="eastAsia" w:ascii="宋体" w:hAnsi="宋体" w:eastAsia="宋体" w:cs="宋体"/>
                <w:color w:val="000000"/>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954" w:type="dxa"/>
            <w:noWrap w:val="0"/>
            <w:vAlign w:val="center"/>
          </w:tcPr>
          <w:p>
            <w:pPr>
              <w:spacing w:line="360" w:lineRule="auto"/>
              <w:jc w:val="center"/>
              <w:rPr>
                <w:rFonts w:hint="eastAsia" w:ascii="宋体" w:hAnsi="宋体" w:eastAsia="宋体" w:cs="宋体"/>
                <w:color w:val="000000"/>
                <w:sz w:val="24"/>
                <w:highlight w:val="none"/>
              </w:rPr>
            </w:pPr>
          </w:p>
        </w:tc>
        <w:tc>
          <w:tcPr>
            <w:tcW w:w="1899" w:type="dxa"/>
            <w:noWrap w:val="0"/>
            <w:vAlign w:val="center"/>
          </w:tcPr>
          <w:p>
            <w:pPr>
              <w:spacing w:line="360" w:lineRule="auto"/>
              <w:jc w:val="center"/>
              <w:rPr>
                <w:rFonts w:hint="eastAsia" w:ascii="宋体" w:hAnsi="宋体" w:eastAsia="宋体" w:cs="宋体"/>
                <w:color w:val="000000"/>
                <w:sz w:val="24"/>
                <w:highlight w:val="none"/>
              </w:rPr>
            </w:pPr>
          </w:p>
        </w:tc>
        <w:tc>
          <w:tcPr>
            <w:tcW w:w="1433" w:type="dxa"/>
            <w:noWrap w:val="0"/>
            <w:vAlign w:val="center"/>
          </w:tcPr>
          <w:p>
            <w:pPr>
              <w:spacing w:line="360" w:lineRule="auto"/>
              <w:jc w:val="center"/>
              <w:rPr>
                <w:rFonts w:hint="eastAsia" w:ascii="宋体" w:hAnsi="宋体" w:eastAsia="宋体" w:cs="宋体"/>
                <w:color w:val="000000"/>
                <w:sz w:val="24"/>
                <w:highlight w:val="none"/>
              </w:rPr>
            </w:pPr>
          </w:p>
        </w:tc>
        <w:tc>
          <w:tcPr>
            <w:tcW w:w="1083" w:type="dxa"/>
            <w:noWrap w:val="0"/>
            <w:vAlign w:val="center"/>
          </w:tcPr>
          <w:p>
            <w:pPr>
              <w:spacing w:line="360" w:lineRule="auto"/>
              <w:jc w:val="center"/>
              <w:rPr>
                <w:rFonts w:hint="eastAsia" w:ascii="宋体" w:hAnsi="宋体" w:eastAsia="宋体" w:cs="宋体"/>
                <w:color w:val="000000"/>
                <w:sz w:val="24"/>
                <w:highlight w:val="none"/>
              </w:rPr>
            </w:pPr>
          </w:p>
        </w:tc>
        <w:tc>
          <w:tcPr>
            <w:tcW w:w="1016" w:type="dxa"/>
            <w:noWrap w:val="0"/>
            <w:vAlign w:val="center"/>
          </w:tcPr>
          <w:p>
            <w:pPr>
              <w:spacing w:line="360" w:lineRule="auto"/>
              <w:jc w:val="center"/>
              <w:rPr>
                <w:rFonts w:hint="eastAsia" w:ascii="宋体" w:hAnsi="宋体" w:eastAsia="宋体" w:cs="宋体"/>
                <w:color w:val="000000"/>
                <w:sz w:val="24"/>
                <w:highlight w:val="none"/>
              </w:rPr>
            </w:pPr>
          </w:p>
        </w:tc>
        <w:tc>
          <w:tcPr>
            <w:tcW w:w="1017" w:type="dxa"/>
            <w:noWrap w:val="0"/>
            <w:vAlign w:val="center"/>
          </w:tcPr>
          <w:p>
            <w:pPr>
              <w:spacing w:line="360" w:lineRule="auto"/>
              <w:jc w:val="center"/>
              <w:rPr>
                <w:rFonts w:hint="eastAsia" w:ascii="宋体" w:hAnsi="宋体" w:eastAsia="宋体" w:cs="宋体"/>
                <w:color w:val="000000"/>
                <w:sz w:val="24"/>
                <w:highlight w:val="none"/>
              </w:rPr>
            </w:pPr>
          </w:p>
        </w:tc>
        <w:tc>
          <w:tcPr>
            <w:tcW w:w="1046" w:type="dxa"/>
            <w:noWrap w:val="0"/>
            <w:vAlign w:val="center"/>
          </w:tcPr>
          <w:p>
            <w:pPr>
              <w:spacing w:line="360" w:lineRule="auto"/>
              <w:jc w:val="center"/>
              <w:rPr>
                <w:rFonts w:hint="eastAsia" w:ascii="宋体" w:hAnsi="宋体" w:eastAsia="宋体" w:cs="宋体"/>
                <w:color w:val="000000"/>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954" w:type="dxa"/>
            <w:noWrap w:val="0"/>
            <w:vAlign w:val="center"/>
          </w:tcPr>
          <w:p>
            <w:pPr>
              <w:spacing w:line="360" w:lineRule="auto"/>
              <w:jc w:val="center"/>
              <w:rPr>
                <w:rFonts w:hint="eastAsia" w:ascii="宋体" w:hAnsi="宋体" w:eastAsia="宋体" w:cs="宋体"/>
                <w:color w:val="000000"/>
                <w:sz w:val="24"/>
                <w:highlight w:val="none"/>
              </w:rPr>
            </w:pPr>
          </w:p>
        </w:tc>
        <w:tc>
          <w:tcPr>
            <w:tcW w:w="1899" w:type="dxa"/>
            <w:noWrap w:val="0"/>
            <w:vAlign w:val="center"/>
          </w:tcPr>
          <w:p>
            <w:pPr>
              <w:spacing w:line="360" w:lineRule="auto"/>
              <w:jc w:val="center"/>
              <w:rPr>
                <w:rFonts w:hint="eastAsia" w:ascii="宋体" w:hAnsi="宋体" w:eastAsia="宋体" w:cs="宋体"/>
                <w:color w:val="000000"/>
                <w:sz w:val="24"/>
                <w:highlight w:val="none"/>
              </w:rPr>
            </w:pPr>
          </w:p>
        </w:tc>
        <w:tc>
          <w:tcPr>
            <w:tcW w:w="1433" w:type="dxa"/>
            <w:noWrap w:val="0"/>
            <w:vAlign w:val="center"/>
          </w:tcPr>
          <w:p>
            <w:pPr>
              <w:spacing w:line="360" w:lineRule="auto"/>
              <w:jc w:val="center"/>
              <w:rPr>
                <w:rFonts w:hint="eastAsia" w:ascii="宋体" w:hAnsi="宋体" w:eastAsia="宋体" w:cs="宋体"/>
                <w:color w:val="000000"/>
                <w:sz w:val="24"/>
                <w:highlight w:val="none"/>
              </w:rPr>
            </w:pPr>
          </w:p>
        </w:tc>
        <w:tc>
          <w:tcPr>
            <w:tcW w:w="1083" w:type="dxa"/>
            <w:noWrap w:val="0"/>
            <w:vAlign w:val="center"/>
          </w:tcPr>
          <w:p>
            <w:pPr>
              <w:spacing w:line="360" w:lineRule="auto"/>
              <w:jc w:val="center"/>
              <w:rPr>
                <w:rFonts w:hint="eastAsia" w:ascii="宋体" w:hAnsi="宋体" w:eastAsia="宋体" w:cs="宋体"/>
                <w:color w:val="000000"/>
                <w:sz w:val="24"/>
                <w:highlight w:val="none"/>
              </w:rPr>
            </w:pPr>
          </w:p>
        </w:tc>
        <w:tc>
          <w:tcPr>
            <w:tcW w:w="1016" w:type="dxa"/>
            <w:noWrap w:val="0"/>
            <w:vAlign w:val="center"/>
          </w:tcPr>
          <w:p>
            <w:pPr>
              <w:spacing w:line="360" w:lineRule="auto"/>
              <w:jc w:val="center"/>
              <w:rPr>
                <w:rFonts w:hint="eastAsia" w:ascii="宋体" w:hAnsi="宋体" w:eastAsia="宋体" w:cs="宋体"/>
                <w:color w:val="000000"/>
                <w:sz w:val="24"/>
                <w:highlight w:val="none"/>
              </w:rPr>
            </w:pPr>
          </w:p>
        </w:tc>
        <w:tc>
          <w:tcPr>
            <w:tcW w:w="1017" w:type="dxa"/>
            <w:noWrap w:val="0"/>
            <w:vAlign w:val="center"/>
          </w:tcPr>
          <w:p>
            <w:pPr>
              <w:spacing w:line="360" w:lineRule="auto"/>
              <w:jc w:val="center"/>
              <w:rPr>
                <w:rFonts w:hint="eastAsia" w:ascii="宋体" w:hAnsi="宋体" w:eastAsia="宋体" w:cs="宋体"/>
                <w:color w:val="000000"/>
                <w:sz w:val="24"/>
                <w:highlight w:val="none"/>
              </w:rPr>
            </w:pPr>
          </w:p>
        </w:tc>
        <w:tc>
          <w:tcPr>
            <w:tcW w:w="1046" w:type="dxa"/>
            <w:noWrap w:val="0"/>
            <w:vAlign w:val="center"/>
          </w:tcPr>
          <w:p>
            <w:pPr>
              <w:spacing w:line="360" w:lineRule="auto"/>
              <w:jc w:val="center"/>
              <w:rPr>
                <w:rFonts w:hint="eastAsia" w:ascii="宋体" w:hAnsi="宋体" w:eastAsia="宋体" w:cs="宋体"/>
                <w:color w:val="000000"/>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954" w:type="dxa"/>
            <w:noWrap w:val="0"/>
            <w:vAlign w:val="center"/>
          </w:tcPr>
          <w:p>
            <w:pPr>
              <w:spacing w:line="360" w:lineRule="auto"/>
              <w:jc w:val="center"/>
              <w:rPr>
                <w:rFonts w:hint="eastAsia" w:ascii="宋体" w:hAnsi="宋体" w:eastAsia="宋体" w:cs="宋体"/>
                <w:color w:val="000000"/>
                <w:sz w:val="24"/>
                <w:highlight w:val="none"/>
              </w:rPr>
            </w:pPr>
          </w:p>
        </w:tc>
        <w:tc>
          <w:tcPr>
            <w:tcW w:w="1899" w:type="dxa"/>
            <w:noWrap w:val="0"/>
            <w:vAlign w:val="center"/>
          </w:tcPr>
          <w:p>
            <w:pPr>
              <w:spacing w:line="360" w:lineRule="auto"/>
              <w:jc w:val="center"/>
              <w:rPr>
                <w:rFonts w:hint="eastAsia" w:ascii="宋体" w:hAnsi="宋体" w:eastAsia="宋体" w:cs="宋体"/>
                <w:color w:val="000000"/>
                <w:sz w:val="24"/>
                <w:highlight w:val="none"/>
              </w:rPr>
            </w:pPr>
          </w:p>
        </w:tc>
        <w:tc>
          <w:tcPr>
            <w:tcW w:w="1433" w:type="dxa"/>
            <w:noWrap w:val="0"/>
            <w:vAlign w:val="center"/>
          </w:tcPr>
          <w:p>
            <w:pPr>
              <w:spacing w:line="360" w:lineRule="auto"/>
              <w:jc w:val="center"/>
              <w:rPr>
                <w:rFonts w:hint="eastAsia" w:ascii="宋体" w:hAnsi="宋体" w:eastAsia="宋体" w:cs="宋体"/>
                <w:color w:val="000000"/>
                <w:sz w:val="24"/>
                <w:highlight w:val="none"/>
              </w:rPr>
            </w:pPr>
          </w:p>
        </w:tc>
        <w:tc>
          <w:tcPr>
            <w:tcW w:w="1083" w:type="dxa"/>
            <w:noWrap w:val="0"/>
            <w:vAlign w:val="center"/>
          </w:tcPr>
          <w:p>
            <w:pPr>
              <w:spacing w:line="360" w:lineRule="auto"/>
              <w:jc w:val="center"/>
              <w:rPr>
                <w:rFonts w:hint="eastAsia" w:ascii="宋体" w:hAnsi="宋体" w:eastAsia="宋体" w:cs="宋体"/>
                <w:color w:val="000000"/>
                <w:sz w:val="24"/>
                <w:highlight w:val="none"/>
              </w:rPr>
            </w:pPr>
          </w:p>
        </w:tc>
        <w:tc>
          <w:tcPr>
            <w:tcW w:w="1016" w:type="dxa"/>
            <w:noWrap w:val="0"/>
            <w:vAlign w:val="center"/>
          </w:tcPr>
          <w:p>
            <w:pPr>
              <w:spacing w:line="360" w:lineRule="auto"/>
              <w:jc w:val="center"/>
              <w:rPr>
                <w:rFonts w:hint="eastAsia" w:ascii="宋体" w:hAnsi="宋体" w:eastAsia="宋体" w:cs="宋体"/>
                <w:color w:val="000000"/>
                <w:sz w:val="24"/>
                <w:highlight w:val="none"/>
              </w:rPr>
            </w:pPr>
          </w:p>
        </w:tc>
        <w:tc>
          <w:tcPr>
            <w:tcW w:w="1017" w:type="dxa"/>
            <w:noWrap w:val="0"/>
            <w:vAlign w:val="center"/>
          </w:tcPr>
          <w:p>
            <w:pPr>
              <w:spacing w:line="360" w:lineRule="auto"/>
              <w:jc w:val="center"/>
              <w:rPr>
                <w:rFonts w:hint="eastAsia" w:ascii="宋体" w:hAnsi="宋体" w:eastAsia="宋体" w:cs="宋体"/>
                <w:color w:val="000000"/>
                <w:sz w:val="24"/>
                <w:highlight w:val="none"/>
              </w:rPr>
            </w:pPr>
          </w:p>
        </w:tc>
        <w:tc>
          <w:tcPr>
            <w:tcW w:w="1046" w:type="dxa"/>
            <w:noWrap w:val="0"/>
            <w:vAlign w:val="center"/>
          </w:tcPr>
          <w:p>
            <w:pPr>
              <w:spacing w:line="360" w:lineRule="auto"/>
              <w:jc w:val="center"/>
              <w:rPr>
                <w:rFonts w:hint="eastAsia" w:ascii="宋体" w:hAnsi="宋体" w:eastAsia="宋体" w:cs="宋体"/>
                <w:color w:val="000000"/>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954" w:type="dxa"/>
            <w:noWrap w:val="0"/>
            <w:vAlign w:val="center"/>
          </w:tcPr>
          <w:p>
            <w:pPr>
              <w:spacing w:line="360" w:lineRule="auto"/>
              <w:jc w:val="center"/>
              <w:rPr>
                <w:rFonts w:hint="eastAsia" w:ascii="宋体" w:hAnsi="宋体" w:eastAsia="宋体" w:cs="宋体"/>
                <w:color w:val="000000"/>
                <w:sz w:val="24"/>
                <w:highlight w:val="none"/>
              </w:rPr>
            </w:pPr>
          </w:p>
        </w:tc>
        <w:tc>
          <w:tcPr>
            <w:tcW w:w="1899" w:type="dxa"/>
            <w:noWrap w:val="0"/>
            <w:vAlign w:val="center"/>
          </w:tcPr>
          <w:p>
            <w:pPr>
              <w:spacing w:line="360" w:lineRule="auto"/>
              <w:jc w:val="center"/>
              <w:rPr>
                <w:rFonts w:hint="eastAsia" w:ascii="宋体" w:hAnsi="宋体" w:eastAsia="宋体" w:cs="宋体"/>
                <w:color w:val="000000"/>
                <w:sz w:val="24"/>
                <w:highlight w:val="none"/>
              </w:rPr>
            </w:pPr>
          </w:p>
        </w:tc>
        <w:tc>
          <w:tcPr>
            <w:tcW w:w="1433" w:type="dxa"/>
            <w:noWrap w:val="0"/>
            <w:vAlign w:val="center"/>
          </w:tcPr>
          <w:p>
            <w:pPr>
              <w:spacing w:line="360" w:lineRule="auto"/>
              <w:jc w:val="center"/>
              <w:rPr>
                <w:rFonts w:hint="eastAsia" w:ascii="宋体" w:hAnsi="宋体" w:eastAsia="宋体" w:cs="宋体"/>
                <w:color w:val="000000"/>
                <w:sz w:val="24"/>
                <w:highlight w:val="none"/>
              </w:rPr>
            </w:pPr>
          </w:p>
        </w:tc>
        <w:tc>
          <w:tcPr>
            <w:tcW w:w="1083" w:type="dxa"/>
            <w:noWrap w:val="0"/>
            <w:vAlign w:val="center"/>
          </w:tcPr>
          <w:p>
            <w:pPr>
              <w:spacing w:line="360" w:lineRule="auto"/>
              <w:jc w:val="center"/>
              <w:rPr>
                <w:rFonts w:hint="eastAsia" w:ascii="宋体" w:hAnsi="宋体" w:eastAsia="宋体" w:cs="宋体"/>
                <w:color w:val="000000"/>
                <w:sz w:val="24"/>
                <w:highlight w:val="none"/>
              </w:rPr>
            </w:pPr>
          </w:p>
        </w:tc>
        <w:tc>
          <w:tcPr>
            <w:tcW w:w="1016" w:type="dxa"/>
            <w:noWrap w:val="0"/>
            <w:vAlign w:val="center"/>
          </w:tcPr>
          <w:p>
            <w:pPr>
              <w:spacing w:line="360" w:lineRule="auto"/>
              <w:jc w:val="center"/>
              <w:rPr>
                <w:rFonts w:hint="eastAsia" w:ascii="宋体" w:hAnsi="宋体" w:eastAsia="宋体" w:cs="宋体"/>
                <w:color w:val="000000"/>
                <w:sz w:val="24"/>
                <w:highlight w:val="none"/>
              </w:rPr>
            </w:pPr>
          </w:p>
        </w:tc>
        <w:tc>
          <w:tcPr>
            <w:tcW w:w="1017" w:type="dxa"/>
            <w:noWrap w:val="0"/>
            <w:vAlign w:val="center"/>
          </w:tcPr>
          <w:p>
            <w:pPr>
              <w:spacing w:line="360" w:lineRule="auto"/>
              <w:jc w:val="center"/>
              <w:rPr>
                <w:rFonts w:hint="eastAsia" w:ascii="宋体" w:hAnsi="宋体" w:eastAsia="宋体" w:cs="宋体"/>
                <w:color w:val="000000"/>
                <w:sz w:val="24"/>
                <w:highlight w:val="none"/>
              </w:rPr>
            </w:pPr>
          </w:p>
        </w:tc>
        <w:tc>
          <w:tcPr>
            <w:tcW w:w="1046" w:type="dxa"/>
            <w:noWrap w:val="0"/>
            <w:vAlign w:val="center"/>
          </w:tcPr>
          <w:p>
            <w:pPr>
              <w:spacing w:line="360" w:lineRule="auto"/>
              <w:jc w:val="center"/>
              <w:rPr>
                <w:rFonts w:hint="eastAsia" w:ascii="宋体" w:hAnsi="宋体" w:eastAsia="宋体" w:cs="宋体"/>
                <w:color w:val="000000"/>
                <w:sz w:val="24"/>
                <w:highlight w:val="none"/>
              </w:rPr>
            </w:pPr>
          </w:p>
        </w:tc>
      </w:tr>
    </w:tbl>
    <w:p>
      <w:pPr>
        <w:spacing w:line="360" w:lineRule="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注：1、本表中所列价格不计入投标总价，仅供采购人选购时参考。</w:t>
      </w:r>
    </w:p>
    <w:p>
      <w:pPr>
        <w:spacing w:line="360" w:lineRule="auto"/>
        <w:ind w:left="816" w:leftChars="228" w:hanging="360" w:hangingChars="150"/>
        <w:rPr>
          <w:rFonts w:hint="eastAsia" w:ascii="宋体" w:hAnsi="宋体" w:eastAsia="宋体" w:cs="宋体"/>
          <w:color w:val="000000"/>
          <w:highlight w:val="none"/>
          <w:lang w:eastAsia="zh-CN"/>
        </w:rPr>
      </w:pPr>
      <w:r>
        <w:rPr>
          <w:rFonts w:hint="eastAsia" w:ascii="宋体" w:hAnsi="宋体" w:eastAsia="宋体" w:cs="宋体"/>
          <w:color w:val="000000"/>
          <w:sz w:val="24"/>
          <w:highlight w:val="none"/>
        </w:rPr>
        <w:t>2、单价为现场交货价。</w:t>
      </w:r>
    </w:p>
    <w:p>
      <w:pPr>
        <w:bidi w:val="0"/>
        <w:jc w:val="center"/>
        <w:rPr>
          <w:rFonts w:hint="eastAsia" w:ascii="宋体" w:hAnsi="宋体" w:eastAsia="宋体" w:cs="宋体"/>
          <w:b/>
          <w:bCs/>
          <w:color w:val="000000"/>
          <w:sz w:val="32"/>
          <w:szCs w:val="36"/>
          <w:highlight w:val="none"/>
        </w:rPr>
      </w:pPr>
    </w:p>
    <w:p>
      <w:pPr>
        <w:bidi w:val="0"/>
        <w:jc w:val="center"/>
        <w:rPr>
          <w:rFonts w:hint="eastAsia" w:ascii="宋体" w:hAnsi="宋体" w:eastAsia="宋体" w:cs="宋体"/>
          <w:b/>
          <w:bCs/>
          <w:color w:val="000000"/>
          <w:sz w:val="32"/>
          <w:szCs w:val="36"/>
          <w:highlight w:val="none"/>
        </w:rPr>
      </w:pPr>
    </w:p>
    <w:p>
      <w:pPr>
        <w:bidi w:val="0"/>
        <w:jc w:val="center"/>
        <w:rPr>
          <w:rFonts w:hint="eastAsia" w:ascii="宋体" w:hAnsi="宋体" w:eastAsia="宋体" w:cs="宋体"/>
          <w:b/>
          <w:bCs/>
          <w:color w:val="000000"/>
          <w:sz w:val="32"/>
          <w:szCs w:val="36"/>
          <w:highlight w:val="none"/>
        </w:rPr>
      </w:pPr>
    </w:p>
    <w:p>
      <w:pPr>
        <w:bidi w:val="0"/>
        <w:jc w:val="center"/>
        <w:rPr>
          <w:rFonts w:hint="eastAsia" w:ascii="宋体" w:hAnsi="宋体" w:eastAsia="宋体" w:cs="宋体"/>
          <w:b/>
          <w:bCs/>
          <w:color w:val="000000"/>
          <w:sz w:val="32"/>
          <w:szCs w:val="36"/>
          <w:highlight w:val="none"/>
        </w:rPr>
      </w:pPr>
    </w:p>
    <w:p>
      <w:pPr>
        <w:bidi w:val="0"/>
        <w:jc w:val="center"/>
        <w:rPr>
          <w:rFonts w:hint="eastAsia" w:ascii="宋体" w:hAnsi="宋体" w:eastAsia="宋体" w:cs="宋体"/>
          <w:b/>
          <w:bCs/>
          <w:color w:val="000000"/>
          <w:sz w:val="32"/>
          <w:szCs w:val="36"/>
          <w:highlight w:val="none"/>
        </w:rPr>
      </w:pPr>
    </w:p>
    <w:p>
      <w:pPr>
        <w:bidi w:val="0"/>
        <w:jc w:val="center"/>
        <w:rPr>
          <w:rFonts w:hint="eastAsia" w:ascii="宋体" w:hAnsi="宋体" w:eastAsia="宋体" w:cs="宋体"/>
          <w:b/>
          <w:bCs/>
          <w:color w:val="000000"/>
          <w:sz w:val="32"/>
          <w:szCs w:val="36"/>
          <w:highlight w:val="none"/>
        </w:rPr>
      </w:pPr>
    </w:p>
    <w:p>
      <w:pPr>
        <w:bidi w:val="0"/>
        <w:jc w:val="center"/>
        <w:rPr>
          <w:rFonts w:hint="eastAsia" w:ascii="宋体" w:hAnsi="宋体" w:eastAsia="宋体" w:cs="宋体"/>
          <w:b/>
          <w:bCs/>
          <w:color w:val="000000"/>
          <w:sz w:val="32"/>
          <w:szCs w:val="36"/>
          <w:highlight w:val="none"/>
        </w:rPr>
      </w:pPr>
    </w:p>
    <w:p>
      <w:pPr>
        <w:bidi w:val="0"/>
        <w:jc w:val="center"/>
        <w:rPr>
          <w:rFonts w:hint="eastAsia" w:ascii="宋体" w:hAnsi="宋体" w:eastAsia="宋体" w:cs="宋体"/>
          <w:b/>
          <w:bCs/>
          <w:color w:val="000000"/>
          <w:sz w:val="32"/>
          <w:szCs w:val="36"/>
          <w:highlight w:val="none"/>
        </w:rPr>
      </w:pPr>
    </w:p>
    <w:p>
      <w:pPr>
        <w:pStyle w:val="3"/>
        <w:bidi w:val="0"/>
        <w:rPr>
          <w:rFonts w:hint="eastAsia" w:ascii="宋体" w:hAnsi="宋体" w:eastAsia="宋体" w:cs="宋体"/>
          <w:color w:val="000000"/>
          <w:highlight w:val="none"/>
          <w:lang w:eastAsia="zh-CN"/>
        </w:rPr>
      </w:pPr>
      <w:bookmarkStart w:id="502" w:name="_Toc3812"/>
      <w:r>
        <w:rPr>
          <w:rFonts w:hint="eastAsia" w:ascii="宋体" w:hAnsi="宋体" w:eastAsia="宋体" w:cs="宋体"/>
          <w:color w:val="000000"/>
          <w:highlight w:val="none"/>
          <w:lang w:eastAsia="zh-CN"/>
        </w:rPr>
        <w:t>附件四：</w:t>
      </w:r>
      <w:bookmarkEnd w:id="502"/>
    </w:p>
    <w:p>
      <w:pPr>
        <w:bidi w:val="0"/>
        <w:jc w:val="center"/>
        <w:rPr>
          <w:rFonts w:hint="eastAsia" w:ascii="宋体" w:hAnsi="宋体" w:eastAsia="宋体" w:cs="宋体"/>
          <w:b/>
          <w:bCs/>
          <w:color w:val="000000"/>
          <w:sz w:val="32"/>
          <w:szCs w:val="36"/>
          <w:highlight w:val="none"/>
        </w:rPr>
      </w:pPr>
      <w:r>
        <w:rPr>
          <w:rFonts w:hint="eastAsia" w:ascii="宋体" w:hAnsi="宋体" w:eastAsia="宋体" w:cs="宋体"/>
          <w:b/>
          <w:bCs/>
          <w:color w:val="000000"/>
          <w:sz w:val="32"/>
          <w:szCs w:val="36"/>
          <w:highlight w:val="none"/>
        </w:rPr>
        <w:t>工程计量审核确认单</w:t>
      </w:r>
    </w:p>
    <w:p>
      <w:pPr>
        <w:spacing w:line="360" w:lineRule="auto"/>
        <w:ind w:firstLine="6660" w:firstLineChars="3700"/>
        <w:rPr>
          <w:rFonts w:hint="eastAsia" w:ascii="宋体" w:hAnsi="宋体" w:eastAsia="宋体" w:cs="宋体"/>
          <w:color w:val="000000"/>
          <w:sz w:val="18"/>
          <w:szCs w:val="18"/>
          <w:highlight w:val="none"/>
          <w:lang w:val="en-US" w:eastAsia="zh-CN"/>
        </w:rPr>
      </w:pPr>
      <w:r>
        <w:rPr>
          <w:rFonts w:hint="eastAsia" w:ascii="宋体" w:hAnsi="宋体" w:eastAsia="宋体" w:cs="宋体"/>
          <w:color w:val="000000"/>
          <w:sz w:val="18"/>
          <w:szCs w:val="18"/>
          <w:highlight w:val="none"/>
        </w:rPr>
        <w:t>编号：</w:t>
      </w:r>
    </w:p>
    <w:tbl>
      <w:tblPr>
        <w:tblStyle w:val="32"/>
        <w:tblW w:w="9176"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23"/>
        <w:gridCol w:w="2344"/>
        <w:gridCol w:w="1440"/>
        <w:gridCol w:w="1072"/>
        <w:gridCol w:w="193"/>
        <w:gridCol w:w="27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trPr>
        <w:tc>
          <w:tcPr>
            <w:tcW w:w="1423" w:type="dxa"/>
            <w:noWrap w:val="0"/>
            <w:vAlign w:val="center"/>
          </w:tcPr>
          <w:p>
            <w:pPr>
              <w:spacing w:line="360" w:lineRule="auto"/>
              <w:jc w:val="center"/>
              <w:rPr>
                <w:rFonts w:hint="eastAsia" w:ascii="宋体" w:hAnsi="宋体" w:eastAsia="宋体" w:cs="宋体"/>
                <w:color w:val="000000"/>
                <w:sz w:val="18"/>
                <w:szCs w:val="18"/>
                <w:highlight w:val="none"/>
              </w:rPr>
            </w:pPr>
            <w:r>
              <w:rPr>
                <w:rFonts w:hint="eastAsia" w:ascii="宋体" w:hAnsi="宋体" w:eastAsia="宋体" w:cs="宋体"/>
                <w:color w:val="000000"/>
                <w:sz w:val="18"/>
                <w:szCs w:val="18"/>
                <w:highlight w:val="none"/>
              </w:rPr>
              <w:t>合同名称</w:t>
            </w:r>
          </w:p>
        </w:tc>
        <w:tc>
          <w:tcPr>
            <w:tcW w:w="3784" w:type="dxa"/>
            <w:gridSpan w:val="2"/>
            <w:noWrap w:val="0"/>
            <w:vAlign w:val="center"/>
          </w:tcPr>
          <w:p>
            <w:pPr>
              <w:spacing w:line="360" w:lineRule="auto"/>
              <w:jc w:val="center"/>
              <w:rPr>
                <w:rFonts w:hint="eastAsia" w:ascii="宋体" w:hAnsi="宋体" w:eastAsia="宋体" w:cs="宋体"/>
                <w:color w:val="000000"/>
                <w:sz w:val="18"/>
                <w:szCs w:val="18"/>
                <w:highlight w:val="none"/>
                <w:lang w:val="en-US" w:eastAsia="zh-CN"/>
              </w:rPr>
            </w:pPr>
          </w:p>
        </w:tc>
        <w:tc>
          <w:tcPr>
            <w:tcW w:w="1265" w:type="dxa"/>
            <w:gridSpan w:val="2"/>
            <w:noWrap w:val="0"/>
            <w:vAlign w:val="center"/>
          </w:tcPr>
          <w:p>
            <w:pPr>
              <w:spacing w:line="360" w:lineRule="auto"/>
              <w:jc w:val="center"/>
              <w:rPr>
                <w:rFonts w:hint="eastAsia" w:ascii="宋体" w:hAnsi="宋体" w:eastAsia="宋体" w:cs="宋体"/>
                <w:color w:val="000000"/>
                <w:sz w:val="18"/>
                <w:szCs w:val="18"/>
                <w:highlight w:val="none"/>
              </w:rPr>
            </w:pPr>
            <w:r>
              <w:rPr>
                <w:rFonts w:hint="eastAsia" w:ascii="宋体" w:hAnsi="宋体" w:eastAsia="宋体" w:cs="宋体"/>
                <w:color w:val="000000"/>
                <w:sz w:val="18"/>
                <w:szCs w:val="18"/>
                <w:highlight w:val="none"/>
              </w:rPr>
              <w:t>概算批文</w:t>
            </w:r>
          </w:p>
        </w:tc>
        <w:tc>
          <w:tcPr>
            <w:tcW w:w="2704" w:type="dxa"/>
            <w:noWrap w:val="0"/>
            <w:vAlign w:val="center"/>
          </w:tcPr>
          <w:p>
            <w:pPr>
              <w:spacing w:line="360" w:lineRule="auto"/>
              <w:jc w:val="center"/>
              <w:rPr>
                <w:rFonts w:hint="eastAsia" w:ascii="宋体" w:hAnsi="宋体" w:eastAsia="宋体" w:cs="宋体"/>
                <w:color w:val="000000"/>
                <w:sz w:val="18"/>
                <w:szCs w:val="18"/>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423" w:type="dxa"/>
            <w:noWrap w:val="0"/>
            <w:vAlign w:val="center"/>
          </w:tcPr>
          <w:p>
            <w:pPr>
              <w:spacing w:line="360" w:lineRule="auto"/>
              <w:jc w:val="center"/>
              <w:rPr>
                <w:rFonts w:hint="eastAsia" w:ascii="宋体" w:hAnsi="宋体" w:eastAsia="宋体" w:cs="宋体"/>
                <w:color w:val="000000"/>
                <w:sz w:val="18"/>
                <w:szCs w:val="18"/>
                <w:highlight w:val="none"/>
              </w:rPr>
            </w:pPr>
            <w:r>
              <w:rPr>
                <w:rFonts w:hint="eastAsia" w:ascii="宋体" w:hAnsi="宋体" w:eastAsia="宋体" w:cs="宋体"/>
                <w:color w:val="000000"/>
                <w:sz w:val="18"/>
                <w:szCs w:val="18"/>
                <w:highlight w:val="none"/>
              </w:rPr>
              <w:t>工程量内容</w:t>
            </w:r>
          </w:p>
        </w:tc>
        <w:tc>
          <w:tcPr>
            <w:tcW w:w="7753" w:type="dxa"/>
            <w:gridSpan w:val="5"/>
            <w:noWrap w:val="0"/>
            <w:vAlign w:val="top"/>
          </w:tcPr>
          <w:p>
            <w:pPr>
              <w:spacing w:line="360" w:lineRule="auto"/>
              <w:rPr>
                <w:rFonts w:hint="eastAsia" w:ascii="宋体" w:hAnsi="宋体" w:eastAsia="宋体" w:cs="宋体"/>
                <w:color w:val="000000"/>
                <w:sz w:val="18"/>
                <w:szCs w:val="18"/>
                <w:highlight w:val="none"/>
                <w:lang w:val="en-US" w:eastAsia="zh-CN"/>
              </w:rPr>
            </w:pPr>
            <w:r>
              <w:rPr>
                <w:rFonts w:hint="eastAsia" w:ascii="宋体" w:hAnsi="宋体" w:eastAsia="宋体" w:cs="宋体"/>
                <w:color w:val="000000"/>
                <w:sz w:val="18"/>
                <w:szCs w:val="18"/>
                <w:highlight w:val="none"/>
              </w:rPr>
              <w:t>计量月份：</w:t>
            </w:r>
          </w:p>
          <w:p>
            <w:pPr>
              <w:spacing w:line="360" w:lineRule="auto"/>
              <w:ind w:firstLine="360" w:firstLineChars="200"/>
              <w:rPr>
                <w:rFonts w:hint="eastAsia" w:ascii="宋体" w:hAnsi="宋体" w:eastAsia="宋体" w:cs="宋体"/>
                <w:color w:val="000000"/>
                <w:sz w:val="18"/>
                <w:szCs w:val="18"/>
                <w:highlight w:val="none"/>
                <w:u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423" w:type="dxa"/>
            <w:noWrap w:val="0"/>
            <w:vAlign w:val="center"/>
          </w:tcPr>
          <w:p>
            <w:pPr>
              <w:spacing w:line="360" w:lineRule="auto"/>
              <w:jc w:val="center"/>
              <w:rPr>
                <w:rFonts w:hint="eastAsia" w:ascii="宋体" w:hAnsi="宋体" w:eastAsia="宋体" w:cs="宋体"/>
                <w:color w:val="000000"/>
                <w:sz w:val="18"/>
                <w:szCs w:val="18"/>
                <w:highlight w:val="none"/>
                <w:lang w:val="en-US"/>
              </w:rPr>
            </w:pPr>
            <w:r>
              <w:rPr>
                <w:rFonts w:hint="eastAsia" w:ascii="宋体" w:hAnsi="宋体" w:eastAsia="宋体" w:cs="宋体"/>
                <w:color w:val="000000"/>
                <w:sz w:val="18"/>
                <w:szCs w:val="18"/>
                <w:highlight w:val="none"/>
                <w:lang w:val="en-US" w:eastAsia="zh-CN"/>
              </w:rPr>
              <w:t>施工单位意见</w:t>
            </w:r>
          </w:p>
        </w:tc>
        <w:tc>
          <w:tcPr>
            <w:tcW w:w="7753" w:type="dxa"/>
            <w:gridSpan w:val="5"/>
            <w:tcBorders>
              <w:bottom w:val="single" w:color="auto" w:sz="4" w:space="0"/>
            </w:tcBorders>
            <w:noWrap w:val="0"/>
            <w:vAlign w:val="top"/>
          </w:tcPr>
          <w:p>
            <w:pPr>
              <w:spacing w:line="360" w:lineRule="auto"/>
              <w:rPr>
                <w:rFonts w:hint="eastAsia" w:ascii="宋体" w:hAnsi="宋体" w:eastAsia="宋体" w:cs="宋体"/>
                <w:color w:val="000000"/>
                <w:sz w:val="18"/>
                <w:szCs w:val="18"/>
                <w:highlight w:val="none"/>
                <w:lang w:eastAsia="zh-CN"/>
              </w:rPr>
            </w:pPr>
          </w:p>
          <w:p>
            <w:pPr>
              <w:spacing w:line="360" w:lineRule="auto"/>
              <w:ind w:firstLine="1800" w:firstLineChars="1000"/>
              <w:rPr>
                <w:rFonts w:hint="eastAsia" w:ascii="宋体" w:hAnsi="宋体" w:eastAsia="宋体" w:cs="宋体"/>
                <w:color w:val="000000"/>
                <w:sz w:val="18"/>
                <w:szCs w:val="18"/>
                <w:highlight w:val="none"/>
              </w:rPr>
            </w:pPr>
            <w:r>
              <w:rPr>
                <w:rFonts w:hint="eastAsia" w:ascii="宋体" w:hAnsi="宋体" w:eastAsia="宋体" w:cs="宋体"/>
                <w:color w:val="000000"/>
                <w:sz w:val="18"/>
                <w:szCs w:val="18"/>
                <w:highlight w:val="none"/>
              </w:rPr>
              <w:t>项目经理签字：            日期：              单位（盖章）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423" w:type="dxa"/>
            <w:noWrap w:val="0"/>
            <w:vAlign w:val="center"/>
          </w:tcPr>
          <w:p>
            <w:pPr>
              <w:spacing w:line="360" w:lineRule="auto"/>
              <w:jc w:val="center"/>
              <w:rPr>
                <w:rFonts w:hint="eastAsia" w:ascii="宋体" w:hAnsi="宋体" w:eastAsia="宋体" w:cs="宋体"/>
                <w:color w:val="000000"/>
                <w:sz w:val="18"/>
                <w:szCs w:val="18"/>
                <w:highlight w:val="none"/>
                <w:lang w:val="en-US" w:eastAsia="zh-CN"/>
              </w:rPr>
            </w:pPr>
            <w:r>
              <w:rPr>
                <w:rFonts w:hint="eastAsia" w:ascii="宋体" w:hAnsi="宋体" w:eastAsia="宋体" w:cs="宋体"/>
                <w:color w:val="000000"/>
                <w:sz w:val="18"/>
                <w:szCs w:val="18"/>
                <w:highlight w:val="none"/>
                <w:lang w:val="en-US" w:eastAsia="zh-CN"/>
              </w:rPr>
              <w:t>全过程工程咨询</w:t>
            </w:r>
            <w:r>
              <w:rPr>
                <w:rFonts w:hint="eastAsia" w:ascii="宋体" w:hAnsi="宋体" w:eastAsia="宋体" w:cs="宋体"/>
                <w:color w:val="000000"/>
                <w:sz w:val="18"/>
                <w:szCs w:val="18"/>
                <w:highlight w:val="none"/>
              </w:rPr>
              <w:t>单位意见</w:t>
            </w:r>
          </w:p>
        </w:tc>
        <w:tc>
          <w:tcPr>
            <w:tcW w:w="7753" w:type="dxa"/>
            <w:gridSpan w:val="5"/>
            <w:tcBorders>
              <w:bottom w:val="single" w:color="auto" w:sz="4" w:space="0"/>
            </w:tcBorders>
            <w:noWrap w:val="0"/>
            <w:vAlign w:val="top"/>
          </w:tcPr>
          <w:p>
            <w:pPr>
              <w:spacing w:line="360" w:lineRule="auto"/>
              <w:rPr>
                <w:rFonts w:hint="eastAsia" w:ascii="宋体" w:hAnsi="宋体" w:eastAsia="宋体" w:cs="宋体"/>
                <w:color w:val="000000"/>
                <w:sz w:val="18"/>
                <w:szCs w:val="18"/>
                <w:highlight w:val="none"/>
              </w:rPr>
            </w:pPr>
          </w:p>
          <w:p>
            <w:pPr>
              <w:spacing w:line="360" w:lineRule="auto"/>
              <w:rPr>
                <w:rFonts w:hint="eastAsia" w:ascii="宋体" w:hAnsi="宋体" w:eastAsia="宋体" w:cs="宋体"/>
                <w:color w:val="000000"/>
                <w:sz w:val="18"/>
                <w:szCs w:val="18"/>
                <w:highlight w:val="none"/>
              </w:rPr>
            </w:pPr>
            <w:r>
              <w:rPr>
                <w:rFonts w:hint="eastAsia" w:ascii="宋体" w:hAnsi="宋体" w:eastAsia="宋体" w:cs="宋体"/>
                <w:color w:val="000000"/>
                <w:sz w:val="18"/>
                <w:szCs w:val="18"/>
                <w:highlight w:val="none"/>
                <w:lang w:val="en-US" w:eastAsia="zh-CN"/>
              </w:rPr>
              <w:t xml:space="preserve">项目总监：          </w:t>
            </w:r>
            <w:r>
              <w:rPr>
                <w:rFonts w:hint="eastAsia" w:ascii="宋体" w:hAnsi="宋体" w:eastAsia="宋体" w:cs="宋体"/>
                <w:color w:val="000000"/>
                <w:sz w:val="18"/>
                <w:szCs w:val="18"/>
                <w:highlight w:val="none"/>
              </w:rPr>
              <w:t>项目经理签字：            日期：              单位（盖章）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trPr>
        <w:tc>
          <w:tcPr>
            <w:tcW w:w="1423" w:type="dxa"/>
            <w:vMerge w:val="restart"/>
            <w:noWrap w:val="0"/>
            <w:vAlign w:val="center"/>
          </w:tcPr>
          <w:p>
            <w:pPr>
              <w:spacing w:line="360" w:lineRule="auto"/>
              <w:jc w:val="center"/>
              <w:rPr>
                <w:rFonts w:hint="eastAsia" w:ascii="宋体" w:hAnsi="宋体" w:eastAsia="宋体" w:cs="宋体"/>
                <w:color w:val="000000"/>
                <w:sz w:val="18"/>
                <w:szCs w:val="18"/>
                <w:highlight w:val="none"/>
              </w:rPr>
            </w:pPr>
            <w:r>
              <w:rPr>
                <w:rFonts w:hint="eastAsia" w:ascii="宋体" w:hAnsi="宋体" w:eastAsia="宋体" w:cs="宋体"/>
                <w:color w:val="000000"/>
                <w:sz w:val="18"/>
                <w:szCs w:val="18"/>
                <w:highlight w:val="none"/>
              </w:rPr>
              <w:t>工程管理科意见及说明</w:t>
            </w:r>
          </w:p>
        </w:tc>
        <w:tc>
          <w:tcPr>
            <w:tcW w:w="2344" w:type="dxa"/>
            <w:tcBorders>
              <w:top w:val="single" w:color="auto" w:sz="4" w:space="0"/>
            </w:tcBorders>
            <w:noWrap w:val="0"/>
            <w:vAlign w:val="center"/>
          </w:tcPr>
          <w:p>
            <w:pPr>
              <w:spacing w:line="360" w:lineRule="auto"/>
              <w:jc w:val="center"/>
              <w:rPr>
                <w:rFonts w:hint="eastAsia" w:ascii="宋体" w:hAnsi="宋体" w:eastAsia="宋体" w:cs="宋体"/>
                <w:color w:val="000000"/>
                <w:sz w:val="18"/>
                <w:szCs w:val="18"/>
                <w:highlight w:val="none"/>
              </w:rPr>
            </w:pPr>
            <w:r>
              <w:rPr>
                <w:rFonts w:hint="eastAsia" w:ascii="宋体" w:hAnsi="宋体" w:eastAsia="宋体" w:cs="宋体"/>
                <w:color w:val="000000"/>
                <w:sz w:val="18"/>
                <w:szCs w:val="18"/>
                <w:highlight w:val="none"/>
              </w:rPr>
              <w:t>原累计计量额</w:t>
            </w:r>
          </w:p>
        </w:tc>
        <w:tc>
          <w:tcPr>
            <w:tcW w:w="2512" w:type="dxa"/>
            <w:gridSpan w:val="2"/>
            <w:tcBorders>
              <w:top w:val="single" w:color="auto" w:sz="4" w:space="0"/>
            </w:tcBorders>
            <w:noWrap w:val="0"/>
            <w:vAlign w:val="center"/>
          </w:tcPr>
          <w:p>
            <w:pPr>
              <w:spacing w:line="360" w:lineRule="auto"/>
              <w:jc w:val="center"/>
              <w:rPr>
                <w:rFonts w:hint="eastAsia" w:ascii="宋体" w:hAnsi="宋体" w:eastAsia="宋体" w:cs="宋体"/>
                <w:color w:val="000000"/>
                <w:sz w:val="18"/>
                <w:szCs w:val="18"/>
                <w:highlight w:val="none"/>
              </w:rPr>
            </w:pPr>
            <w:r>
              <w:rPr>
                <w:rFonts w:hint="eastAsia" w:ascii="宋体" w:hAnsi="宋体" w:eastAsia="宋体" w:cs="宋体"/>
                <w:color w:val="000000"/>
                <w:sz w:val="18"/>
                <w:szCs w:val="18"/>
                <w:highlight w:val="none"/>
              </w:rPr>
              <w:t>本月计量额</w:t>
            </w:r>
          </w:p>
        </w:tc>
        <w:tc>
          <w:tcPr>
            <w:tcW w:w="2897" w:type="dxa"/>
            <w:gridSpan w:val="2"/>
            <w:tcBorders>
              <w:top w:val="single" w:color="auto" w:sz="4" w:space="0"/>
            </w:tcBorders>
            <w:noWrap w:val="0"/>
            <w:vAlign w:val="center"/>
          </w:tcPr>
          <w:p>
            <w:pPr>
              <w:spacing w:line="360" w:lineRule="auto"/>
              <w:jc w:val="center"/>
              <w:rPr>
                <w:rFonts w:hint="eastAsia" w:ascii="宋体" w:hAnsi="宋体" w:eastAsia="宋体" w:cs="宋体"/>
                <w:color w:val="000000"/>
                <w:sz w:val="18"/>
                <w:szCs w:val="18"/>
                <w:highlight w:val="none"/>
              </w:rPr>
            </w:pPr>
            <w:r>
              <w:rPr>
                <w:rFonts w:hint="eastAsia" w:ascii="宋体" w:hAnsi="宋体" w:eastAsia="宋体" w:cs="宋体"/>
                <w:color w:val="000000"/>
                <w:sz w:val="18"/>
                <w:szCs w:val="18"/>
                <w:highlight w:val="none"/>
              </w:rPr>
              <w:t>至本期总计量额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3" w:hRule="atLeast"/>
        </w:trPr>
        <w:tc>
          <w:tcPr>
            <w:tcW w:w="1423" w:type="dxa"/>
            <w:vMerge w:val="continue"/>
            <w:noWrap w:val="0"/>
            <w:vAlign w:val="center"/>
          </w:tcPr>
          <w:p>
            <w:pPr>
              <w:spacing w:line="360" w:lineRule="auto"/>
              <w:jc w:val="center"/>
              <w:rPr>
                <w:rFonts w:hint="eastAsia" w:ascii="宋体" w:hAnsi="宋体" w:eastAsia="宋体" w:cs="宋体"/>
                <w:color w:val="000000"/>
                <w:sz w:val="18"/>
                <w:szCs w:val="18"/>
                <w:highlight w:val="none"/>
              </w:rPr>
            </w:pPr>
          </w:p>
        </w:tc>
        <w:tc>
          <w:tcPr>
            <w:tcW w:w="2344" w:type="dxa"/>
            <w:noWrap w:val="0"/>
            <w:vAlign w:val="center"/>
          </w:tcPr>
          <w:p>
            <w:pPr>
              <w:spacing w:line="360" w:lineRule="auto"/>
              <w:jc w:val="center"/>
              <w:rPr>
                <w:rFonts w:hint="eastAsia" w:ascii="宋体" w:hAnsi="宋体" w:eastAsia="宋体" w:cs="宋体"/>
                <w:color w:val="000000"/>
                <w:sz w:val="18"/>
                <w:szCs w:val="18"/>
                <w:highlight w:val="none"/>
                <w:lang w:val="en-US" w:eastAsia="zh-CN"/>
              </w:rPr>
            </w:pPr>
          </w:p>
        </w:tc>
        <w:tc>
          <w:tcPr>
            <w:tcW w:w="2512" w:type="dxa"/>
            <w:gridSpan w:val="2"/>
            <w:noWrap w:val="0"/>
            <w:vAlign w:val="center"/>
          </w:tcPr>
          <w:p>
            <w:pPr>
              <w:spacing w:line="360" w:lineRule="auto"/>
              <w:jc w:val="center"/>
              <w:rPr>
                <w:rFonts w:hint="eastAsia" w:ascii="宋体" w:hAnsi="宋体" w:eastAsia="宋体" w:cs="宋体"/>
                <w:color w:val="000000"/>
                <w:sz w:val="18"/>
                <w:szCs w:val="18"/>
                <w:highlight w:val="none"/>
                <w:lang w:val="en-US" w:eastAsia="zh-CN"/>
              </w:rPr>
            </w:pPr>
          </w:p>
        </w:tc>
        <w:tc>
          <w:tcPr>
            <w:tcW w:w="2897" w:type="dxa"/>
            <w:gridSpan w:val="2"/>
            <w:noWrap w:val="0"/>
            <w:vAlign w:val="center"/>
          </w:tcPr>
          <w:p>
            <w:pPr>
              <w:spacing w:line="360" w:lineRule="auto"/>
              <w:jc w:val="center"/>
              <w:rPr>
                <w:rFonts w:hint="eastAsia" w:ascii="宋体" w:hAnsi="宋体" w:eastAsia="宋体" w:cs="宋体"/>
                <w:color w:val="000000"/>
                <w:sz w:val="18"/>
                <w:szCs w:val="18"/>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1" w:hRule="atLeast"/>
        </w:trPr>
        <w:tc>
          <w:tcPr>
            <w:tcW w:w="1423" w:type="dxa"/>
            <w:vMerge w:val="continue"/>
            <w:noWrap w:val="0"/>
            <w:vAlign w:val="center"/>
          </w:tcPr>
          <w:p>
            <w:pPr>
              <w:spacing w:line="360" w:lineRule="auto"/>
              <w:jc w:val="center"/>
              <w:rPr>
                <w:rFonts w:hint="eastAsia" w:ascii="宋体" w:hAnsi="宋体" w:eastAsia="宋体" w:cs="宋体"/>
                <w:color w:val="000000"/>
                <w:sz w:val="18"/>
                <w:szCs w:val="18"/>
                <w:highlight w:val="none"/>
              </w:rPr>
            </w:pPr>
          </w:p>
        </w:tc>
        <w:tc>
          <w:tcPr>
            <w:tcW w:w="7753" w:type="dxa"/>
            <w:gridSpan w:val="5"/>
            <w:noWrap w:val="0"/>
            <w:vAlign w:val="top"/>
          </w:tcPr>
          <w:p>
            <w:pPr>
              <w:spacing w:line="360" w:lineRule="auto"/>
              <w:rPr>
                <w:rFonts w:hint="eastAsia" w:ascii="宋体" w:hAnsi="宋体" w:eastAsia="宋体" w:cs="宋体"/>
                <w:color w:val="000000"/>
                <w:sz w:val="18"/>
                <w:szCs w:val="18"/>
                <w:highlight w:val="none"/>
              </w:rPr>
            </w:pPr>
            <w:r>
              <w:rPr>
                <w:rFonts w:hint="eastAsia" w:ascii="宋体" w:hAnsi="宋体" w:eastAsia="宋体" w:cs="宋体"/>
                <w:color w:val="000000"/>
                <w:sz w:val="18"/>
                <w:szCs w:val="18"/>
                <w:highlight w:val="none"/>
              </w:rPr>
              <w:t xml:space="preserve">               </w:t>
            </w:r>
          </w:p>
          <w:p>
            <w:pPr>
              <w:spacing w:line="360" w:lineRule="auto"/>
              <w:ind w:firstLine="2430" w:firstLineChars="1350"/>
              <w:rPr>
                <w:rFonts w:hint="eastAsia" w:ascii="宋体" w:hAnsi="宋体" w:eastAsia="宋体" w:cs="宋体"/>
                <w:color w:val="000000"/>
                <w:sz w:val="18"/>
                <w:szCs w:val="18"/>
                <w:highlight w:val="none"/>
              </w:rPr>
            </w:pPr>
            <w:r>
              <w:rPr>
                <w:rFonts w:hint="eastAsia" w:ascii="宋体" w:hAnsi="宋体" w:eastAsia="宋体" w:cs="宋体"/>
                <w:color w:val="000000"/>
                <w:sz w:val="18"/>
                <w:szCs w:val="18"/>
                <w:highlight w:val="none"/>
              </w:rPr>
              <w:t xml:space="preserve">   经办人：            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8" w:hRule="atLeast"/>
        </w:trPr>
        <w:tc>
          <w:tcPr>
            <w:tcW w:w="1423" w:type="dxa"/>
            <w:vMerge w:val="continue"/>
            <w:noWrap w:val="0"/>
            <w:vAlign w:val="center"/>
          </w:tcPr>
          <w:p>
            <w:pPr>
              <w:spacing w:line="360" w:lineRule="auto"/>
              <w:jc w:val="center"/>
              <w:rPr>
                <w:rFonts w:hint="eastAsia" w:ascii="宋体" w:hAnsi="宋体" w:eastAsia="宋体" w:cs="宋体"/>
                <w:color w:val="000000"/>
                <w:sz w:val="18"/>
                <w:szCs w:val="18"/>
                <w:highlight w:val="none"/>
              </w:rPr>
            </w:pPr>
          </w:p>
        </w:tc>
        <w:tc>
          <w:tcPr>
            <w:tcW w:w="7753" w:type="dxa"/>
            <w:gridSpan w:val="5"/>
            <w:noWrap w:val="0"/>
            <w:vAlign w:val="top"/>
          </w:tcPr>
          <w:p>
            <w:pPr>
              <w:spacing w:line="360" w:lineRule="auto"/>
              <w:rPr>
                <w:rFonts w:hint="eastAsia" w:ascii="宋体" w:hAnsi="宋体" w:eastAsia="宋体" w:cs="宋体"/>
                <w:color w:val="000000"/>
                <w:sz w:val="18"/>
                <w:szCs w:val="18"/>
                <w:highlight w:val="none"/>
              </w:rPr>
            </w:pPr>
            <w:r>
              <w:rPr>
                <w:rFonts w:hint="eastAsia" w:ascii="宋体" w:hAnsi="宋体" w:eastAsia="宋体" w:cs="宋体"/>
                <w:color w:val="000000"/>
                <w:sz w:val="18"/>
                <w:szCs w:val="18"/>
                <w:highlight w:val="none"/>
              </w:rPr>
              <w:t xml:space="preserve">    </w:t>
            </w:r>
          </w:p>
          <w:p>
            <w:pPr>
              <w:spacing w:line="360" w:lineRule="auto"/>
              <w:ind w:firstLine="2070" w:firstLineChars="1150"/>
              <w:rPr>
                <w:rFonts w:hint="eastAsia" w:ascii="宋体" w:hAnsi="宋体" w:eastAsia="宋体" w:cs="宋体"/>
                <w:color w:val="000000"/>
                <w:sz w:val="18"/>
                <w:szCs w:val="18"/>
                <w:highlight w:val="none"/>
              </w:rPr>
            </w:pPr>
            <w:r>
              <w:rPr>
                <w:rFonts w:hint="eastAsia" w:ascii="宋体" w:hAnsi="宋体" w:eastAsia="宋体" w:cs="宋体"/>
                <w:color w:val="000000"/>
                <w:sz w:val="18"/>
                <w:szCs w:val="18"/>
                <w:highlight w:val="none"/>
              </w:rPr>
              <w:t xml:space="preserve">       负责人：            日期：              （盖章）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0" w:hRule="atLeast"/>
        </w:trPr>
        <w:tc>
          <w:tcPr>
            <w:tcW w:w="1423" w:type="dxa"/>
            <w:vMerge w:val="restart"/>
            <w:noWrap w:val="0"/>
            <w:vAlign w:val="center"/>
          </w:tcPr>
          <w:p>
            <w:pPr>
              <w:spacing w:line="360" w:lineRule="auto"/>
              <w:jc w:val="center"/>
              <w:rPr>
                <w:rFonts w:hint="eastAsia" w:ascii="宋体" w:hAnsi="宋体" w:eastAsia="宋体" w:cs="宋体"/>
                <w:color w:val="000000"/>
                <w:sz w:val="18"/>
                <w:szCs w:val="18"/>
                <w:highlight w:val="none"/>
              </w:rPr>
            </w:pPr>
            <w:r>
              <w:rPr>
                <w:rFonts w:hint="eastAsia" w:ascii="宋体" w:hAnsi="宋体" w:eastAsia="宋体" w:cs="宋体"/>
                <w:color w:val="000000"/>
                <w:sz w:val="18"/>
                <w:szCs w:val="18"/>
                <w:highlight w:val="none"/>
              </w:rPr>
              <w:t>跟踪审计</w:t>
            </w:r>
          </w:p>
          <w:p>
            <w:pPr>
              <w:spacing w:line="360" w:lineRule="auto"/>
              <w:jc w:val="center"/>
              <w:rPr>
                <w:rFonts w:hint="eastAsia" w:ascii="宋体" w:hAnsi="宋体" w:eastAsia="宋体" w:cs="宋体"/>
                <w:color w:val="000000"/>
                <w:sz w:val="18"/>
                <w:szCs w:val="18"/>
                <w:highlight w:val="none"/>
              </w:rPr>
            </w:pPr>
            <w:r>
              <w:rPr>
                <w:rFonts w:hint="eastAsia" w:ascii="宋体" w:hAnsi="宋体" w:eastAsia="宋体" w:cs="宋体"/>
                <w:color w:val="000000"/>
                <w:sz w:val="18"/>
                <w:szCs w:val="18"/>
                <w:highlight w:val="none"/>
              </w:rPr>
              <w:t>意见</w:t>
            </w:r>
          </w:p>
        </w:tc>
        <w:tc>
          <w:tcPr>
            <w:tcW w:w="2344" w:type="dxa"/>
            <w:noWrap w:val="0"/>
            <w:vAlign w:val="center"/>
          </w:tcPr>
          <w:p>
            <w:pPr>
              <w:spacing w:line="360" w:lineRule="auto"/>
              <w:jc w:val="center"/>
              <w:rPr>
                <w:rFonts w:hint="eastAsia" w:ascii="宋体" w:hAnsi="宋体" w:eastAsia="宋体" w:cs="宋体"/>
                <w:color w:val="000000"/>
                <w:sz w:val="18"/>
                <w:szCs w:val="18"/>
                <w:highlight w:val="none"/>
              </w:rPr>
            </w:pPr>
            <w:r>
              <w:rPr>
                <w:rFonts w:hint="eastAsia" w:ascii="宋体" w:hAnsi="宋体" w:eastAsia="宋体" w:cs="宋体"/>
                <w:color w:val="000000"/>
                <w:sz w:val="18"/>
                <w:szCs w:val="18"/>
                <w:highlight w:val="none"/>
              </w:rPr>
              <w:t>原累计计量额</w:t>
            </w:r>
          </w:p>
        </w:tc>
        <w:tc>
          <w:tcPr>
            <w:tcW w:w="2512" w:type="dxa"/>
            <w:gridSpan w:val="2"/>
            <w:noWrap w:val="0"/>
            <w:vAlign w:val="center"/>
          </w:tcPr>
          <w:p>
            <w:pPr>
              <w:spacing w:line="360" w:lineRule="auto"/>
              <w:jc w:val="center"/>
              <w:rPr>
                <w:rFonts w:hint="eastAsia" w:ascii="宋体" w:hAnsi="宋体" w:eastAsia="宋体" w:cs="宋体"/>
                <w:color w:val="000000"/>
                <w:sz w:val="18"/>
                <w:szCs w:val="18"/>
                <w:highlight w:val="none"/>
              </w:rPr>
            </w:pPr>
            <w:r>
              <w:rPr>
                <w:rFonts w:hint="eastAsia" w:ascii="宋体" w:hAnsi="宋体" w:eastAsia="宋体" w:cs="宋体"/>
                <w:color w:val="000000"/>
                <w:sz w:val="18"/>
                <w:szCs w:val="18"/>
                <w:highlight w:val="none"/>
              </w:rPr>
              <w:t>经审核本月计量额</w:t>
            </w:r>
          </w:p>
        </w:tc>
        <w:tc>
          <w:tcPr>
            <w:tcW w:w="2897" w:type="dxa"/>
            <w:gridSpan w:val="2"/>
            <w:noWrap w:val="0"/>
            <w:vAlign w:val="center"/>
          </w:tcPr>
          <w:p>
            <w:pPr>
              <w:spacing w:line="360" w:lineRule="auto"/>
              <w:jc w:val="center"/>
              <w:rPr>
                <w:rFonts w:hint="eastAsia" w:ascii="宋体" w:hAnsi="宋体" w:eastAsia="宋体" w:cs="宋体"/>
                <w:color w:val="000000"/>
                <w:sz w:val="18"/>
                <w:szCs w:val="18"/>
                <w:highlight w:val="none"/>
              </w:rPr>
            </w:pPr>
            <w:r>
              <w:rPr>
                <w:rFonts w:hint="eastAsia" w:ascii="宋体" w:hAnsi="宋体" w:eastAsia="宋体" w:cs="宋体"/>
                <w:color w:val="000000"/>
                <w:sz w:val="18"/>
                <w:szCs w:val="18"/>
                <w:highlight w:val="none"/>
              </w:rPr>
              <w:t>经审核至本期总计量额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trPr>
        <w:tc>
          <w:tcPr>
            <w:tcW w:w="1423" w:type="dxa"/>
            <w:vMerge w:val="continue"/>
            <w:noWrap w:val="0"/>
            <w:vAlign w:val="top"/>
          </w:tcPr>
          <w:p>
            <w:pPr>
              <w:spacing w:line="360" w:lineRule="auto"/>
              <w:rPr>
                <w:rFonts w:hint="eastAsia" w:ascii="宋体" w:hAnsi="宋体" w:eastAsia="宋体" w:cs="宋体"/>
                <w:color w:val="000000"/>
                <w:sz w:val="18"/>
                <w:szCs w:val="18"/>
                <w:highlight w:val="none"/>
              </w:rPr>
            </w:pPr>
          </w:p>
        </w:tc>
        <w:tc>
          <w:tcPr>
            <w:tcW w:w="2344" w:type="dxa"/>
            <w:noWrap w:val="0"/>
            <w:vAlign w:val="center"/>
          </w:tcPr>
          <w:p>
            <w:pPr>
              <w:spacing w:line="360" w:lineRule="auto"/>
              <w:jc w:val="both"/>
              <w:rPr>
                <w:rFonts w:hint="eastAsia" w:ascii="宋体" w:hAnsi="宋体" w:eastAsia="宋体" w:cs="宋体"/>
                <w:color w:val="000000"/>
                <w:sz w:val="18"/>
                <w:szCs w:val="18"/>
                <w:highlight w:val="none"/>
              </w:rPr>
            </w:pPr>
          </w:p>
        </w:tc>
        <w:tc>
          <w:tcPr>
            <w:tcW w:w="2512" w:type="dxa"/>
            <w:gridSpan w:val="2"/>
            <w:noWrap w:val="0"/>
            <w:vAlign w:val="center"/>
          </w:tcPr>
          <w:p>
            <w:pPr>
              <w:spacing w:line="360" w:lineRule="auto"/>
              <w:jc w:val="center"/>
              <w:rPr>
                <w:rFonts w:hint="eastAsia" w:ascii="宋体" w:hAnsi="宋体" w:eastAsia="宋体" w:cs="宋体"/>
                <w:color w:val="000000"/>
                <w:sz w:val="18"/>
                <w:szCs w:val="18"/>
                <w:highlight w:val="none"/>
              </w:rPr>
            </w:pPr>
          </w:p>
        </w:tc>
        <w:tc>
          <w:tcPr>
            <w:tcW w:w="2897" w:type="dxa"/>
            <w:gridSpan w:val="2"/>
            <w:noWrap w:val="0"/>
            <w:vAlign w:val="center"/>
          </w:tcPr>
          <w:p>
            <w:pPr>
              <w:spacing w:line="360" w:lineRule="auto"/>
              <w:jc w:val="center"/>
              <w:rPr>
                <w:rFonts w:hint="eastAsia" w:ascii="宋体" w:hAnsi="宋体" w:eastAsia="宋体" w:cs="宋体"/>
                <w:color w:val="000000"/>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423" w:type="dxa"/>
            <w:vMerge w:val="continue"/>
            <w:noWrap w:val="0"/>
            <w:vAlign w:val="top"/>
          </w:tcPr>
          <w:p>
            <w:pPr>
              <w:spacing w:line="360" w:lineRule="auto"/>
              <w:rPr>
                <w:rFonts w:hint="eastAsia" w:ascii="宋体" w:hAnsi="宋体" w:eastAsia="宋体" w:cs="宋体"/>
                <w:color w:val="000000"/>
                <w:sz w:val="18"/>
                <w:szCs w:val="18"/>
                <w:highlight w:val="none"/>
              </w:rPr>
            </w:pPr>
          </w:p>
        </w:tc>
        <w:tc>
          <w:tcPr>
            <w:tcW w:w="7753" w:type="dxa"/>
            <w:gridSpan w:val="5"/>
            <w:noWrap w:val="0"/>
            <w:vAlign w:val="center"/>
          </w:tcPr>
          <w:p>
            <w:pPr>
              <w:spacing w:line="360" w:lineRule="auto"/>
              <w:rPr>
                <w:rFonts w:hint="eastAsia" w:ascii="宋体" w:hAnsi="宋体" w:eastAsia="宋体" w:cs="宋体"/>
                <w:color w:val="000000"/>
                <w:sz w:val="18"/>
                <w:szCs w:val="18"/>
                <w:highlight w:val="none"/>
              </w:rPr>
            </w:pPr>
          </w:p>
        </w:tc>
      </w:tr>
    </w:tbl>
    <w:p>
      <w:pPr>
        <w:spacing w:line="360" w:lineRule="auto"/>
        <w:rPr>
          <w:rFonts w:hint="eastAsia" w:cs="宋体"/>
          <w:color w:val="000000"/>
          <w:sz w:val="18"/>
          <w:szCs w:val="18"/>
          <w:highlight w:val="none"/>
          <w:lang w:eastAsia="zh-CN"/>
        </w:rPr>
      </w:pPr>
      <w:r>
        <w:rPr>
          <w:rFonts w:hint="eastAsia" w:ascii="宋体" w:hAnsi="宋体" w:eastAsia="宋体" w:cs="宋体"/>
          <w:color w:val="000000"/>
          <w:sz w:val="18"/>
          <w:szCs w:val="18"/>
          <w:highlight w:val="none"/>
        </w:rPr>
        <w:t>注：本单作为工程款额支付的依据</w:t>
      </w:r>
      <w:r>
        <w:rPr>
          <w:rFonts w:hint="eastAsia" w:cs="宋体"/>
          <w:color w:val="000000"/>
          <w:sz w:val="18"/>
          <w:szCs w:val="18"/>
          <w:highlight w:val="none"/>
          <w:lang w:eastAsia="zh-CN"/>
        </w:rPr>
        <w:t>。</w:t>
      </w:r>
    </w:p>
    <w:p>
      <w:pPr>
        <w:spacing w:line="360" w:lineRule="auto"/>
        <w:rPr>
          <w:rFonts w:hint="eastAsia" w:ascii="宋体" w:hAnsi="宋体" w:eastAsia="宋体" w:cs="宋体"/>
          <w:color w:val="000000"/>
          <w:sz w:val="18"/>
          <w:szCs w:val="18"/>
          <w:highlight w:val="none"/>
          <w:lang w:eastAsia="zh-CN"/>
        </w:rPr>
      </w:pPr>
    </w:p>
    <w:tbl>
      <w:tblPr>
        <w:tblStyle w:val="32"/>
        <w:tblpPr w:leftFromText="180" w:rightFromText="180" w:vertAnchor="page" w:horzAnchor="page" w:tblpX="1761" w:tblpY="2237"/>
        <w:tblW w:w="87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95"/>
        <w:gridCol w:w="1613"/>
        <w:gridCol w:w="1440"/>
        <w:gridCol w:w="1440"/>
        <w:gridCol w:w="1440"/>
        <w:gridCol w:w="16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0" w:hRule="atLeast"/>
        </w:trPr>
        <w:tc>
          <w:tcPr>
            <w:tcW w:w="1195" w:type="dxa"/>
            <w:vMerge w:val="restart"/>
            <w:noWrap w:val="0"/>
            <w:vAlign w:val="center"/>
          </w:tcPr>
          <w:p>
            <w:pPr>
              <w:spacing w:line="360" w:lineRule="auto"/>
              <w:jc w:val="center"/>
              <w:rPr>
                <w:rFonts w:hint="eastAsia" w:ascii="宋体" w:hAnsi="宋体" w:eastAsia="宋体" w:cs="宋体"/>
                <w:color w:val="000000"/>
                <w:sz w:val="18"/>
                <w:szCs w:val="18"/>
                <w:highlight w:val="none"/>
              </w:rPr>
            </w:pPr>
            <w:r>
              <w:rPr>
                <w:rFonts w:hint="eastAsia" w:ascii="宋体" w:hAnsi="宋体" w:eastAsia="宋体" w:cs="宋体"/>
                <w:color w:val="000000"/>
                <w:sz w:val="18"/>
                <w:szCs w:val="18"/>
                <w:highlight w:val="none"/>
              </w:rPr>
              <w:t>建设项目相关情况</w:t>
            </w:r>
          </w:p>
        </w:tc>
        <w:tc>
          <w:tcPr>
            <w:tcW w:w="7573" w:type="dxa"/>
            <w:gridSpan w:val="5"/>
            <w:noWrap w:val="0"/>
            <w:vAlign w:val="top"/>
          </w:tcPr>
          <w:p>
            <w:pPr>
              <w:spacing w:line="360" w:lineRule="auto"/>
              <w:rPr>
                <w:rFonts w:hint="eastAsia" w:ascii="宋体" w:hAnsi="宋体" w:eastAsia="宋体" w:cs="宋体"/>
                <w:color w:val="000000"/>
                <w:sz w:val="18"/>
                <w:szCs w:val="18"/>
                <w:highlight w:val="none"/>
              </w:rPr>
            </w:pPr>
            <w:r>
              <w:rPr>
                <w:rFonts w:hint="eastAsia" w:ascii="宋体" w:hAnsi="宋体" w:eastAsia="宋体" w:cs="宋体"/>
                <w:color w:val="000000"/>
                <w:sz w:val="18"/>
                <w:szCs w:val="18"/>
                <w:highlight w:val="none"/>
              </w:rPr>
              <w:t>项目名称：</w:t>
            </w:r>
          </w:p>
          <w:p>
            <w:pPr>
              <w:spacing w:line="360" w:lineRule="auto"/>
              <w:rPr>
                <w:rFonts w:hint="eastAsia" w:ascii="宋体" w:hAnsi="宋体" w:eastAsia="宋体" w:cs="宋体"/>
                <w:color w:val="000000"/>
                <w:sz w:val="18"/>
                <w:szCs w:val="18"/>
                <w:highlight w:val="none"/>
              </w:rPr>
            </w:pPr>
          </w:p>
          <w:p>
            <w:pPr>
              <w:spacing w:line="360" w:lineRule="auto"/>
              <w:rPr>
                <w:rFonts w:hint="eastAsia" w:ascii="宋体" w:hAnsi="宋体" w:eastAsia="宋体" w:cs="宋体"/>
                <w:color w:val="000000"/>
                <w:sz w:val="18"/>
                <w:szCs w:val="18"/>
                <w:highlight w:val="none"/>
                <w:u w:val="none"/>
                <w:lang w:val="en-US" w:eastAsia="zh-CN"/>
              </w:rPr>
            </w:pPr>
            <w:r>
              <w:rPr>
                <w:rFonts w:hint="eastAsia" w:ascii="宋体" w:hAnsi="宋体" w:eastAsia="宋体" w:cs="宋体"/>
                <w:color w:val="000000"/>
                <w:sz w:val="18"/>
                <w:szCs w:val="18"/>
                <w:highlight w:val="none"/>
              </w:rPr>
              <w:t>支付说明：</w:t>
            </w:r>
          </w:p>
          <w:p>
            <w:pPr>
              <w:spacing w:line="360" w:lineRule="auto"/>
              <w:rPr>
                <w:rFonts w:hint="eastAsia" w:ascii="宋体" w:hAnsi="宋体" w:eastAsia="宋体" w:cs="宋体"/>
                <w:color w:val="000000"/>
                <w:sz w:val="18"/>
                <w:szCs w:val="18"/>
                <w:highlight w:val="none"/>
                <w:u w:val="none"/>
                <w:lang w:val="en-US" w:eastAsia="zh-CN"/>
              </w:rPr>
            </w:pPr>
          </w:p>
          <w:p>
            <w:pPr>
              <w:spacing w:line="360" w:lineRule="auto"/>
              <w:rPr>
                <w:rFonts w:hint="eastAsia" w:ascii="宋体" w:hAnsi="宋体" w:eastAsia="宋体" w:cs="宋体"/>
                <w:color w:val="000000"/>
                <w:sz w:val="18"/>
                <w:szCs w:val="18"/>
                <w:highlight w:val="none"/>
                <w:lang w:val="en-US" w:eastAsia="zh-CN"/>
              </w:rPr>
            </w:pPr>
            <w:r>
              <w:rPr>
                <w:rFonts w:hint="eastAsia" w:ascii="宋体" w:hAnsi="宋体" w:eastAsia="宋体" w:cs="宋体"/>
                <w:color w:val="000000"/>
                <w:sz w:val="18"/>
                <w:szCs w:val="18"/>
                <w:highlight w:val="none"/>
              </w:rPr>
              <w:t>开户行及账号：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195" w:type="dxa"/>
            <w:vMerge w:val="continue"/>
            <w:noWrap w:val="0"/>
            <w:vAlign w:val="center"/>
          </w:tcPr>
          <w:p>
            <w:pPr>
              <w:spacing w:line="360" w:lineRule="auto"/>
              <w:jc w:val="center"/>
              <w:rPr>
                <w:rFonts w:hint="eastAsia" w:ascii="宋体" w:hAnsi="宋体" w:eastAsia="宋体" w:cs="宋体"/>
                <w:color w:val="000000"/>
                <w:sz w:val="18"/>
                <w:szCs w:val="18"/>
                <w:highlight w:val="none"/>
              </w:rPr>
            </w:pPr>
          </w:p>
        </w:tc>
        <w:tc>
          <w:tcPr>
            <w:tcW w:w="1613" w:type="dxa"/>
            <w:noWrap w:val="0"/>
            <w:vAlign w:val="top"/>
          </w:tcPr>
          <w:p>
            <w:pPr>
              <w:spacing w:line="360" w:lineRule="auto"/>
              <w:jc w:val="center"/>
              <w:rPr>
                <w:rFonts w:hint="eastAsia" w:ascii="宋体" w:hAnsi="宋体" w:eastAsia="宋体" w:cs="宋体"/>
                <w:color w:val="000000"/>
                <w:sz w:val="18"/>
                <w:szCs w:val="18"/>
                <w:highlight w:val="none"/>
              </w:rPr>
            </w:pPr>
            <w:r>
              <w:rPr>
                <w:rFonts w:hint="eastAsia" w:ascii="宋体" w:hAnsi="宋体" w:eastAsia="宋体" w:cs="宋体"/>
                <w:color w:val="000000"/>
                <w:sz w:val="18"/>
                <w:szCs w:val="18"/>
                <w:highlight w:val="none"/>
              </w:rPr>
              <w:t>合同金额</w:t>
            </w:r>
          </w:p>
          <w:p>
            <w:pPr>
              <w:spacing w:line="360" w:lineRule="auto"/>
              <w:jc w:val="center"/>
              <w:rPr>
                <w:rFonts w:hint="eastAsia" w:ascii="宋体" w:hAnsi="宋体" w:eastAsia="宋体" w:cs="宋体"/>
                <w:color w:val="000000"/>
                <w:sz w:val="18"/>
                <w:szCs w:val="18"/>
                <w:highlight w:val="none"/>
              </w:rPr>
            </w:pPr>
            <w:r>
              <w:rPr>
                <w:rFonts w:hint="eastAsia" w:ascii="宋体" w:hAnsi="宋体" w:eastAsia="宋体" w:cs="宋体"/>
                <w:color w:val="000000"/>
                <w:sz w:val="18"/>
                <w:szCs w:val="18"/>
                <w:highlight w:val="none"/>
              </w:rPr>
              <w:t>（元）</w:t>
            </w:r>
          </w:p>
        </w:tc>
        <w:tc>
          <w:tcPr>
            <w:tcW w:w="1440" w:type="dxa"/>
            <w:noWrap w:val="0"/>
            <w:vAlign w:val="top"/>
          </w:tcPr>
          <w:p>
            <w:pPr>
              <w:spacing w:line="360" w:lineRule="auto"/>
              <w:jc w:val="center"/>
              <w:rPr>
                <w:rFonts w:hint="eastAsia" w:ascii="宋体" w:hAnsi="宋体" w:eastAsia="宋体" w:cs="宋体"/>
                <w:color w:val="000000"/>
                <w:sz w:val="18"/>
                <w:szCs w:val="18"/>
                <w:highlight w:val="none"/>
              </w:rPr>
            </w:pPr>
            <w:r>
              <w:rPr>
                <w:rFonts w:hint="eastAsia" w:ascii="宋体" w:hAnsi="宋体" w:eastAsia="宋体" w:cs="宋体"/>
                <w:color w:val="000000"/>
                <w:sz w:val="18"/>
                <w:szCs w:val="18"/>
                <w:highlight w:val="none"/>
              </w:rPr>
              <w:t>累计支付额</w:t>
            </w:r>
          </w:p>
          <w:p>
            <w:pPr>
              <w:spacing w:line="360" w:lineRule="auto"/>
              <w:jc w:val="center"/>
              <w:rPr>
                <w:rFonts w:hint="eastAsia" w:ascii="宋体" w:hAnsi="宋体" w:eastAsia="宋体" w:cs="宋体"/>
                <w:color w:val="000000"/>
                <w:sz w:val="18"/>
                <w:szCs w:val="18"/>
                <w:highlight w:val="none"/>
              </w:rPr>
            </w:pPr>
            <w:r>
              <w:rPr>
                <w:rFonts w:hint="eastAsia" w:ascii="宋体" w:hAnsi="宋体" w:eastAsia="宋体" w:cs="宋体"/>
                <w:color w:val="000000"/>
                <w:sz w:val="18"/>
                <w:szCs w:val="18"/>
                <w:highlight w:val="none"/>
              </w:rPr>
              <w:t>（元）</w:t>
            </w:r>
          </w:p>
        </w:tc>
        <w:tc>
          <w:tcPr>
            <w:tcW w:w="1440" w:type="dxa"/>
            <w:noWrap w:val="0"/>
            <w:vAlign w:val="top"/>
          </w:tcPr>
          <w:p>
            <w:pPr>
              <w:spacing w:line="360" w:lineRule="auto"/>
              <w:jc w:val="center"/>
              <w:rPr>
                <w:rFonts w:hint="eastAsia" w:ascii="宋体" w:hAnsi="宋体" w:eastAsia="宋体" w:cs="宋体"/>
                <w:color w:val="000000"/>
                <w:sz w:val="18"/>
                <w:szCs w:val="18"/>
                <w:highlight w:val="none"/>
              </w:rPr>
            </w:pPr>
            <w:r>
              <w:rPr>
                <w:rFonts w:hint="eastAsia" w:ascii="宋体" w:hAnsi="宋体" w:eastAsia="宋体" w:cs="宋体"/>
                <w:color w:val="000000"/>
                <w:sz w:val="18"/>
                <w:szCs w:val="18"/>
                <w:highlight w:val="none"/>
              </w:rPr>
              <w:t>本次支付额</w:t>
            </w:r>
          </w:p>
          <w:p>
            <w:pPr>
              <w:spacing w:line="360" w:lineRule="auto"/>
              <w:jc w:val="center"/>
              <w:rPr>
                <w:rFonts w:hint="eastAsia" w:ascii="宋体" w:hAnsi="宋体" w:eastAsia="宋体" w:cs="宋体"/>
                <w:color w:val="000000"/>
                <w:sz w:val="18"/>
                <w:szCs w:val="18"/>
                <w:highlight w:val="none"/>
              </w:rPr>
            </w:pPr>
            <w:r>
              <w:rPr>
                <w:rFonts w:hint="eastAsia" w:ascii="宋体" w:hAnsi="宋体" w:eastAsia="宋体" w:cs="宋体"/>
                <w:color w:val="000000"/>
                <w:sz w:val="18"/>
                <w:szCs w:val="18"/>
                <w:highlight w:val="none"/>
              </w:rPr>
              <w:t>（元）</w:t>
            </w:r>
          </w:p>
        </w:tc>
        <w:tc>
          <w:tcPr>
            <w:tcW w:w="1440" w:type="dxa"/>
            <w:noWrap w:val="0"/>
            <w:vAlign w:val="top"/>
          </w:tcPr>
          <w:p>
            <w:pPr>
              <w:spacing w:line="360" w:lineRule="auto"/>
              <w:jc w:val="center"/>
              <w:rPr>
                <w:rFonts w:hint="eastAsia" w:ascii="宋体" w:hAnsi="宋体" w:eastAsia="宋体" w:cs="宋体"/>
                <w:color w:val="000000"/>
                <w:sz w:val="18"/>
                <w:szCs w:val="18"/>
                <w:highlight w:val="none"/>
              </w:rPr>
            </w:pPr>
            <w:r>
              <w:rPr>
                <w:rFonts w:hint="eastAsia" w:ascii="宋体" w:hAnsi="宋体" w:eastAsia="宋体" w:cs="宋体"/>
                <w:color w:val="000000"/>
                <w:sz w:val="18"/>
                <w:szCs w:val="18"/>
                <w:highlight w:val="none"/>
              </w:rPr>
              <w:t>至本期累计支付额（元）</w:t>
            </w:r>
          </w:p>
        </w:tc>
        <w:tc>
          <w:tcPr>
            <w:tcW w:w="1640" w:type="dxa"/>
            <w:noWrap w:val="0"/>
            <w:vAlign w:val="top"/>
          </w:tcPr>
          <w:p>
            <w:pPr>
              <w:spacing w:line="360" w:lineRule="auto"/>
              <w:jc w:val="center"/>
              <w:rPr>
                <w:rFonts w:hint="eastAsia" w:ascii="宋体" w:hAnsi="宋体" w:eastAsia="宋体" w:cs="宋体"/>
                <w:color w:val="000000"/>
                <w:sz w:val="18"/>
                <w:szCs w:val="18"/>
                <w:highlight w:val="none"/>
              </w:rPr>
            </w:pPr>
            <w:r>
              <w:rPr>
                <w:rFonts w:hint="eastAsia" w:ascii="宋体" w:hAnsi="宋体" w:eastAsia="宋体" w:cs="宋体"/>
                <w:color w:val="000000"/>
                <w:sz w:val="18"/>
                <w:szCs w:val="18"/>
                <w:highlight w:val="none"/>
              </w:rPr>
              <w:t>剩余支付额</w:t>
            </w:r>
          </w:p>
          <w:p>
            <w:pPr>
              <w:spacing w:line="360" w:lineRule="auto"/>
              <w:jc w:val="center"/>
              <w:rPr>
                <w:rFonts w:hint="eastAsia" w:ascii="宋体" w:hAnsi="宋体" w:eastAsia="宋体" w:cs="宋体"/>
                <w:color w:val="000000"/>
                <w:sz w:val="18"/>
                <w:szCs w:val="18"/>
                <w:highlight w:val="none"/>
              </w:rPr>
            </w:pPr>
            <w:r>
              <w:rPr>
                <w:rFonts w:hint="eastAsia" w:ascii="宋体" w:hAnsi="宋体" w:eastAsia="宋体" w:cs="宋体"/>
                <w:color w:val="000000"/>
                <w:sz w:val="18"/>
                <w:szCs w:val="18"/>
                <w:highlight w:val="none"/>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1195" w:type="dxa"/>
            <w:vMerge w:val="continue"/>
            <w:noWrap w:val="0"/>
            <w:vAlign w:val="center"/>
          </w:tcPr>
          <w:p>
            <w:pPr>
              <w:spacing w:line="360" w:lineRule="auto"/>
              <w:jc w:val="center"/>
              <w:rPr>
                <w:rFonts w:hint="eastAsia" w:ascii="宋体" w:hAnsi="宋体" w:eastAsia="宋体" w:cs="宋体"/>
                <w:color w:val="000000"/>
                <w:sz w:val="18"/>
                <w:szCs w:val="18"/>
                <w:highlight w:val="none"/>
              </w:rPr>
            </w:pPr>
          </w:p>
        </w:tc>
        <w:tc>
          <w:tcPr>
            <w:tcW w:w="1613" w:type="dxa"/>
            <w:noWrap w:val="0"/>
            <w:vAlign w:val="top"/>
          </w:tcPr>
          <w:p>
            <w:pPr>
              <w:spacing w:line="360" w:lineRule="auto"/>
              <w:jc w:val="center"/>
              <w:rPr>
                <w:rFonts w:hint="eastAsia" w:ascii="宋体" w:hAnsi="宋体" w:eastAsia="宋体" w:cs="宋体"/>
                <w:color w:val="000000"/>
                <w:sz w:val="18"/>
                <w:szCs w:val="18"/>
                <w:highlight w:val="none"/>
                <w:lang w:val="en-US" w:eastAsia="zh-CN"/>
              </w:rPr>
            </w:pPr>
          </w:p>
        </w:tc>
        <w:tc>
          <w:tcPr>
            <w:tcW w:w="1440" w:type="dxa"/>
            <w:noWrap w:val="0"/>
            <w:vAlign w:val="top"/>
          </w:tcPr>
          <w:p>
            <w:pPr>
              <w:spacing w:line="360" w:lineRule="auto"/>
              <w:jc w:val="center"/>
              <w:rPr>
                <w:rFonts w:hint="eastAsia" w:ascii="宋体" w:hAnsi="宋体" w:eastAsia="宋体" w:cs="宋体"/>
                <w:color w:val="000000"/>
                <w:sz w:val="18"/>
                <w:szCs w:val="18"/>
                <w:highlight w:val="none"/>
                <w:lang w:val="en-US" w:eastAsia="zh-CN"/>
              </w:rPr>
            </w:pPr>
          </w:p>
        </w:tc>
        <w:tc>
          <w:tcPr>
            <w:tcW w:w="1440" w:type="dxa"/>
            <w:noWrap w:val="0"/>
            <w:vAlign w:val="top"/>
          </w:tcPr>
          <w:p>
            <w:pPr>
              <w:spacing w:line="360" w:lineRule="auto"/>
              <w:jc w:val="center"/>
              <w:rPr>
                <w:rFonts w:hint="eastAsia" w:ascii="宋体" w:hAnsi="宋体" w:eastAsia="宋体" w:cs="宋体"/>
                <w:color w:val="000000"/>
                <w:sz w:val="18"/>
                <w:szCs w:val="18"/>
                <w:highlight w:val="none"/>
                <w:lang w:val="en-US" w:eastAsia="zh-CN"/>
              </w:rPr>
            </w:pPr>
          </w:p>
        </w:tc>
        <w:tc>
          <w:tcPr>
            <w:tcW w:w="1440" w:type="dxa"/>
            <w:noWrap w:val="0"/>
            <w:vAlign w:val="top"/>
          </w:tcPr>
          <w:p>
            <w:pPr>
              <w:spacing w:line="360" w:lineRule="auto"/>
              <w:jc w:val="center"/>
              <w:rPr>
                <w:rFonts w:hint="eastAsia" w:ascii="宋体" w:hAnsi="宋体" w:eastAsia="宋体" w:cs="宋体"/>
                <w:color w:val="000000"/>
                <w:sz w:val="18"/>
                <w:szCs w:val="18"/>
                <w:highlight w:val="none"/>
                <w:lang w:val="en-US" w:eastAsia="zh-CN"/>
              </w:rPr>
            </w:pPr>
          </w:p>
        </w:tc>
        <w:tc>
          <w:tcPr>
            <w:tcW w:w="1640" w:type="dxa"/>
            <w:noWrap w:val="0"/>
            <w:vAlign w:val="top"/>
          </w:tcPr>
          <w:p>
            <w:pPr>
              <w:spacing w:line="360" w:lineRule="auto"/>
              <w:jc w:val="center"/>
              <w:rPr>
                <w:rFonts w:hint="eastAsia" w:ascii="宋体" w:hAnsi="宋体" w:eastAsia="宋体" w:cs="宋体"/>
                <w:color w:val="000000"/>
                <w:sz w:val="18"/>
                <w:szCs w:val="18"/>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8" w:hRule="atLeast"/>
        </w:trPr>
        <w:tc>
          <w:tcPr>
            <w:tcW w:w="1195" w:type="dxa"/>
            <w:noWrap w:val="0"/>
            <w:vAlign w:val="center"/>
          </w:tcPr>
          <w:p>
            <w:pPr>
              <w:spacing w:line="360" w:lineRule="auto"/>
              <w:jc w:val="center"/>
              <w:rPr>
                <w:rFonts w:hint="eastAsia" w:ascii="宋体" w:hAnsi="宋体" w:eastAsia="宋体" w:cs="宋体"/>
                <w:color w:val="000000"/>
                <w:sz w:val="18"/>
                <w:szCs w:val="18"/>
                <w:highlight w:val="none"/>
              </w:rPr>
            </w:pPr>
            <w:r>
              <w:rPr>
                <w:rFonts w:hint="eastAsia" w:ascii="宋体" w:hAnsi="宋体" w:eastAsia="宋体" w:cs="宋体"/>
                <w:color w:val="000000"/>
                <w:sz w:val="18"/>
                <w:szCs w:val="18"/>
                <w:highlight w:val="none"/>
              </w:rPr>
              <w:t>项目管理部门意见</w:t>
            </w:r>
          </w:p>
        </w:tc>
        <w:tc>
          <w:tcPr>
            <w:tcW w:w="7573" w:type="dxa"/>
            <w:gridSpan w:val="5"/>
            <w:noWrap w:val="0"/>
            <w:vAlign w:val="top"/>
          </w:tcPr>
          <w:p>
            <w:pPr>
              <w:spacing w:line="360" w:lineRule="auto"/>
              <w:jc w:val="center"/>
              <w:rPr>
                <w:rFonts w:hint="eastAsia" w:ascii="宋体" w:hAnsi="宋体" w:eastAsia="宋体" w:cs="宋体"/>
                <w:color w:val="000000"/>
                <w:sz w:val="18"/>
                <w:szCs w:val="18"/>
                <w:highlight w:val="none"/>
              </w:rPr>
            </w:pPr>
          </w:p>
          <w:p>
            <w:pPr>
              <w:spacing w:line="360" w:lineRule="auto"/>
              <w:jc w:val="center"/>
              <w:rPr>
                <w:rFonts w:hint="eastAsia" w:ascii="宋体" w:hAnsi="宋体" w:eastAsia="宋体" w:cs="宋体"/>
                <w:color w:val="000000"/>
                <w:sz w:val="18"/>
                <w:szCs w:val="18"/>
                <w:highlight w:val="none"/>
              </w:rPr>
            </w:pPr>
          </w:p>
          <w:p>
            <w:pPr>
              <w:spacing w:line="360" w:lineRule="auto"/>
              <w:ind w:firstLine="900" w:firstLineChars="500"/>
              <w:rPr>
                <w:rFonts w:hint="eastAsia" w:ascii="宋体" w:hAnsi="宋体" w:eastAsia="宋体" w:cs="宋体"/>
                <w:color w:val="000000"/>
                <w:sz w:val="18"/>
                <w:szCs w:val="18"/>
                <w:highlight w:val="none"/>
              </w:rPr>
            </w:pPr>
            <w:r>
              <w:rPr>
                <w:rFonts w:hint="eastAsia" w:ascii="宋体" w:hAnsi="宋体" w:eastAsia="宋体" w:cs="宋体"/>
                <w:color w:val="000000"/>
                <w:sz w:val="18"/>
                <w:szCs w:val="18"/>
                <w:highlight w:val="none"/>
              </w:rPr>
              <w:t xml:space="preserve">经办人：             负责人：               </w:t>
            </w:r>
            <w:r>
              <w:rPr>
                <w:rFonts w:hint="eastAsia" w:ascii="宋体" w:hAnsi="宋体" w:eastAsia="宋体" w:cs="宋体"/>
                <w:color w:val="000000"/>
                <w:sz w:val="18"/>
                <w:szCs w:val="18"/>
                <w:highlight w:val="none"/>
                <w:lang w:val="en-US" w:eastAsia="zh-CN"/>
              </w:rPr>
              <w:t xml:space="preserve"> </w:t>
            </w:r>
            <w:r>
              <w:rPr>
                <w:rFonts w:hint="eastAsia" w:ascii="宋体" w:hAnsi="宋体" w:eastAsia="宋体" w:cs="宋体"/>
                <w:color w:val="000000"/>
                <w:sz w:val="18"/>
                <w:szCs w:val="18"/>
                <w:highlight w:val="none"/>
              </w:rPr>
              <w:t xml:space="preserve"> 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8" w:hRule="atLeast"/>
        </w:trPr>
        <w:tc>
          <w:tcPr>
            <w:tcW w:w="1195" w:type="dxa"/>
            <w:noWrap w:val="0"/>
            <w:vAlign w:val="center"/>
          </w:tcPr>
          <w:p>
            <w:pPr>
              <w:spacing w:line="360" w:lineRule="auto"/>
              <w:jc w:val="center"/>
              <w:rPr>
                <w:rFonts w:hint="eastAsia" w:ascii="宋体" w:hAnsi="宋体" w:eastAsia="宋体" w:cs="宋体"/>
                <w:color w:val="000000"/>
                <w:sz w:val="18"/>
                <w:szCs w:val="18"/>
                <w:highlight w:val="none"/>
              </w:rPr>
            </w:pPr>
            <w:r>
              <w:rPr>
                <w:rFonts w:hint="eastAsia" w:ascii="宋体" w:hAnsi="宋体" w:eastAsia="宋体" w:cs="宋体"/>
                <w:color w:val="000000"/>
                <w:sz w:val="18"/>
                <w:szCs w:val="18"/>
                <w:highlight w:val="none"/>
              </w:rPr>
              <w:t>业务分管领导审批意见</w:t>
            </w:r>
          </w:p>
        </w:tc>
        <w:tc>
          <w:tcPr>
            <w:tcW w:w="7573" w:type="dxa"/>
            <w:gridSpan w:val="5"/>
            <w:noWrap w:val="0"/>
            <w:vAlign w:val="top"/>
          </w:tcPr>
          <w:p>
            <w:pPr>
              <w:spacing w:line="360" w:lineRule="auto"/>
              <w:jc w:val="center"/>
              <w:rPr>
                <w:rFonts w:hint="eastAsia" w:ascii="宋体" w:hAnsi="宋体" w:eastAsia="宋体" w:cs="宋体"/>
                <w:color w:val="000000"/>
                <w:sz w:val="18"/>
                <w:szCs w:val="18"/>
                <w:highlight w:val="none"/>
              </w:rPr>
            </w:pPr>
          </w:p>
          <w:p>
            <w:pPr>
              <w:spacing w:line="360" w:lineRule="auto"/>
              <w:jc w:val="center"/>
              <w:rPr>
                <w:rFonts w:hint="eastAsia" w:ascii="宋体" w:hAnsi="宋体" w:eastAsia="宋体" w:cs="宋体"/>
                <w:color w:val="000000"/>
                <w:sz w:val="18"/>
                <w:szCs w:val="18"/>
                <w:highlight w:val="none"/>
              </w:rPr>
            </w:pPr>
          </w:p>
          <w:p>
            <w:pPr>
              <w:spacing w:line="360" w:lineRule="auto"/>
              <w:rPr>
                <w:rFonts w:hint="eastAsia" w:ascii="宋体" w:hAnsi="宋体" w:eastAsia="宋体" w:cs="宋体"/>
                <w:color w:val="000000"/>
                <w:sz w:val="18"/>
                <w:szCs w:val="18"/>
                <w:highlight w:val="none"/>
              </w:rPr>
            </w:pPr>
            <w:r>
              <w:rPr>
                <w:rFonts w:hint="eastAsia" w:ascii="宋体" w:hAnsi="宋体" w:eastAsia="宋体" w:cs="宋体"/>
                <w:color w:val="000000"/>
                <w:sz w:val="18"/>
                <w:szCs w:val="18"/>
                <w:highlight w:val="none"/>
              </w:rPr>
              <w:t xml:space="preserve">                                签名：                </w:t>
            </w:r>
            <w:r>
              <w:rPr>
                <w:rFonts w:hint="eastAsia" w:ascii="宋体" w:hAnsi="宋体" w:eastAsia="宋体" w:cs="宋体"/>
                <w:color w:val="000000"/>
                <w:sz w:val="18"/>
                <w:szCs w:val="18"/>
                <w:highlight w:val="none"/>
                <w:lang w:val="en-US" w:eastAsia="zh-CN"/>
              </w:rPr>
              <w:t xml:space="preserve"> </w:t>
            </w:r>
            <w:r>
              <w:rPr>
                <w:rFonts w:hint="eastAsia" w:ascii="宋体" w:hAnsi="宋体" w:eastAsia="宋体" w:cs="宋体"/>
                <w:color w:val="000000"/>
                <w:sz w:val="18"/>
                <w:szCs w:val="18"/>
                <w:highlight w:val="none"/>
              </w:rPr>
              <w:t xml:space="preserve"> 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4" w:hRule="atLeast"/>
        </w:trPr>
        <w:tc>
          <w:tcPr>
            <w:tcW w:w="1195" w:type="dxa"/>
            <w:noWrap w:val="0"/>
            <w:vAlign w:val="center"/>
          </w:tcPr>
          <w:p>
            <w:pPr>
              <w:spacing w:line="360" w:lineRule="auto"/>
              <w:jc w:val="center"/>
              <w:rPr>
                <w:rFonts w:hint="eastAsia" w:ascii="宋体" w:hAnsi="宋体" w:eastAsia="宋体" w:cs="宋体"/>
                <w:color w:val="000000"/>
                <w:sz w:val="18"/>
                <w:szCs w:val="18"/>
                <w:highlight w:val="none"/>
              </w:rPr>
            </w:pPr>
            <w:r>
              <w:rPr>
                <w:rFonts w:hint="eastAsia" w:ascii="宋体" w:hAnsi="宋体" w:eastAsia="宋体" w:cs="宋体"/>
                <w:color w:val="000000"/>
                <w:sz w:val="18"/>
                <w:szCs w:val="18"/>
                <w:highlight w:val="none"/>
              </w:rPr>
              <w:t>集团公司总经理审核意见</w:t>
            </w:r>
          </w:p>
        </w:tc>
        <w:tc>
          <w:tcPr>
            <w:tcW w:w="7573" w:type="dxa"/>
            <w:gridSpan w:val="5"/>
            <w:noWrap w:val="0"/>
            <w:vAlign w:val="top"/>
          </w:tcPr>
          <w:p>
            <w:pPr>
              <w:spacing w:line="360" w:lineRule="auto"/>
              <w:jc w:val="center"/>
              <w:rPr>
                <w:rFonts w:hint="eastAsia" w:ascii="宋体" w:hAnsi="宋体" w:eastAsia="宋体" w:cs="宋体"/>
                <w:color w:val="000000"/>
                <w:sz w:val="18"/>
                <w:szCs w:val="18"/>
                <w:highlight w:val="none"/>
              </w:rPr>
            </w:pPr>
          </w:p>
          <w:p>
            <w:pPr>
              <w:spacing w:line="360" w:lineRule="auto"/>
              <w:jc w:val="center"/>
              <w:rPr>
                <w:rFonts w:hint="eastAsia" w:ascii="宋体" w:hAnsi="宋体" w:eastAsia="宋体" w:cs="宋体"/>
                <w:color w:val="000000"/>
                <w:sz w:val="18"/>
                <w:szCs w:val="18"/>
                <w:highlight w:val="none"/>
              </w:rPr>
            </w:pPr>
          </w:p>
          <w:p>
            <w:pPr>
              <w:spacing w:line="360" w:lineRule="auto"/>
              <w:jc w:val="center"/>
              <w:rPr>
                <w:rFonts w:hint="eastAsia" w:ascii="宋体" w:hAnsi="宋体" w:eastAsia="宋体" w:cs="宋体"/>
                <w:color w:val="000000"/>
                <w:sz w:val="18"/>
                <w:szCs w:val="18"/>
                <w:highlight w:val="none"/>
              </w:rPr>
            </w:pPr>
          </w:p>
          <w:p>
            <w:pPr>
              <w:spacing w:line="360" w:lineRule="auto"/>
              <w:rPr>
                <w:rFonts w:hint="eastAsia" w:ascii="宋体" w:hAnsi="宋体" w:eastAsia="宋体" w:cs="宋体"/>
                <w:color w:val="000000"/>
                <w:sz w:val="18"/>
                <w:szCs w:val="18"/>
                <w:highlight w:val="none"/>
              </w:rPr>
            </w:pPr>
            <w:r>
              <w:rPr>
                <w:rFonts w:hint="eastAsia" w:ascii="宋体" w:hAnsi="宋体" w:eastAsia="宋体" w:cs="宋体"/>
                <w:color w:val="000000"/>
                <w:sz w:val="18"/>
                <w:szCs w:val="18"/>
                <w:highlight w:val="none"/>
              </w:rPr>
              <w:t xml:space="preserve">                           </w:t>
            </w:r>
            <w:r>
              <w:rPr>
                <w:rFonts w:hint="eastAsia" w:ascii="宋体" w:hAnsi="宋体" w:eastAsia="宋体" w:cs="宋体"/>
                <w:color w:val="000000"/>
                <w:sz w:val="18"/>
                <w:szCs w:val="18"/>
                <w:highlight w:val="none"/>
                <w:lang w:val="en-US" w:eastAsia="zh-CN"/>
              </w:rPr>
              <w:t xml:space="preserve"> </w:t>
            </w:r>
            <w:r>
              <w:rPr>
                <w:rFonts w:hint="eastAsia" w:ascii="宋体" w:hAnsi="宋体" w:eastAsia="宋体" w:cs="宋体"/>
                <w:color w:val="000000"/>
                <w:sz w:val="18"/>
                <w:szCs w:val="18"/>
                <w:highlight w:val="none"/>
              </w:rPr>
              <w:t xml:space="preserve">    签名：    </w:t>
            </w:r>
            <w:r>
              <w:rPr>
                <w:rFonts w:hint="eastAsia" w:ascii="宋体" w:hAnsi="宋体" w:eastAsia="宋体" w:cs="宋体"/>
                <w:color w:val="000000"/>
                <w:sz w:val="18"/>
                <w:szCs w:val="18"/>
                <w:highlight w:val="none"/>
                <w:lang w:val="en-US" w:eastAsia="zh-CN"/>
              </w:rPr>
              <w:t xml:space="preserve">  </w:t>
            </w:r>
            <w:r>
              <w:rPr>
                <w:rFonts w:hint="eastAsia" w:ascii="宋体" w:hAnsi="宋体" w:eastAsia="宋体" w:cs="宋体"/>
                <w:color w:val="000000"/>
                <w:sz w:val="18"/>
                <w:szCs w:val="18"/>
                <w:highlight w:val="none"/>
              </w:rPr>
              <w:t xml:space="preserve">     </w:t>
            </w:r>
            <w:r>
              <w:rPr>
                <w:rFonts w:hint="eastAsia" w:ascii="宋体" w:hAnsi="宋体" w:eastAsia="宋体" w:cs="宋体"/>
                <w:color w:val="000000"/>
                <w:sz w:val="18"/>
                <w:szCs w:val="18"/>
                <w:highlight w:val="none"/>
                <w:lang w:val="en-US" w:eastAsia="zh-CN"/>
              </w:rPr>
              <w:t xml:space="preserve"> </w:t>
            </w:r>
            <w:r>
              <w:rPr>
                <w:rFonts w:hint="eastAsia" w:ascii="宋体" w:hAnsi="宋体" w:eastAsia="宋体" w:cs="宋体"/>
                <w:color w:val="000000"/>
                <w:sz w:val="18"/>
                <w:szCs w:val="18"/>
                <w:highlight w:val="none"/>
              </w:rPr>
              <w:t xml:space="preserve">      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9" w:hRule="atLeast"/>
        </w:trPr>
        <w:tc>
          <w:tcPr>
            <w:tcW w:w="1195" w:type="dxa"/>
            <w:noWrap w:val="0"/>
            <w:vAlign w:val="center"/>
          </w:tcPr>
          <w:p>
            <w:pPr>
              <w:spacing w:line="360" w:lineRule="auto"/>
              <w:jc w:val="center"/>
              <w:rPr>
                <w:rFonts w:hint="eastAsia" w:ascii="宋体" w:hAnsi="宋体" w:eastAsia="宋体" w:cs="宋体"/>
                <w:color w:val="000000"/>
                <w:sz w:val="18"/>
                <w:szCs w:val="18"/>
                <w:highlight w:val="none"/>
              </w:rPr>
            </w:pPr>
            <w:r>
              <w:rPr>
                <w:rFonts w:hint="eastAsia" w:ascii="宋体" w:hAnsi="宋体" w:eastAsia="宋体" w:cs="宋体"/>
                <w:color w:val="000000"/>
                <w:sz w:val="18"/>
                <w:szCs w:val="18"/>
                <w:highlight w:val="none"/>
              </w:rPr>
              <w:t>集团公司董事长审批意见</w:t>
            </w:r>
          </w:p>
        </w:tc>
        <w:tc>
          <w:tcPr>
            <w:tcW w:w="7573" w:type="dxa"/>
            <w:gridSpan w:val="5"/>
            <w:noWrap w:val="0"/>
            <w:vAlign w:val="top"/>
          </w:tcPr>
          <w:p>
            <w:pPr>
              <w:spacing w:line="360" w:lineRule="auto"/>
              <w:jc w:val="center"/>
              <w:rPr>
                <w:rFonts w:hint="eastAsia" w:ascii="宋体" w:hAnsi="宋体" w:eastAsia="宋体" w:cs="宋体"/>
                <w:color w:val="000000"/>
                <w:sz w:val="18"/>
                <w:szCs w:val="18"/>
                <w:highlight w:val="none"/>
              </w:rPr>
            </w:pPr>
          </w:p>
          <w:p>
            <w:pPr>
              <w:spacing w:line="360" w:lineRule="auto"/>
              <w:jc w:val="center"/>
              <w:rPr>
                <w:rFonts w:hint="eastAsia" w:ascii="宋体" w:hAnsi="宋体" w:eastAsia="宋体" w:cs="宋体"/>
                <w:color w:val="000000"/>
                <w:sz w:val="18"/>
                <w:szCs w:val="18"/>
                <w:highlight w:val="none"/>
              </w:rPr>
            </w:pPr>
            <w:r>
              <w:rPr>
                <w:rFonts w:hint="eastAsia" w:ascii="宋体" w:hAnsi="宋体" w:eastAsia="宋体" w:cs="宋体"/>
                <w:color w:val="000000"/>
                <w:sz w:val="18"/>
                <w:szCs w:val="18"/>
                <w:highlight w:val="none"/>
              </w:rPr>
              <w:t xml:space="preserve"> </w:t>
            </w:r>
          </w:p>
          <w:p>
            <w:pPr>
              <w:spacing w:line="360" w:lineRule="auto"/>
              <w:jc w:val="center"/>
              <w:rPr>
                <w:rFonts w:hint="eastAsia" w:ascii="宋体" w:hAnsi="宋体" w:eastAsia="宋体" w:cs="宋体"/>
                <w:color w:val="000000"/>
                <w:sz w:val="18"/>
                <w:szCs w:val="18"/>
                <w:highlight w:val="none"/>
              </w:rPr>
            </w:pPr>
            <w:r>
              <w:rPr>
                <w:rFonts w:hint="eastAsia" w:ascii="宋体" w:hAnsi="宋体" w:eastAsia="宋体" w:cs="宋体"/>
                <w:color w:val="000000"/>
                <w:sz w:val="18"/>
                <w:szCs w:val="18"/>
                <w:highlight w:val="none"/>
              </w:rPr>
              <w:t xml:space="preserve">       </w:t>
            </w:r>
            <w:r>
              <w:rPr>
                <w:rFonts w:hint="eastAsia" w:ascii="宋体" w:hAnsi="宋体" w:eastAsia="宋体" w:cs="宋体"/>
                <w:color w:val="000000"/>
                <w:sz w:val="18"/>
                <w:szCs w:val="18"/>
                <w:highlight w:val="none"/>
                <w:lang w:val="en-US" w:eastAsia="zh-CN"/>
              </w:rPr>
              <w:t xml:space="preserve"> </w:t>
            </w:r>
            <w:r>
              <w:rPr>
                <w:rFonts w:hint="eastAsia" w:ascii="宋体" w:hAnsi="宋体" w:eastAsia="宋体" w:cs="宋体"/>
                <w:color w:val="000000"/>
                <w:sz w:val="18"/>
                <w:szCs w:val="18"/>
                <w:highlight w:val="none"/>
              </w:rPr>
              <w:t xml:space="preserve">  </w:t>
            </w:r>
            <w:r>
              <w:rPr>
                <w:rFonts w:hint="eastAsia" w:ascii="宋体" w:hAnsi="宋体" w:eastAsia="宋体" w:cs="宋体"/>
                <w:color w:val="000000"/>
                <w:sz w:val="18"/>
                <w:szCs w:val="18"/>
                <w:highlight w:val="none"/>
                <w:lang w:val="en-US" w:eastAsia="zh-CN"/>
              </w:rPr>
              <w:t xml:space="preserve">   </w:t>
            </w:r>
            <w:r>
              <w:rPr>
                <w:rFonts w:hint="eastAsia" w:ascii="宋体" w:hAnsi="宋体" w:eastAsia="宋体" w:cs="宋体"/>
                <w:color w:val="000000"/>
                <w:sz w:val="18"/>
                <w:szCs w:val="18"/>
                <w:highlight w:val="none"/>
              </w:rPr>
              <w:t xml:space="preserve">签名：       </w:t>
            </w:r>
            <w:r>
              <w:rPr>
                <w:rFonts w:hint="eastAsia" w:ascii="宋体" w:hAnsi="宋体" w:eastAsia="宋体" w:cs="宋体"/>
                <w:color w:val="000000"/>
                <w:sz w:val="18"/>
                <w:szCs w:val="18"/>
                <w:highlight w:val="none"/>
                <w:lang w:val="en-US" w:eastAsia="zh-CN"/>
              </w:rPr>
              <w:t xml:space="preserve">  </w:t>
            </w:r>
            <w:r>
              <w:rPr>
                <w:rFonts w:hint="eastAsia" w:ascii="宋体" w:hAnsi="宋体" w:eastAsia="宋体" w:cs="宋体"/>
                <w:color w:val="000000"/>
                <w:sz w:val="18"/>
                <w:szCs w:val="18"/>
                <w:highlight w:val="none"/>
              </w:rPr>
              <w:t xml:space="preserve">       </w:t>
            </w:r>
            <w:r>
              <w:rPr>
                <w:rFonts w:hint="eastAsia" w:ascii="宋体" w:hAnsi="宋体" w:eastAsia="宋体" w:cs="宋体"/>
                <w:color w:val="000000"/>
                <w:sz w:val="18"/>
                <w:szCs w:val="18"/>
                <w:highlight w:val="none"/>
                <w:lang w:val="en-US" w:eastAsia="zh-CN"/>
              </w:rPr>
              <w:t xml:space="preserve">  </w:t>
            </w:r>
            <w:r>
              <w:rPr>
                <w:rFonts w:hint="eastAsia" w:ascii="宋体" w:hAnsi="宋体" w:eastAsia="宋体" w:cs="宋体"/>
                <w:color w:val="000000"/>
                <w:sz w:val="18"/>
                <w:szCs w:val="18"/>
                <w:highlight w:val="none"/>
              </w:rPr>
              <w:t xml:space="preserve"> 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0" w:hRule="atLeast"/>
        </w:trPr>
        <w:tc>
          <w:tcPr>
            <w:tcW w:w="1195" w:type="dxa"/>
            <w:noWrap w:val="0"/>
            <w:vAlign w:val="center"/>
          </w:tcPr>
          <w:p>
            <w:pPr>
              <w:spacing w:line="360" w:lineRule="auto"/>
              <w:jc w:val="center"/>
              <w:rPr>
                <w:rFonts w:hint="eastAsia" w:ascii="宋体" w:hAnsi="宋体" w:eastAsia="宋体" w:cs="宋体"/>
                <w:color w:val="000000"/>
                <w:sz w:val="18"/>
                <w:szCs w:val="18"/>
                <w:highlight w:val="none"/>
              </w:rPr>
            </w:pPr>
            <w:r>
              <w:rPr>
                <w:rFonts w:hint="eastAsia" w:ascii="宋体" w:hAnsi="宋体" w:eastAsia="宋体" w:cs="宋体"/>
                <w:color w:val="000000"/>
                <w:sz w:val="18"/>
                <w:szCs w:val="18"/>
                <w:highlight w:val="none"/>
              </w:rPr>
              <w:t>经控集团领导签字</w:t>
            </w:r>
          </w:p>
        </w:tc>
        <w:tc>
          <w:tcPr>
            <w:tcW w:w="7573" w:type="dxa"/>
            <w:gridSpan w:val="5"/>
            <w:noWrap w:val="0"/>
            <w:vAlign w:val="top"/>
          </w:tcPr>
          <w:p>
            <w:pPr>
              <w:spacing w:line="360" w:lineRule="auto"/>
              <w:jc w:val="center"/>
              <w:rPr>
                <w:rFonts w:hint="eastAsia" w:ascii="宋体" w:hAnsi="宋体" w:eastAsia="宋体" w:cs="宋体"/>
                <w:color w:val="000000"/>
                <w:sz w:val="18"/>
                <w:szCs w:val="18"/>
                <w:highlight w:val="none"/>
              </w:rPr>
            </w:pPr>
          </w:p>
          <w:p>
            <w:pPr>
              <w:spacing w:line="360" w:lineRule="auto"/>
              <w:jc w:val="center"/>
              <w:rPr>
                <w:rFonts w:hint="eastAsia" w:ascii="宋体" w:hAnsi="宋体" w:eastAsia="宋体" w:cs="宋体"/>
                <w:color w:val="000000"/>
                <w:sz w:val="18"/>
                <w:szCs w:val="18"/>
                <w:highlight w:val="none"/>
              </w:rPr>
            </w:pPr>
            <w:r>
              <w:rPr>
                <w:rFonts w:hint="eastAsia" w:ascii="宋体" w:hAnsi="宋体" w:eastAsia="宋体" w:cs="宋体"/>
                <w:color w:val="000000"/>
                <w:sz w:val="18"/>
                <w:szCs w:val="18"/>
                <w:highlight w:val="none"/>
              </w:rPr>
              <w:t xml:space="preserve">        </w:t>
            </w:r>
            <w:r>
              <w:rPr>
                <w:rFonts w:hint="eastAsia" w:ascii="宋体" w:hAnsi="宋体" w:eastAsia="宋体" w:cs="宋体"/>
                <w:color w:val="000000"/>
                <w:sz w:val="18"/>
                <w:szCs w:val="18"/>
                <w:highlight w:val="none"/>
                <w:lang w:val="en-US" w:eastAsia="zh-CN"/>
              </w:rPr>
              <w:t xml:space="preserve">   </w:t>
            </w:r>
            <w:r>
              <w:rPr>
                <w:rFonts w:hint="eastAsia" w:ascii="宋体" w:hAnsi="宋体" w:eastAsia="宋体" w:cs="宋体"/>
                <w:color w:val="000000"/>
                <w:sz w:val="18"/>
                <w:szCs w:val="18"/>
                <w:highlight w:val="none"/>
              </w:rPr>
              <w:t xml:space="preserve"> 签名：        </w:t>
            </w:r>
            <w:r>
              <w:rPr>
                <w:rFonts w:hint="eastAsia" w:ascii="宋体" w:hAnsi="宋体" w:eastAsia="宋体" w:cs="宋体"/>
                <w:color w:val="000000"/>
                <w:sz w:val="18"/>
                <w:szCs w:val="18"/>
                <w:highlight w:val="none"/>
                <w:lang w:val="en-US" w:eastAsia="zh-CN"/>
              </w:rPr>
              <w:t xml:space="preserve">  </w:t>
            </w:r>
            <w:r>
              <w:rPr>
                <w:rFonts w:hint="eastAsia" w:ascii="宋体" w:hAnsi="宋体" w:eastAsia="宋体" w:cs="宋体"/>
                <w:color w:val="000000"/>
                <w:sz w:val="18"/>
                <w:szCs w:val="18"/>
                <w:highlight w:val="none"/>
              </w:rPr>
              <w:t xml:space="preserve">    </w:t>
            </w:r>
            <w:r>
              <w:rPr>
                <w:rFonts w:hint="eastAsia" w:ascii="宋体" w:hAnsi="宋体" w:eastAsia="宋体" w:cs="宋体"/>
                <w:color w:val="000000"/>
                <w:sz w:val="18"/>
                <w:szCs w:val="18"/>
                <w:highlight w:val="none"/>
                <w:lang w:val="en-US" w:eastAsia="zh-CN"/>
              </w:rPr>
              <w:t xml:space="preserve"> </w:t>
            </w:r>
            <w:r>
              <w:rPr>
                <w:rFonts w:hint="eastAsia" w:ascii="宋体" w:hAnsi="宋体" w:eastAsia="宋体" w:cs="宋体"/>
                <w:color w:val="000000"/>
                <w:sz w:val="18"/>
                <w:szCs w:val="18"/>
                <w:highlight w:val="none"/>
              </w:rPr>
              <w:t xml:space="preserve">   日期：</w:t>
            </w:r>
          </w:p>
        </w:tc>
      </w:tr>
    </w:tbl>
    <w:p>
      <w:pPr>
        <w:bidi w:val="0"/>
        <w:spacing w:line="360" w:lineRule="auto"/>
        <w:jc w:val="center"/>
        <w:rPr>
          <w:rFonts w:hint="eastAsia" w:ascii="宋体" w:hAnsi="宋体" w:eastAsia="宋体" w:cs="宋体"/>
          <w:b/>
          <w:bCs/>
          <w:color w:val="000000"/>
          <w:sz w:val="30"/>
          <w:szCs w:val="30"/>
          <w:highlight w:val="none"/>
        </w:rPr>
      </w:pPr>
      <w:r>
        <w:rPr>
          <w:rFonts w:hint="eastAsia" w:ascii="宋体" w:hAnsi="宋体" w:eastAsia="宋体" w:cs="宋体"/>
          <w:b/>
          <w:bCs/>
          <w:color w:val="000000"/>
          <w:sz w:val="30"/>
          <w:szCs w:val="30"/>
          <w:highlight w:val="none"/>
          <w:lang w:val="en-US" w:eastAsia="zh-CN"/>
        </w:rPr>
        <w:t>项目资金支付审批表</w:t>
      </w:r>
    </w:p>
    <w:p>
      <w:pPr>
        <w:spacing w:line="360" w:lineRule="auto"/>
        <w:rPr>
          <w:rFonts w:hint="eastAsia" w:ascii="宋体" w:hAnsi="宋体" w:eastAsia="宋体" w:cs="宋体"/>
          <w:color w:val="000000"/>
          <w:highlight w:val="none"/>
        </w:rPr>
      </w:pPr>
    </w:p>
    <w:p>
      <w:pPr>
        <w:spacing w:line="360" w:lineRule="auto"/>
        <w:rPr>
          <w:rFonts w:hint="eastAsia" w:ascii="宋体" w:hAnsi="宋体" w:eastAsia="宋体" w:cs="宋体"/>
          <w:color w:val="000000"/>
          <w:highlight w:val="none"/>
        </w:rPr>
      </w:pPr>
    </w:p>
    <w:p>
      <w:pPr>
        <w:pStyle w:val="14"/>
        <w:adjustRightInd w:val="0"/>
        <w:snapToGrid w:val="0"/>
        <w:spacing w:line="360" w:lineRule="auto"/>
        <w:rPr>
          <w:rFonts w:hint="eastAsia" w:ascii="宋体" w:hAnsi="宋体" w:eastAsia="宋体" w:cs="宋体"/>
          <w:color w:val="000000"/>
          <w:highlight w:val="none"/>
        </w:rPr>
      </w:pPr>
    </w:p>
    <w:p>
      <w:pPr>
        <w:pStyle w:val="3"/>
        <w:bidi w:val="0"/>
        <w:rPr>
          <w:rFonts w:hint="eastAsia" w:ascii="宋体" w:hAnsi="宋体" w:eastAsia="宋体" w:cs="宋体"/>
          <w:color w:val="000000"/>
          <w:highlight w:val="none"/>
          <w:lang w:val="en-US" w:eastAsia="zh-CN"/>
        </w:rPr>
      </w:pPr>
      <w:bookmarkStart w:id="503" w:name="_Toc3973"/>
      <w:r>
        <w:rPr>
          <w:rFonts w:hint="eastAsia" w:ascii="宋体" w:hAnsi="宋体" w:eastAsia="宋体" w:cs="宋体"/>
          <w:color w:val="000000"/>
          <w:highlight w:val="none"/>
          <w:lang w:val="en-US" w:eastAsia="zh-CN"/>
        </w:rPr>
        <w:t>附件五：</w:t>
      </w:r>
      <w:bookmarkEnd w:id="503"/>
    </w:p>
    <w:p>
      <w:pPr>
        <w:pStyle w:val="29"/>
        <w:spacing w:line="360" w:lineRule="auto"/>
        <w:ind w:firstLine="321"/>
        <w:rPr>
          <w:rFonts w:hint="eastAsia" w:ascii="宋体" w:hAnsi="宋体" w:eastAsia="宋体" w:cs="宋体"/>
          <w:b/>
          <w:bCs/>
          <w:color w:val="000000"/>
          <w:kern w:val="2"/>
          <w:sz w:val="30"/>
          <w:szCs w:val="30"/>
          <w:highlight w:val="none"/>
          <w:lang w:val="en-US" w:eastAsia="zh-CN" w:bidi="ar-SA"/>
        </w:rPr>
      </w:pPr>
      <w:r>
        <w:rPr>
          <w:rFonts w:hint="eastAsia" w:ascii="宋体" w:hAnsi="宋体" w:eastAsia="宋体" w:cs="宋体"/>
          <w:b/>
          <w:bCs/>
          <w:color w:val="000000"/>
          <w:kern w:val="2"/>
          <w:sz w:val="30"/>
          <w:szCs w:val="30"/>
          <w:highlight w:val="none"/>
          <w:lang w:val="en-US" w:eastAsia="zh-CN" w:bidi="ar-SA"/>
        </w:rPr>
        <w:tab/>
      </w:r>
      <w:bookmarkStart w:id="504" w:name="_Toc30226"/>
      <w:r>
        <w:rPr>
          <w:rFonts w:hint="eastAsia" w:ascii="宋体" w:hAnsi="宋体" w:eastAsia="宋体" w:cs="宋体"/>
          <w:b/>
          <w:bCs/>
          <w:color w:val="000000"/>
          <w:kern w:val="2"/>
          <w:sz w:val="30"/>
          <w:szCs w:val="30"/>
          <w:highlight w:val="none"/>
          <w:lang w:val="en-US" w:eastAsia="zh-CN" w:bidi="ar-SA"/>
        </w:rPr>
        <w:t>质 量 保 修 书</w:t>
      </w:r>
      <w:bookmarkEnd w:id="504"/>
    </w:p>
    <w:p>
      <w:pPr>
        <w:spacing w:line="360" w:lineRule="auto"/>
        <w:rPr>
          <w:rFonts w:hint="eastAsia" w:ascii="宋体" w:hAnsi="宋体" w:eastAsia="宋体" w:cs="宋体"/>
          <w:color w:val="000000"/>
          <w:highlight w:val="none"/>
        </w:rPr>
      </w:pPr>
    </w:p>
    <w:p>
      <w:pPr>
        <w:keepNext w:val="0"/>
        <w:keepLines w:val="0"/>
        <w:pageBreakBefore w:val="0"/>
        <w:kinsoku/>
        <w:wordWrap/>
        <w:overflowPunct/>
        <w:topLinePunct w:val="0"/>
        <w:bidi w:val="0"/>
        <w:spacing w:line="360" w:lineRule="auto"/>
        <w:ind w:firstLine="482" w:firstLineChars="200"/>
        <w:textAlignment w:val="auto"/>
        <w:rPr>
          <w:rFonts w:hint="eastAsia" w:ascii="宋体" w:hAnsi="宋体" w:eastAsia="宋体" w:cs="宋体"/>
          <w:b w:val="0"/>
          <w:bCs w:val="0"/>
          <w:color w:val="000000"/>
          <w:spacing w:val="-4"/>
          <w:sz w:val="24"/>
          <w:szCs w:val="24"/>
          <w:highlight w:val="none"/>
          <w:u w:val="none"/>
        </w:rPr>
      </w:pPr>
      <w:r>
        <w:rPr>
          <w:rFonts w:hint="eastAsia" w:ascii="宋体" w:hAnsi="宋体" w:eastAsia="宋体" w:cs="宋体"/>
          <w:b/>
          <w:bCs/>
          <w:color w:val="000000"/>
          <w:kern w:val="0"/>
          <w:sz w:val="24"/>
          <w:szCs w:val="24"/>
          <w:highlight w:val="none"/>
          <w:u w:val="none"/>
          <w:lang w:val="en-US" w:eastAsia="zh-CN"/>
        </w:rPr>
        <w:t>采购人</w:t>
      </w:r>
      <w:r>
        <w:rPr>
          <w:rFonts w:hint="eastAsia" w:ascii="宋体" w:hAnsi="宋体" w:eastAsia="宋体" w:cs="宋体"/>
          <w:b/>
          <w:bCs/>
          <w:color w:val="000000"/>
          <w:spacing w:val="-4"/>
          <w:sz w:val="24"/>
          <w:szCs w:val="24"/>
          <w:highlight w:val="none"/>
        </w:rPr>
        <w:t>：</w:t>
      </w:r>
      <w:r>
        <w:rPr>
          <w:rFonts w:hint="eastAsia" w:ascii="宋体" w:hAnsi="宋体" w:eastAsia="宋体" w:cs="宋体"/>
          <w:b w:val="0"/>
          <w:bCs w:val="0"/>
          <w:color w:val="000000"/>
          <w:kern w:val="0"/>
          <w:sz w:val="24"/>
          <w:szCs w:val="24"/>
          <w:highlight w:val="none"/>
          <w:u w:val="single"/>
        </w:rPr>
        <w:t xml:space="preserve"> 绍兴市上虞杭州湾滨海新城投资开发建设有限公司</w:t>
      </w:r>
      <w:r>
        <w:rPr>
          <w:rFonts w:hint="eastAsia" w:ascii="宋体" w:hAnsi="宋体" w:eastAsia="宋体" w:cs="宋体"/>
          <w:b w:val="0"/>
          <w:bCs w:val="0"/>
          <w:color w:val="000000"/>
          <w:kern w:val="0"/>
          <w:sz w:val="24"/>
          <w:szCs w:val="24"/>
          <w:highlight w:val="none"/>
          <w:u w:val="single"/>
          <w:lang w:val="en-US" w:eastAsia="zh-CN"/>
        </w:rPr>
        <w:t xml:space="preserve"> </w:t>
      </w:r>
      <w:r>
        <w:rPr>
          <w:rFonts w:hint="eastAsia" w:ascii="宋体" w:hAnsi="宋体" w:eastAsia="宋体" w:cs="宋体"/>
          <w:b w:val="0"/>
          <w:bCs w:val="0"/>
          <w:color w:val="000000"/>
          <w:kern w:val="0"/>
          <w:sz w:val="24"/>
          <w:szCs w:val="24"/>
          <w:highlight w:val="none"/>
          <w:u w:val="none"/>
          <w:lang w:val="en-US" w:eastAsia="zh-CN"/>
        </w:rPr>
        <w:t>（甲方）</w:t>
      </w:r>
      <w:r>
        <w:rPr>
          <w:rFonts w:hint="eastAsia" w:ascii="宋体" w:hAnsi="宋体" w:eastAsia="宋体" w:cs="宋体"/>
          <w:b w:val="0"/>
          <w:bCs w:val="0"/>
          <w:color w:val="000000"/>
          <w:spacing w:val="-4"/>
          <w:sz w:val="24"/>
          <w:szCs w:val="24"/>
          <w:highlight w:val="none"/>
          <w:u w:val="none"/>
        </w:rPr>
        <w:t xml:space="preserve">  </w:t>
      </w:r>
    </w:p>
    <w:p>
      <w:pPr>
        <w:pStyle w:val="47"/>
        <w:keepNext w:val="0"/>
        <w:keepLines w:val="0"/>
        <w:pageBreakBefore w:val="0"/>
        <w:tabs>
          <w:tab w:val="left" w:pos="2230"/>
        </w:tabs>
        <w:kinsoku/>
        <w:wordWrap/>
        <w:overflowPunct/>
        <w:topLinePunct w:val="0"/>
        <w:bidi w:val="0"/>
        <w:spacing w:line="360" w:lineRule="auto"/>
        <w:ind w:firstLine="466" w:firstLineChars="200"/>
        <w:jc w:val="left"/>
        <w:textAlignment w:val="auto"/>
        <w:rPr>
          <w:rFonts w:hint="eastAsia" w:ascii="宋体" w:hAnsi="宋体" w:eastAsia="宋体" w:cs="宋体"/>
          <w:color w:val="000000"/>
          <w:sz w:val="24"/>
          <w:szCs w:val="24"/>
          <w:highlight w:val="none"/>
        </w:rPr>
      </w:pPr>
      <w:r>
        <w:rPr>
          <w:rFonts w:hint="eastAsia" w:ascii="宋体" w:hAnsi="宋体" w:eastAsia="宋体" w:cs="宋体"/>
          <w:b/>
          <w:bCs/>
          <w:color w:val="000000"/>
          <w:spacing w:val="-4"/>
          <w:sz w:val="24"/>
          <w:szCs w:val="24"/>
          <w:highlight w:val="none"/>
          <w:lang w:val="en-US" w:eastAsia="zh-CN"/>
        </w:rPr>
        <w:t>供货人</w:t>
      </w:r>
      <w:r>
        <w:rPr>
          <w:rFonts w:hint="eastAsia" w:ascii="宋体" w:hAnsi="宋体" w:eastAsia="宋体" w:cs="宋体"/>
          <w:b/>
          <w:bCs/>
          <w:color w:val="000000"/>
          <w:spacing w:val="-4"/>
          <w:sz w:val="24"/>
          <w:szCs w:val="24"/>
          <w:highlight w:val="none"/>
        </w:rPr>
        <w:t>：</w:t>
      </w:r>
      <w:r>
        <w:rPr>
          <w:rFonts w:hint="eastAsia" w:ascii="宋体" w:hAnsi="宋体" w:eastAsia="宋体" w:cs="宋体"/>
          <w:b w:val="0"/>
          <w:bCs w:val="0"/>
          <w:color w:val="000000"/>
          <w:spacing w:val="-4"/>
          <w:sz w:val="24"/>
          <w:szCs w:val="24"/>
          <w:highlight w:val="none"/>
          <w:u w:val="single"/>
        </w:rPr>
        <w:t xml:space="preserve">     </w:t>
      </w:r>
      <w:r>
        <w:rPr>
          <w:rFonts w:hint="eastAsia" w:ascii="宋体" w:hAnsi="宋体" w:eastAsia="宋体" w:cs="宋体"/>
          <w:b w:val="0"/>
          <w:bCs w:val="0"/>
          <w:color w:val="000000"/>
          <w:spacing w:val="-4"/>
          <w:sz w:val="24"/>
          <w:szCs w:val="24"/>
          <w:highlight w:val="none"/>
          <w:u w:val="single"/>
          <w:lang w:val="en-US" w:eastAsia="zh-CN"/>
        </w:rPr>
        <w:t xml:space="preserve">                         </w:t>
      </w:r>
      <w:r>
        <w:rPr>
          <w:rFonts w:hint="eastAsia" w:ascii="宋体" w:hAnsi="宋体" w:eastAsia="宋体" w:cs="宋体"/>
          <w:b w:val="0"/>
          <w:bCs w:val="0"/>
          <w:color w:val="000000"/>
          <w:spacing w:val="-4"/>
          <w:sz w:val="24"/>
          <w:szCs w:val="24"/>
          <w:highlight w:val="none"/>
          <w:u w:val="single"/>
        </w:rPr>
        <w:t xml:space="preserve">                    </w:t>
      </w:r>
      <w:r>
        <w:rPr>
          <w:rFonts w:hint="eastAsia" w:ascii="宋体" w:hAnsi="宋体" w:eastAsia="宋体" w:cs="宋体"/>
          <w:b w:val="0"/>
          <w:bCs w:val="0"/>
          <w:color w:val="000000"/>
          <w:kern w:val="0"/>
          <w:sz w:val="24"/>
          <w:szCs w:val="24"/>
          <w:highlight w:val="none"/>
          <w:u w:val="none"/>
          <w:lang w:val="en-US" w:eastAsia="zh-CN"/>
        </w:rPr>
        <w:t>（乙方）</w:t>
      </w:r>
    </w:p>
    <w:p>
      <w:pPr>
        <w:spacing w:line="360" w:lineRule="auto"/>
        <w:ind w:firstLine="480" w:firstLineChars="200"/>
        <w:rPr>
          <w:rFonts w:hint="eastAsia" w:ascii="宋体" w:hAnsi="宋体" w:eastAsia="宋体" w:cs="宋体"/>
          <w:b w:val="0"/>
          <w:bCs w:val="0"/>
          <w:color w:val="000000"/>
          <w:kern w:val="2"/>
          <w:sz w:val="24"/>
          <w:szCs w:val="24"/>
          <w:highlight w:val="none"/>
          <w:lang w:val="en-US" w:eastAsia="zh-CN" w:bidi="ar-SA"/>
        </w:rPr>
      </w:pPr>
      <w:r>
        <w:rPr>
          <w:rFonts w:hint="eastAsia" w:ascii="宋体" w:hAnsi="宋体" w:eastAsia="宋体" w:cs="宋体"/>
          <w:b w:val="0"/>
          <w:bCs w:val="0"/>
          <w:color w:val="000000"/>
          <w:kern w:val="2"/>
          <w:sz w:val="24"/>
          <w:szCs w:val="24"/>
          <w:highlight w:val="none"/>
          <w:lang w:val="en-US" w:eastAsia="zh-CN" w:bidi="ar-SA"/>
        </w:rPr>
        <w:t>为保证</w:t>
      </w:r>
      <w:r>
        <w:rPr>
          <w:rFonts w:hint="eastAsia" w:ascii="宋体" w:hAnsi="宋体" w:eastAsia="宋体" w:cs="宋体"/>
          <w:b w:val="0"/>
          <w:bCs w:val="0"/>
          <w:color w:val="000000"/>
          <w:kern w:val="2"/>
          <w:sz w:val="24"/>
          <w:szCs w:val="24"/>
          <w:highlight w:val="none"/>
          <w:u w:val="single"/>
          <w:lang w:val="en-US" w:eastAsia="zh-CN" w:bidi="ar-SA"/>
        </w:rPr>
        <w:t xml:space="preserve"> 浙大邵逸夫医院绍兴院区医用纯水系统采购及安装项目 </w:t>
      </w:r>
      <w:r>
        <w:rPr>
          <w:rFonts w:hint="eastAsia" w:ascii="宋体" w:hAnsi="宋体" w:eastAsia="宋体" w:cs="宋体"/>
          <w:b w:val="0"/>
          <w:bCs w:val="0"/>
          <w:color w:val="000000"/>
          <w:kern w:val="2"/>
          <w:sz w:val="24"/>
          <w:szCs w:val="24"/>
          <w:highlight w:val="none"/>
          <w:lang w:val="en-US" w:eastAsia="zh-CN" w:bidi="ar-SA"/>
        </w:rPr>
        <w:t>的设备在合理使用期限内正常使用，买卖双方经协商一致签订本质量保修书。乙方在质量保修期内按照有关管理规定及双方约定承担工程及设备质量保修责任。</w:t>
      </w:r>
    </w:p>
    <w:p>
      <w:pPr>
        <w:spacing w:line="360" w:lineRule="auto"/>
        <w:ind w:firstLine="211"/>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一、质量保修范围和内容</w:t>
      </w:r>
    </w:p>
    <w:p>
      <w:pPr>
        <w:spacing w:line="360" w:lineRule="auto"/>
        <w:ind w:firstLine="480" w:firstLineChars="200"/>
        <w:rPr>
          <w:rFonts w:hint="eastAsia" w:ascii="宋体" w:hAnsi="宋体" w:eastAsia="宋体" w:cs="宋体"/>
          <w:b w:val="0"/>
          <w:bCs w:val="0"/>
          <w:color w:val="000000"/>
          <w:kern w:val="2"/>
          <w:sz w:val="24"/>
          <w:szCs w:val="24"/>
          <w:highlight w:val="none"/>
          <w:lang w:val="en-US" w:eastAsia="zh-CN" w:bidi="ar-SA"/>
        </w:rPr>
      </w:pPr>
      <w:r>
        <w:rPr>
          <w:rFonts w:hint="eastAsia" w:ascii="宋体" w:hAnsi="宋体" w:eastAsia="宋体" w:cs="宋体"/>
          <w:b w:val="0"/>
          <w:bCs w:val="0"/>
          <w:color w:val="000000"/>
          <w:kern w:val="2"/>
          <w:sz w:val="24"/>
          <w:szCs w:val="24"/>
          <w:highlight w:val="none"/>
          <w:lang w:val="en-US" w:eastAsia="zh-CN" w:bidi="ar-SA"/>
        </w:rPr>
        <w:t xml:space="preserve">乙方在质量保修期内，按照有关法律、法规、规章的管理规定和双方约定，承担本工程及设备质量保修责任。具体质量保修范围双方约定如下：合同约定范围的所有项目及变更增加项目。   </w:t>
      </w:r>
    </w:p>
    <w:p>
      <w:pPr>
        <w:spacing w:line="360" w:lineRule="auto"/>
        <w:ind w:firstLine="480" w:firstLineChars="200"/>
        <w:rPr>
          <w:rFonts w:hint="eastAsia" w:ascii="宋体" w:hAnsi="宋体" w:eastAsia="宋体" w:cs="宋体"/>
          <w:color w:val="000000"/>
          <w:sz w:val="24"/>
          <w:szCs w:val="24"/>
          <w:highlight w:val="none"/>
          <w:u w:val="single"/>
        </w:rPr>
      </w:pPr>
    </w:p>
    <w:p>
      <w:pPr>
        <w:spacing w:line="360" w:lineRule="auto"/>
        <w:ind w:firstLine="211"/>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二、质量保修期</w:t>
      </w:r>
    </w:p>
    <w:p>
      <w:pPr>
        <w:spacing w:line="360" w:lineRule="auto"/>
        <w:ind w:firstLine="480" w:firstLineChars="200"/>
        <w:rPr>
          <w:rFonts w:hint="eastAsia" w:ascii="宋体" w:hAnsi="宋体" w:eastAsia="宋体" w:cs="宋体"/>
          <w:b w:val="0"/>
          <w:bCs w:val="0"/>
          <w:color w:val="000000"/>
          <w:kern w:val="2"/>
          <w:sz w:val="24"/>
          <w:szCs w:val="24"/>
          <w:highlight w:val="none"/>
          <w:lang w:val="en-US" w:eastAsia="zh-CN" w:bidi="ar-SA"/>
        </w:rPr>
      </w:pPr>
      <w:r>
        <w:rPr>
          <w:rFonts w:hint="eastAsia" w:ascii="宋体" w:hAnsi="宋体" w:eastAsia="宋体" w:cs="宋体"/>
          <w:b w:val="0"/>
          <w:bCs w:val="0"/>
          <w:color w:val="000000"/>
          <w:kern w:val="2"/>
          <w:sz w:val="24"/>
          <w:szCs w:val="24"/>
          <w:highlight w:val="none"/>
          <w:lang w:val="en-US" w:eastAsia="zh-CN" w:bidi="ar-SA"/>
        </w:rPr>
        <w:t>质量保修期为</w:t>
      </w:r>
      <w:r>
        <w:rPr>
          <w:rFonts w:hint="eastAsia" w:ascii="宋体" w:hAnsi="宋体" w:eastAsia="宋体" w:cs="宋体"/>
          <w:b w:val="0"/>
          <w:bCs w:val="0"/>
          <w:color w:val="000000"/>
          <w:kern w:val="2"/>
          <w:sz w:val="24"/>
          <w:szCs w:val="24"/>
          <w:highlight w:val="none"/>
          <w:u w:val="single"/>
          <w:lang w:val="en-US" w:eastAsia="zh-CN" w:bidi="ar-SA"/>
        </w:rPr>
        <w:t xml:space="preserve">       </w:t>
      </w:r>
      <w:r>
        <w:rPr>
          <w:rFonts w:hint="eastAsia" w:ascii="宋体" w:hAnsi="宋体" w:eastAsia="宋体" w:cs="宋体"/>
          <w:b w:val="0"/>
          <w:bCs w:val="0"/>
          <w:color w:val="000000"/>
          <w:kern w:val="2"/>
          <w:sz w:val="24"/>
          <w:szCs w:val="24"/>
          <w:highlight w:val="none"/>
          <w:lang w:val="en-US" w:eastAsia="zh-CN" w:bidi="ar-SA"/>
        </w:rPr>
        <w:t>个月，自工程通过最终验收并完成移交手续之日起算。</w:t>
      </w:r>
    </w:p>
    <w:p>
      <w:pPr>
        <w:spacing w:line="360" w:lineRule="auto"/>
        <w:ind w:firstLine="400" w:firstLineChars="200"/>
        <w:rPr>
          <w:rFonts w:hint="eastAsia" w:ascii="宋体" w:hAnsi="宋体" w:eastAsia="宋体" w:cs="宋体"/>
          <w:color w:val="000000"/>
          <w:highlight w:val="none"/>
        </w:rPr>
      </w:pPr>
    </w:p>
    <w:p>
      <w:pPr>
        <w:spacing w:line="360" w:lineRule="auto"/>
        <w:ind w:firstLine="210"/>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三、质量保修责任</w:t>
      </w:r>
    </w:p>
    <w:p>
      <w:pPr>
        <w:spacing w:line="360" w:lineRule="auto"/>
        <w:ind w:firstLine="480" w:firstLineChars="200"/>
        <w:rPr>
          <w:rFonts w:hint="eastAsia" w:ascii="宋体" w:hAnsi="宋体" w:eastAsia="宋体" w:cs="宋体"/>
          <w:b w:val="0"/>
          <w:bCs w:val="0"/>
          <w:color w:val="000000"/>
          <w:kern w:val="2"/>
          <w:sz w:val="24"/>
          <w:szCs w:val="24"/>
          <w:highlight w:val="none"/>
          <w:lang w:val="en-US" w:eastAsia="zh-CN" w:bidi="ar-SA"/>
        </w:rPr>
      </w:pPr>
      <w:r>
        <w:rPr>
          <w:rFonts w:hint="eastAsia" w:ascii="宋体" w:hAnsi="宋体" w:eastAsia="宋体" w:cs="宋体"/>
          <w:b w:val="0"/>
          <w:bCs w:val="0"/>
          <w:color w:val="000000"/>
          <w:kern w:val="2"/>
          <w:sz w:val="24"/>
          <w:szCs w:val="24"/>
          <w:highlight w:val="none"/>
          <w:lang w:val="en-US" w:eastAsia="zh-CN" w:bidi="ar-SA"/>
        </w:rPr>
        <w:t>1．在质量保证期之内，乙方对由于产品设计、工艺、材料、配套件的缺陷及其安装质量而造成的任何产品质量问题或故障负全部责任。</w:t>
      </w:r>
    </w:p>
    <w:p>
      <w:pPr>
        <w:spacing w:line="360" w:lineRule="auto"/>
        <w:ind w:firstLine="480" w:firstLineChars="200"/>
        <w:rPr>
          <w:rFonts w:hint="eastAsia" w:ascii="宋体" w:hAnsi="宋体" w:eastAsia="宋体" w:cs="宋体"/>
          <w:b w:val="0"/>
          <w:bCs w:val="0"/>
          <w:color w:val="000000"/>
          <w:kern w:val="2"/>
          <w:sz w:val="24"/>
          <w:szCs w:val="24"/>
          <w:highlight w:val="none"/>
          <w:lang w:val="en-US" w:eastAsia="zh-CN" w:bidi="ar-SA"/>
        </w:rPr>
      </w:pPr>
      <w:r>
        <w:rPr>
          <w:rFonts w:hint="eastAsia" w:ascii="宋体" w:hAnsi="宋体" w:eastAsia="宋体" w:cs="宋体"/>
          <w:b w:val="0"/>
          <w:bCs w:val="0"/>
          <w:color w:val="000000"/>
          <w:kern w:val="2"/>
          <w:sz w:val="24"/>
          <w:szCs w:val="24"/>
          <w:highlight w:val="none"/>
          <w:lang w:val="en-US" w:eastAsia="zh-CN" w:bidi="ar-SA"/>
        </w:rPr>
        <w:t>2．属于保修范围、内容的项目，乙方应当在接到保修通知起</w:t>
      </w:r>
      <w:r>
        <w:rPr>
          <w:rFonts w:hint="eastAsia" w:ascii="宋体" w:hAnsi="宋体" w:eastAsia="宋体" w:cs="宋体"/>
          <w:b w:val="0"/>
          <w:bCs w:val="0"/>
          <w:color w:val="000000"/>
          <w:kern w:val="2"/>
          <w:sz w:val="24"/>
          <w:szCs w:val="24"/>
          <w:highlight w:val="none"/>
          <w:u w:val="single"/>
          <w:lang w:val="en-US" w:eastAsia="zh-CN" w:bidi="ar-SA"/>
        </w:rPr>
        <w:t xml:space="preserve">    </w:t>
      </w:r>
      <w:r>
        <w:rPr>
          <w:rFonts w:hint="eastAsia" w:ascii="宋体" w:hAnsi="宋体" w:eastAsia="宋体" w:cs="宋体"/>
          <w:b w:val="0"/>
          <w:bCs w:val="0"/>
          <w:color w:val="000000"/>
          <w:kern w:val="2"/>
          <w:sz w:val="24"/>
          <w:szCs w:val="24"/>
          <w:highlight w:val="none"/>
          <w:lang w:val="en-US" w:eastAsia="zh-CN" w:bidi="ar-SA"/>
        </w:rPr>
        <w:t>小时内赶到现场进行维修，并提供不间断的服务直到结束。</w:t>
      </w:r>
    </w:p>
    <w:p>
      <w:pPr>
        <w:spacing w:line="360" w:lineRule="auto"/>
        <w:ind w:firstLine="480" w:firstLineChars="200"/>
        <w:rPr>
          <w:rFonts w:hint="eastAsia" w:ascii="宋体" w:hAnsi="宋体" w:eastAsia="宋体" w:cs="宋体"/>
          <w:b w:val="0"/>
          <w:bCs w:val="0"/>
          <w:color w:val="000000"/>
          <w:kern w:val="2"/>
          <w:sz w:val="24"/>
          <w:szCs w:val="24"/>
          <w:highlight w:val="none"/>
          <w:lang w:val="en-US" w:eastAsia="zh-CN" w:bidi="ar-SA"/>
        </w:rPr>
      </w:pPr>
      <w:r>
        <w:rPr>
          <w:rFonts w:hint="eastAsia" w:ascii="宋体" w:hAnsi="宋体" w:eastAsia="宋体" w:cs="宋体"/>
          <w:b w:val="0"/>
          <w:bCs w:val="0"/>
          <w:color w:val="000000"/>
          <w:kern w:val="2"/>
          <w:sz w:val="24"/>
          <w:szCs w:val="24"/>
          <w:highlight w:val="none"/>
          <w:lang w:val="en-US" w:eastAsia="zh-CN" w:bidi="ar-SA"/>
        </w:rPr>
        <w:t>3．如设备暂时不能修复，乙方应做好故障设备的相关的围挡保护及明显的故障告示通知，直至故障设备完全修复为止。</w:t>
      </w:r>
    </w:p>
    <w:p>
      <w:pPr>
        <w:spacing w:line="360" w:lineRule="auto"/>
        <w:ind w:firstLine="480" w:firstLineChars="200"/>
        <w:rPr>
          <w:rFonts w:hint="eastAsia" w:ascii="宋体" w:hAnsi="宋体" w:eastAsia="宋体" w:cs="宋体"/>
          <w:b w:val="0"/>
          <w:bCs w:val="0"/>
          <w:color w:val="000000"/>
          <w:kern w:val="2"/>
          <w:sz w:val="24"/>
          <w:szCs w:val="24"/>
          <w:highlight w:val="none"/>
          <w:lang w:val="en-US" w:eastAsia="zh-CN" w:bidi="ar-SA"/>
        </w:rPr>
      </w:pPr>
      <w:r>
        <w:rPr>
          <w:rFonts w:hint="eastAsia" w:ascii="宋体" w:hAnsi="宋体" w:eastAsia="宋体" w:cs="宋体"/>
          <w:b w:val="0"/>
          <w:bCs w:val="0"/>
          <w:color w:val="000000"/>
          <w:kern w:val="2"/>
          <w:sz w:val="24"/>
          <w:szCs w:val="24"/>
          <w:highlight w:val="none"/>
          <w:lang w:val="en-US" w:eastAsia="zh-CN" w:bidi="ar-SA"/>
        </w:rPr>
        <w:t xml:space="preserve">4. 乙方不在约定期限内派人保修的，甲方可以委托他人修理，由此产生的费用从质量保修金内扣除。 </w:t>
      </w:r>
    </w:p>
    <w:p>
      <w:pPr>
        <w:spacing w:line="360" w:lineRule="auto"/>
        <w:ind w:firstLine="480" w:firstLineChars="200"/>
        <w:rPr>
          <w:rFonts w:hint="eastAsia" w:ascii="宋体" w:hAnsi="宋体" w:eastAsia="宋体" w:cs="宋体"/>
          <w:b w:val="0"/>
          <w:bCs w:val="0"/>
          <w:color w:val="000000"/>
          <w:kern w:val="2"/>
          <w:sz w:val="24"/>
          <w:szCs w:val="24"/>
          <w:highlight w:val="none"/>
          <w:lang w:val="en-US" w:eastAsia="zh-CN" w:bidi="ar-SA"/>
        </w:rPr>
      </w:pPr>
      <w:r>
        <w:rPr>
          <w:rFonts w:hint="eastAsia" w:ascii="宋体" w:hAnsi="宋体" w:eastAsia="宋体" w:cs="宋体"/>
          <w:b w:val="0"/>
          <w:bCs w:val="0"/>
          <w:color w:val="000000"/>
          <w:kern w:val="2"/>
          <w:sz w:val="24"/>
          <w:szCs w:val="24"/>
          <w:highlight w:val="none"/>
          <w:lang w:val="en-US" w:eastAsia="zh-CN" w:bidi="ar-SA"/>
        </w:rPr>
        <w:t>5. 每次维修及维保好后，乙方需一式两份报告给甲方，包括故障原因，解决措施（或维保内容），完成修理（或维保）所费时间及恢复正常运行日期。</w:t>
      </w:r>
    </w:p>
    <w:p>
      <w:pPr>
        <w:spacing w:line="360" w:lineRule="auto"/>
        <w:ind w:firstLine="480" w:firstLineChars="200"/>
        <w:rPr>
          <w:rFonts w:hint="eastAsia" w:ascii="宋体" w:hAnsi="宋体" w:eastAsia="宋体" w:cs="宋体"/>
          <w:b w:val="0"/>
          <w:bCs w:val="0"/>
          <w:color w:val="000000"/>
          <w:kern w:val="2"/>
          <w:sz w:val="24"/>
          <w:szCs w:val="24"/>
          <w:highlight w:val="none"/>
          <w:lang w:val="en-US" w:eastAsia="zh-CN" w:bidi="ar-SA"/>
        </w:rPr>
      </w:pPr>
      <w:r>
        <w:rPr>
          <w:rFonts w:hint="eastAsia" w:ascii="宋体" w:hAnsi="宋体" w:eastAsia="宋体" w:cs="宋体"/>
          <w:b w:val="0"/>
          <w:bCs w:val="0"/>
          <w:color w:val="000000"/>
          <w:kern w:val="2"/>
          <w:sz w:val="24"/>
          <w:szCs w:val="24"/>
          <w:highlight w:val="none"/>
          <w:lang w:val="en-US" w:eastAsia="zh-CN" w:bidi="ar-SA"/>
        </w:rPr>
        <w:t>6. 乙方如未按上述要求履行保修义务，每违反一次，从质量保修金中扣除违约金壹万元整（10000.00元）；</w:t>
      </w:r>
    </w:p>
    <w:p>
      <w:pPr>
        <w:spacing w:line="360" w:lineRule="auto"/>
        <w:ind w:firstLine="480" w:firstLineChars="200"/>
        <w:rPr>
          <w:rFonts w:hint="eastAsia" w:ascii="宋体" w:hAnsi="宋体" w:eastAsia="宋体" w:cs="宋体"/>
          <w:b w:val="0"/>
          <w:bCs w:val="0"/>
          <w:color w:val="000000"/>
          <w:kern w:val="2"/>
          <w:sz w:val="24"/>
          <w:szCs w:val="24"/>
          <w:highlight w:val="none"/>
          <w:lang w:val="en-US" w:eastAsia="zh-CN" w:bidi="ar-SA"/>
        </w:rPr>
      </w:pPr>
      <w:r>
        <w:rPr>
          <w:rFonts w:hint="eastAsia" w:ascii="宋体" w:hAnsi="宋体" w:eastAsia="宋体" w:cs="宋体"/>
          <w:b w:val="0"/>
          <w:bCs w:val="0"/>
          <w:color w:val="000000"/>
          <w:kern w:val="2"/>
          <w:sz w:val="24"/>
          <w:szCs w:val="24"/>
          <w:highlight w:val="none"/>
          <w:lang w:val="en-US" w:eastAsia="zh-CN" w:bidi="ar-SA"/>
        </w:rPr>
        <w:t>7.在质保期结束时，须由专业工程师对设备进行另一次测试，任何故障须由乙方自费解决并取得甲方的同意。</w:t>
      </w:r>
    </w:p>
    <w:p>
      <w:pPr>
        <w:spacing w:line="360" w:lineRule="auto"/>
        <w:ind w:firstLine="480" w:firstLineChars="200"/>
        <w:rPr>
          <w:rFonts w:hint="eastAsia" w:ascii="宋体" w:hAnsi="宋体" w:eastAsia="宋体" w:cs="宋体"/>
          <w:b w:val="0"/>
          <w:bCs w:val="0"/>
          <w:color w:val="000000"/>
          <w:kern w:val="2"/>
          <w:sz w:val="24"/>
          <w:szCs w:val="24"/>
          <w:highlight w:val="none"/>
          <w:lang w:val="en-US" w:eastAsia="zh-CN" w:bidi="ar-SA"/>
        </w:rPr>
      </w:pPr>
      <w:r>
        <w:rPr>
          <w:rFonts w:hint="eastAsia" w:ascii="宋体" w:hAnsi="宋体" w:eastAsia="宋体" w:cs="宋体"/>
          <w:b w:val="0"/>
          <w:bCs w:val="0"/>
          <w:color w:val="000000"/>
          <w:kern w:val="2"/>
          <w:sz w:val="24"/>
          <w:szCs w:val="24"/>
          <w:highlight w:val="none"/>
          <w:lang w:val="en-US" w:eastAsia="zh-CN" w:bidi="ar-SA"/>
        </w:rPr>
        <w:t>8.在质保期结束前，乙方需按照设备检验检测要求对设备进行一次检验，并取得相关管理部门颁发的检验合格证，相关费用由乙方承担。</w:t>
      </w:r>
    </w:p>
    <w:p>
      <w:pPr>
        <w:spacing w:line="360" w:lineRule="auto"/>
        <w:ind w:firstLine="480" w:firstLineChars="200"/>
        <w:rPr>
          <w:rFonts w:hint="eastAsia" w:ascii="宋体" w:hAnsi="宋体" w:eastAsia="宋体" w:cs="宋体"/>
          <w:b w:val="0"/>
          <w:bCs w:val="0"/>
          <w:color w:val="000000"/>
          <w:kern w:val="2"/>
          <w:sz w:val="24"/>
          <w:szCs w:val="24"/>
          <w:highlight w:val="none"/>
          <w:lang w:val="en-US" w:eastAsia="zh-CN" w:bidi="ar-SA"/>
        </w:rPr>
      </w:pPr>
      <w:r>
        <w:rPr>
          <w:rFonts w:hint="eastAsia" w:ascii="宋体" w:hAnsi="宋体" w:eastAsia="宋体" w:cs="宋体"/>
          <w:b w:val="0"/>
          <w:bCs w:val="0"/>
          <w:color w:val="000000"/>
          <w:kern w:val="2"/>
          <w:sz w:val="24"/>
          <w:szCs w:val="24"/>
          <w:highlight w:val="none"/>
          <w:lang w:val="en-US" w:eastAsia="zh-CN" w:bidi="ar-SA"/>
        </w:rPr>
        <w:t>9.保修费用由乙方承担。</w:t>
      </w:r>
    </w:p>
    <w:p>
      <w:pPr>
        <w:spacing w:line="360" w:lineRule="auto"/>
        <w:ind w:firstLine="569" w:firstLineChars="236"/>
        <w:rPr>
          <w:rFonts w:hint="eastAsia" w:ascii="宋体" w:hAnsi="宋体" w:eastAsia="宋体" w:cs="宋体"/>
          <w:b/>
          <w:color w:val="000000"/>
          <w:sz w:val="24"/>
          <w:szCs w:val="24"/>
          <w:highlight w:val="none"/>
        </w:rPr>
      </w:pPr>
    </w:p>
    <w:p>
      <w:pPr>
        <w:spacing w:line="360" w:lineRule="auto"/>
        <w:ind w:firstLine="569" w:firstLineChars="236"/>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四、质量保修金的支付</w:t>
      </w:r>
    </w:p>
    <w:p>
      <w:pPr>
        <w:spacing w:line="360" w:lineRule="auto"/>
        <w:ind w:firstLine="480" w:firstLineChars="200"/>
        <w:rPr>
          <w:rFonts w:hint="eastAsia" w:ascii="宋体" w:hAnsi="宋体" w:eastAsia="宋体" w:cs="宋体"/>
          <w:b w:val="0"/>
          <w:bCs w:val="0"/>
          <w:color w:val="000000"/>
          <w:kern w:val="2"/>
          <w:sz w:val="24"/>
          <w:szCs w:val="24"/>
          <w:highlight w:val="none"/>
          <w:lang w:val="en-US" w:eastAsia="zh-CN" w:bidi="ar-SA"/>
        </w:rPr>
      </w:pPr>
      <w:r>
        <w:rPr>
          <w:rFonts w:hint="eastAsia" w:ascii="宋体" w:hAnsi="宋体" w:eastAsia="宋体" w:cs="宋体"/>
          <w:b w:val="0"/>
          <w:bCs w:val="0"/>
          <w:color w:val="000000"/>
          <w:kern w:val="2"/>
          <w:sz w:val="24"/>
          <w:szCs w:val="24"/>
          <w:highlight w:val="none"/>
          <w:lang w:val="en-US" w:eastAsia="zh-CN" w:bidi="ar-SA"/>
        </w:rPr>
        <w:t>本项目质量保修金为结算总价款的</w:t>
      </w:r>
      <w:r>
        <w:rPr>
          <w:rFonts w:hint="eastAsia" w:ascii="宋体" w:hAnsi="宋体" w:eastAsia="宋体" w:cs="宋体"/>
          <w:b w:val="0"/>
          <w:bCs w:val="0"/>
          <w:color w:val="000000"/>
          <w:kern w:val="2"/>
          <w:sz w:val="24"/>
          <w:szCs w:val="24"/>
          <w:highlight w:val="none"/>
          <w:u w:val="single"/>
          <w:lang w:val="en-US" w:eastAsia="zh-CN" w:bidi="ar-SA"/>
        </w:rPr>
        <w:t>3%</w:t>
      </w:r>
      <w:r>
        <w:rPr>
          <w:rFonts w:hint="eastAsia" w:ascii="宋体" w:hAnsi="宋体" w:eastAsia="宋体" w:cs="宋体"/>
          <w:b w:val="0"/>
          <w:bCs w:val="0"/>
          <w:color w:val="000000"/>
          <w:kern w:val="2"/>
          <w:sz w:val="24"/>
          <w:szCs w:val="24"/>
          <w:highlight w:val="none"/>
          <w:lang w:val="en-US" w:eastAsia="zh-CN" w:bidi="ar-SA"/>
        </w:rPr>
        <w:t>，在工程竣工结算时一次性扣留。质量保修金返还时</w:t>
      </w:r>
      <w:r>
        <w:rPr>
          <w:rFonts w:hint="eastAsia" w:ascii="宋体" w:hAnsi="宋体" w:eastAsia="宋体" w:cs="宋体"/>
          <w:b w:val="0"/>
          <w:bCs w:val="0"/>
          <w:color w:val="000000"/>
          <w:kern w:val="2"/>
          <w:sz w:val="24"/>
          <w:szCs w:val="24"/>
          <w:highlight w:val="none"/>
          <w:u w:val="single"/>
          <w:lang w:val="en-US" w:eastAsia="zh-CN" w:bidi="ar-SA"/>
        </w:rPr>
        <w:t>不计银行利息</w:t>
      </w:r>
      <w:r>
        <w:rPr>
          <w:rFonts w:hint="eastAsia" w:ascii="宋体" w:hAnsi="宋体" w:eastAsia="宋体" w:cs="宋体"/>
          <w:b w:val="0"/>
          <w:bCs w:val="0"/>
          <w:color w:val="000000"/>
          <w:kern w:val="2"/>
          <w:sz w:val="24"/>
          <w:szCs w:val="24"/>
          <w:highlight w:val="none"/>
          <w:lang w:val="en-US" w:eastAsia="zh-CN" w:bidi="ar-SA"/>
        </w:rPr>
        <w:t>。</w:t>
      </w:r>
    </w:p>
    <w:p>
      <w:pPr>
        <w:spacing w:line="360" w:lineRule="auto"/>
        <w:ind w:firstLine="210"/>
        <w:rPr>
          <w:rFonts w:hint="eastAsia" w:ascii="宋体" w:hAnsi="宋体" w:eastAsia="宋体" w:cs="宋体"/>
          <w:color w:val="000000"/>
          <w:sz w:val="24"/>
          <w:szCs w:val="24"/>
          <w:highlight w:val="none"/>
        </w:rPr>
      </w:pPr>
    </w:p>
    <w:p>
      <w:pPr>
        <w:spacing w:line="360" w:lineRule="auto"/>
        <w:ind w:firstLine="472" w:firstLineChars="196"/>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五、质量保修金的返还</w:t>
      </w:r>
    </w:p>
    <w:p>
      <w:pPr>
        <w:spacing w:line="360" w:lineRule="auto"/>
        <w:ind w:firstLine="480" w:firstLineChars="200"/>
        <w:rPr>
          <w:rFonts w:hint="eastAsia" w:ascii="宋体" w:hAnsi="宋体" w:eastAsia="宋体" w:cs="宋体"/>
          <w:b w:val="0"/>
          <w:bCs w:val="0"/>
          <w:color w:val="000000"/>
          <w:kern w:val="2"/>
          <w:sz w:val="24"/>
          <w:szCs w:val="24"/>
          <w:highlight w:val="none"/>
          <w:lang w:val="en-US" w:eastAsia="zh-CN" w:bidi="ar-SA"/>
        </w:rPr>
      </w:pPr>
      <w:r>
        <w:rPr>
          <w:rFonts w:hint="eastAsia" w:ascii="宋体" w:hAnsi="宋体" w:eastAsia="宋体" w:cs="宋体"/>
          <w:b w:val="0"/>
          <w:bCs w:val="0"/>
          <w:color w:val="000000"/>
          <w:kern w:val="2"/>
          <w:sz w:val="24"/>
          <w:szCs w:val="24"/>
          <w:highlight w:val="none"/>
          <w:lang w:val="en-US" w:eastAsia="zh-CN" w:bidi="ar-SA"/>
        </w:rPr>
        <w:t>质量保修期满后，经甲方组织验收，如合同约定范围的所有项目及变更增加项目无任何产品质量问题或故障，甲方在扣除相应的维修保养违约金和相应赔偿金（如有）后，30日历天内返还剩余质量保修金（不计息）。</w:t>
      </w:r>
    </w:p>
    <w:p>
      <w:pPr>
        <w:spacing w:line="360" w:lineRule="auto"/>
        <w:ind w:firstLine="210"/>
        <w:rPr>
          <w:rFonts w:hint="eastAsia" w:ascii="宋体" w:hAnsi="宋体" w:eastAsia="宋体" w:cs="宋体"/>
          <w:color w:val="000000"/>
          <w:sz w:val="24"/>
          <w:szCs w:val="24"/>
          <w:highlight w:val="none"/>
        </w:rPr>
      </w:pPr>
    </w:p>
    <w:p>
      <w:pPr>
        <w:spacing w:line="360" w:lineRule="auto"/>
        <w:ind w:firstLine="472" w:firstLineChars="196"/>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六、其他</w:t>
      </w:r>
    </w:p>
    <w:p>
      <w:pPr>
        <w:spacing w:line="360" w:lineRule="auto"/>
        <w:ind w:firstLine="480" w:firstLineChars="200"/>
        <w:rPr>
          <w:rFonts w:hint="eastAsia" w:ascii="宋体" w:hAnsi="宋体" w:eastAsia="宋体" w:cs="宋体"/>
          <w:b w:val="0"/>
          <w:bCs w:val="0"/>
          <w:color w:val="000000"/>
          <w:kern w:val="2"/>
          <w:sz w:val="24"/>
          <w:szCs w:val="24"/>
          <w:highlight w:val="none"/>
          <w:lang w:val="en-US" w:eastAsia="zh-CN" w:bidi="ar-SA"/>
        </w:rPr>
      </w:pPr>
      <w:r>
        <w:rPr>
          <w:rFonts w:hint="eastAsia" w:ascii="宋体" w:hAnsi="宋体" w:eastAsia="宋体" w:cs="宋体"/>
          <w:color w:val="000000"/>
          <w:sz w:val="24"/>
          <w:szCs w:val="24"/>
          <w:highlight w:val="none"/>
        </w:rPr>
        <w:t xml:space="preserve">    </w:t>
      </w:r>
      <w:r>
        <w:rPr>
          <w:rFonts w:hint="eastAsia" w:ascii="宋体" w:hAnsi="宋体" w:eastAsia="宋体" w:cs="宋体"/>
          <w:b w:val="0"/>
          <w:bCs w:val="0"/>
          <w:color w:val="000000"/>
          <w:kern w:val="2"/>
          <w:sz w:val="24"/>
          <w:szCs w:val="24"/>
          <w:highlight w:val="none"/>
          <w:lang w:val="en-US" w:eastAsia="zh-CN" w:bidi="ar-SA"/>
        </w:rPr>
        <w:t>双方约定的其他工程质量保修事项： 按有关规定执行。</w:t>
      </w:r>
    </w:p>
    <w:p>
      <w:pPr>
        <w:spacing w:line="360" w:lineRule="auto"/>
        <w:ind w:firstLine="480" w:firstLineChars="200"/>
        <w:rPr>
          <w:rFonts w:hint="eastAsia" w:ascii="宋体" w:hAnsi="宋体" w:eastAsia="宋体" w:cs="宋体"/>
          <w:b w:val="0"/>
          <w:bCs w:val="0"/>
          <w:color w:val="000000"/>
          <w:kern w:val="2"/>
          <w:sz w:val="24"/>
          <w:szCs w:val="24"/>
          <w:highlight w:val="none"/>
          <w:lang w:val="en-US" w:eastAsia="zh-CN" w:bidi="ar-SA"/>
        </w:rPr>
      </w:pPr>
      <w:r>
        <w:rPr>
          <w:rFonts w:hint="eastAsia" w:ascii="宋体" w:hAnsi="宋体" w:eastAsia="宋体" w:cs="宋体"/>
          <w:b w:val="0"/>
          <w:bCs w:val="0"/>
          <w:color w:val="000000"/>
          <w:kern w:val="2"/>
          <w:sz w:val="24"/>
          <w:szCs w:val="24"/>
          <w:highlight w:val="none"/>
          <w:lang w:val="en-US" w:eastAsia="zh-CN" w:bidi="ar-SA"/>
        </w:rPr>
        <w:t>工程质量保修书由卖买双方共同签署，作为合同附件，其有效期限至保修期满。</w:t>
      </w:r>
    </w:p>
    <w:p>
      <w:pPr>
        <w:pStyle w:val="14"/>
        <w:adjustRightInd w:val="0"/>
        <w:snapToGrid w:val="0"/>
        <w:spacing w:line="360" w:lineRule="auto"/>
        <w:rPr>
          <w:rFonts w:hint="eastAsia" w:ascii="宋体" w:hAnsi="宋体" w:eastAsia="宋体" w:cs="宋体"/>
          <w:color w:val="000000"/>
          <w:kern w:val="2"/>
          <w:sz w:val="24"/>
          <w:szCs w:val="24"/>
          <w:highlight w:val="none"/>
          <w:u w:val="none"/>
          <w:lang w:val="en-US" w:eastAsia="zh-CN" w:bidi="ar-SA"/>
        </w:rPr>
      </w:pPr>
    </w:p>
    <w:p>
      <w:pPr>
        <w:pStyle w:val="14"/>
        <w:adjustRightInd w:val="0"/>
        <w:snapToGrid w:val="0"/>
        <w:spacing w:line="360" w:lineRule="auto"/>
        <w:rPr>
          <w:rFonts w:hint="eastAsia" w:ascii="宋体" w:hAnsi="宋体" w:eastAsia="宋体" w:cs="宋体"/>
          <w:color w:val="000000"/>
          <w:kern w:val="2"/>
          <w:sz w:val="24"/>
          <w:szCs w:val="24"/>
          <w:highlight w:val="none"/>
          <w:u w:val="none"/>
          <w:lang w:val="en-US" w:eastAsia="zh-CN" w:bidi="ar-SA"/>
        </w:rPr>
      </w:pPr>
    </w:p>
    <w:p>
      <w:pPr>
        <w:pStyle w:val="14"/>
        <w:adjustRightInd w:val="0"/>
        <w:snapToGrid w:val="0"/>
        <w:spacing w:line="360" w:lineRule="auto"/>
        <w:rPr>
          <w:rFonts w:hint="eastAsia" w:ascii="宋体" w:hAnsi="宋体" w:eastAsia="宋体" w:cs="宋体"/>
          <w:color w:val="000000"/>
          <w:kern w:val="2"/>
          <w:sz w:val="24"/>
          <w:szCs w:val="24"/>
          <w:highlight w:val="none"/>
          <w:u w:val="none"/>
          <w:lang w:val="en-US" w:eastAsia="zh-CN" w:bidi="ar-SA"/>
        </w:rPr>
      </w:pPr>
    </w:p>
    <w:p>
      <w:pPr>
        <w:pStyle w:val="14"/>
        <w:adjustRightInd w:val="0"/>
        <w:snapToGrid w:val="0"/>
        <w:spacing w:line="360" w:lineRule="auto"/>
        <w:rPr>
          <w:rFonts w:hint="eastAsia" w:ascii="宋体" w:hAnsi="宋体" w:eastAsia="宋体" w:cs="宋体"/>
          <w:color w:val="000000"/>
          <w:kern w:val="2"/>
          <w:sz w:val="24"/>
          <w:szCs w:val="24"/>
          <w:highlight w:val="none"/>
          <w:u w:val="none"/>
          <w:lang w:val="en-US" w:eastAsia="zh-CN" w:bidi="ar-SA"/>
        </w:rPr>
      </w:pPr>
    </w:p>
    <w:p>
      <w:pPr>
        <w:pStyle w:val="14"/>
        <w:adjustRightInd w:val="0"/>
        <w:snapToGrid w:val="0"/>
        <w:spacing w:line="360" w:lineRule="auto"/>
        <w:rPr>
          <w:rFonts w:hint="eastAsia" w:ascii="宋体" w:hAnsi="宋体" w:eastAsia="宋体" w:cs="宋体"/>
          <w:color w:val="000000"/>
          <w:kern w:val="2"/>
          <w:sz w:val="24"/>
          <w:szCs w:val="24"/>
          <w:highlight w:val="none"/>
          <w:u w:val="none"/>
          <w:lang w:val="en-US" w:eastAsia="zh-CN" w:bidi="ar-SA"/>
        </w:rPr>
      </w:pPr>
    </w:p>
    <w:p>
      <w:pPr>
        <w:pStyle w:val="14"/>
        <w:adjustRightInd w:val="0"/>
        <w:snapToGrid w:val="0"/>
        <w:spacing w:line="360" w:lineRule="auto"/>
        <w:rPr>
          <w:rFonts w:hint="eastAsia" w:ascii="宋体" w:hAnsi="宋体" w:eastAsia="宋体" w:cs="宋体"/>
          <w:color w:val="000000"/>
          <w:kern w:val="2"/>
          <w:sz w:val="24"/>
          <w:szCs w:val="24"/>
          <w:highlight w:val="none"/>
          <w:u w:val="none"/>
          <w:lang w:val="en-US" w:eastAsia="zh-CN" w:bidi="ar-SA"/>
        </w:rPr>
      </w:pPr>
    </w:p>
    <w:p>
      <w:pPr>
        <w:pStyle w:val="14"/>
        <w:adjustRightInd w:val="0"/>
        <w:snapToGrid w:val="0"/>
        <w:spacing w:line="360" w:lineRule="auto"/>
        <w:rPr>
          <w:rFonts w:hint="eastAsia" w:ascii="宋体" w:hAnsi="宋体" w:eastAsia="宋体" w:cs="宋体"/>
          <w:color w:val="000000"/>
          <w:kern w:val="2"/>
          <w:sz w:val="24"/>
          <w:szCs w:val="24"/>
          <w:highlight w:val="none"/>
          <w:u w:val="none"/>
          <w:lang w:val="en-US" w:eastAsia="zh-CN" w:bidi="ar-SA"/>
        </w:rPr>
      </w:pPr>
    </w:p>
    <w:p>
      <w:pPr>
        <w:pStyle w:val="14"/>
        <w:adjustRightInd w:val="0"/>
        <w:snapToGrid w:val="0"/>
        <w:spacing w:line="360" w:lineRule="auto"/>
        <w:rPr>
          <w:rFonts w:hint="eastAsia" w:ascii="宋体" w:hAnsi="宋体" w:eastAsia="宋体" w:cs="宋体"/>
          <w:color w:val="000000"/>
          <w:kern w:val="2"/>
          <w:sz w:val="24"/>
          <w:szCs w:val="24"/>
          <w:highlight w:val="none"/>
          <w:u w:val="none"/>
          <w:lang w:val="en-US" w:eastAsia="zh-CN" w:bidi="ar-SA"/>
        </w:rPr>
      </w:pPr>
    </w:p>
    <w:p>
      <w:pPr>
        <w:pStyle w:val="14"/>
        <w:adjustRightInd w:val="0"/>
        <w:snapToGrid w:val="0"/>
        <w:spacing w:line="360" w:lineRule="auto"/>
        <w:rPr>
          <w:rFonts w:hint="eastAsia" w:ascii="宋体" w:hAnsi="宋体" w:eastAsia="宋体" w:cs="宋体"/>
          <w:color w:val="000000"/>
          <w:kern w:val="2"/>
          <w:sz w:val="24"/>
          <w:szCs w:val="24"/>
          <w:highlight w:val="none"/>
          <w:u w:val="none"/>
          <w:lang w:val="en-US" w:eastAsia="zh-CN" w:bidi="ar-SA"/>
        </w:rPr>
      </w:pPr>
    </w:p>
    <w:p>
      <w:pPr>
        <w:pStyle w:val="14"/>
        <w:adjustRightInd w:val="0"/>
        <w:snapToGrid w:val="0"/>
        <w:spacing w:line="360" w:lineRule="auto"/>
        <w:rPr>
          <w:rFonts w:hint="eastAsia" w:ascii="宋体" w:hAnsi="宋体" w:eastAsia="宋体" w:cs="宋体"/>
          <w:color w:val="000000"/>
          <w:kern w:val="2"/>
          <w:sz w:val="24"/>
          <w:szCs w:val="24"/>
          <w:highlight w:val="none"/>
          <w:u w:val="none"/>
          <w:lang w:val="en-US" w:eastAsia="zh-CN" w:bidi="ar-SA"/>
        </w:rPr>
      </w:pPr>
    </w:p>
    <w:p>
      <w:pPr>
        <w:pStyle w:val="3"/>
        <w:bidi w:val="0"/>
        <w:rPr>
          <w:rFonts w:hint="eastAsia" w:ascii="宋体" w:hAnsi="宋体" w:eastAsia="宋体" w:cs="宋体"/>
          <w:color w:val="000000"/>
          <w:highlight w:val="none"/>
          <w:lang w:val="en-US" w:eastAsia="zh-CN"/>
        </w:rPr>
      </w:pPr>
      <w:bookmarkStart w:id="505" w:name="_Toc23621"/>
      <w:r>
        <w:rPr>
          <w:rFonts w:hint="eastAsia" w:ascii="宋体" w:hAnsi="宋体" w:eastAsia="宋体" w:cs="宋体"/>
          <w:color w:val="000000"/>
          <w:highlight w:val="none"/>
          <w:lang w:val="en-US" w:eastAsia="zh-CN"/>
        </w:rPr>
        <w:t>附件六：</w:t>
      </w:r>
      <w:bookmarkEnd w:id="505"/>
    </w:p>
    <w:p>
      <w:pPr>
        <w:bidi w:val="0"/>
        <w:spacing w:line="360" w:lineRule="auto"/>
        <w:jc w:val="center"/>
        <w:rPr>
          <w:rFonts w:hint="eastAsia" w:ascii="宋体" w:hAnsi="宋体" w:eastAsia="宋体" w:cs="宋体"/>
          <w:b/>
          <w:bCs/>
          <w:color w:val="000000"/>
          <w:sz w:val="28"/>
          <w:szCs w:val="32"/>
          <w:highlight w:val="none"/>
          <w:lang w:val="en-US" w:eastAsia="zh-CN"/>
        </w:rPr>
      </w:pPr>
      <w:r>
        <w:rPr>
          <w:rFonts w:hint="eastAsia" w:ascii="宋体" w:hAnsi="宋体" w:eastAsia="宋体" w:cs="宋体"/>
          <w:b/>
          <w:bCs/>
          <w:color w:val="000000"/>
          <w:sz w:val="28"/>
          <w:szCs w:val="32"/>
          <w:highlight w:val="none"/>
          <w:lang w:val="en-US" w:eastAsia="zh-CN"/>
        </w:rPr>
        <w:t>医用纯水系统安装工程与施工总承包界面划分</w:t>
      </w:r>
    </w:p>
    <w:p>
      <w:pPr>
        <w:spacing w:line="360" w:lineRule="auto"/>
        <w:rPr>
          <w:rFonts w:hint="eastAsia" w:ascii="宋体" w:hAnsi="宋体" w:eastAsia="宋体" w:cs="宋体"/>
          <w:color w:val="000000"/>
          <w:highlight w:val="none"/>
        </w:rPr>
      </w:pPr>
    </w:p>
    <w:p>
      <w:pPr>
        <w:numPr>
          <w:ilvl w:val="0"/>
          <w:numId w:val="0"/>
        </w:numPr>
        <w:tabs>
          <w:tab w:val="left" w:pos="425"/>
        </w:tabs>
        <w:spacing w:line="360" w:lineRule="auto"/>
        <w:ind w:leftChars="0" w:firstLine="480" w:firstLineChars="200"/>
        <w:rPr>
          <w:rFonts w:hint="eastAsia" w:ascii="宋体" w:hAnsi="宋体" w:eastAsia="宋体" w:cs="宋体"/>
          <w:color w:val="000000"/>
          <w:sz w:val="24"/>
          <w:szCs w:val="28"/>
          <w:highlight w:val="none"/>
        </w:rPr>
      </w:pPr>
      <w:r>
        <w:rPr>
          <w:rFonts w:hint="eastAsia" w:ascii="宋体" w:hAnsi="宋体" w:eastAsia="宋体" w:cs="宋体"/>
          <w:color w:val="000000"/>
          <w:sz w:val="24"/>
          <w:szCs w:val="28"/>
          <w:highlight w:val="none"/>
        </w:rPr>
        <w:t>1.建筑专业：总承包单位负责纯水工程所涉及到的设备（土建）基础，排水沟及盖板、机房地面、墙面及顶面施工。设备预埋件、预埋工作均由纯水工程施工单位负责完成。</w:t>
      </w:r>
    </w:p>
    <w:p>
      <w:pPr>
        <w:numPr>
          <w:ilvl w:val="0"/>
          <w:numId w:val="0"/>
        </w:numPr>
        <w:tabs>
          <w:tab w:val="left" w:pos="425"/>
        </w:tabs>
        <w:spacing w:line="360" w:lineRule="auto"/>
        <w:ind w:leftChars="0" w:firstLine="480" w:firstLineChars="200"/>
        <w:rPr>
          <w:rFonts w:hint="eastAsia" w:ascii="宋体" w:hAnsi="宋体" w:eastAsia="宋体" w:cs="宋体"/>
          <w:color w:val="000000"/>
          <w:sz w:val="24"/>
          <w:szCs w:val="28"/>
          <w:highlight w:val="none"/>
        </w:rPr>
      </w:pPr>
      <w:r>
        <w:rPr>
          <w:rFonts w:hint="eastAsia" w:ascii="宋体" w:hAnsi="宋体" w:eastAsia="宋体" w:cs="宋体"/>
          <w:color w:val="000000"/>
          <w:sz w:val="24"/>
          <w:szCs w:val="28"/>
          <w:highlight w:val="none"/>
        </w:rPr>
        <w:t>2.电气专业：总承包单位负责从低配到纯水系统站房内主电源柜（主电源柜由总承包单位负责）、纯水机房内设备接地点预留。其余纯水系统站房内的电源柜、控制柜、电缆桥架、线路、水泵等均由纯水工程施工单位负责。机房内的照明插座均由总承包单位完成。</w:t>
      </w:r>
    </w:p>
    <w:p>
      <w:pPr>
        <w:numPr>
          <w:ilvl w:val="0"/>
          <w:numId w:val="0"/>
        </w:numPr>
        <w:tabs>
          <w:tab w:val="left" w:pos="425"/>
        </w:tabs>
        <w:spacing w:line="360" w:lineRule="auto"/>
        <w:ind w:leftChars="0" w:firstLine="480" w:firstLineChars="200"/>
        <w:rPr>
          <w:rFonts w:hint="eastAsia" w:ascii="宋体" w:hAnsi="宋体" w:eastAsia="宋体" w:cs="宋体"/>
          <w:color w:val="000000"/>
          <w:sz w:val="24"/>
          <w:szCs w:val="28"/>
          <w:highlight w:val="none"/>
        </w:rPr>
      </w:pPr>
      <w:r>
        <w:rPr>
          <w:rFonts w:hint="eastAsia" w:ascii="宋体" w:hAnsi="宋体" w:eastAsia="宋体" w:cs="宋体"/>
          <w:color w:val="000000"/>
          <w:sz w:val="24"/>
          <w:szCs w:val="28"/>
          <w:highlight w:val="none"/>
        </w:rPr>
        <w:t>3.给排水专业：总承包单位负责将自来水进水管路施工至医用纯水系统站房内的第一个阀门处，阀门后的管路连接均由纯水单位负责；纯水站房内的整体基础排水设施由总承包单位负责，但涉及到站房内的设备排水至排水沟之间的管路安装施工均由纯水工程施工单位负责实施。</w:t>
      </w:r>
    </w:p>
    <w:p>
      <w:pPr>
        <w:bidi w:val="0"/>
        <w:rPr>
          <w:rFonts w:hint="eastAsia" w:ascii="宋体" w:hAnsi="宋体" w:eastAsia="宋体" w:cs="宋体"/>
          <w:color w:val="auto"/>
          <w:highlight w:val="none"/>
        </w:rPr>
      </w:pPr>
    </w:p>
    <w:p>
      <w:pPr>
        <w:bidi w:val="0"/>
        <w:rPr>
          <w:rFonts w:hint="eastAsia" w:ascii="宋体" w:hAnsi="宋体" w:eastAsia="宋体" w:cs="宋体"/>
          <w:color w:val="auto"/>
          <w:highlight w:val="none"/>
        </w:rPr>
      </w:pPr>
    </w:p>
    <w:p>
      <w:pPr>
        <w:bidi w:val="0"/>
        <w:rPr>
          <w:rFonts w:hint="eastAsia" w:ascii="宋体" w:hAnsi="宋体" w:eastAsia="宋体" w:cs="宋体"/>
          <w:color w:val="auto"/>
          <w:highlight w:val="none"/>
        </w:rPr>
      </w:pPr>
    </w:p>
    <w:p>
      <w:pPr>
        <w:bidi w:val="0"/>
        <w:rPr>
          <w:rFonts w:hint="eastAsia" w:ascii="宋体" w:hAnsi="宋体" w:eastAsia="宋体" w:cs="宋体"/>
          <w:color w:val="auto"/>
          <w:highlight w:val="none"/>
        </w:rPr>
      </w:pPr>
    </w:p>
    <w:p>
      <w:pPr>
        <w:bidi w:val="0"/>
        <w:rPr>
          <w:rFonts w:hint="eastAsia" w:ascii="宋体" w:hAnsi="宋体" w:eastAsia="宋体" w:cs="宋体"/>
          <w:color w:val="auto"/>
          <w:highlight w:val="none"/>
        </w:rPr>
      </w:pPr>
    </w:p>
    <w:p>
      <w:pPr>
        <w:bidi w:val="0"/>
        <w:rPr>
          <w:rFonts w:hint="eastAsia" w:ascii="宋体" w:hAnsi="宋体" w:eastAsia="宋体" w:cs="宋体"/>
          <w:color w:val="auto"/>
          <w:highlight w:val="none"/>
        </w:rPr>
      </w:pPr>
    </w:p>
    <w:p>
      <w:pPr>
        <w:bidi w:val="0"/>
        <w:rPr>
          <w:rFonts w:hint="eastAsia" w:ascii="宋体" w:hAnsi="宋体" w:eastAsia="宋体" w:cs="宋体"/>
          <w:color w:val="auto"/>
          <w:highlight w:val="none"/>
        </w:rPr>
      </w:pPr>
    </w:p>
    <w:p>
      <w:pPr>
        <w:bidi w:val="0"/>
        <w:rPr>
          <w:rFonts w:hint="eastAsia" w:ascii="宋体" w:hAnsi="宋体" w:eastAsia="宋体" w:cs="宋体"/>
          <w:color w:val="auto"/>
          <w:highlight w:val="none"/>
        </w:rPr>
      </w:pPr>
    </w:p>
    <w:p>
      <w:pPr>
        <w:bidi w:val="0"/>
        <w:rPr>
          <w:rFonts w:hint="eastAsia" w:ascii="宋体" w:hAnsi="宋体" w:eastAsia="宋体" w:cs="宋体"/>
          <w:color w:val="auto"/>
          <w:highlight w:val="none"/>
        </w:rPr>
      </w:pPr>
    </w:p>
    <w:p>
      <w:pPr>
        <w:bidi w:val="0"/>
        <w:rPr>
          <w:rFonts w:hint="eastAsia" w:ascii="宋体" w:hAnsi="宋体" w:eastAsia="宋体" w:cs="宋体"/>
          <w:color w:val="auto"/>
          <w:highlight w:val="none"/>
        </w:rPr>
      </w:pPr>
    </w:p>
    <w:p>
      <w:pPr>
        <w:bidi w:val="0"/>
        <w:rPr>
          <w:rFonts w:hint="eastAsia" w:ascii="宋体" w:hAnsi="宋体" w:eastAsia="宋体" w:cs="宋体"/>
          <w:color w:val="auto"/>
          <w:highlight w:val="none"/>
        </w:rPr>
      </w:pPr>
    </w:p>
    <w:p>
      <w:pPr>
        <w:bidi w:val="0"/>
        <w:rPr>
          <w:rFonts w:hint="eastAsia" w:ascii="宋体" w:hAnsi="宋体" w:eastAsia="宋体" w:cs="宋体"/>
          <w:color w:val="auto"/>
          <w:highlight w:val="none"/>
        </w:rPr>
      </w:pPr>
    </w:p>
    <w:p>
      <w:pPr>
        <w:bidi w:val="0"/>
        <w:rPr>
          <w:rFonts w:hint="eastAsia" w:ascii="宋体" w:hAnsi="宋体" w:eastAsia="宋体" w:cs="宋体"/>
          <w:color w:val="auto"/>
          <w:highlight w:val="none"/>
        </w:rPr>
      </w:pPr>
    </w:p>
    <w:p>
      <w:pPr>
        <w:bidi w:val="0"/>
        <w:rPr>
          <w:rFonts w:hint="eastAsia" w:ascii="宋体" w:hAnsi="宋体" w:eastAsia="宋体" w:cs="宋体"/>
          <w:color w:val="auto"/>
          <w:highlight w:val="none"/>
        </w:rPr>
      </w:pPr>
    </w:p>
    <w:p>
      <w:pPr>
        <w:bidi w:val="0"/>
        <w:rPr>
          <w:rFonts w:hint="eastAsia" w:ascii="宋体" w:hAnsi="宋体" w:eastAsia="宋体" w:cs="宋体"/>
          <w:color w:val="auto"/>
          <w:highlight w:val="none"/>
        </w:rPr>
      </w:pPr>
    </w:p>
    <w:p>
      <w:pPr>
        <w:bidi w:val="0"/>
        <w:rPr>
          <w:rFonts w:hint="eastAsia" w:ascii="宋体" w:hAnsi="宋体" w:eastAsia="宋体" w:cs="宋体"/>
          <w:color w:val="auto"/>
          <w:highlight w:val="none"/>
        </w:rPr>
      </w:pPr>
    </w:p>
    <w:p>
      <w:pPr>
        <w:bidi w:val="0"/>
        <w:rPr>
          <w:rFonts w:hint="eastAsia" w:ascii="宋体" w:hAnsi="宋体" w:eastAsia="宋体" w:cs="宋体"/>
          <w:color w:val="auto"/>
          <w:highlight w:val="none"/>
        </w:rPr>
      </w:pPr>
    </w:p>
    <w:p>
      <w:pPr>
        <w:bidi w:val="0"/>
        <w:rPr>
          <w:rFonts w:hint="eastAsia" w:ascii="宋体" w:hAnsi="宋体" w:eastAsia="宋体" w:cs="宋体"/>
          <w:color w:val="auto"/>
          <w:highlight w:val="none"/>
        </w:rPr>
      </w:pPr>
    </w:p>
    <w:p>
      <w:pPr>
        <w:bidi w:val="0"/>
        <w:rPr>
          <w:rFonts w:hint="eastAsia" w:ascii="宋体" w:hAnsi="宋体" w:eastAsia="宋体" w:cs="宋体"/>
          <w:color w:val="auto"/>
          <w:highlight w:val="none"/>
        </w:rPr>
      </w:pPr>
    </w:p>
    <w:p>
      <w:pPr>
        <w:bidi w:val="0"/>
        <w:rPr>
          <w:rFonts w:hint="eastAsia" w:ascii="宋体" w:hAnsi="宋体" w:eastAsia="宋体" w:cs="宋体"/>
          <w:color w:val="auto"/>
          <w:highlight w:val="none"/>
        </w:rPr>
      </w:pPr>
    </w:p>
    <w:p>
      <w:pPr>
        <w:bidi w:val="0"/>
        <w:rPr>
          <w:rFonts w:hint="eastAsia" w:ascii="宋体" w:hAnsi="宋体" w:eastAsia="宋体" w:cs="宋体"/>
          <w:color w:val="auto"/>
          <w:highlight w:val="none"/>
        </w:rPr>
      </w:pPr>
    </w:p>
    <w:p>
      <w:pPr>
        <w:pStyle w:val="3"/>
        <w:bidi w:val="0"/>
        <w:rPr>
          <w:rFonts w:hint="eastAsia" w:ascii="宋体" w:hAnsi="宋体" w:eastAsia="宋体" w:cs="宋体"/>
          <w:color w:val="auto"/>
          <w:highlight w:val="none"/>
          <w:lang w:val="en-US" w:eastAsia="zh-CN"/>
        </w:rPr>
      </w:pPr>
      <w:bookmarkStart w:id="506" w:name="_Toc29388"/>
      <w:r>
        <w:rPr>
          <w:rFonts w:hint="eastAsia" w:ascii="宋体" w:hAnsi="宋体" w:eastAsia="宋体" w:cs="宋体"/>
          <w:color w:val="auto"/>
          <w:highlight w:val="none"/>
          <w:lang w:val="en-US" w:eastAsia="zh-CN"/>
        </w:rPr>
        <w:t>附件七：</w:t>
      </w:r>
      <w:bookmarkEnd w:id="506"/>
    </w:p>
    <w:p>
      <w:pPr>
        <w:pStyle w:val="59"/>
        <w:adjustRightInd w:val="0"/>
        <w:snapToGrid w:val="0"/>
        <w:spacing w:line="360" w:lineRule="auto"/>
        <w:jc w:val="center"/>
        <w:rPr>
          <w:rFonts w:hint="eastAsia" w:ascii="宋体" w:hAnsi="宋体" w:eastAsia="宋体" w:cs="宋体"/>
          <w:b/>
          <w:bCs/>
          <w:color w:val="auto"/>
          <w:kern w:val="28"/>
          <w:sz w:val="32"/>
          <w:szCs w:val="32"/>
          <w:highlight w:val="none"/>
          <w:lang w:val="en-US" w:eastAsia="zh-CN" w:bidi="ar-SA"/>
        </w:rPr>
      </w:pPr>
      <w:r>
        <w:rPr>
          <w:rFonts w:hint="eastAsia" w:ascii="宋体" w:hAnsi="宋体" w:eastAsia="宋体" w:cs="宋体"/>
          <w:b/>
          <w:bCs/>
          <w:color w:val="auto"/>
          <w:kern w:val="28"/>
          <w:sz w:val="32"/>
          <w:szCs w:val="32"/>
          <w:highlight w:val="none"/>
          <w:lang w:val="en-US" w:eastAsia="zh-CN" w:bidi="ar-SA"/>
        </w:rPr>
        <w:t>履约保函</w:t>
      </w:r>
    </w:p>
    <w:p>
      <w:pPr>
        <w:adjustRightInd w:val="0"/>
        <w:snapToGrid w:val="0"/>
        <w:spacing w:line="360" w:lineRule="auto"/>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u w:val="single"/>
          <w:lang w:val="en-US" w:eastAsia="zh-CN"/>
        </w:rPr>
        <w:t xml:space="preserve">                   </w:t>
      </w: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rPr>
        <w:t>(</w:t>
      </w:r>
      <w:r>
        <w:rPr>
          <w:rFonts w:hint="eastAsia" w:ascii="宋体" w:hAnsi="宋体" w:eastAsia="宋体" w:cs="宋体"/>
          <w:color w:val="auto"/>
          <w:sz w:val="24"/>
          <w:szCs w:val="28"/>
          <w:highlight w:val="none"/>
          <w:lang w:val="en-US" w:eastAsia="zh-CN"/>
        </w:rPr>
        <w:t>采购人</w:t>
      </w:r>
      <w:r>
        <w:rPr>
          <w:rFonts w:hint="eastAsia" w:ascii="宋体" w:hAnsi="宋体" w:eastAsia="宋体" w:cs="宋体"/>
          <w:color w:val="auto"/>
          <w:sz w:val="24"/>
          <w:szCs w:val="28"/>
          <w:highlight w:val="none"/>
        </w:rPr>
        <w:t>名称)：</w:t>
      </w:r>
    </w:p>
    <w:p>
      <w:pPr>
        <w:adjustRightInd w:val="0"/>
        <w:snapToGrid w:val="0"/>
        <w:spacing w:line="360" w:lineRule="auto"/>
        <w:ind w:firstLine="720" w:firstLineChars="30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鉴于你方作为</w:t>
      </w:r>
      <w:r>
        <w:rPr>
          <w:rFonts w:hint="eastAsia" w:ascii="宋体" w:hAnsi="宋体" w:eastAsia="宋体" w:cs="宋体"/>
          <w:color w:val="auto"/>
          <w:sz w:val="24"/>
          <w:szCs w:val="28"/>
          <w:highlight w:val="none"/>
          <w:lang w:val="en-US" w:eastAsia="zh-CN"/>
        </w:rPr>
        <w:t>采购人</w:t>
      </w:r>
      <w:r>
        <w:rPr>
          <w:rFonts w:hint="eastAsia" w:ascii="宋体" w:hAnsi="宋体" w:eastAsia="宋体" w:cs="宋体"/>
          <w:color w:val="auto"/>
          <w:sz w:val="24"/>
          <w:szCs w:val="28"/>
          <w:highlight w:val="none"/>
        </w:rPr>
        <w:t>已经与</w:t>
      </w: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rPr>
        <w:t xml:space="preserve"> (</w:t>
      </w:r>
      <w:r>
        <w:rPr>
          <w:rFonts w:hint="eastAsia" w:ascii="宋体" w:hAnsi="宋体" w:eastAsia="宋体" w:cs="宋体"/>
          <w:color w:val="auto"/>
          <w:sz w:val="24"/>
          <w:szCs w:val="28"/>
          <w:highlight w:val="none"/>
          <w:lang w:eastAsia="zh-CN"/>
        </w:rPr>
        <w:t>乙方</w:t>
      </w:r>
      <w:r>
        <w:rPr>
          <w:rFonts w:hint="eastAsia" w:ascii="宋体" w:hAnsi="宋体" w:eastAsia="宋体" w:cs="宋体"/>
          <w:color w:val="auto"/>
          <w:sz w:val="24"/>
          <w:szCs w:val="28"/>
          <w:highlight w:val="none"/>
        </w:rPr>
        <w:t>名称</w:t>
      </w:r>
      <w:r>
        <w:rPr>
          <w:rFonts w:hint="eastAsia" w:ascii="宋体" w:hAnsi="宋体" w:eastAsia="宋体" w:cs="宋体"/>
          <w:color w:val="auto"/>
          <w:sz w:val="24"/>
          <w:szCs w:val="28"/>
          <w:highlight w:val="none"/>
          <w:lang w:eastAsia="zh-CN"/>
        </w:rPr>
        <w:t>，</w:t>
      </w:r>
      <w:r>
        <w:rPr>
          <w:rFonts w:hint="eastAsia" w:ascii="宋体" w:hAnsi="宋体" w:eastAsia="宋体" w:cs="宋体"/>
          <w:color w:val="auto"/>
          <w:sz w:val="24"/>
          <w:szCs w:val="28"/>
          <w:highlight w:val="none"/>
        </w:rPr>
        <w:t>以下称“</w:t>
      </w:r>
      <w:r>
        <w:rPr>
          <w:rFonts w:hint="eastAsia" w:ascii="宋体" w:hAnsi="宋体" w:eastAsia="宋体" w:cs="宋体"/>
          <w:color w:val="auto"/>
          <w:sz w:val="24"/>
          <w:szCs w:val="28"/>
          <w:highlight w:val="none"/>
          <w:lang w:eastAsia="zh-CN"/>
        </w:rPr>
        <w:t>乙方</w:t>
      </w:r>
      <w:r>
        <w:rPr>
          <w:rFonts w:hint="eastAsia" w:ascii="宋体" w:hAnsi="宋体" w:eastAsia="宋体" w:cs="宋体"/>
          <w:color w:val="auto"/>
          <w:sz w:val="24"/>
          <w:szCs w:val="28"/>
          <w:highlight w:val="none"/>
        </w:rPr>
        <w:t>”)于</w:t>
      </w: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u w:val="single"/>
          <w:lang w:val="en-US" w:eastAsia="zh-CN"/>
        </w:rPr>
        <w:t xml:space="preserve">  </w:t>
      </w: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rPr>
        <w:t>年</w:t>
      </w: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u w:val="single"/>
          <w:lang w:val="en-US" w:eastAsia="zh-CN"/>
        </w:rPr>
        <w:t xml:space="preserve"> </w:t>
      </w: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rPr>
        <w:t>月</w:t>
      </w: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rPr>
        <w:t>日签订了</w:t>
      </w: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u w:val="single"/>
          <w:lang w:val="en-US" w:eastAsia="zh-CN"/>
        </w:rPr>
        <w:t xml:space="preserve"> </w:t>
      </w: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rPr>
        <w:t xml:space="preserve"> (工程名称</w:t>
      </w:r>
      <w:r>
        <w:rPr>
          <w:rFonts w:hint="eastAsia" w:ascii="宋体" w:hAnsi="宋体" w:eastAsia="宋体" w:cs="宋体"/>
          <w:color w:val="auto"/>
          <w:sz w:val="24"/>
          <w:szCs w:val="28"/>
          <w:highlight w:val="none"/>
          <w:lang w:eastAsia="zh-CN"/>
        </w:rPr>
        <w:t>，</w:t>
      </w:r>
      <w:r>
        <w:rPr>
          <w:rFonts w:hint="eastAsia" w:ascii="宋体" w:hAnsi="宋体" w:eastAsia="宋体" w:cs="宋体"/>
          <w:color w:val="auto"/>
          <w:sz w:val="24"/>
          <w:szCs w:val="28"/>
          <w:highlight w:val="none"/>
        </w:rPr>
        <w:t>以下称“主合同”)，应</w:t>
      </w:r>
      <w:r>
        <w:rPr>
          <w:rFonts w:hint="eastAsia" w:ascii="宋体" w:hAnsi="宋体" w:eastAsia="宋体" w:cs="宋体"/>
          <w:color w:val="auto"/>
          <w:sz w:val="24"/>
          <w:szCs w:val="28"/>
          <w:highlight w:val="none"/>
          <w:lang w:eastAsia="zh-CN"/>
        </w:rPr>
        <w:t>乙方</w:t>
      </w:r>
      <w:r>
        <w:rPr>
          <w:rFonts w:hint="eastAsia" w:ascii="宋体" w:hAnsi="宋体" w:eastAsia="宋体" w:cs="宋体"/>
          <w:color w:val="auto"/>
          <w:sz w:val="24"/>
          <w:szCs w:val="28"/>
          <w:highlight w:val="none"/>
        </w:rPr>
        <w:t>申请，我方愿就</w:t>
      </w:r>
      <w:r>
        <w:rPr>
          <w:rFonts w:hint="eastAsia" w:ascii="宋体" w:hAnsi="宋体" w:eastAsia="宋体" w:cs="宋体"/>
          <w:color w:val="auto"/>
          <w:sz w:val="24"/>
          <w:szCs w:val="28"/>
          <w:highlight w:val="none"/>
          <w:lang w:eastAsia="zh-CN"/>
        </w:rPr>
        <w:t>乙方</w:t>
      </w:r>
      <w:r>
        <w:rPr>
          <w:rFonts w:hint="eastAsia" w:ascii="宋体" w:hAnsi="宋体" w:eastAsia="宋体" w:cs="宋体"/>
          <w:color w:val="auto"/>
          <w:sz w:val="24"/>
          <w:szCs w:val="28"/>
          <w:highlight w:val="none"/>
        </w:rPr>
        <w:t>履行主合同约定的义务以保证的方式向你方提供如下担保：</w:t>
      </w:r>
    </w:p>
    <w:p>
      <w:pPr>
        <w:adjustRightInd w:val="0"/>
        <w:snapToGrid w:val="0"/>
        <w:spacing w:line="360" w:lineRule="auto"/>
        <w:ind w:firstLine="480" w:firstLineChars="20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一、保证的范围及保证金额</w:t>
      </w:r>
    </w:p>
    <w:p>
      <w:pPr>
        <w:adjustRightInd w:val="0"/>
        <w:snapToGrid w:val="0"/>
        <w:spacing w:line="360" w:lineRule="auto"/>
        <w:ind w:firstLine="480" w:firstLineChars="20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我方的保证范围是</w:t>
      </w:r>
      <w:r>
        <w:rPr>
          <w:rFonts w:hint="eastAsia" w:ascii="宋体" w:hAnsi="宋体" w:eastAsia="宋体" w:cs="宋体"/>
          <w:color w:val="auto"/>
          <w:sz w:val="24"/>
          <w:szCs w:val="28"/>
          <w:highlight w:val="none"/>
          <w:lang w:eastAsia="zh-CN"/>
        </w:rPr>
        <w:t>乙方</w:t>
      </w:r>
      <w:r>
        <w:rPr>
          <w:rFonts w:hint="eastAsia" w:ascii="宋体" w:hAnsi="宋体" w:eastAsia="宋体" w:cs="宋体"/>
          <w:color w:val="auto"/>
          <w:sz w:val="24"/>
          <w:szCs w:val="28"/>
          <w:highlight w:val="none"/>
        </w:rPr>
        <w:t>未按照主合同的约定履行义务，给你方造成的实际损失。</w:t>
      </w:r>
    </w:p>
    <w:p>
      <w:pPr>
        <w:adjustRightInd w:val="0"/>
        <w:snapToGrid w:val="0"/>
        <w:spacing w:line="360" w:lineRule="auto"/>
        <w:ind w:firstLine="480" w:firstLineChars="20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我方保证的金额是主合同约定的合同总价款</w:t>
      </w: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u w:val="single"/>
          <w:lang w:val="en-US" w:eastAsia="zh-CN"/>
        </w:rPr>
        <w:t xml:space="preserve"> </w:t>
      </w: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u w:val="single"/>
          <w:lang w:val="en-US" w:eastAsia="zh-CN"/>
        </w:rPr>
        <w:t xml:space="preserve"> </w:t>
      </w: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rPr>
        <w:t>%，数额最高不超过人民币</w:t>
      </w: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u w:val="single"/>
          <w:lang w:val="en-US" w:eastAsia="zh-CN"/>
        </w:rPr>
        <w:t xml:space="preserve"> </w:t>
      </w:r>
      <w:r>
        <w:rPr>
          <w:rFonts w:hint="eastAsia" w:ascii="宋体" w:hAnsi="宋体" w:eastAsia="宋体" w:cs="宋体"/>
          <w:color w:val="auto"/>
          <w:sz w:val="24"/>
          <w:szCs w:val="28"/>
          <w:highlight w:val="none"/>
        </w:rPr>
        <w:t>元(大写)。</w:t>
      </w:r>
    </w:p>
    <w:p>
      <w:pPr>
        <w:adjustRightInd w:val="0"/>
        <w:snapToGrid w:val="0"/>
        <w:spacing w:line="360" w:lineRule="auto"/>
        <w:ind w:firstLine="480" w:firstLineChars="20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二、保证的方式及保证期间</w:t>
      </w:r>
    </w:p>
    <w:p>
      <w:pPr>
        <w:adjustRightInd w:val="0"/>
        <w:snapToGrid w:val="0"/>
        <w:spacing w:line="360" w:lineRule="auto"/>
        <w:ind w:firstLine="480" w:firstLineChars="20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我方保证的方式为：连带责任保证。</w:t>
      </w:r>
    </w:p>
    <w:p>
      <w:pPr>
        <w:adjustRightInd w:val="0"/>
        <w:snapToGrid w:val="0"/>
        <w:spacing w:line="360" w:lineRule="auto"/>
        <w:ind w:firstLine="480" w:firstLineChars="20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我方保证的期间为：自本合同生效之日起至工程合同约定的工程竣工验收合格之日后六个月内。即截止时间为</w:t>
      </w: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u w:val="single"/>
          <w:lang w:val="en-US" w:eastAsia="zh-CN"/>
        </w:rPr>
        <w:t xml:space="preserve">  </w:t>
      </w: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rPr>
        <w:t>年</w:t>
      </w: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u w:val="single"/>
          <w:lang w:val="en-US" w:eastAsia="zh-CN"/>
        </w:rPr>
        <w:t xml:space="preserve">  </w:t>
      </w: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rPr>
        <w:t>月</w:t>
      </w: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u w:val="single"/>
          <w:lang w:val="en-US" w:eastAsia="zh-CN"/>
        </w:rPr>
        <w:t xml:space="preserve">  </w:t>
      </w: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rPr>
        <w:t>日。如实际开工时间超过合同约定的开工时间15日以上，担保有效截止时间相应延长。</w:t>
      </w:r>
    </w:p>
    <w:p>
      <w:pPr>
        <w:adjustRightInd w:val="0"/>
        <w:snapToGrid w:val="0"/>
        <w:spacing w:line="360" w:lineRule="auto"/>
        <w:ind w:firstLine="480" w:firstLineChars="20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你方与</w:t>
      </w:r>
      <w:r>
        <w:rPr>
          <w:rFonts w:hint="eastAsia" w:ascii="宋体" w:hAnsi="宋体" w:eastAsia="宋体" w:cs="宋体"/>
          <w:color w:val="auto"/>
          <w:sz w:val="24"/>
          <w:szCs w:val="28"/>
          <w:highlight w:val="none"/>
          <w:lang w:eastAsia="zh-CN"/>
        </w:rPr>
        <w:t>乙方</w:t>
      </w:r>
      <w:r>
        <w:rPr>
          <w:rFonts w:hint="eastAsia" w:ascii="宋体" w:hAnsi="宋体" w:eastAsia="宋体" w:cs="宋体"/>
          <w:color w:val="auto"/>
          <w:sz w:val="24"/>
          <w:szCs w:val="28"/>
          <w:highlight w:val="none"/>
        </w:rPr>
        <w:t>协议变更工程竣工日期的，保证期间按照变更后的竣工日期作相应调整。</w:t>
      </w:r>
    </w:p>
    <w:p>
      <w:pPr>
        <w:adjustRightInd w:val="0"/>
        <w:snapToGrid w:val="0"/>
        <w:spacing w:line="360" w:lineRule="auto"/>
        <w:ind w:firstLine="480" w:firstLineChars="20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三、承担保证责任的形式</w:t>
      </w:r>
    </w:p>
    <w:p>
      <w:pPr>
        <w:adjustRightInd w:val="0"/>
        <w:snapToGrid w:val="0"/>
        <w:spacing w:line="360" w:lineRule="auto"/>
        <w:ind w:firstLine="480" w:firstLineChars="20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我方按照你方的要求以下列方式之一承担保证责任：</w:t>
      </w:r>
    </w:p>
    <w:p>
      <w:pPr>
        <w:adjustRightInd w:val="0"/>
        <w:snapToGrid w:val="0"/>
        <w:spacing w:line="360" w:lineRule="auto"/>
        <w:ind w:firstLine="480" w:firstLineChars="20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(1)由我方提供资金及技术援助，使</w:t>
      </w:r>
      <w:r>
        <w:rPr>
          <w:rFonts w:hint="eastAsia" w:ascii="宋体" w:hAnsi="宋体" w:eastAsia="宋体" w:cs="宋体"/>
          <w:color w:val="auto"/>
          <w:sz w:val="24"/>
          <w:szCs w:val="28"/>
          <w:highlight w:val="none"/>
          <w:lang w:eastAsia="zh-CN"/>
        </w:rPr>
        <w:t>乙方</w:t>
      </w:r>
      <w:r>
        <w:rPr>
          <w:rFonts w:hint="eastAsia" w:ascii="宋体" w:hAnsi="宋体" w:eastAsia="宋体" w:cs="宋体"/>
          <w:color w:val="auto"/>
          <w:sz w:val="24"/>
          <w:szCs w:val="28"/>
          <w:highlight w:val="none"/>
        </w:rPr>
        <w:t>继续履行主合同义务，支付金额不超过本保函第一条规定的保证金额。</w:t>
      </w:r>
    </w:p>
    <w:p>
      <w:pPr>
        <w:adjustRightInd w:val="0"/>
        <w:snapToGrid w:val="0"/>
        <w:spacing w:line="360" w:lineRule="auto"/>
        <w:ind w:firstLine="480" w:firstLineChars="20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(2)由我方在本保函第一条规定的保证金额内赔偿你方的损失。</w:t>
      </w:r>
    </w:p>
    <w:p>
      <w:pPr>
        <w:adjustRightInd w:val="0"/>
        <w:snapToGrid w:val="0"/>
        <w:spacing w:line="360" w:lineRule="auto"/>
        <w:ind w:firstLine="480" w:firstLineChars="20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四、代偿的安排</w:t>
      </w:r>
    </w:p>
    <w:p>
      <w:pPr>
        <w:adjustRightInd w:val="0"/>
        <w:snapToGrid w:val="0"/>
        <w:spacing w:line="360" w:lineRule="auto"/>
        <w:ind w:firstLine="480" w:firstLineChars="20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你方要求我方承担保证责任的，应向我方发出书面索赔通知及</w:t>
      </w:r>
      <w:r>
        <w:rPr>
          <w:rFonts w:hint="eastAsia" w:ascii="宋体" w:hAnsi="宋体" w:eastAsia="宋体" w:cs="宋体"/>
          <w:color w:val="auto"/>
          <w:sz w:val="24"/>
          <w:szCs w:val="28"/>
          <w:highlight w:val="none"/>
          <w:lang w:eastAsia="zh-CN"/>
        </w:rPr>
        <w:t>乙方</w:t>
      </w:r>
      <w:r>
        <w:rPr>
          <w:rFonts w:hint="eastAsia" w:ascii="宋体" w:hAnsi="宋体" w:eastAsia="宋体" w:cs="宋体"/>
          <w:color w:val="auto"/>
          <w:sz w:val="24"/>
          <w:szCs w:val="28"/>
          <w:highlight w:val="none"/>
        </w:rPr>
        <w:t>未履行主合同约定义务的证明材料。索赔通知应写明要求索赔的金额，支付款项应到达的帐号，并附有说明</w:t>
      </w:r>
      <w:r>
        <w:rPr>
          <w:rFonts w:hint="eastAsia" w:ascii="宋体" w:hAnsi="宋体" w:eastAsia="宋体" w:cs="宋体"/>
          <w:color w:val="auto"/>
          <w:sz w:val="24"/>
          <w:szCs w:val="28"/>
          <w:highlight w:val="none"/>
          <w:lang w:eastAsia="zh-CN"/>
        </w:rPr>
        <w:t>乙方</w:t>
      </w:r>
      <w:r>
        <w:rPr>
          <w:rFonts w:hint="eastAsia" w:ascii="宋体" w:hAnsi="宋体" w:eastAsia="宋体" w:cs="宋体"/>
          <w:color w:val="auto"/>
          <w:sz w:val="24"/>
          <w:szCs w:val="28"/>
          <w:highlight w:val="none"/>
        </w:rPr>
        <w:t>违反主合同造成你方损失情况的证明材料。</w:t>
      </w:r>
    </w:p>
    <w:p>
      <w:pPr>
        <w:adjustRightInd w:val="0"/>
        <w:snapToGrid w:val="0"/>
        <w:spacing w:line="360" w:lineRule="auto"/>
        <w:ind w:firstLine="480" w:firstLineChars="20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你方以工程质量不符合主合同约定标准为由，向我方提出违约索赔的，还需同时提供符合相应条件要求的工程质量检测部门出具的质量说明材料。</w:t>
      </w:r>
    </w:p>
    <w:p>
      <w:pPr>
        <w:adjustRightInd w:val="0"/>
        <w:snapToGrid w:val="0"/>
        <w:spacing w:line="360" w:lineRule="auto"/>
        <w:ind w:firstLine="480" w:firstLineChars="20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我方收到你方的书面索赔通知及相应证明材料后，在</w:t>
      </w: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u w:val="single"/>
          <w:lang w:val="en-US" w:eastAsia="zh-CN"/>
        </w:rPr>
        <w:t xml:space="preserve">  </w:t>
      </w: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rPr>
        <w:t>工作日内进行核定后按照本保函的承诺承担保证责任。</w:t>
      </w:r>
    </w:p>
    <w:p>
      <w:pPr>
        <w:adjustRightInd w:val="0"/>
        <w:snapToGrid w:val="0"/>
        <w:spacing w:line="360" w:lineRule="auto"/>
        <w:ind w:firstLine="480" w:firstLineChars="20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五、保证责任的解除</w:t>
      </w:r>
    </w:p>
    <w:p>
      <w:pPr>
        <w:adjustRightInd w:val="0"/>
        <w:snapToGrid w:val="0"/>
        <w:spacing w:line="360" w:lineRule="auto"/>
        <w:ind w:firstLine="480" w:firstLineChars="20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1、在本保函承诺的保证期间内，你方未书面向我方主张保证责任的，自保证期间届满次日起，我方保证责任解除。</w:t>
      </w:r>
    </w:p>
    <w:p>
      <w:pPr>
        <w:adjustRightInd w:val="0"/>
        <w:snapToGrid w:val="0"/>
        <w:spacing w:line="360" w:lineRule="auto"/>
        <w:ind w:firstLine="480" w:firstLineChars="20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2、</w:t>
      </w:r>
      <w:r>
        <w:rPr>
          <w:rFonts w:hint="eastAsia" w:ascii="宋体" w:hAnsi="宋体" w:eastAsia="宋体" w:cs="宋体"/>
          <w:color w:val="auto"/>
          <w:sz w:val="24"/>
          <w:szCs w:val="28"/>
          <w:highlight w:val="none"/>
          <w:lang w:eastAsia="zh-CN"/>
        </w:rPr>
        <w:t>乙方</w:t>
      </w:r>
      <w:r>
        <w:rPr>
          <w:rFonts w:hint="eastAsia" w:ascii="宋体" w:hAnsi="宋体" w:eastAsia="宋体" w:cs="宋体"/>
          <w:color w:val="auto"/>
          <w:sz w:val="24"/>
          <w:szCs w:val="28"/>
          <w:highlight w:val="none"/>
        </w:rPr>
        <w:t>按主合同约定履行了义务的，自本保函承诺的保证期间届满次日起，我方保证责任解除。</w:t>
      </w:r>
    </w:p>
    <w:p>
      <w:pPr>
        <w:adjustRightInd w:val="0"/>
        <w:snapToGrid w:val="0"/>
        <w:spacing w:line="360" w:lineRule="auto"/>
        <w:ind w:firstLine="480" w:firstLineChars="20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3、我方按照本保函向你方履行保证责任所支付的金额达到本保函保证金额时，自我方向你方支付(支付款项从我方帐户划出)之日起，保证责任即解除。</w:t>
      </w:r>
    </w:p>
    <w:p>
      <w:pPr>
        <w:adjustRightInd w:val="0"/>
        <w:snapToGrid w:val="0"/>
        <w:spacing w:line="360" w:lineRule="auto"/>
        <w:ind w:firstLine="480" w:firstLineChars="20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4、按照法律法规的规定或出现应解除我方保证责任的其它情形的，我方在本保函项下的保证责任亦解除。</w:t>
      </w:r>
    </w:p>
    <w:p>
      <w:pPr>
        <w:adjustRightInd w:val="0"/>
        <w:snapToGrid w:val="0"/>
        <w:spacing w:line="360" w:lineRule="auto"/>
        <w:ind w:firstLine="480" w:firstLineChars="20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我方解除保证责任后，你方应自我方保证责任解除之日起</w:t>
      </w: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u w:val="single"/>
          <w:lang w:val="en-US" w:eastAsia="zh-CN"/>
        </w:rPr>
        <w:t xml:space="preserve">  </w:t>
      </w: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rPr>
        <w:t>个工作日内，将本保函原件返还我方。</w:t>
      </w:r>
    </w:p>
    <w:p>
      <w:pPr>
        <w:adjustRightInd w:val="0"/>
        <w:snapToGrid w:val="0"/>
        <w:spacing w:line="360" w:lineRule="auto"/>
        <w:ind w:firstLine="480" w:firstLineChars="20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六、免责条款</w:t>
      </w:r>
    </w:p>
    <w:p>
      <w:pPr>
        <w:adjustRightInd w:val="0"/>
        <w:snapToGrid w:val="0"/>
        <w:spacing w:line="360" w:lineRule="auto"/>
        <w:ind w:firstLine="480" w:firstLineChars="20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1、因你方违约致使</w:t>
      </w:r>
      <w:r>
        <w:rPr>
          <w:rFonts w:hint="eastAsia" w:ascii="宋体" w:hAnsi="宋体" w:eastAsia="宋体" w:cs="宋体"/>
          <w:color w:val="auto"/>
          <w:sz w:val="24"/>
          <w:szCs w:val="28"/>
          <w:highlight w:val="none"/>
          <w:lang w:eastAsia="zh-CN"/>
        </w:rPr>
        <w:t>乙方</w:t>
      </w:r>
      <w:r>
        <w:rPr>
          <w:rFonts w:hint="eastAsia" w:ascii="宋体" w:hAnsi="宋体" w:eastAsia="宋体" w:cs="宋体"/>
          <w:color w:val="auto"/>
          <w:sz w:val="24"/>
          <w:szCs w:val="28"/>
          <w:highlight w:val="none"/>
        </w:rPr>
        <w:t>不能履行义务的，我方不承担保证责任。</w:t>
      </w:r>
    </w:p>
    <w:p>
      <w:pPr>
        <w:adjustRightInd w:val="0"/>
        <w:snapToGrid w:val="0"/>
        <w:spacing w:line="360" w:lineRule="auto"/>
        <w:ind w:firstLine="480" w:firstLineChars="20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2、依照法律法规的规定或你方与</w:t>
      </w:r>
      <w:r>
        <w:rPr>
          <w:rFonts w:hint="eastAsia" w:ascii="宋体" w:hAnsi="宋体" w:eastAsia="宋体" w:cs="宋体"/>
          <w:color w:val="auto"/>
          <w:sz w:val="24"/>
          <w:szCs w:val="28"/>
          <w:highlight w:val="none"/>
          <w:lang w:eastAsia="zh-CN"/>
        </w:rPr>
        <w:t>乙方</w:t>
      </w:r>
      <w:r>
        <w:rPr>
          <w:rFonts w:hint="eastAsia" w:ascii="宋体" w:hAnsi="宋体" w:eastAsia="宋体" w:cs="宋体"/>
          <w:color w:val="auto"/>
          <w:sz w:val="24"/>
          <w:szCs w:val="28"/>
          <w:highlight w:val="none"/>
        </w:rPr>
        <w:t>的另行约定，免除</w:t>
      </w:r>
      <w:r>
        <w:rPr>
          <w:rFonts w:hint="eastAsia" w:ascii="宋体" w:hAnsi="宋体" w:eastAsia="宋体" w:cs="宋体"/>
          <w:color w:val="auto"/>
          <w:sz w:val="24"/>
          <w:szCs w:val="28"/>
          <w:highlight w:val="none"/>
          <w:lang w:eastAsia="zh-CN"/>
        </w:rPr>
        <w:t>乙方</w:t>
      </w:r>
      <w:r>
        <w:rPr>
          <w:rFonts w:hint="eastAsia" w:ascii="宋体" w:hAnsi="宋体" w:eastAsia="宋体" w:cs="宋体"/>
          <w:color w:val="auto"/>
          <w:sz w:val="24"/>
          <w:szCs w:val="28"/>
          <w:highlight w:val="none"/>
        </w:rPr>
        <w:t>部分或全部义务的，我方亦免除其相应的保证责任。</w:t>
      </w:r>
    </w:p>
    <w:p>
      <w:pPr>
        <w:adjustRightInd w:val="0"/>
        <w:snapToGrid w:val="0"/>
        <w:spacing w:line="360" w:lineRule="auto"/>
        <w:ind w:firstLine="480" w:firstLineChars="20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3、你方与</w:t>
      </w:r>
      <w:r>
        <w:rPr>
          <w:rFonts w:hint="eastAsia" w:ascii="宋体" w:hAnsi="宋体" w:eastAsia="宋体" w:cs="宋体"/>
          <w:color w:val="auto"/>
          <w:sz w:val="24"/>
          <w:szCs w:val="28"/>
          <w:highlight w:val="none"/>
          <w:lang w:eastAsia="zh-CN"/>
        </w:rPr>
        <w:t>乙方</w:t>
      </w:r>
      <w:r>
        <w:rPr>
          <w:rFonts w:hint="eastAsia" w:ascii="宋体" w:hAnsi="宋体" w:eastAsia="宋体" w:cs="宋体"/>
          <w:color w:val="auto"/>
          <w:sz w:val="24"/>
          <w:szCs w:val="28"/>
          <w:highlight w:val="none"/>
        </w:rPr>
        <w:t>协议变更主合同，如加重</w:t>
      </w:r>
      <w:r>
        <w:rPr>
          <w:rFonts w:hint="eastAsia" w:ascii="宋体" w:hAnsi="宋体" w:eastAsia="宋体" w:cs="宋体"/>
          <w:color w:val="auto"/>
          <w:sz w:val="24"/>
          <w:szCs w:val="28"/>
          <w:highlight w:val="none"/>
          <w:lang w:eastAsia="zh-CN"/>
        </w:rPr>
        <w:t>乙方</w:t>
      </w:r>
      <w:r>
        <w:rPr>
          <w:rFonts w:hint="eastAsia" w:ascii="宋体" w:hAnsi="宋体" w:eastAsia="宋体" w:cs="宋体"/>
          <w:color w:val="auto"/>
          <w:sz w:val="24"/>
          <w:szCs w:val="28"/>
          <w:highlight w:val="none"/>
        </w:rPr>
        <w:t>责任致使我方保证责任加重的，需征得我方书面同意，否则我方不再承担因此而加重部分的保证责任。</w:t>
      </w:r>
    </w:p>
    <w:p>
      <w:pPr>
        <w:adjustRightInd w:val="0"/>
        <w:snapToGrid w:val="0"/>
        <w:spacing w:line="360" w:lineRule="auto"/>
        <w:ind w:firstLine="480" w:firstLineChars="20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4、因不可抗力造成</w:t>
      </w:r>
      <w:r>
        <w:rPr>
          <w:rFonts w:hint="eastAsia" w:ascii="宋体" w:hAnsi="宋体" w:eastAsia="宋体" w:cs="宋体"/>
          <w:color w:val="auto"/>
          <w:sz w:val="24"/>
          <w:szCs w:val="28"/>
          <w:highlight w:val="none"/>
          <w:lang w:eastAsia="zh-CN"/>
        </w:rPr>
        <w:t>乙方</w:t>
      </w:r>
      <w:r>
        <w:rPr>
          <w:rFonts w:hint="eastAsia" w:ascii="宋体" w:hAnsi="宋体" w:eastAsia="宋体" w:cs="宋体"/>
          <w:color w:val="auto"/>
          <w:sz w:val="24"/>
          <w:szCs w:val="28"/>
          <w:highlight w:val="none"/>
        </w:rPr>
        <w:t>不能履行义务的，我方不承担保证责任。</w:t>
      </w:r>
    </w:p>
    <w:p>
      <w:pPr>
        <w:adjustRightInd w:val="0"/>
        <w:snapToGrid w:val="0"/>
        <w:spacing w:line="360" w:lineRule="auto"/>
        <w:ind w:firstLine="480" w:firstLineChars="20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七、争议的解决</w:t>
      </w:r>
    </w:p>
    <w:p>
      <w:pPr>
        <w:adjustRightInd w:val="0"/>
        <w:snapToGrid w:val="0"/>
        <w:spacing w:line="360" w:lineRule="auto"/>
        <w:ind w:firstLine="480" w:firstLineChars="20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因本保函发生的纠纷，由贵我双方协商解决，协商不成的，任何一方均可向人民法院起诉或提请绍兴仲裁委员会仲裁。</w:t>
      </w:r>
    </w:p>
    <w:p>
      <w:pPr>
        <w:adjustRightInd w:val="0"/>
        <w:snapToGrid w:val="0"/>
        <w:spacing w:line="360" w:lineRule="auto"/>
        <w:ind w:firstLine="480" w:firstLineChars="20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八、保函的生效</w:t>
      </w:r>
    </w:p>
    <w:p>
      <w:pPr>
        <w:adjustRightInd w:val="0"/>
        <w:snapToGrid w:val="0"/>
        <w:spacing w:line="360" w:lineRule="auto"/>
        <w:ind w:firstLine="480" w:firstLineChars="20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本保函自我方法定代表人(或其授权代理人)签字或加盖公章并交付你方之日起生效。</w:t>
      </w:r>
    </w:p>
    <w:p>
      <w:pPr>
        <w:adjustRightInd w:val="0"/>
        <w:snapToGrid w:val="0"/>
        <w:spacing w:line="360" w:lineRule="auto"/>
        <w:ind w:firstLine="480" w:firstLineChars="20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本条所称交付是指：</w:t>
      </w: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rPr>
        <w:t>。</w:t>
      </w:r>
    </w:p>
    <w:p>
      <w:pPr>
        <w:pStyle w:val="7"/>
        <w:rPr>
          <w:rFonts w:hint="eastAsia"/>
          <w:color w:val="auto"/>
          <w:highlight w:val="none"/>
        </w:rPr>
      </w:pPr>
    </w:p>
    <w:p>
      <w:pPr>
        <w:adjustRightInd w:val="0"/>
        <w:snapToGrid w:val="0"/>
        <w:spacing w:line="360" w:lineRule="auto"/>
        <w:ind w:firstLine="4080" w:firstLineChars="1700"/>
        <w:jc w:val="left"/>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担保人：</w:t>
      </w: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u w:val="single"/>
          <w:lang w:val="en-US" w:eastAsia="zh-CN"/>
        </w:rPr>
        <w:t xml:space="preserve">             </w:t>
      </w:r>
      <w:r>
        <w:rPr>
          <w:rFonts w:hint="eastAsia" w:ascii="宋体" w:hAnsi="宋体" w:eastAsia="宋体" w:cs="宋体"/>
          <w:color w:val="auto"/>
          <w:sz w:val="24"/>
          <w:szCs w:val="28"/>
          <w:highlight w:val="none"/>
        </w:rPr>
        <w:t xml:space="preserve"> (盖单位章)</w:t>
      </w:r>
    </w:p>
    <w:p>
      <w:pPr>
        <w:adjustRightInd w:val="0"/>
        <w:snapToGrid w:val="0"/>
        <w:spacing w:line="360" w:lineRule="auto"/>
        <w:ind w:firstLine="4080" w:firstLineChars="1700"/>
        <w:jc w:val="left"/>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法定代表人或其委托代理人：</w:t>
      </w:r>
      <w:r>
        <w:rPr>
          <w:rFonts w:hint="eastAsia" w:ascii="宋体" w:hAnsi="宋体" w:eastAsia="宋体" w:cs="宋体"/>
          <w:color w:val="auto"/>
          <w:sz w:val="24"/>
          <w:szCs w:val="28"/>
          <w:highlight w:val="none"/>
          <w:u w:val="single"/>
          <w:lang w:val="en-US" w:eastAsia="zh-CN"/>
        </w:rPr>
        <w:t xml:space="preserve">        </w:t>
      </w: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rPr>
        <w:t>(签字)</w:t>
      </w:r>
    </w:p>
    <w:p>
      <w:pPr>
        <w:adjustRightInd w:val="0"/>
        <w:snapToGrid w:val="0"/>
        <w:spacing w:line="360" w:lineRule="auto"/>
        <w:ind w:firstLine="4008" w:firstLineChars="167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地    址：</w:t>
      </w: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u w:val="single"/>
          <w:lang w:val="en-US" w:eastAsia="zh-CN"/>
        </w:rPr>
        <w:t xml:space="preserve">   </w:t>
      </w: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u w:val="single"/>
          <w:lang w:val="en-US" w:eastAsia="zh-CN"/>
        </w:rPr>
        <w:t xml:space="preserve">    </w:t>
      </w:r>
    </w:p>
    <w:p>
      <w:pPr>
        <w:adjustRightInd w:val="0"/>
        <w:snapToGrid w:val="0"/>
        <w:spacing w:line="360" w:lineRule="auto"/>
        <w:ind w:firstLine="4008" w:firstLineChars="1670"/>
        <w:rPr>
          <w:rFonts w:hint="eastAsia" w:ascii="宋体" w:hAnsi="宋体" w:eastAsia="宋体" w:cs="宋体"/>
          <w:color w:val="auto"/>
          <w:sz w:val="24"/>
          <w:szCs w:val="28"/>
          <w:highlight w:val="none"/>
          <w:u w:val="single"/>
        </w:rPr>
      </w:pPr>
      <w:r>
        <w:rPr>
          <w:rFonts w:hint="eastAsia" w:ascii="宋体" w:hAnsi="宋体" w:eastAsia="宋体" w:cs="宋体"/>
          <w:color w:val="auto"/>
          <w:sz w:val="24"/>
          <w:szCs w:val="28"/>
          <w:highlight w:val="none"/>
        </w:rPr>
        <w:t>邮政编码：</w:t>
      </w: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u w:val="single"/>
          <w:lang w:val="en-US" w:eastAsia="zh-CN"/>
        </w:rPr>
        <w:t xml:space="preserve">   </w:t>
      </w:r>
      <w:r>
        <w:rPr>
          <w:rFonts w:hint="eastAsia" w:ascii="宋体" w:hAnsi="宋体" w:eastAsia="宋体" w:cs="宋体"/>
          <w:color w:val="auto"/>
          <w:sz w:val="24"/>
          <w:szCs w:val="28"/>
          <w:highlight w:val="none"/>
          <w:u w:val="single"/>
        </w:rPr>
        <w:t xml:space="preserve">    </w:t>
      </w:r>
    </w:p>
    <w:p>
      <w:pPr>
        <w:adjustRightInd w:val="0"/>
        <w:snapToGrid w:val="0"/>
        <w:spacing w:line="360" w:lineRule="auto"/>
        <w:ind w:firstLine="4008" w:firstLineChars="167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电    话：</w:t>
      </w: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u w:val="single"/>
          <w:lang w:val="en-US" w:eastAsia="zh-CN"/>
        </w:rPr>
        <w:t xml:space="preserve">   </w:t>
      </w:r>
      <w:r>
        <w:rPr>
          <w:rFonts w:hint="eastAsia" w:ascii="宋体" w:hAnsi="宋体" w:eastAsia="宋体" w:cs="宋体"/>
          <w:color w:val="auto"/>
          <w:sz w:val="24"/>
          <w:szCs w:val="28"/>
          <w:highlight w:val="none"/>
          <w:u w:val="single"/>
        </w:rPr>
        <w:t xml:space="preserve">      </w:t>
      </w:r>
    </w:p>
    <w:p>
      <w:pPr>
        <w:adjustRightInd w:val="0"/>
        <w:snapToGrid w:val="0"/>
        <w:spacing w:line="360" w:lineRule="auto"/>
        <w:ind w:firstLine="4008" w:firstLineChars="167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传    真：</w:t>
      </w: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u w:val="single"/>
          <w:lang w:val="en-US" w:eastAsia="zh-CN"/>
        </w:rPr>
        <w:t xml:space="preserve">   </w:t>
      </w:r>
      <w:r>
        <w:rPr>
          <w:rFonts w:hint="eastAsia" w:ascii="宋体" w:hAnsi="宋体" w:eastAsia="宋体" w:cs="宋体"/>
          <w:color w:val="auto"/>
          <w:sz w:val="24"/>
          <w:szCs w:val="28"/>
          <w:highlight w:val="none"/>
          <w:u w:val="single"/>
        </w:rPr>
        <w:t xml:space="preserve">  </w:t>
      </w:r>
    </w:p>
    <w:p>
      <w:pPr>
        <w:pStyle w:val="7"/>
        <w:ind w:firstLine="5301" w:firstLineChars="2209"/>
        <w:rPr>
          <w:rFonts w:hint="eastAsia" w:ascii="宋体" w:hAnsi="宋体" w:eastAsia="宋体" w:cs="宋体"/>
          <w:color w:val="auto"/>
          <w:szCs w:val="21"/>
          <w:highlight w:val="none"/>
        </w:rPr>
      </w:pP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rPr>
        <w:t>年</w:t>
      </w: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u w:val="single"/>
          <w:lang w:val="en-US" w:eastAsia="zh-CN"/>
        </w:rPr>
        <w:t xml:space="preserve"> </w:t>
      </w: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rPr>
        <w:t>月</w:t>
      </w: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rPr>
        <w:t>日</w:t>
      </w:r>
      <w:r>
        <w:rPr>
          <w:rFonts w:hint="eastAsia" w:ascii="宋体" w:hAnsi="宋体" w:eastAsia="宋体" w:cs="宋体"/>
          <w:color w:val="auto"/>
          <w:szCs w:val="21"/>
          <w:highlight w:val="none"/>
        </w:rPr>
        <w:t xml:space="preserve"> </w:t>
      </w:r>
    </w:p>
    <w:p>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br w:type="page"/>
      </w:r>
    </w:p>
    <w:p>
      <w:pPr>
        <w:pStyle w:val="3"/>
        <w:bidi w:val="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附件八：</w:t>
      </w:r>
    </w:p>
    <w:p>
      <w:pPr>
        <w:pStyle w:val="59"/>
        <w:adjustRightInd w:val="0"/>
        <w:snapToGrid w:val="0"/>
        <w:spacing w:line="360" w:lineRule="auto"/>
        <w:jc w:val="center"/>
        <w:rPr>
          <w:rFonts w:hint="eastAsia" w:ascii="宋体" w:hAnsi="宋体" w:eastAsia="宋体" w:cs="宋体"/>
          <w:b/>
          <w:bCs/>
          <w:color w:val="auto"/>
          <w:kern w:val="28"/>
          <w:sz w:val="32"/>
          <w:szCs w:val="32"/>
          <w:highlight w:val="none"/>
          <w:lang w:val="en-US" w:eastAsia="zh-CN" w:bidi="ar-SA"/>
        </w:rPr>
      </w:pPr>
      <w:r>
        <w:rPr>
          <w:rFonts w:hint="eastAsia" w:ascii="宋体" w:hAnsi="宋体" w:eastAsia="宋体" w:cs="宋体"/>
          <w:b/>
          <w:bCs/>
          <w:color w:val="auto"/>
          <w:kern w:val="28"/>
          <w:sz w:val="32"/>
          <w:szCs w:val="32"/>
          <w:highlight w:val="none"/>
          <w:lang w:val="en-US" w:eastAsia="zh-CN" w:bidi="ar-SA"/>
        </w:rPr>
        <w:t>总承包服务管理费约定</w:t>
      </w:r>
    </w:p>
    <w:p>
      <w:pPr>
        <w:pStyle w:val="74"/>
        <w:adjustRightInd w:val="0"/>
        <w:snapToGrid w:val="0"/>
        <w:spacing w:line="360" w:lineRule="auto"/>
        <w:ind w:firstLine="420"/>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一、费用规定</w:t>
      </w:r>
    </w:p>
    <w:p>
      <w:pPr>
        <w:pStyle w:val="74"/>
        <w:adjustRightInd w:val="0"/>
        <w:snapToGrid w:val="0"/>
        <w:spacing w:line="360" w:lineRule="auto"/>
        <w:ind w:firstLine="420"/>
        <w:rPr>
          <w:rFonts w:hint="eastAsia" w:ascii="宋体" w:hAnsi="宋体" w:eastAsia="宋体" w:cs="宋体"/>
          <w:bCs/>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招标人在本次发包范围以外，另行招标或委托的专业分包工程（或发包人提供的材料、设备）均纳入总承包管理范围，施工总承包服务费由发包人进行支付。其它工程及超出部分由承包人在投标报价中综合考虑，不另行计取其他费用。总承包服务管理费费率按以下条款约定进行计取</w:t>
      </w:r>
      <w:r>
        <w:rPr>
          <w:rFonts w:hint="eastAsia" w:ascii="宋体" w:hAnsi="宋体" w:eastAsia="宋体" w:cs="宋体"/>
          <w:bCs/>
          <w:color w:val="000000" w:themeColor="text1"/>
          <w:szCs w:val="21"/>
          <w:highlight w:val="none"/>
          <w14:textFill>
            <w14:solidFill>
              <w14:schemeClr w14:val="tx1"/>
            </w14:solidFill>
          </w14:textFill>
        </w:rPr>
        <w:t>：</w:t>
      </w:r>
    </w:p>
    <w:p>
      <w:pPr>
        <w:pStyle w:val="59"/>
        <w:numPr>
          <w:ilvl w:val="0"/>
          <w:numId w:val="54"/>
        </w:numPr>
        <w:adjustRightInd w:val="0"/>
        <w:snapToGrid w:val="0"/>
        <w:spacing w:line="360" w:lineRule="auto"/>
        <w:ind w:firstLine="420"/>
        <w:rPr>
          <w:rFonts w:hint="eastAsia" w:ascii="宋体" w:hAnsi="宋体" w:eastAsia="宋体" w:cs="宋体"/>
          <w:bCs/>
          <w:color w:val="000000" w:themeColor="text1"/>
          <w:szCs w:val="21"/>
          <w:highlight w:val="none"/>
          <w14:textFill>
            <w14:solidFill>
              <w14:schemeClr w14:val="tx1"/>
            </w14:solidFill>
          </w14:textFill>
        </w:rPr>
      </w:pPr>
      <w:r>
        <w:rPr>
          <w:rFonts w:hint="eastAsia" w:ascii="宋体" w:hAnsi="宋体" w:eastAsia="宋体" w:cs="宋体"/>
          <w:bCs/>
          <w:color w:val="000000" w:themeColor="text1"/>
          <w:szCs w:val="21"/>
          <w:highlight w:val="none"/>
          <w14:textFill>
            <w14:solidFill>
              <w14:schemeClr w14:val="tx1"/>
            </w14:solidFill>
          </w14:textFill>
        </w:rPr>
        <w:t>室内精装修工程按中标价的2%计取；</w:t>
      </w:r>
    </w:p>
    <w:p>
      <w:pPr>
        <w:pStyle w:val="59"/>
        <w:numPr>
          <w:ilvl w:val="0"/>
          <w:numId w:val="54"/>
        </w:numPr>
        <w:adjustRightInd w:val="0"/>
        <w:snapToGrid w:val="0"/>
        <w:spacing w:line="360" w:lineRule="auto"/>
        <w:ind w:firstLine="400" w:firstLineChars="20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bCs/>
          <w:color w:val="000000" w:themeColor="text1"/>
          <w:szCs w:val="21"/>
          <w:highlight w:val="none"/>
          <w14:textFill>
            <w14:solidFill>
              <w14:schemeClr w14:val="tx1"/>
            </w14:solidFill>
          </w14:textFill>
        </w:rPr>
        <w:t>智能化工程、直升机停机坪、室外工程、洁净工程、医用气体、医用纯水、放射防护、标识与交通设施工程、实验室工程、物流传输系统、污水处理系统、厨房设备等按专业分包工程中标价的1%计取；</w:t>
      </w:r>
    </w:p>
    <w:p>
      <w:pPr>
        <w:pStyle w:val="59"/>
        <w:numPr>
          <w:ilvl w:val="0"/>
          <w:numId w:val="54"/>
        </w:numPr>
        <w:adjustRightInd w:val="0"/>
        <w:snapToGrid w:val="0"/>
        <w:spacing w:line="360" w:lineRule="auto"/>
        <w:ind w:firstLine="400" w:firstLineChars="200"/>
        <w:rPr>
          <w:rFonts w:hint="eastAsia" w:ascii="宋体" w:hAnsi="宋体" w:eastAsia="宋体" w:cs="宋体"/>
          <w:bCs/>
          <w:color w:val="000000" w:themeColor="text1"/>
          <w:szCs w:val="21"/>
          <w:highlight w:val="none"/>
          <w14:textFill>
            <w14:solidFill>
              <w14:schemeClr w14:val="tx1"/>
            </w14:solidFill>
          </w14:textFill>
        </w:rPr>
      </w:pPr>
      <w:r>
        <w:rPr>
          <w:rFonts w:hint="eastAsia" w:ascii="宋体" w:hAnsi="宋体" w:eastAsia="宋体" w:cs="宋体"/>
          <w:bCs/>
          <w:color w:val="000000" w:themeColor="text1"/>
          <w:szCs w:val="21"/>
          <w:highlight w:val="none"/>
          <w14:textFill>
            <w14:solidFill>
              <w14:schemeClr w14:val="tx1"/>
            </w14:solidFill>
          </w14:textFill>
        </w:rPr>
        <w:t>光伏工程、充电桩、机械停车位、绿化工程、围墙、大门按专业分包工程中标价的1%计取；</w:t>
      </w:r>
    </w:p>
    <w:p>
      <w:pPr>
        <w:pStyle w:val="59"/>
        <w:numPr>
          <w:ilvl w:val="0"/>
          <w:numId w:val="54"/>
        </w:numPr>
        <w:adjustRightInd w:val="0"/>
        <w:snapToGrid w:val="0"/>
        <w:spacing w:line="360" w:lineRule="auto"/>
        <w:ind w:firstLine="400" w:firstLineChars="200"/>
        <w:rPr>
          <w:rFonts w:hint="eastAsia" w:ascii="宋体" w:hAnsi="宋体" w:eastAsia="宋体" w:cs="宋体"/>
          <w:bCs/>
          <w:color w:val="000000" w:themeColor="text1"/>
          <w:szCs w:val="21"/>
          <w:highlight w:val="none"/>
          <w14:textFill>
            <w14:solidFill>
              <w14:schemeClr w14:val="tx1"/>
            </w14:solidFill>
          </w14:textFill>
        </w:rPr>
      </w:pPr>
      <w:r>
        <w:rPr>
          <w:rFonts w:hint="eastAsia" w:ascii="宋体" w:hAnsi="宋体" w:eastAsia="宋体" w:cs="宋体"/>
          <w:bCs/>
          <w:color w:val="000000" w:themeColor="text1"/>
          <w:szCs w:val="21"/>
          <w:highlight w:val="none"/>
          <w14:textFill>
            <w14:solidFill>
              <w14:schemeClr w14:val="tx1"/>
            </w14:solidFill>
          </w14:textFill>
        </w:rPr>
        <w:t>高低压配电与外线接入工程、燃气工程、医疗设备、有线电视及通讯接入工程不予以计取，承包人需在投标报价中一并考虑。</w:t>
      </w:r>
    </w:p>
    <w:p>
      <w:pPr>
        <w:pStyle w:val="74"/>
        <w:adjustRightInd w:val="0"/>
        <w:snapToGrid w:val="0"/>
        <w:spacing w:line="360" w:lineRule="auto"/>
        <w:ind w:firstLine="420"/>
        <w:rPr>
          <w:rFonts w:hint="eastAsia" w:ascii="宋体" w:hAnsi="宋体" w:eastAsia="宋体" w:cs="宋体"/>
          <w:b/>
          <w:bCs/>
          <w:snapToGrid w:val="0"/>
          <w:color w:val="000000" w:themeColor="text1"/>
          <w:szCs w:val="21"/>
          <w:highlight w:val="none"/>
          <w14:textFill>
            <w14:solidFill>
              <w14:schemeClr w14:val="tx1"/>
            </w14:solidFill>
          </w14:textFill>
        </w:rPr>
      </w:pPr>
      <w:r>
        <w:rPr>
          <w:rFonts w:hint="eastAsia" w:ascii="宋体" w:hAnsi="宋体" w:eastAsia="宋体" w:cs="宋体"/>
          <w:b/>
          <w:bCs/>
          <w:snapToGrid w:val="0"/>
          <w:color w:val="000000" w:themeColor="text1"/>
          <w:szCs w:val="21"/>
          <w:highlight w:val="none"/>
          <w14:textFill>
            <w14:solidFill>
              <w14:schemeClr w14:val="tx1"/>
            </w14:solidFill>
          </w14:textFill>
        </w:rPr>
        <w:t>5、</w:t>
      </w:r>
      <w:r>
        <w:rPr>
          <w:rFonts w:hint="eastAsia" w:ascii="宋体" w:hAnsi="宋体" w:eastAsia="宋体" w:cs="宋体"/>
          <w:b/>
          <w:bCs/>
          <w:snapToGrid w:val="0"/>
          <w:color w:val="000000" w:themeColor="text1"/>
          <w:szCs w:val="21"/>
          <w:highlight w:val="none"/>
          <w:lang w:val="en-US" w:eastAsia="zh-CN"/>
          <w14:textFill>
            <w14:solidFill>
              <w14:schemeClr w14:val="tx1"/>
            </w14:solidFill>
          </w14:textFill>
        </w:rPr>
        <w:t>总承包服务费不计入投标总报价。投标人中标后，</w:t>
      </w:r>
      <w:r>
        <w:rPr>
          <w:rFonts w:hint="eastAsia" w:ascii="宋体" w:hAnsi="宋体" w:eastAsia="宋体" w:cs="宋体"/>
          <w:b/>
          <w:bCs/>
          <w:snapToGrid w:val="0"/>
          <w:color w:val="000000" w:themeColor="text1"/>
          <w:szCs w:val="21"/>
          <w:highlight w:val="none"/>
          <w14:textFill>
            <w14:solidFill>
              <w14:schemeClr w14:val="tx1"/>
            </w14:solidFill>
          </w14:textFill>
        </w:rPr>
        <w:t>总承包服务管理费费率按商务报价下浮率同比例下浮，总承包服务管理费计算基数为上述各专业分包工程中标价，总承包服务管理费在</w:t>
      </w:r>
      <w:r>
        <w:rPr>
          <w:rFonts w:hint="eastAsia" w:ascii="宋体" w:hAnsi="宋体" w:eastAsia="宋体" w:cs="宋体"/>
          <w:b/>
          <w:bCs/>
          <w:snapToGrid w:val="0"/>
          <w:color w:val="000000" w:themeColor="text1"/>
          <w:szCs w:val="21"/>
          <w:highlight w:val="none"/>
          <w:lang w:val="en-US" w:eastAsia="zh-CN"/>
          <w14:textFill>
            <w14:solidFill>
              <w14:schemeClr w14:val="tx1"/>
            </w14:solidFill>
          </w14:textFill>
        </w:rPr>
        <w:t>各专业分包工程竣工验收后</w:t>
      </w:r>
      <w:r>
        <w:rPr>
          <w:rFonts w:hint="eastAsia" w:ascii="宋体" w:hAnsi="宋体" w:eastAsia="宋体" w:cs="宋体"/>
          <w:b/>
          <w:bCs/>
          <w:snapToGrid w:val="0"/>
          <w:color w:val="000000" w:themeColor="text1"/>
          <w:szCs w:val="21"/>
          <w:highlight w:val="none"/>
          <w14:textFill>
            <w14:solidFill>
              <w14:schemeClr w14:val="tx1"/>
            </w14:solidFill>
          </w14:textFill>
        </w:rPr>
        <w:t>统一支付。</w:t>
      </w:r>
    </w:p>
    <w:p>
      <w:pPr>
        <w:pStyle w:val="74"/>
        <w:adjustRightInd w:val="0"/>
        <w:snapToGrid w:val="0"/>
        <w:spacing w:line="360" w:lineRule="auto"/>
        <w:ind w:firstLine="42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snapToGrid w:val="0"/>
          <w:color w:val="000000" w:themeColor="text1"/>
          <w:szCs w:val="21"/>
          <w:highlight w:val="none"/>
          <w14:textFill>
            <w14:solidFill>
              <w14:schemeClr w14:val="tx1"/>
            </w14:solidFill>
          </w14:textFill>
        </w:rPr>
        <w:t>6、在施工过程中，总包单位除此以外不得再向任何分包单位收取任何</w:t>
      </w:r>
      <w:r>
        <w:rPr>
          <w:rFonts w:hint="eastAsia" w:ascii="宋体" w:hAnsi="宋体" w:eastAsia="宋体" w:cs="宋体"/>
          <w:color w:val="000000" w:themeColor="text1"/>
          <w:szCs w:val="21"/>
          <w:highlight w:val="none"/>
          <w14:textFill>
            <w14:solidFill>
              <w14:schemeClr w14:val="tx1"/>
            </w14:solidFill>
          </w14:textFill>
        </w:rPr>
        <w:t>施工总承包服务费</w:t>
      </w:r>
      <w:r>
        <w:rPr>
          <w:rFonts w:hint="eastAsia" w:ascii="宋体" w:hAnsi="宋体" w:eastAsia="宋体" w:cs="宋体"/>
          <w:snapToGrid w:val="0"/>
          <w:color w:val="000000" w:themeColor="text1"/>
          <w:szCs w:val="21"/>
          <w:highlight w:val="none"/>
          <w14:textFill>
            <w14:solidFill>
              <w14:schemeClr w14:val="tx1"/>
            </w14:solidFill>
          </w14:textFill>
        </w:rPr>
        <w:t>，不得以收取管理配合费、提供现场场地等理由限制分包单位进场施工，并不得以任何理由推卸总包管理、协调和现场配合职责。施工过程中，如发现总包单位对某分包工程存在总包管理方面有不作为或消极作为的，扣除该分包工程的</w:t>
      </w:r>
      <w:r>
        <w:rPr>
          <w:rFonts w:hint="eastAsia" w:ascii="宋体" w:hAnsi="宋体" w:eastAsia="宋体" w:cs="宋体"/>
          <w:color w:val="000000" w:themeColor="text1"/>
          <w:szCs w:val="21"/>
          <w:highlight w:val="none"/>
          <w14:textFill>
            <w14:solidFill>
              <w14:schemeClr w14:val="tx1"/>
            </w14:solidFill>
          </w14:textFill>
        </w:rPr>
        <w:t>施工总承包服务费</w:t>
      </w:r>
      <w:r>
        <w:rPr>
          <w:rFonts w:hint="eastAsia" w:ascii="宋体" w:hAnsi="宋体" w:eastAsia="宋体" w:cs="宋体"/>
          <w:snapToGrid w:val="0"/>
          <w:color w:val="000000" w:themeColor="text1"/>
          <w:szCs w:val="21"/>
          <w:highlight w:val="none"/>
          <w14:textFill>
            <w14:solidFill>
              <w14:schemeClr w14:val="tx1"/>
            </w14:solidFill>
          </w14:textFill>
        </w:rPr>
        <w:t>，并按此进行加倍处罚。总包管理、协调及配合的日常检查工作由全过程咨询（含监理）负责，发包人监督执行。</w:t>
      </w:r>
    </w:p>
    <w:p>
      <w:pPr>
        <w:pStyle w:val="59"/>
        <w:adjustRightInd w:val="0"/>
        <w:snapToGrid w:val="0"/>
        <w:spacing w:line="360" w:lineRule="auto"/>
        <w:ind w:firstLine="400" w:firstLineChars="200"/>
        <w:rPr>
          <w:rFonts w:hint="eastAsia" w:ascii="宋体" w:hAnsi="宋体" w:eastAsia="宋体" w:cs="宋体"/>
          <w:bCs/>
          <w:color w:val="000000" w:themeColor="text1"/>
          <w:szCs w:val="21"/>
          <w:highlight w:val="none"/>
          <w14:textFill>
            <w14:solidFill>
              <w14:schemeClr w14:val="tx1"/>
            </w14:solidFill>
          </w14:textFill>
        </w:rPr>
      </w:pPr>
      <w:r>
        <w:rPr>
          <w:rFonts w:hint="eastAsia" w:ascii="宋体" w:hAnsi="宋体" w:eastAsia="宋体" w:cs="宋体"/>
          <w:bCs/>
          <w:color w:val="000000" w:themeColor="text1"/>
          <w:szCs w:val="21"/>
          <w:highlight w:val="none"/>
          <w14:textFill>
            <w14:solidFill>
              <w14:schemeClr w14:val="tx1"/>
            </w14:solidFill>
          </w14:textFill>
        </w:rPr>
        <w:t>二、服务范围</w:t>
      </w:r>
    </w:p>
    <w:p>
      <w:pPr>
        <w:pStyle w:val="59"/>
        <w:adjustRightInd w:val="0"/>
        <w:snapToGrid w:val="0"/>
        <w:spacing w:line="360" w:lineRule="auto"/>
        <w:ind w:firstLine="400" w:firstLineChars="200"/>
        <w:rPr>
          <w:rFonts w:hint="eastAsia" w:ascii="宋体" w:hAnsi="宋体" w:eastAsia="宋体" w:cs="宋体"/>
          <w:bCs/>
          <w:color w:val="000000" w:themeColor="text1"/>
          <w:szCs w:val="21"/>
          <w:highlight w:val="none"/>
          <w14:textFill>
            <w14:solidFill>
              <w14:schemeClr w14:val="tx1"/>
            </w14:solidFill>
          </w14:textFill>
        </w:rPr>
      </w:pPr>
      <w:r>
        <w:rPr>
          <w:rFonts w:hint="eastAsia" w:ascii="宋体" w:hAnsi="宋体" w:eastAsia="宋体" w:cs="宋体"/>
          <w:bCs/>
          <w:color w:val="000000" w:themeColor="text1"/>
          <w:szCs w:val="21"/>
          <w:highlight w:val="none"/>
          <w14:textFill>
            <w14:solidFill>
              <w14:schemeClr w14:val="tx1"/>
            </w14:solidFill>
          </w14:textFill>
        </w:rPr>
        <w:t>总承包服务管理具体是指承包人对工程项目范围内质量、安全、进度、文明施工的总管理、总协调、总控制的总承包管理要求。负责与专业分包单位签订总分包管理协议（配合费及安全管理协议）及管理，对发包人委托的专业分包单位实行管理，为专业分包单位创造必要施工条件，具体施工条件、服务范围、管理责任如下：</w:t>
      </w:r>
    </w:p>
    <w:p>
      <w:pPr>
        <w:pStyle w:val="59"/>
        <w:numPr>
          <w:ilvl w:val="0"/>
          <w:numId w:val="55"/>
        </w:numPr>
        <w:adjustRightInd w:val="0"/>
        <w:snapToGrid w:val="0"/>
        <w:spacing w:line="360" w:lineRule="auto"/>
        <w:ind w:firstLine="400" w:firstLineChars="200"/>
        <w:rPr>
          <w:rFonts w:hint="eastAsia" w:ascii="宋体" w:hAnsi="宋体" w:eastAsia="宋体" w:cs="宋体"/>
          <w:bCs/>
          <w:color w:val="000000" w:themeColor="text1"/>
          <w:szCs w:val="21"/>
          <w:highlight w:val="none"/>
          <w14:textFill>
            <w14:solidFill>
              <w14:schemeClr w14:val="tx1"/>
            </w14:solidFill>
          </w14:textFill>
        </w:rPr>
      </w:pPr>
      <w:r>
        <w:rPr>
          <w:rFonts w:hint="eastAsia" w:ascii="宋体" w:hAnsi="宋体" w:eastAsia="宋体" w:cs="宋体"/>
          <w:bCs/>
          <w:color w:val="000000" w:themeColor="text1"/>
          <w:szCs w:val="21"/>
          <w:highlight w:val="none"/>
          <w14:textFill>
            <w14:solidFill>
              <w14:schemeClr w14:val="tx1"/>
            </w14:solidFill>
          </w14:textFill>
        </w:rPr>
        <w:t>提供施工作业面及工地内其他的所有工程必要设施、材料堆场、脚手架、塔吊、垂直运输设备等；</w:t>
      </w:r>
    </w:p>
    <w:p>
      <w:pPr>
        <w:pStyle w:val="59"/>
        <w:numPr>
          <w:ilvl w:val="0"/>
          <w:numId w:val="55"/>
        </w:numPr>
        <w:adjustRightInd w:val="0"/>
        <w:snapToGrid w:val="0"/>
        <w:spacing w:line="360" w:lineRule="auto"/>
        <w:ind w:firstLine="400" w:firstLineChars="200"/>
        <w:rPr>
          <w:rFonts w:hint="eastAsia" w:ascii="宋体" w:hAnsi="宋体" w:eastAsia="宋体" w:cs="宋体"/>
          <w:bCs/>
          <w:color w:val="000000" w:themeColor="text1"/>
          <w:szCs w:val="21"/>
          <w:highlight w:val="none"/>
          <w14:textFill>
            <w14:solidFill>
              <w14:schemeClr w14:val="tx1"/>
            </w14:solidFill>
          </w14:textFill>
        </w:rPr>
      </w:pPr>
      <w:r>
        <w:rPr>
          <w:rFonts w:hint="eastAsia" w:ascii="宋体" w:hAnsi="宋体" w:eastAsia="宋体" w:cs="宋体"/>
          <w:bCs/>
          <w:color w:val="000000" w:themeColor="text1"/>
          <w:szCs w:val="21"/>
          <w:highlight w:val="none"/>
          <w14:textFill>
            <w14:solidFill>
              <w14:schemeClr w14:val="tx1"/>
            </w14:solidFill>
          </w14:textFill>
        </w:rPr>
        <w:t>提供必要的临时办公、住宿及仓储性用房，并提供生活食堂、卫生间等使用条件，临时生活、施工用水接口、施工用电接口并配合专业分包单位做好水电接入工作；</w:t>
      </w:r>
    </w:p>
    <w:p>
      <w:pPr>
        <w:pStyle w:val="59"/>
        <w:numPr>
          <w:ilvl w:val="0"/>
          <w:numId w:val="55"/>
        </w:numPr>
        <w:adjustRightInd w:val="0"/>
        <w:snapToGrid w:val="0"/>
        <w:spacing w:line="360" w:lineRule="auto"/>
        <w:ind w:firstLine="400" w:firstLineChars="200"/>
        <w:rPr>
          <w:rFonts w:hint="eastAsia" w:ascii="宋体" w:hAnsi="宋体" w:eastAsia="宋体" w:cs="宋体"/>
          <w:bCs/>
          <w:color w:val="000000" w:themeColor="text1"/>
          <w:szCs w:val="21"/>
          <w:highlight w:val="none"/>
          <w14:textFill>
            <w14:solidFill>
              <w14:schemeClr w14:val="tx1"/>
            </w14:solidFill>
          </w14:textFill>
        </w:rPr>
      </w:pPr>
      <w:r>
        <w:rPr>
          <w:rFonts w:hint="eastAsia" w:ascii="宋体" w:hAnsi="宋体" w:eastAsia="宋体" w:cs="宋体"/>
          <w:bCs/>
          <w:color w:val="000000" w:themeColor="text1"/>
          <w:szCs w:val="21"/>
          <w:highlight w:val="none"/>
          <w14:textFill>
            <w14:solidFill>
              <w14:schemeClr w14:val="tx1"/>
            </w14:solidFill>
          </w14:textFill>
        </w:rPr>
        <w:t>提供施工照明及动力电源，负荷及电源位置需满足发包人及专业分包单位使用要求，相关照明费用由总包单位承担；</w:t>
      </w:r>
    </w:p>
    <w:p>
      <w:pPr>
        <w:pStyle w:val="59"/>
        <w:numPr>
          <w:ilvl w:val="0"/>
          <w:numId w:val="55"/>
        </w:numPr>
        <w:adjustRightInd w:val="0"/>
        <w:snapToGrid w:val="0"/>
        <w:spacing w:line="360" w:lineRule="auto"/>
        <w:ind w:firstLine="400" w:firstLineChars="200"/>
        <w:rPr>
          <w:rFonts w:hint="eastAsia" w:ascii="宋体" w:hAnsi="宋体" w:eastAsia="宋体" w:cs="宋体"/>
          <w:bCs/>
          <w:color w:val="000000" w:themeColor="text1"/>
          <w:szCs w:val="21"/>
          <w:highlight w:val="none"/>
          <w14:textFill>
            <w14:solidFill>
              <w14:schemeClr w14:val="tx1"/>
            </w14:solidFill>
          </w14:textFill>
        </w:rPr>
      </w:pPr>
      <w:r>
        <w:rPr>
          <w:rFonts w:hint="eastAsia" w:ascii="宋体" w:hAnsi="宋体" w:eastAsia="宋体" w:cs="宋体"/>
          <w:bCs/>
          <w:color w:val="000000" w:themeColor="text1"/>
          <w:szCs w:val="21"/>
          <w:highlight w:val="none"/>
          <w14:textFill>
            <w14:solidFill>
              <w14:schemeClr w14:val="tx1"/>
            </w14:solidFill>
          </w14:textFill>
        </w:rPr>
        <w:t>预留合理的施工工期，将专业工程的工程进度、资料纳入承包人管理，并做好技术上、交叉施工中的管理和配合协调工作。</w:t>
      </w:r>
    </w:p>
    <w:p>
      <w:pPr>
        <w:numPr>
          <w:ilvl w:val="0"/>
          <w:numId w:val="55"/>
        </w:numPr>
        <w:adjustRightInd w:val="0"/>
        <w:snapToGrid w:val="0"/>
        <w:spacing w:line="360" w:lineRule="auto"/>
        <w:ind w:firstLine="400" w:firstLineChars="200"/>
        <w:rPr>
          <w:rFonts w:hint="eastAsia" w:ascii="宋体" w:hAnsi="宋体" w:eastAsia="宋体" w:cs="宋体"/>
          <w:bCs/>
          <w:color w:val="000000" w:themeColor="text1"/>
          <w:szCs w:val="21"/>
          <w:highlight w:val="none"/>
          <w14:textFill>
            <w14:solidFill>
              <w14:schemeClr w14:val="tx1"/>
            </w14:solidFill>
          </w14:textFill>
        </w:rPr>
      </w:pPr>
      <w:r>
        <w:rPr>
          <w:rFonts w:hint="eastAsia" w:ascii="宋体" w:hAnsi="宋体" w:eastAsia="宋体" w:cs="宋体"/>
          <w:bCs/>
          <w:color w:val="000000" w:themeColor="text1"/>
          <w:szCs w:val="21"/>
          <w:highlight w:val="none"/>
          <w14:textFill>
            <w14:solidFill>
              <w14:schemeClr w14:val="tx1"/>
            </w14:solidFill>
          </w14:textFill>
        </w:rPr>
        <w:t>对发包人指定的分包人在施工中合理的剔凿后，对门窗等各种洞口实施收边修补（包括但不限于：完成分包人遗留的门窗后塞口、栏杆补修、烟道补洞、安装补修等）；负责所有建筑垃圾及时清除和外运；竣工验收时统一清扫。</w:t>
      </w:r>
    </w:p>
    <w:p>
      <w:pPr>
        <w:pStyle w:val="59"/>
        <w:numPr>
          <w:ilvl w:val="0"/>
          <w:numId w:val="55"/>
        </w:numPr>
        <w:adjustRightInd w:val="0"/>
        <w:snapToGrid w:val="0"/>
        <w:spacing w:line="360" w:lineRule="auto"/>
        <w:ind w:firstLine="400" w:firstLineChars="200"/>
        <w:rPr>
          <w:rFonts w:hint="eastAsia" w:ascii="宋体" w:hAnsi="宋体" w:eastAsia="宋体" w:cs="宋体"/>
          <w:bCs/>
          <w:color w:val="000000" w:themeColor="text1"/>
          <w:szCs w:val="21"/>
          <w:highlight w:val="none"/>
          <w14:textFill>
            <w14:solidFill>
              <w14:schemeClr w14:val="tx1"/>
            </w14:solidFill>
          </w14:textFill>
        </w:rPr>
      </w:pPr>
      <w:r>
        <w:rPr>
          <w:rFonts w:hint="eastAsia" w:ascii="宋体" w:hAnsi="宋体" w:eastAsia="宋体" w:cs="宋体"/>
          <w:bCs/>
          <w:color w:val="000000" w:themeColor="text1"/>
          <w:szCs w:val="21"/>
          <w:highlight w:val="none"/>
          <w14:textFill>
            <w14:solidFill>
              <w14:schemeClr w14:val="tx1"/>
            </w14:solidFill>
          </w14:textFill>
        </w:rPr>
        <w:t>提供用水用电方便，须提供给其他分包人至二级箱，施工用电与用水必须达到发包人指定的供应量、供应位置；提供施工场地及工地通路；提供公共设施、卫生设施、施工所需以保障工地安全之围网、围板等设施；对工地作看管以防盗窃，包括指定分包人的物料损坏遗失；在本合同施工期内及工地范围内提供现有内外脚手架、水平及垂直运输工具以共同使用。</w:t>
      </w:r>
    </w:p>
    <w:p>
      <w:pPr>
        <w:pStyle w:val="59"/>
        <w:numPr>
          <w:ilvl w:val="0"/>
          <w:numId w:val="55"/>
        </w:numPr>
        <w:adjustRightInd w:val="0"/>
        <w:snapToGrid w:val="0"/>
        <w:spacing w:line="360" w:lineRule="auto"/>
        <w:ind w:firstLine="400" w:firstLineChars="200"/>
        <w:rPr>
          <w:rFonts w:hint="eastAsia" w:ascii="宋体" w:hAnsi="宋体" w:eastAsia="宋体" w:cs="宋体"/>
          <w:bCs/>
          <w:color w:val="000000" w:themeColor="text1"/>
          <w:szCs w:val="21"/>
          <w:highlight w:val="none"/>
          <w14:textFill>
            <w14:solidFill>
              <w14:schemeClr w14:val="tx1"/>
            </w14:solidFill>
          </w14:textFill>
        </w:rPr>
      </w:pPr>
      <w:r>
        <w:rPr>
          <w:rFonts w:hint="eastAsia" w:ascii="宋体" w:hAnsi="宋体" w:eastAsia="宋体" w:cs="宋体"/>
          <w:bCs/>
          <w:color w:val="000000" w:themeColor="text1"/>
          <w:szCs w:val="21"/>
          <w:highlight w:val="none"/>
          <w14:textFill>
            <w14:solidFill>
              <w14:schemeClr w14:val="tx1"/>
            </w14:solidFill>
          </w14:textFill>
        </w:rPr>
        <w:t>承担对专业分包单位的管理责任，对分包人的施工质量负责并承担相应管理责任；</w:t>
      </w:r>
    </w:p>
    <w:p>
      <w:pPr>
        <w:pStyle w:val="59"/>
        <w:numPr>
          <w:ilvl w:val="0"/>
          <w:numId w:val="55"/>
        </w:numPr>
        <w:adjustRightInd w:val="0"/>
        <w:snapToGrid w:val="0"/>
        <w:spacing w:line="360" w:lineRule="auto"/>
        <w:ind w:firstLine="400" w:firstLineChars="200"/>
        <w:rPr>
          <w:rFonts w:hint="default"/>
          <w:lang w:val="en-US" w:eastAsia="zh-CN"/>
        </w:rPr>
      </w:pPr>
      <w:r>
        <w:rPr>
          <w:rFonts w:hint="eastAsia" w:ascii="宋体" w:hAnsi="宋体" w:eastAsia="宋体" w:cs="宋体"/>
          <w:bCs/>
          <w:color w:val="000000" w:themeColor="text1"/>
          <w:szCs w:val="21"/>
          <w:highlight w:val="none"/>
          <w14:textFill>
            <w14:solidFill>
              <w14:schemeClr w14:val="tx1"/>
            </w14:solidFill>
          </w14:textFill>
        </w:rPr>
        <w:t>负责全部竣工资料的收集、整理和归档；负责本工程的档案管理，汇总各专业分包单位的档案资料、通过竣工资料的检查、验收和交付城建档案馆等工作。工程施工完毕，承包人必须提供准确的隐蔽管线布置详图，其中冷、热水管应在现场作油漆标示，作为竣工资料的组成部分之一。</w:t>
      </w:r>
    </w:p>
    <w:p>
      <w:pPr>
        <w:pStyle w:val="59"/>
        <w:numPr>
          <w:ilvl w:val="0"/>
          <w:numId w:val="55"/>
        </w:numPr>
        <w:adjustRightInd w:val="0"/>
        <w:snapToGrid w:val="0"/>
        <w:spacing w:line="360" w:lineRule="auto"/>
        <w:ind w:firstLine="400" w:firstLineChars="200"/>
        <w:rPr>
          <w:rFonts w:hint="default"/>
          <w:lang w:val="en-US" w:eastAsia="zh-CN"/>
        </w:rPr>
      </w:pPr>
      <w:r>
        <w:rPr>
          <w:rFonts w:hint="eastAsia" w:ascii="宋体" w:hAnsi="宋体" w:eastAsia="宋体" w:cs="宋体"/>
          <w:bCs/>
          <w:color w:val="000000" w:themeColor="text1"/>
          <w:szCs w:val="21"/>
          <w:highlight w:val="none"/>
          <w14:textFill>
            <w14:solidFill>
              <w14:schemeClr w14:val="tx1"/>
            </w14:solidFill>
          </w14:textFill>
        </w:rPr>
        <w:t>发包人指定承包人为专业分包单位服务的其他事项。</w:t>
      </w:r>
    </w:p>
    <w:p>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br w:type="page"/>
      </w:r>
    </w:p>
    <w:p>
      <w:pPr>
        <w:pStyle w:val="3"/>
        <w:bidi w:val="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附件九：</w:t>
      </w:r>
    </w:p>
    <w:p>
      <w:pPr>
        <w:spacing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bCs/>
          <w:color w:val="auto"/>
          <w:kern w:val="28"/>
          <w:sz w:val="32"/>
          <w:szCs w:val="32"/>
          <w:highlight w:val="none"/>
          <w:lang w:val="en-US" w:eastAsia="zh-CN" w:bidi="ar-SA"/>
        </w:rPr>
        <w:t>拟投入本项目人员</w:t>
      </w:r>
      <w:r>
        <w:rPr>
          <w:rFonts w:hint="eastAsia" w:cs="宋体"/>
          <w:b/>
          <w:bCs/>
          <w:color w:val="auto"/>
          <w:kern w:val="28"/>
          <w:sz w:val="32"/>
          <w:szCs w:val="32"/>
          <w:highlight w:val="none"/>
          <w:lang w:val="en-US" w:eastAsia="zh-CN" w:bidi="ar-SA"/>
        </w:rPr>
        <w:t>组成</w:t>
      </w:r>
      <w:r>
        <w:rPr>
          <w:rFonts w:hint="eastAsia" w:ascii="宋体" w:hAnsi="宋体" w:eastAsia="宋体" w:cs="宋体"/>
          <w:b/>
          <w:bCs/>
          <w:color w:val="auto"/>
          <w:kern w:val="28"/>
          <w:sz w:val="32"/>
          <w:szCs w:val="32"/>
          <w:highlight w:val="none"/>
          <w:lang w:val="en-US" w:eastAsia="zh-CN" w:bidi="ar-SA"/>
        </w:rPr>
        <w:t>表</w:t>
      </w:r>
      <w:r>
        <w:rPr>
          <w:rFonts w:hint="eastAsia" w:ascii="宋体" w:hAnsi="宋体" w:eastAsia="宋体" w:cs="宋体"/>
          <w:color w:val="auto"/>
          <w:sz w:val="24"/>
          <w:szCs w:val="24"/>
          <w:highlight w:val="none"/>
        </w:rPr>
        <w:br w:type="page"/>
      </w:r>
      <w:bookmarkStart w:id="507" w:name="_Toc20383"/>
      <w:bookmarkStart w:id="508" w:name="_Toc16078"/>
      <w:r>
        <w:rPr>
          <w:rFonts w:hint="eastAsia" w:ascii="宋体" w:hAnsi="宋体" w:eastAsia="宋体" w:cs="宋体"/>
          <w:b/>
          <w:color w:val="auto"/>
          <w:sz w:val="36"/>
          <w:szCs w:val="36"/>
          <w:highlight w:val="none"/>
        </w:rPr>
        <w:t>第六部分</w:t>
      </w:r>
      <w:bookmarkEnd w:id="486"/>
      <w:r>
        <w:rPr>
          <w:rFonts w:hint="eastAsia" w:ascii="宋体" w:hAnsi="宋体" w:eastAsia="宋体" w:cs="宋体"/>
          <w:b/>
          <w:color w:val="auto"/>
          <w:sz w:val="36"/>
          <w:szCs w:val="36"/>
          <w:highlight w:val="none"/>
        </w:rPr>
        <w:t xml:space="preserve"> </w:t>
      </w:r>
      <w:bookmarkEnd w:id="487"/>
      <w:r>
        <w:rPr>
          <w:rFonts w:hint="eastAsia" w:ascii="宋体" w:hAnsi="宋体" w:eastAsia="宋体" w:cs="宋体"/>
          <w:b/>
          <w:color w:val="auto"/>
          <w:sz w:val="36"/>
          <w:szCs w:val="36"/>
          <w:highlight w:val="none"/>
          <w:lang w:val="en-US" w:eastAsia="zh-CN"/>
        </w:rPr>
        <w:t xml:space="preserve"> </w:t>
      </w:r>
      <w:r>
        <w:rPr>
          <w:rFonts w:hint="eastAsia" w:ascii="宋体" w:hAnsi="宋体" w:eastAsia="宋体" w:cs="宋体"/>
          <w:b/>
          <w:color w:val="auto"/>
          <w:sz w:val="36"/>
          <w:szCs w:val="36"/>
          <w:highlight w:val="none"/>
        </w:rPr>
        <w:t>应提交的有关格式范例</w:t>
      </w:r>
      <w:bookmarkEnd w:id="507"/>
      <w:bookmarkEnd w:id="508"/>
    </w:p>
    <w:p>
      <w:pPr>
        <w:spacing w:line="360" w:lineRule="auto"/>
        <w:ind w:firstLine="480" w:firstLineChars="200"/>
        <w:outlineLvl w:val="9"/>
        <w:rPr>
          <w:rFonts w:hint="eastAsia" w:ascii="宋体" w:hAnsi="宋体" w:eastAsia="宋体" w:cs="宋体"/>
          <w:color w:val="auto"/>
          <w:sz w:val="24"/>
          <w:highlight w:val="none"/>
        </w:rPr>
      </w:pP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投标人按照以下格式编制投标文件，并将资格文件、商务技术文件</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报价文件分别</w:t>
      </w:r>
      <w:r>
        <w:rPr>
          <w:rFonts w:hint="eastAsia" w:ascii="宋体" w:hAnsi="宋体" w:eastAsia="宋体" w:cs="宋体"/>
          <w:color w:val="auto"/>
          <w:sz w:val="24"/>
          <w:highlight w:val="none"/>
          <w:lang w:eastAsia="zh-CN"/>
        </w:rPr>
        <w:t>上传，并</w:t>
      </w:r>
      <w:r>
        <w:rPr>
          <w:rFonts w:hint="eastAsia" w:ascii="宋体" w:hAnsi="宋体" w:eastAsia="宋体" w:cs="宋体"/>
          <w:color w:val="auto"/>
          <w:sz w:val="24"/>
          <w:highlight w:val="none"/>
        </w:rPr>
        <w:t>与招标文件的评分要点准确设置关联点。</w:t>
      </w:r>
    </w:p>
    <w:p>
      <w:pPr>
        <w:spacing w:line="360" w:lineRule="auto"/>
        <w:ind w:firstLine="482" w:firstLineChars="200"/>
        <w:rPr>
          <w:rFonts w:hint="eastAsia" w:ascii="宋体" w:hAnsi="宋体" w:eastAsia="宋体" w:cs="宋体"/>
          <w:b/>
          <w:color w:val="auto"/>
          <w:sz w:val="24"/>
          <w:highlight w:val="none"/>
          <w:lang w:eastAsia="zh-CN"/>
        </w:rPr>
      </w:pPr>
      <w:r>
        <w:rPr>
          <w:rFonts w:hint="eastAsia" w:ascii="宋体" w:hAnsi="宋体" w:eastAsia="宋体" w:cs="宋体"/>
          <w:b/>
          <w:color w:val="auto"/>
          <w:sz w:val="24"/>
          <w:highlight w:val="none"/>
        </w:rPr>
        <w:t>此格式内容仅为参考模板，具体内容投标人应根据招标文件要求进行调整。未按以下格式编制投标文件或因格式不规范、页码不清等原因引发的一切后果由投标人自行承担。</w:t>
      </w:r>
      <w:r>
        <w:rPr>
          <w:rFonts w:hint="eastAsia" w:eastAsia="宋体" w:cs="宋体"/>
          <w:b/>
          <w:color w:val="auto"/>
          <w:sz w:val="24"/>
          <w:highlight w:val="none"/>
          <w:lang w:eastAsia="zh-CN"/>
        </w:rPr>
        <w:t>招标文件中某些要求提交的内容未在以下列明格式的，投标人可自行拟定格式。</w:t>
      </w:r>
    </w:p>
    <w:p>
      <w:pPr>
        <w:spacing w:line="360" w:lineRule="auto"/>
        <w:ind w:firstLine="482" w:firstLineChars="200"/>
        <w:rPr>
          <w:rFonts w:hint="eastAsia" w:ascii="宋体" w:hAnsi="宋体" w:eastAsia="宋体" w:cs="宋体"/>
          <w:b/>
          <w:color w:val="auto"/>
          <w:sz w:val="24"/>
          <w:highlight w:val="none"/>
        </w:rPr>
      </w:pPr>
    </w:p>
    <w:p>
      <w:pPr>
        <w:spacing w:line="360" w:lineRule="auto"/>
        <w:ind w:firstLine="482" w:firstLineChars="200"/>
        <w:rPr>
          <w:rFonts w:hint="eastAsia" w:ascii="宋体" w:hAnsi="宋体" w:eastAsia="宋体" w:cs="宋体"/>
          <w:b/>
          <w:color w:val="auto"/>
          <w:sz w:val="24"/>
          <w:highlight w:val="none"/>
        </w:rPr>
      </w:pPr>
    </w:p>
    <w:p>
      <w:pPr>
        <w:spacing w:line="360" w:lineRule="auto"/>
        <w:ind w:firstLine="482" w:firstLineChars="200"/>
        <w:rPr>
          <w:rFonts w:hint="eastAsia" w:ascii="宋体" w:hAnsi="宋体" w:eastAsia="宋体" w:cs="宋体"/>
          <w:b/>
          <w:color w:val="auto"/>
          <w:sz w:val="24"/>
          <w:highlight w:val="none"/>
        </w:rPr>
      </w:pPr>
    </w:p>
    <w:p>
      <w:pPr>
        <w:spacing w:line="360" w:lineRule="auto"/>
        <w:ind w:firstLine="482" w:firstLineChars="200"/>
        <w:rPr>
          <w:rFonts w:hint="eastAsia" w:ascii="宋体" w:hAnsi="宋体" w:eastAsia="宋体" w:cs="宋体"/>
          <w:b/>
          <w:color w:val="auto"/>
          <w:sz w:val="24"/>
          <w:highlight w:val="none"/>
        </w:rPr>
      </w:pPr>
    </w:p>
    <w:p>
      <w:pPr>
        <w:spacing w:line="360" w:lineRule="auto"/>
        <w:ind w:firstLine="482" w:firstLineChars="200"/>
        <w:rPr>
          <w:rFonts w:hint="eastAsia" w:ascii="宋体" w:hAnsi="宋体" w:eastAsia="宋体" w:cs="宋体"/>
          <w:b/>
          <w:color w:val="auto"/>
          <w:sz w:val="24"/>
          <w:highlight w:val="none"/>
        </w:rPr>
      </w:pPr>
    </w:p>
    <w:p>
      <w:pPr>
        <w:spacing w:line="360" w:lineRule="auto"/>
        <w:ind w:firstLine="482" w:firstLineChars="200"/>
        <w:rPr>
          <w:rFonts w:hint="eastAsia" w:ascii="宋体" w:hAnsi="宋体" w:eastAsia="宋体" w:cs="宋体"/>
          <w:b/>
          <w:color w:val="auto"/>
          <w:sz w:val="24"/>
          <w:highlight w:val="none"/>
        </w:rPr>
      </w:pPr>
    </w:p>
    <w:p>
      <w:pPr>
        <w:spacing w:line="360" w:lineRule="auto"/>
        <w:ind w:firstLine="482" w:firstLineChars="200"/>
        <w:rPr>
          <w:rFonts w:hint="eastAsia" w:ascii="宋体" w:hAnsi="宋体" w:eastAsia="宋体" w:cs="宋体"/>
          <w:b/>
          <w:color w:val="auto"/>
          <w:sz w:val="24"/>
          <w:highlight w:val="none"/>
        </w:rPr>
      </w:pPr>
    </w:p>
    <w:p>
      <w:pPr>
        <w:spacing w:line="360" w:lineRule="auto"/>
        <w:ind w:firstLine="482" w:firstLineChars="200"/>
        <w:rPr>
          <w:rFonts w:hint="eastAsia" w:ascii="宋体" w:hAnsi="宋体" w:eastAsia="宋体" w:cs="宋体"/>
          <w:b/>
          <w:color w:val="auto"/>
          <w:sz w:val="24"/>
          <w:highlight w:val="none"/>
        </w:rPr>
      </w:pPr>
    </w:p>
    <w:p>
      <w:pPr>
        <w:spacing w:line="360" w:lineRule="auto"/>
        <w:ind w:firstLine="482" w:firstLineChars="200"/>
        <w:rPr>
          <w:rFonts w:hint="eastAsia" w:ascii="宋体" w:hAnsi="宋体" w:eastAsia="宋体" w:cs="宋体"/>
          <w:b/>
          <w:color w:val="auto"/>
          <w:sz w:val="24"/>
          <w:highlight w:val="none"/>
        </w:rPr>
      </w:pPr>
    </w:p>
    <w:p>
      <w:pPr>
        <w:spacing w:line="360" w:lineRule="auto"/>
        <w:ind w:firstLine="482" w:firstLineChars="200"/>
        <w:rPr>
          <w:rFonts w:hint="eastAsia" w:ascii="宋体" w:hAnsi="宋体" w:eastAsia="宋体" w:cs="宋体"/>
          <w:b/>
          <w:color w:val="auto"/>
          <w:sz w:val="24"/>
          <w:highlight w:val="none"/>
        </w:rPr>
      </w:pPr>
    </w:p>
    <w:p>
      <w:pPr>
        <w:spacing w:line="360" w:lineRule="auto"/>
        <w:ind w:firstLine="482" w:firstLineChars="200"/>
        <w:rPr>
          <w:rFonts w:hint="eastAsia" w:ascii="宋体" w:hAnsi="宋体" w:eastAsia="宋体" w:cs="宋体"/>
          <w:b/>
          <w:color w:val="auto"/>
          <w:sz w:val="24"/>
          <w:highlight w:val="none"/>
        </w:rPr>
      </w:pPr>
    </w:p>
    <w:p>
      <w:pPr>
        <w:spacing w:line="360" w:lineRule="auto"/>
        <w:ind w:firstLine="482" w:firstLineChars="200"/>
        <w:rPr>
          <w:rFonts w:hint="eastAsia" w:ascii="宋体" w:hAnsi="宋体" w:eastAsia="宋体" w:cs="宋体"/>
          <w:b/>
          <w:color w:val="auto"/>
          <w:sz w:val="24"/>
          <w:highlight w:val="none"/>
        </w:rPr>
      </w:pPr>
    </w:p>
    <w:p>
      <w:pPr>
        <w:spacing w:line="360" w:lineRule="auto"/>
        <w:ind w:firstLine="482" w:firstLineChars="200"/>
        <w:rPr>
          <w:rFonts w:hint="eastAsia" w:ascii="宋体" w:hAnsi="宋体" w:eastAsia="宋体" w:cs="宋体"/>
          <w:b/>
          <w:color w:val="auto"/>
          <w:sz w:val="24"/>
          <w:highlight w:val="none"/>
        </w:rPr>
      </w:pPr>
    </w:p>
    <w:p>
      <w:pPr>
        <w:spacing w:line="360" w:lineRule="auto"/>
        <w:ind w:firstLine="482" w:firstLineChars="200"/>
        <w:rPr>
          <w:rFonts w:hint="eastAsia" w:ascii="宋体" w:hAnsi="宋体" w:eastAsia="宋体" w:cs="宋体"/>
          <w:b/>
          <w:color w:val="auto"/>
          <w:sz w:val="24"/>
          <w:highlight w:val="none"/>
        </w:rPr>
      </w:pPr>
    </w:p>
    <w:p>
      <w:pPr>
        <w:spacing w:line="360" w:lineRule="auto"/>
        <w:ind w:firstLine="482" w:firstLineChars="200"/>
        <w:rPr>
          <w:rFonts w:hint="eastAsia" w:ascii="宋体" w:hAnsi="宋体" w:eastAsia="宋体" w:cs="宋体"/>
          <w:b/>
          <w:color w:val="auto"/>
          <w:sz w:val="24"/>
          <w:highlight w:val="none"/>
        </w:rPr>
      </w:pPr>
    </w:p>
    <w:p>
      <w:pPr>
        <w:spacing w:line="360" w:lineRule="auto"/>
        <w:ind w:firstLine="482" w:firstLineChars="200"/>
        <w:rPr>
          <w:rFonts w:hint="eastAsia" w:ascii="宋体" w:hAnsi="宋体" w:eastAsia="宋体" w:cs="宋体"/>
          <w:b/>
          <w:color w:val="auto"/>
          <w:sz w:val="24"/>
          <w:highlight w:val="none"/>
        </w:rPr>
      </w:pPr>
    </w:p>
    <w:p>
      <w:pPr>
        <w:spacing w:line="360" w:lineRule="auto"/>
        <w:ind w:firstLine="482" w:firstLineChars="200"/>
        <w:rPr>
          <w:rFonts w:hint="eastAsia" w:ascii="宋体" w:hAnsi="宋体" w:eastAsia="宋体" w:cs="宋体"/>
          <w:b/>
          <w:color w:val="auto"/>
          <w:sz w:val="24"/>
          <w:highlight w:val="none"/>
        </w:rPr>
      </w:pPr>
    </w:p>
    <w:p>
      <w:pPr>
        <w:spacing w:line="360" w:lineRule="auto"/>
        <w:ind w:firstLine="482" w:firstLineChars="200"/>
        <w:rPr>
          <w:rFonts w:hint="eastAsia" w:ascii="宋体" w:hAnsi="宋体" w:eastAsia="宋体" w:cs="宋体"/>
          <w:b/>
          <w:color w:val="auto"/>
          <w:sz w:val="24"/>
          <w:highlight w:val="none"/>
        </w:rPr>
      </w:pPr>
    </w:p>
    <w:p>
      <w:pPr>
        <w:spacing w:line="360" w:lineRule="auto"/>
        <w:ind w:firstLine="482" w:firstLineChars="200"/>
        <w:rPr>
          <w:rFonts w:hint="eastAsia" w:ascii="宋体" w:hAnsi="宋体" w:eastAsia="宋体" w:cs="宋体"/>
          <w:b/>
          <w:color w:val="auto"/>
          <w:sz w:val="24"/>
          <w:highlight w:val="none"/>
        </w:rPr>
      </w:pPr>
    </w:p>
    <w:p>
      <w:pPr>
        <w:spacing w:line="360" w:lineRule="auto"/>
        <w:ind w:firstLine="482" w:firstLineChars="200"/>
        <w:rPr>
          <w:rFonts w:hint="eastAsia" w:ascii="宋体" w:hAnsi="宋体" w:eastAsia="宋体" w:cs="宋体"/>
          <w:b/>
          <w:color w:val="auto"/>
          <w:sz w:val="24"/>
          <w:highlight w:val="none"/>
        </w:rPr>
      </w:pPr>
    </w:p>
    <w:p>
      <w:pPr>
        <w:pStyle w:val="3"/>
        <w:bidi w:val="0"/>
        <w:spacing w:line="360" w:lineRule="auto"/>
        <w:jc w:val="center"/>
        <w:rPr>
          <w:rFonts w:hint="eastAsia" w:ascii="宋体" w:hAnsi="宋体" w:eastAsia="宋体" w:cs="宋体"/>
          <w:color w:val="auto"/>
          <w:sz w:val="36"/>
          <w:szCs w:val="22"/>
          <w:highlight w:val="none"/>
          <w:lang w:eastAsia="zh-CN"/>
        </w:rPr>
      </w:pPr>
      <w:bookmarkStart w:id="509" w:name="_Toc23094"/>
      <w:r>
        <w:rPr>
          <w:rFonts w:hint="eastAsia" w:ascii="宋体" w:hAnsi="宋体" w:eastAsia="宋体" w:cs="宋体"/>
          <w:color w:val="auto"/>
          <w:sz w:val="36"/>
          <w:szCs w:val="22"/>
          <w:highlight w:val="none"/>
          <w:lang w:eastAsia="zh-CN"/>
        </w:rPr>
        <w:t>资格文件部分</w:t>
      </w:r>
      <w:bookmarkEnd w:id="509"/>
    </w:p>
    <w:p>
      <w:pPr>
        <w:bidi w:val="0"/>
        <w:spacing w:line="360" w:lineRule="auto"/>
        <w:jc w:val="center"/>
        <w:rPr>
          <w:rFonts w:hint="eastAsia" w:ascii="宋体" w:hAnsi="宋体" w:eastAsia="宋体" w:cs="宋体"/>
          <w:b/>
          <w:bCs/>
          <w:color w:val="auto"/>
          <w:sz w:val="40"/>
          <w:szCs w:val="44"/>
          <w:highlight w:val="none"/>
        </w:rPr>
      </w:pPr>
      <w:r>
        <w:rPr>
          <w:rFonts w:hint="eastAsia" w:ascii="宋体" w:hAnsi="宋体" w:eastAsia="宋体" w:cs="宋体"/>
          <w:b/>
          <w:bCs/>
          <w:color w:val="auto"/>
          <w:sz w:val="40"/>
          <w:szCs w:val="44"/>
          <w:highlight w:val="none"/>
        </w:rPr>
        <w:t>目录</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）法定代表人授权书</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（格式见附件）</w:t>
      </w:r>
    </w:p>
    <w:p>
      <w:pPr>
        <w:spacing w:line="360" w:lineRule="auto"/>
        <w:ind w:firstLine="480" w:firstLineChars="200"/>
        <w:rPr>
          <w:rFonts w:hint="eastAsia" w:ascii="宋体" w:hAnsi="宋体" w:eastAsia="宋体" w:cs="宋体"/>
          <w:b w:val="0"/>
          <w:bCs/>
          <w:color w:val="auto"/>
          <w:highlight w:val="none"/>
          <w:lang w:eastAsia="zh-CN"/>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eastAsia="zh-CN"/>
        </w:rPr>
        <w:t>声明</w:t>
      </w:r>
      <w:r>
        <w:rPr>
          <w:rFonts w:hint="eastAsia" w:ascii="宋体" w:hAnsi="宋体" w:eastAsia="宋体" w:cs="宋体"/>
          <w:color w:val="auto"/>
          <w:sz w:val="24"/>
          <w:highlight w:val="none"/>
        </w:rPr>
        <w:t>书</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（格式见附件）</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营业执照(或事业法人登记证或其他工商等登记证明材料)复印件、税务登记证(或其它缴纳证明材料)复印件、社保登记证（或其它缴纳证明材料）复印件；实施“五证合一、一照一码”登记制度改革的，只需提供改革后取得的营业执照复印件；事业单位的，则提供有效的《事业单位法人证书》副本复印件并加盖单位公章；</w:t>
      </w:r>
    </w:p>
    <w:p>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响应文件中提供相关材料），证明其具备实际承担责任的能力和法定的缔结合同能力，可以独立参加</w:t>
      </w:r>
      <w:r>
        <w:rPr>
          <w:rFonts w:hint="eastAsia" w:ascii="宋体" w:hAnsi="宋体" w:eastAsia="宋体" w:cs="宋体"/>
          <w:color w:val="auto"/>
          <w:sz w:val="24"/>
          <w:highlight w:val="none"/>
          <w:lang w:val="en-US" w:eastAsia="zh-CN"/>
        </w:rPr>
        <w:t>国企</w:t>
      </w:r>
      <w:r>
        <w:rPr>
          <w:rFonts w:hint="eastAsia" w:ascii="宋体" w:hAnsi="宋体" w:eastAsia="宋体" w:cs="宋体"/>
          <w:color w:val="auto"/>
          <w:sz w:val="24"/>
          <w:highlight w:val="none"/>
        </w:rPr>
        <w:t>采购活动，由单位负责人签署相关文件材料</w:t>
      </w:r>
      <w:r>
        <w:rPr>
          <w:rFonts w:hint="eastAsia" w:ascii="宋体" w:hAnsi="宋体" w:eastAsia="宋体" w:cs="宋体"/>
          <w:color w:val="auto"/>
          <w:sz w:val="24"/>
          <w:highlight w:val="none"/>
          <w:lang w:eastAsia="zh-CN"/>
        </w:rPr>
        <w:t>；</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）前一年度资产负债表等财务报表资料文件</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(新成立的公司，必须提供情况说明)</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）具有履行合同所必需的产品和专业技术能力的承诺函；</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）提供有效的依法缴纳税收证明（完税凭证或税务部门出具的证明）和提供有效的依法缴纳社会保障资金证明（缴纳凭证或人社部门出具的证明）；</w:t>
      </w:r>
    </w:p>
    <w:p>
      <w:pPr>
        <w:pStyle w:val="51"/>
        <w:numPr>
          <w:ilvl w:val="0"/>
          <w:numId w:val="0"/>
        </w:numPr>
        <w:spacing w:before="0" w:line="360" w:lineRule="auto"/>
        <w:ind w:leftChars="200"/>
        <w:rPr>
          <w:rFonts w:hint="eastAsia" w:ascii="宋体" w:hAnsi="宋体" w:eastAsia="宋体" w:cs="宋体"/>
          <w:color w:val="auto"/>
          <w:szCs w:val="24"/>
          <w:highlight w:val="none"/>
          <w:lang w:val="en-US" w:eastAsia="zh-CN"/>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7</w:t>
      </w:r>
      <w:r>
        <w:rPr>
          <w:rFonts w:hint="eastAsia" w:ascii="宋体" w:hAnsi="宋体" w:eastAsia="宋体" w:cs="宋体"/>
          <w:color w:val="auto"/>
          <w:sz w:val="24"/>
          <w:highlight w:val="none"/>
        </w:rPr>
        <w:t>）</w:t>
      </w:r>
      <w:r>
        <w:rPr>
          <w:rFonts w:hint="eastAsia" w:ascii="宋体" w:hAnsi="宋体" w:eastAsia="宋体" w:cs="宋体"/>
          <w:color w:val="auto"/>
          <w:szCs w:val="24"/>
          <w:highlight w:val="none"/>
        </w:rPr>
        <w:t>参加</w:t>
      </w:r>
      <w:r>
        <w:rPr>
          <w:rFonts w:hint="eastAsia" w:ascii="宋体" w:hAnsi="宋体" w:eastAsia="宋体" w:cs="宋体"/>
          <w:color w:val="auto"/>
          <w:szCs w:val="24"/>
          <w:highlight w:val="none"/>
          <w:lang w:val="en-US" w:eastAsia="zh-CN"/>
        </w:rPr>
        <w:t>国企</w:t>
      </w:r>
      <w:r>
        <w:rPr>
          <w:rFonts w:hint="eastAsia" w:ascii="宋体" w:hAnsi="宋体" w:eastAsia="宋体" w:cs="宋体"/>
          <w:color w:val="auto"/>
          <w:szCs w:val="24"/>
          <w:highlight w:val="none"/>
        </w:rPr>
        <w:t>采购活动前三年内，在经营活动中没有重大违法记录的声明</w:t>
      </w:r>
      <w:r>
        <w:rPr>
          <w:rFonts w:hint="eastAsia" w:ascii="宋体" w:hAnsi="宋体" w:eastAsia="宋体" w:cs="宋体"/>
          <w:color w:val="auto"/>
          <w:szCs w:val="24"/>
          <w:highlight w:val="none"/>
          <w:lang w:eastAsia="zh-CN"/>
        </w:rPr>
        <w:t>；</w:t>
      </w:r>
    </w:p>
    <w:p>
      <w:pPr>
        <w:pStyle w:val="51"/>
        <w:numPr>
          <w:ilvl w:val="0"/>
          <w:numId w:val="0"/>
        </w:numPr>
        <w:spacing w:before="0" w:line="360" w:lineRule="auto"/>
        <w:ind w:leftChars="200"/>
        <w:rPr>
          <w:rFonts w:hint="eastAsia" w:ascii="宋体" w:hAnsi="宋体" w:eastAsia="宋体" w:cs="宋体"/>
          <w:b/>
          <w:bCs/>
          <w:color w:val="auto"/>
          <w:szCs w:val="24"/>
          <w:highlight w:val="none"/>
          <w:lang w:val="en-US" w:eastAsia="zh-CN"/>
        </w:rPr>
      </w:pPr>
      <w:r>
        <w:rPr>
          <w:rFonts w:hint="eastAsia" w:cs="宋体"/>
          <w:b/>
          <w:bCs/>
          <w:color w:val="auto"/>
          <w:szCs w:val="24"/>
          <w:highlight w:val="none"/>
          <w:lang w:val="en-US" w:eastAsia="zh-CN"/>
        </w:rPr>
        <w:t>（8）提供采购公告中符合投标人特定条件要求的有效的其他资质复印件并加盖公司公章及需要说明的资料。</w:t>
      </w:r>
    </w:p>
    <w:p>
      <w:pPr>
        <w:pStyle w:val="51"/>
        <w:numPr>
          <w:ilvl w:val="0"/>
          <w:numId w:val="0"/>
        </w:numPr>
        <w:spacing w:before="0" w:line="360" w:lineRule="auto"/>
        <w:ind w:leftChars="200"/>
        <w:rPr>
          <w:rFonts w:hint="eastAsia" w:ascii="宋体" w:hAnsi="宋体" w:eastAsia="宋体" w:cs="宋体"/>
          <w:color w:val="auto"/>
          <w:szCs w:val="24"/>
          <w:highlight w:val="none"/>
          <w:lang w:val="en-US" w:eastAsia="zh-CN"/>
        </w:rPr>
      </w:pPr>
    </w:p>
    <w:p>
      <w:pPr>
        <w:pStyle w:val="11"/>
        <w:spacing w:line="360" w:lineRule="auto"/>
        <w:ind w:firstLine="486"/>
        <w:rPr>
          <w:rFonts w:hint="eastAsia" w:ascii="宋体" w:hAnsi="宋体" w:eastAsia="宋体" w:cs="宋体"/>
          <w:color w:val="auto"/>
          <w:highlight w:val="none"/>
        </w:rPr>
      </w:pPr>
    </w:p>
    <w:p>
      <w:pPr>
        <w:spacing w:line="360" w:lineRule="auto"/>
        <w:ind w:firstLine="480" w:firstLineChars="200"/>
        <w:rPr>
          <w:rFonts w:hint="eastAsia" w:ascii="宋体" w:hAnsi="宋体" w:eastAsia="宋体" w:cs="宋体"/>
          <w:color w:val="auto"/>
          <w:sz w:val="24"/>
          <w:highlight w:val="none"/>
        </w:rPr>
      </w:pPr>
    </w:p>
    <w:p>
      <w:pPr>
        <w:pStyle w:val="11"/>
        <w:spacing w:line="360" w:lineRule="auto"/>
        <w:ind w:firstLine="486"/>
        <w:rPr>
          <w:rFonts w:hint="eastAsia" w:ascii="宋体" w:hAnsi="宋体" w:eastAsia="宋体" w:cs="宋体"/>
          <w:color w:val="auto"/>
          <w:highlight w:val="none"/>
        </w:rPr>
      </w:pPr>
    </w:p>
    <w:p>
      <w:pPr>
        <w:pStyle w:val="11"/>
        <w:spacing w:line="360" w:lineRule="auto"/>
        <w:ind w:left="0" w:leftChars="0" w:firstLine="0" w:firstLineChars="0"/>
        <w:rPr>
          <w:rFonts w:hint="eastAsia" w:ascii="宋体" w:hAnsi="宋体" w:eastAsia="宋体" w:cs="宋体"/>
          <w:color w:val="auto"/>
          <w:highlight w:val="none"/>
        </w:rPr>
      </w:pPr>
    </w:p>
    <w:p>
      <w:pPr>
        <w:pStyle w:val="4"/>
        <w:numPr>
          <w:ilvl w:val="0"/>
          <w:numId w:val="0"/>
        </w:numPr>
        <w:bidi w:val="0"/>
        <w:spacing w:line="360" w:lineRule="auto"/>
        <w:outlineLvl w:val="1"/>
        <w:rPr>
          <w:rFonts w:hint="eastAsia" w:ascii="宋体" w:hAnsi="宋体" w:eastAsia="宋体" w:cs="宋体"/>
          <w:color w:val="auto"/>
          <w:highlight w:val="none"/>
        </w:rPr>
      </w:pPr>
      <w:bookmarkStart w:id="510" w:name="_Toc16164"/>
      <w:bookmarkStart w:id="511" w:name="_Toc24699"/>
      <w:r>
        <w:rPr>
          <w:rFonts w:hint="eastAsia" w:ascii="宋体" w:hAnsi="宋体" w:eastAsia="宋体" w:cs="宋体"/>
          <w:color w:val="auto"/>
          <w:highlight w:val="none"/>
        </w:rPr>
        <w:t>附件</w:t>
      </w:r>
      <w:r>
        <w:rPr>
          <w:rFonts w:hint="eastAsia" w:ascii="宋体" w:hAnsi="宋体" w:eastAsia="宋体" w:cs="宋体"/>
          <w:color w:val="auto"/>
          <w:highlight w:val="none"/>
          <w:lang w:val="en-US"/>
        </w:rPr>
        <w:t>一：</w:t>
      </w:r>
      <w:bookmarkEnd w:id="510"/>
    </w:p>
    <w:p>
      <w:pPr>
        <w:spacing w:line="360" w:lineRule="auto"/>
        <w:jc w:val="center"/>
        <w:rPr>
          <w:rFonts w:hint="eastAsia" w:ascii="宋体" w:hAnsi="宋体" w:eastAsia="宋体" w:cs="宋体"/>
          <w:b/>
          <w:bCs/>
          <w:color w:val="auto"/>
          <w:sz w:val="32"/>
          <w:szCs w:val="32"/>
          <w:highlight w:val="none"/>
          <w:u w:val="none"/>
        </w:rPr>
      </w:pPr>
      <w:r>
        <w:rPr>
          <w:rFonts w:hint="eastAsia" w:ascii="宋体" w:hAnsi="宋体" w:eastAsia="宋体" w:cs="宋体"/>
          <w:b/>
          <w:bCs/>
          <w:color w:val="auto"/>
          <w:sz w:val="32"/>
          <w:szCs w:val="32"/>
          <w:highlight w:val="none"/>
          <w:u w:val="none"/>
        </w:rPr>
        <w:t>法定代表人授权书</w:t>
      </w:r>
      <w:bookmarkEnd w:id="511"/>
    </w:p>
    <w:p>
      <w:pPr>
        <w:pStyle w:val="7"/>
        <w:spacing w:line="360" w:lineRule="auto"/>
        <w:rPr>
          <w:rFonts w:hint="eastAsia" w:ascii="宋体" w:hAnsi="宋体" w:eastAsia="宋体" w:cs="宋体"/>
          <w:color w:val="auto"/>
          <w:highlight w:val="none"/>
        </w:rPr>
      </w:pPr>
    </w:p>
    <w:p>
      <w:pPr>
        <w:spacing w:line="360" w:lineRule="auto"/>
        <w:ind w:firstLine="480" w:firstLineChars="200"/>
        <w:rPr>
          <w:rFonts w:hint="eastAsia" w:ascii="宋体" w:hAnsi="宋体" w:eastAsia="宋体" w:cs="宋体"/>
          <w:color w:val="auto"/>
          <w:sz w:val="24"/>
          <w:highlight w:val="none"/>
          <w:u w:val="none"/>
        </w:rPr>
      </w:pPr>
      <w:r>
        <w:rPr>
          <w:rFonts w:hint="eastAsia" w:ascii="宋体" w:hAnsi="宋体" w:eastAsia="宋体" w:cs="宋体"/>
          <w:color w:val="auto"/>
          <w:sz w:val="24"/>
          <w:highlight w:val="none"/>
          <w:u w:val="none"/>
          <w:lang w:val="en-US" w:eastAsia="zh-CN"/>
        </w:rPr>
        <w:t xml:space="preserve">绍兴市上虞杭州湾滨海新城投资开发建设有限公司 </w:t>
      </w:r>
      <w:r>
        <w:rPr>
          <w:rFonts w:hint="eastAsia" w:ascii="宋体" w:hAnsi="宋体" w:eastAsia="宋体" w:cs="宋体"/>
          <w:color w:val="auto"/>
          <w:sz w:val="24"/>
          <w:highlight w:val="none"/>
          <w:u w:val="none"/>
        </w:rPr>
        <w:t>：</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浙江五洲工程项目管理有限公司</w:t>
      </w:r>
      <w:r>
        <w:rPr>
          <w:rFonts w:hint="eastAsia" w:ascii="宋体" w:hAnsi="宋体" w:eastAsia="宋体" w:cs="宋体"/>
          <w:color w:val="auto"/>
          <w:sz w:val="24"/>
          <w:highlight w:val="none"/>
        </w:rPr>
        <w:t>：</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 xml:space="preserve">  （投标人全称）</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rPr>
        <w:t>法定代表人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授权</w:t>
      </w:r>
      <w:r>
        <w:rPr>
          <w:rFonts w:hint="eastAsia" w:ascii="宋体" w:hAnsi="宋体" w:eastAsia="宋体" w:cs="宋体"/>
          <w:color w:val="auto"/>
          <w:sz w:val="24"/>
          <w:highlight w:val="none"/>
          <w:u w:val="single"/>
        </w:rPr>
        <w:t>（授权代表名称）</w:t>
      </w:r>
      <w:r>
        <w:rPr>
          <w:rFonts w:hint="eastAsia" w:ascii="宋体" w:hAnsi="宋体" w:eastAsia="宋体" w:cs="宋体"/>
          <w:color w:val="auto"/>
          <w:sz w:val="24"/>
          <w:highlight w:val="none"/>
        </w:rPr>
        <w:t>为授权代表，参加贵处组织的</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项目</w:t>
      </w:r>
      <w:r>
        <w:rPr>
          <w:rFonts w:hint="eastAsia" w:ascii="宋体" w:hAnsi="宋体" w:eastAsia="宋体" w:cs="宋体"/>
          <w:color w:val="auto"/>
          <w:sz w:val="24"/>
          <w:highlight w:val="none"/>
          <w:u w:val="single"/>
        </w:rPr>
        <w:t>（括号内填写招标编号）</w:t>
      </w:r>
      <w:r>
        <w:rPr>
          <w:rFonts w:hint="eastAsia" w:ascii="宋体" w:hAnsi="宋体" w:eastAsia="宋体" w:cs="宋体"/>
          <w:color w:val="auto"/>
          <w:sz w:val="24"/>
          <w:highlight w:val="none"/>
        </w:rPr>
        <w:t>，授权处理招投标活动中的一切事宜。</w:t>
      </w:r>
    </w:p>
    <w:p>
      <w:pPr>
        <w:spacing w:line="360" w:lineRule="auto"/>
        <w:ind w:firstLine="480" w:firstLineChars="200"/>
        <w:rPr>
          <w:rFonts w:hint="eastAsia" w:ascii="宋体" w:hAnsi="宋体" w:eastAsia="宋体" w:cs="宋体"/>
          <w:color w:val="auto"/>
          <w:sz w:val="24"/>
          <w:highlight w:val="none"/>
        </w:rPr>
      </w:pP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法定代表人签字：</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投标人全称：（盖章）</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日期：</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附：</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授权代表姓名：</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职务：</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详细通讯地址：</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传真：</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电话：</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邮政编码：</w:t>
      </w:r>
    </w:p>
    <w:p>
      <w:pPr>
        <w:pStyle w:val="14"/>
        <w:snapToGrid w:val="0"/>
        <w:spacing w:line="360" w:lineRule="auto"/>
        <w:rPr>
          <w:rFonts w:hint="eastAsia" w:ascii="宋体" w:hAnsi="宋体" w:eastAsia="宋体" w:cs="宋体"/>
          <w:color w:val="auto"/>
          <w:sz w:val="24"/>
          <w:highlight w:val="none"/>
        </w:rPr>
      </w:pPr>
    </w:p>
    <w:p>
      <w:pPr>
        <w:pStyle w:val="14"/>
        <w:snapToGrid w:val="0"/>
        <w:spacing w:line="360" w:lineRule="auto"/>
        <w:rPr>
          <w:rFonts w:hint="eastAsia" w:ascii="宋体" w:hAnsi="宋体" w:eastAsia="宋体" w:cs="宋体"/>
          <w:color w:val="auto"/>
          <w:sz w:val="24"/>
          <w:highlight w:val="none"/>
        </w:rPr>
      </w:pPr>
    </w:p>
    <w:p>
      <w:pPr>
        <w:pStyle w:val="14"/>
        <w:snapToGrid w:val="0"/>
        <w:spacing w:line="360" w:lineRule="auto"/>
        <w:rPr>
          <w:rFonts w:hint="eastAsia" w:ascii="宋体" w:hAnsi="宋体" w:eastAsia="宋体" w:cs="宋体"/>
          <w:color w:val="auto"/>
          <w:sz w:val="24"/>
          <w:highlight w:val="none"/>
        </w:rPr>
      </w:pPr>
    </w:p>
    <w:p>
      <w:pPr>
        <w:spacing w:line="360" w:lineRule="auto"/>
        <w:rPr>
          <w:rFonts w:hint="eastAsia" w:ascii="宋体" w:hAnsi="宋体" w:eastAsia="宋体" w:cs="宋体"/>
          <w:color w:val="auto"/>
          <w:highlight w:val="none"/>
          <w:lang w:val="en-US" w:eastAsia="zh-CN"/>
        </w:rPr>
      </w:pPr>
      <w:r>
        <w:rPr>
          <w:rFonts w:hint="eastAsia" w:ascii="宋体" w:hAnsi="宋体" w:eastAsia="宋体" w:cs="宋体"/>
          <w:b/>
          <w:color w:val="auto"/>
          <w:sz w:val="24"/>
          <w:highlight w:val="none"/>
        </w:rPr>
        <w:t>附：授权代表身份证复印件（正反面）</w:t>
      </w:r>
    </w:p>
    <w:p>
      <w:pPr>
        <w:spacing w:line="360" w:lineRule="auto"/>
        <w:ind w:firstLine="400" w:firstLineChars="200"/>
        <w:rPr>
          <w:rFonts w:hint="eastAsia" w:ascii="宋体" w:hAnsi="宋体" w:eastAsia="宋体" w:cs="宋体"/>
          <w:color w:val="auto"/>
          <w:highlight w:val="none"/>
        </w:rPr>
      </w:pPr>
    </w:p>
    <w:p>
      <w:pPr>
        <w:spacing w:line="360" w:lineRule="auto"/>
        <w:ind w:firstLine="480" w:firstLineChars="200"/>
        <w:rPr>
          <w:rFonts w:hint="eastAsia" w:ascii="宋体" w:hAnsi="宋体" w:eastAsia="宋体" w:cs="宋体"/>
          <w:color w:val="auto"/>
          <w:sz w:val="24"/>
          <w:highlight w:val="none"/>
        </w:rPr>
      </w:pPr>
    </w:p>
    <w:p>
      <w:pPr>
        <w:spacing w:line="360" w:lineRule="auto"/>
        <w:ind w:firstLine="480" w:firstLineChars="200"/>
        <w:rPr>
          <w:rFonts w:hint="eastAsia" w:ascii="宋体" w:hAnsi="宋体" w:eastAsia="宋体" w:cs="宋体"/>
          <w:color w:val="auto"/>
          <w:sz w:val="24"/>
          <w:highlight w:val="none"/>
        </w:rPr>
      </w:pPr>
    </w:p>
    <w:p>
      <w:pPr>
        <w:spacing w:line="360" w:lineRule="auto"/>
        <w:ind w:firstLine="480" w:firstLineChars="200"/>
        <w:rPr>
          <w:rFonts w:hint="eastAsia" w:ascii="宋体" w:hAnsi="宋体" w:eastAsia="宋体" w:cs="宋体"/>
          <w:color w:val="auto"/>
          <w:sz w:val="24"/>
          <w:highlight w:val="none"/>
        </w:rPr>
      </w:pPr>
    </w:p>
    <w:p>
      <w:pPr>
        <w:spacing w:line="360" w:lineRule="auto"/>
        <w:ind w:firstLine="480" w:firstLineChars="200"/>
        <w:rPr>
          <w:rFonts w:hint="eastAsia" w:ascii="宋体" w:hAnsi="宋体" w:eastAsia="宋体" w:cs="宋体"/>
          <w:color w:val="auto"/>
          <w:sz w:val="24"/>
          <w:highlight w:val="none"/>
        </w:rPr>
      </w:pPr>
    </w:p>
    <w:p>
      <w:pPr>
        <w:spacing w:line="360" w:lineRule="auto"/>
        <w:ind w:firstLine="480" w:firstLineChars="200"/>
        <w:rPr>
          <w:rFonts w:hint="eastAsia" w:ascii="宋体" w:hAnsi="宋体" w:eastAsia="宋体" w:cs="宋体"/>
          <w:color w:val="auto"/>
          <w:sz w:val="24"/>
          <w:highlight w:val="none"/>
        </w:rPr>
      </w:pPr>
    </w:p>
    <w:p>
      <w:pPr>
        <w:pStyle w:val="4"/>
        <w:numPr>
          <w:ilvl w:val="0"/>
          <w:numId w:val="0"/>
        </w:numPr>
        <w:bidi w:val="0"/>
        <w:spacing w:line="360" w:lineRule="auto"/>
        <w:outlineLvl w:val="1"/>
        <w:rPr>
          <w:rFonts w:hint="eastAsia" w:ascii="宋体" w:hAnsi="宋体" w:eastAsia="宋体" w:cs="宋体"/>
          <w:color w:val="auto"/>
          <w:highlight w:val="none"/>
          <w:lang w:eastAsia="zh-CN"/>
        </w:rPr>
      </w:pPr>
      <w:bookmarkStart w:id="512" w:name="_Toc2716"/>
      <w:r>
        <w:rPr>
          <w:rFonts w:hint="eastAsia" w:ascii="宋体" w:hAnsi="宋体" w:eastAsia="宋体" w:cs="宋体"/>
          <w:color w:val="auto"/>
          <w:highlight w:val="none"/>
          <w:lang w:eastAsia="zh-CN"/>
        </w:rPr>
        <w:t>附件二：</w:t>
      </w:r>
      <w:bookmarkEnd w:id="512"/>
    </w:p>
    <w:p>
      <w:pPr>
        <w:spacing w:line="360" w:lineRule="auto"/>
        <w:ind w:firstLine="602" w:firstLineChars="200"/>
        <w:jc w:val="center"/>
        <w:rPr>
          <w:rFonts w:hint="eastAsia" w:ascii="宋体" w:hAnsi="宋体" w:eastAsia="宋体" w:cs="宋体"/>
          <w:b/>
          <w:bCs/>
          <w:color w:val="auto"/>
          <w:sz w:val="30"/>
          <w:szCs w:val="30"/>
          <w:highlight w:val="none"/>
          <w:lang w:eastAsia="zh-CN"/>
        </w:rPr>
      </w:pPr>
      <w:r>
        <w:rPr>
          <w:rFonts w:hint="eastAsia" w:ascii="宋体" w:hAnsi="宋体" w:eastAsia="宋体" w:cs="宋体"/>
          <w:b/>
          <w:bCs/>
          <w:color w:val="auto"/>
          <w:sz w:val="30"/>
          <w:szCs w:val="30"/>
          <w:highlight w:val="none"/>
          <w:lang w:eastAsia="zh-CN"/>
        </w:rPr>
        <w:t>声明书</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绍兴市上虞杭州湾滨海新城投资开发建设有限公司：</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浙江五洲工程项目管理有限公司</w:t>
      </w:r>
      <w:r>
        <w:rPr>
          <w:rFonts w:hint="eastAsia" w:ascii="宋体" w:hAnsi="宋体" w:eastAsia="宋体" w:cs="宋体"/>
          <w:color w:val="auto"/>
          <w:sz w:val="24"/>
          <w:highlight w:val="none"/>
        </w:rPr>
        <w:t>：</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（投标人名称）</w:t>
      </w:r>
      <w:r>
        <w:rPr>
          <w:rFonts w:hint="eastAsia" w:ascii="宋体" w:hAnsi="宋体" w:eastAsia="宋体" w:cs="宋体"/>
          <w:color w:val="auto"/>
          <w:sz w:val="24"/>
          <w:highlight w:val="none"/>
        </w:rPr>
        <w:t>系中华人民共和国合法企业，经营地址</w:t>
      </w:r>
      <w:r>
        <w:rPr>
          <w:rFonts w:hint="eastAsia" w:eastAsia="宋体" w:cs="宋体"/>
          <w:color w:val="auto"/>
          <w:sz w:val="24"/>
          <w:highlight w:val="none"/>
          <w:lang w:eastAsia="zh-CN"/>
        </w:rPr>
        <w:t>：</w:t>
      </w:r>
      <w:r>
        <w:rPr>
          <w:rFonts w:hint="eastAsia" w:eastAsia="宋体" w:cs="宋体"/>
          <w:color w:val="auto"/>
          <w:sz w:val="24"/>
          <w:highlight w:val="none"/>
          <w:u w:val="single"/>
          <w:lang w:val="en-US" w:eastAsia="zh-CN"/>
        </w:rPr>
        <w:t xml:space="preserve">        </w:t>
      </w:r>
      <w:r>
        <w:rPr>
          <w:rFonts w:hint="eastAsia" w:ascii="宋体" w:hAnsi="宋体" w:eastAsia="宋体" w:cs="宋体"/>
          <w:color w:val="auto"/>
          <w:sz w:val="24"/>
          <w:highlight w:val="none"/>
        </w:rPr>
        <w:t>。</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w:t>
      </w:r>
      <w:r>
        <w:rPr>
          <w:rFonts w:hint="eastAsia" w:ascii="宋体" w:hAnsi="宋体" w:eastAsia="宋体" w:cs="宋体"/>
          <w:color w:val="auto"/>
          <w:sz w:val="24"/>
          <w:highlight w:val="none"/>
          <w:u w:val="single"/>
        </w:rPr>
        <w:t>（姓名）</w:t>
      </w:r>
      <w:r>
        <w:rPr>
          <w:rFonts w:hint="eastAsia" w:ascii="宋体" w:hAnsi="宋体" w:eastAsia="宋体" w:cs="宋体"/>
          <w:color w:val="auto"/>
          <w:sz w:val="24"/>
          <w:highlight w:val="none"/>
        </w:rPr>
        <w:t>系</w:t>
      </w:r>
      <w:r>
        <w:rPr>
          <w:rFonts w:hint="eastAsia" w:ascii="宋体" w:hAnsi="宋体" w:eastAsia="宋体" w:cs="宋体"/>
          <w:color w:val="auto"/>
          <w:sz w:val="24"/>
          <w:highlight w:val="none"/>
          <w:u w:val="single"/>
        </w:rPr>
        <w:t>（投标人名称）</w:t>
      </w:r>
      <w:r>
        <w:rPr>
          <w:rFonts w:hint="eastAsia" w:ascii="宋体" w:hAnsi="宋体" w:eastAsia="宋体" w:cs="宋体"/>
          <w:color w:val="auto"/>
          <w:sz w:val="24"/>
          <w:highlight w:val="none"/>
        </w:rPr>
        <w:t>的法定代表人，我方愿意参加贵方组织的</w:t>
      </w:r>
      <w:r>
        <w:rPr>
          <w:rFonts w:hint="eastAsia" w:ascii="宋体" w:hAnsi="宋体" w:eastAsia="宋体" w:cs="宋体"/>
          <w:color w:val="auto"/>
          <w:sz w:val="24"/>
          <w:highlight w:val="none"/>
          <w:u w:val="single"/>
        </w:rPr>
        <w:t>（招标项目名称）（编号为）</w:t>
      </w:r>
      <w:r>
        <w:rPr>
          <w:rFonts w:hint="eastAsia" w:ascii="宋体" w:hAnsi="宋体" w:eastAsia="宋体" w:cs="宋体"/>
          <w:color w:val="auto"/>
          <w:sz w:val="24"/>
          <w:highlight w:val="none"/>
        </w:rPr>
        <w:t>的投标，为此，我方就本次投标有关事项郑重声明如下：</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1、我方已详细审查全部招标文件，同意招标文件的各项要求。</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2、我方向贵方提交的所有投标文件、资料都是准确的和真实的。</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3、若中标，我方将按招标文件规定履行合同责任和义务。</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4、我方不是采购人的附属机构；在获知本项目采购信息后，与采购人聘请的为此项目提供咨询服务的公司及其附属机构没有任何联系。</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5、投标文件自开标日起有效期为90天。</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6、我方参与本项目前3年内的经营活动中没有重大违法记录；</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7、我方通过“信用中国”网站（www.creditchina.gov.cn）、中国政府采购网（www.ccgp.gov.cn）查询，未被列入失信被执行人、重大税收违法案件当事人名单、政府采购严重违法失信行为记录名单。</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8、以上事项如有虚假或隐瞒，我方愿意承担一切后果，并不再寻求任何旨在减轻或免除法律责任的辩解。</w:t>
      </w:r>
    </w:p>
    <w:p>
      <w:pPr>
        <w:pStyle w:val="11"/>
        <w:spacing w:line="360" w:lineRule="auto"/>
        <w:rPr>
          <w:rFonts w:hint="eastAsia" w:ascii="宋体" w:hAnsi="宋体" w:eastAsia="宋体" w:cs="宋体"/>
          <w:color w:val="auto"/>
          <w:highlight w:val="none"/>
        </w:rPr>
      </w:pPr>
    </w:p>
    <w:p>
      <w:pPr>
        <w:pStyle w:val="11"/>
        <w:spacing w:line="360" w:lineRule="auto"/>
        <w:rPr>
          <w:rFonts w:hint="eastAsia" w:ascii="宋体" w:hAnsi="宋体" w:eastAsia="宋体" w:cs="宋体"/>
          <w:color w:val="auto"/>
          <w:highlight w:val="none"/>
        </w:rPr>
      </w:pPr>
    </w:p>
    <w:p>
      <w:pPr>
        <w:spacing w:line="360" w:lineRule="auto"/>
        <w:ind w:leftChars="18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法定代表人签名（或签名章）：                       </w:t>
      </w:r>
    </w:p>
    <w:p>
      <w:pPr>
        <w:spacing w:line="360" w:lineRule="auto"/>
        <w:ind w:leftChars="18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日 期：</w:t>
      </w:r>
    </w:p>
    <w:p>
      <w:pPr>
        <w:spacing w:line="360" w:lineRule="auto"/>
        <w:ind w:leftChars="18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投标人全称（公章）：</w:t>
      </w:r>
    </w:p>
    <w:p>
      <w:pPr>
        <w:pStyle w:val="11"/>
        <w:spacing w:line="360" w:lineRule="auto"/>
        <w:ind w:firstLine="566"/>
        <w:rPr>
          <w:rFonts w:hint="eastAsia" w:ascii="宋体" w:hAnsi="宋体" w:eastAsia="宋体" w:cs="宋体"/>
          <w:color w:val="auto"/>
          <w:sz w:val="28"/>
          <w:szCs w:val="28"/>
          <w:highlight w:val="none"/>
        </w:rPr>
      </w:pPr>
    </w:p>
    <w:p>
      <w:pPr>
        <w:pStyle w:val="11"/>
        <w:spacing w:line="360" w:lineRule="auto"/>
        <w:ind w:firstLine="566"/>
        <w:rPr>
          <w:rFonts w:hint="eastAsia" w:ascii="宋体" w:hAnsi="宋体" w:eastAsia="宋体" w:cs="宋体"/>
          <w:color w:val="auto"/>
          <w:sz w:val="28"/>
          <w:szCs w:val="28"/>
          <w:highlight w:val="none"/>
        </w:rPr>
      </w:pPr>
    </w:p>
    <w:p>
      <w:pPr>
        <w:pStyle w:val="11"/>
        <w:spacing w:line="360" w:lineRule="auto"/>
        <w:ind w:firstLine="566"/>
        <w:rPr>
          <w:rFonts w:hint="eastAsia" w:ascii="宋体" w:hAnsi="宋体" w:eastAsia="宋体" w:cs="宋体"/>
          <w:color w:val="auto"/>
          <w:sz w:val="28"/>
          <w:szCs w:val="28"/>
          <w:highlight w:val="none"/>
        </w:rPr>
      </w:pPr>
    </w:p>
    <w:p>
      <w:pPr>
        <w:pStyle w:val="3"/>
        <w:bidi w:val="0"/>
        <w:spacing w:line="360" w:lineRule="auto"/>
        <w:jc w:val="center"/>
        <w:rPr>
          <w:rFonts w:hint="eastAsia" w:ascii="宋体" w:hAnsi="宋体" w:eastAsia="宋体" w:cs="宋体"/>
          <w:color w:val="auto"/>
          <w:sz w:val="36"/>
          <w:szCs w:val="22"/>
          <w:highlight w:val="none"/>
        </w:rPr>
      </w:pPr>
      <w:bookmarkStart w:id="513" w:name="_Toc6745"/>
      <w:r>
        <w:rPr>
          <w:rFonts w:hint="eastAsia" w:ascii="宋体" w:hAnsi="宋体" w:eastAsia="宋体" w:cs="宋体"/>
          <w:color w:val="auto"/>
          <w:sz w:val="36"/>
          <w:szCs w:val="22"/>
          <w:highlight w:val="none"/>
          <w:lang w:eastAsia="zh-CN"/>
        </w:rPr>
        <w:t>商务技术</w:t>
      </w:r>
      <w:r>
        <w:rPr>
          <w:rFonts w:hint="eastAsia" w:ascii="宋体" w:hAnsi="宋体" w:eastAsia="宋体" w:cs="宋体"/>
          <w:color w:val="auto"/>
          <w:sz w:val="36"/>
          <w:szCs w:val="22"/>
          <w:highlight w:val="none"/>
        </w:rPr>
        <w:t>文件</w:t>
      </w:r>
      <w:bookmarkEnd w:id="513"/>
    </w:p>
    <w:p>
      <w:pPr>
        <w:spacing w:line="360" w:lineRule="auto"/>
        <w:jc w:val="center"/>
        <w:rPr>
          <w:rFonts w:hint="eastAsia" w:ascii="宋体" w:hAnsi="宋体" w:eastAsia="宋体" w:cs="宋体"/>
          <w:b/>
          <w:color w:val="auto"/>
          <w:kern w:val="0"/>
          <w:sz w:val="36"/>
          <w:szCs w:val="36"/>
          <w:highlight w:val="none"/>
        </w:rPr>
      </w:pPr>
    </w:p>
    <w:p>
      <w:pPr>
        <w:spacing w:line="360" w:lineRule="auto"/>
        <w:jc w:val="center"/>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目录</w:t>
      </w:r>
    </w:p>
    <w:p>
      <w:pPr>
        <w:pStyle w:val="11"/>
        <w:spacing w:line="360" w:lineRule="auto"/>
        <w:ind w:left="426" w:firstLine="486"/>
        <w:rPr>
          <w:rFonts w:hint="eastAsia" w:ascii="宋体" w:hAnsi="宋体" w:eastAsia="宋体" w:cs="宋体"/>
          <w:color w:val="auto"/>
          <w:highlight w:val="none"/>
        </w:rPr>
      </w:pPr>
    </w:p>
    <w:p>
      <w:pPr>
        <w:spacing w:line="360" w:lineRule="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（1）评分对应表（格式见附件，主要用于评委对应评分内容）；</w:t>
      </w:r>
    </w:p>
    <w:p>
      <w:pPr>
        <w:spacing w:line="360" w:lineRule="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（2）投标人商务技术文件中资信分自评表（格式见附件）；</w:t>
      </w:r>
    </w:p>
    <w:p>
      <w:pPr>
        <w:spacing w:line="360" w:lineRule="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（3）资信证书；</w:t>
      </w:r>
    </w:p>
    <w:p>
      <w:pPr>
        <w:spacing w:line="360" w:lineRule="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（4）体系认证；</w:t>
      </w:r>
    </w:p>
    <w:p>
      <w:pPr>
        <w:spacing w:line="360" w:lineRule="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（5）业绩；</w:t>
      </w:r>
    </w:p>
    <w:p>
      <w:pPr>
        <w:spacing w:line="360" w:lineRule="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（6）投标项目明细清单（含货物、服务等）（格式见附件）；</w:t>
      </w:r>
    </w:p>
    <w:p>
      <w:pPr>
        <w:spacing w:line="360" w:lineRule="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（7）随机专用工具及备品备件明细表；</w:t>
      </w:r>
    </w:p>
    <w:p>
      <w:pPr>
        <w:spacing w:line="360" w:lineRule="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（8）投标人推荐的供选择的配套零部件及价格表；</w:t>
      </w:r>
    </w:p>
    <w:p>
      <w:pPr>
        <w:spacing w:line="360" w:lineRule="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（9）</w:t>
      </w:r>
      <w:bookmarkStart w:id="514" w:name="_Toc130094926"/>
      <w:bookmarkStart w:id="515" w:name="_Toc98731775"/>
      <w:r>
        <w:rPr>
          <w:rFonts w:hint="eastAsia" w:ascii="宋体" w:hAnsi="宋体" w:eastAsia="宋体" w:cs="宋体"/>
          <w:color w:val="auto"/>
          <w:sz w:val="24"/>
          <w:szCs w:val="32"/>
          <w:highlight w:val="none"/>
        </w:rPr>
        <w:t>技术响应及建议</w:t>
      </w:r>
      <w:bookmarkEnd w:id="514"/>
      <w:bookmarkEnd w:id="515"/>
      <w:r>
        <w:rPr>
          <w:rFonts w:hint="eastAsia" w:ascii="宋体" w:hAnsi="宋体" w:eastAsia="宋体" w:cs="宋体"/>
          <w:color w:val="auto"/>
          <w:sz w:val="24"/>
          <w:szCs w:val="32"/>
          <w:highlight w:val="none"/>
        </w:rPr>
        <w:t>表（格式见附件）；</w:t>
      </w:r>
    </w:p>
    <w:p>
      <w:pPr>
        <w:spacing w:line="360" w:lineRule="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（10）商务响应表（格式见附件）；</w:t>
      </w:r>
    </w:p>
    <w:p>
      <w:pPr>
        <w:spacing w:line="360" w:lineRule="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（11）产品符合性；</w:t>
      </w:r>
    </w:p>
    <w:p>
      <w:pPr>
        <w:spacing w:line="360" w:lineRule="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（12）产品优劣性；</w:t>
      </w:r>
    </w:p>
    <w:p>
      <w:pPr>
        <w:spacing w:line="360" w:lineRule="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（13）实施方案及合理化建议；</w:t>
      </w:r>
    </w:p>
    <w:p>
      <w:pPr>
        <w:spacing w:line="360" w:lineRule="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（14）质保期；</w:t>
      </w:r>
    </w:p>
    <w:p>
      <w:pPr>
        <w:spacing w:line="360" w:lineRule="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（15）售后服务网点；</w:t>
      </w:r>
    </w:p>
    <w:p>
      <w:pPr>
        <w:spacing w:line="360" w:lineRule="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（16）投标方认为需要的其他文件资料；</w:t>
      </w:r>
    </w:p>
    <w:p>
      <w:pPr>
        <w:pStyle w:val="14"/>
        <w:spacing w:line="360" w:lineRule="auto"/>
        <w:ind w:firstLine="480" w:firstLineChars="200"/>
        <w:rPr>
          <w:rFonts w:hint="eastAsia" w:ascii="宋体" w:hAnsi="宋体" w:eastAsia="宋体" w:cs="宋体"/>
          <w:color w:val="auto"/>
          <w:sz w:val="24"/>
          <w:highlight w:val="none"/>
        </w:rPr>
      </w:pPr>
    </w:p>
    <w:p>
      <w:pPr>
        <w:pStyle w:val="11"/>
        <w:spacing w:line="360" w:lineRule="auto"/>
        <w:ind w:firstLine="566"/>
        <w:rPr>
          <w:rFonts w:hint="eastAsia" w:ascii="宋体" w:hAnsi="宋体" w:eastAsia="宋体" w:cs="宋体"/>
          <w:color w:val="auto"/>
          <w:sz w:val="28"/>
          <w:szCs w:val="28"/>
          <w:highlight w:val="none"/>
        </w:rPr>
      </w:pPr>
    </w:p>
    <w:p>
      <w:pPr>
        <w:pStyle w:val="11"/>
        <w:spacing w:line="360" w:lineRule="auto"/>
        <w:ind w:firstLine="566"/>
        <w:rPr>
          <w:rFonts w:hint="eastAsia" w:ascii="宋体" w:hAnsi="宋体" w:eastAsia="宋体" w:cs="宋体"/>
          <w:color w:val="auto"/>
          <w:sz w:val="28"/>
          <w:szCs w:val="28"/>
          <w:highlight w:val="none"/>
        </w:rPr>
      </w:pPr>
    </w:p>
    <w:p>
      <w:pPr>
        <w:pStyle w:val="11"/>
        <w:spacing w:line="360" w:lineRule="auto"/>
        <w:ind w:firstLine="566"/>
        <w:rPr>
          <w:rFonts w:hint="eastAsia" w:ascii="宋体" w:hAnsi="宋体" w:eastAsia="宋体" w:cs="宋体"/>
          <w:color w:val="auto"/>
          <w:sz w:val="28"/>
          <w:szCs w:val="28"/>
          <w:highlight w:val="none"/>
        </w:rPr>
      </w:pPr>
    </w:p>
    <w:p>
      <w:pPr>
        <w:pStyle w:val="11"/>
        <w:spacing w:line="360" w:lineRule="auto"/>
        <w:ind w:firstLine="566"/>
        <w:rPr>
          <w:rFonts w:hint="eastAsia" w:ascii="宋体" w:hAnsi="宋体" w:eastAsia="宋体" w:cs="宋体"/>
          <w:color w:val="auto"/>
          <w:sz w:val="28"/>
          <w:szCs w:val="28"/>
          <w:highlight w:val="none"/>
        </w:rPr>
      </w:pPr>
    </w:p>
    <w:p>
      <w:pPr>
        <w:pStyle w:val="11"/>
        <w:spacing w:line="360" w:lineRule="auto"/>
        <w:ind w:left="0" w:leftChars="0" w:firstLine="0" w:firstLineChars="0"/>
        <w:rPr>
          <w:rFonts w:hint="eastAsia" w:ascii="宋体" w:hAnsi="宋体" w:eastAsia="宋体" w:cs="宋体"/>
          <w:color w:val="auto"/>
          <w:sz w:val="28"/>
          <w:szCs w:val="28"/>
          <w:highlight w:val="none"/>
        </w:rPr>
      </w:pPr>
    </w:p>
    <w:p>
      <w:pPr>
        <w:pStyle w:val="4"/>
        <w:numPr>
          <w:ilvl w:val="0"/>
          <w:numId w:val="0"/>
        </w:numPr>
        <w:bidi w:val="0"/>
        <w:spacing w:line="360" w:lineRule="auto"/>
        <w:outlineLvl w:val="1"/>
        <w:rPr>
          <w:rFonts w:hint="eastAsia" w:ascii="宋体" w:hAnsi="宋体" w:eastAsia="宋体" w:cs="宋体"/>
          <w:color w:val="auto"/>
          <w:highlight w:val="none"/>
        </w:rPr>
      </w:pPr>
      <w:bookmarkStart w:id="516" w:name="_Toc12771"/>
      <w:bookmarkStart w:id="517" w:name="_Toc10131"/>
      <w:r>
        <w:rPr>
          <w:rFonts w:hint="eastAsia" w:ascii="宋体" w:hAnsi="宋体" w:eastAsia="宋体" w:cs="宋体"/>
          <w:color w:val="auto"/>
          <w:highlight w:val="none"/>
          <w:lang w:eastAsia="zh-CN"/>
        </w:rPr>
        <w:t>附件三：</w:t>
      </w:r>
      <w:bookmarkEnd w:id="516"/>
    </w:p>
    <w:p>
      <w:pPr>
        <w:snapToGrid w:val="0"/>
        <w:spacing w:before="50" w:line="360" w:lineRule="auto"/>
        <w:jc w:val="center"/>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t>评分对应表</w:t>
      </w:r>
    </w:p>
    <w:p>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项目名称：</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采购编号</w:t>
      </w:r>
      <w:r>
        <w:rPr>
          <w:rFonts w:hint="eastAsia" w:ascii="宋体" w:hAnsi="宋体" w:eastAsia="宋体" w:cs="宋体"/>
          <w:color w:val="auto"/>
          <w:sz w:val="24"/>
          <w:highlight w:val="none"/>
        </w:rPr>
        <w:t>：</w:t>
      </w:r>
    </w:p>
    <w:tbl>
      <w:tblPr>
        <w:tblStyle w:val="32"/>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888"/>
        <w:gridCol w:w="3060"/>
        <w:gridCol w:w="1977"/>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评分项目</w:t>
            </w:r>
          </w:p>
        </w:tc>
        <w:tc>
          <w:tcPr>
            <w:tcW w:w="306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投标文件对应资料</w:t>
            </w:r>
          </w:p>
        </w:tc>
        <w:tc>
          <w:tcPr>
            <w:tcW w:w="1977"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投标文件页码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对应评分办法及评分标准</w:t>
            </w:r>
          </w:p>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（报价除外）</w:t>
            </w:r>
          </w:p>
        </w:tc>
        <w:tc>
          <w:tcPr>
            <w:tcW w:w="306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auto"/>
                <w:sz w:val="24"/>
                <w:szCs w:val="24"/>
                <w:highlight w:val="none"/>
              </w:rPr>
            </w:pPr>
          </w:p>
        </w:tc>
        <w:tc>
          <w:tcPr>
            <w:tcW w:w="1977"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306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auto"/>
                <w:sz w:val="24"/>
                <w:szCs w:val="24"/>
                <w:highlight w:val="none"/>
              </w:rPr>
            </w:pPr>
          </w:p>
        </w:tc>
        <w:tc>
          <w:tcPr>
            <w:tcW w:w="1977"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auto"/>
                <w:sz w:val="24"/>
                <w:szCs w:val="24"/>
                <w:highlight w:val="none"/>
              </w:rPr>
            </w:pPr>
          </w:p>
        </w:tc>
        <w:tc>
          <w:tcPr>
            <w:tcW w:w="306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auto"/>
                <w:sz w:val="24"/>
                <w:szCs w:val="24"/>
                <w:highlight w:val="none"/>
              </w:rPr>
            </w:pPr>
          </w:p>
        </w:tc>
        <w:tc>
          <w:tcPr>
            <w:tcW w:w="1977"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firstLineChars="200"/>
              <w:jc w:val="center"/>
              <w:rPr>
                <w:rFonts w:hint="eastAsia" w:ascii="宋体" w:hAnsi="宋体" w:eastAsia="宋体" w:cs="宋体"/>
                <w:color w:val="auto"/>
                <w:sz w:val="24"/>
                <w:highlight w:val="none"/>
              </w:rPr>
            </w:pPr>
          </w:p>
        </w:tc>
        <w:tc>
          <w:tcPr>
            <w:tcW w:w="3060"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firstLineChars="200"/>
              <w:jc w:val="center"/>
              <w:rPr>
                <w:rFonts w:hint="eastAsia" w:ascii="宋体" w:hAnsi="宋体" w:eastAsia="宋体" w:cs="宋体"/>
                <w:color w:val="auto"/>
                <w:sz w:val="24"/>
                <w:highlight w:val="none"/>
              </w:rPr>
            </w:pPr>
          </w:p>
        </w:tc>
        <w:tc>
          <w:tcPr>
            <w:tcW w:w="1977"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firstLineChars="200"/>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firstLineChars="200"/>
              <w:jc w:val="center"/>
              <w:rPr>
                <w:rFonts w:hint="eastAsia" w:ascii="宋体" w:hAnsi="宋体" w:eastAsia="宋体" w:cs="宋体"/>
                <w:color w:val="auto"/>
                <w:sz w:val="24"/>
                <w:highlight w:val="none"/>
              </w:rPr>
            </w:pPr>
          </w:p>
        </w:tc>
        <w:tc>
          <w:tcPr>
            <w:tcW w:w="3060"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firstLineChars="200"/>
              <w:jc w:val="center"/>
              <w:rPr>
                <w:rFonts w:hint="eastAsia" w:ascii="宋体" w:hAnsi="宋体" w:eastAsia="宋体" w:cs="宋体"/>
                <w:color w:val="auto"/>
                <w:sz w:val="24"/>
                <w:highlight w:val="none"/>
              </w:rPr>
            </w:pPr>
          </w:p>
        </w:tc>
        <w:tc>
          <w:tcPr>
            <w:tcW w:w="1977"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firstLineChars="200"/>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firstLineChars="200"/>
              <w:jc w:val="center"/>
              <w:rPr>
                <w:rFonts w:hint="eastAsia" w:ascii="宋体" w:hAnsi="宋体" w:eastAsia="宋体" w:cs="宋体"/>
                <w:color w:val="auto"/>
                <w:sz w:val="24"/>
                <w:highlight w:val="none"/>
              </w:rPr>
            </w:pPr>
          </w:p>
        </w:tc>
        <w:tc>
          <w:tcPr>
            <w:tcW w:w="3060"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firstLineChars="200"/>
              <w:jc w:val="center"/>
              <w:rPr>
                <w:rFonts w:hint="eastAsia" w:ascii="宋体" w:hAnsi="宋体" w:eastAsia="宋体" w:cs="宋体"/>
                <w:color w:val="auto"/>
                <w:sz w:val="24"/>
                <w:highlight w:val="none"/>
              </w:rPr>
            </w:pPr>
          </w:p>
        </w:tc>
        <w:tc>
          <w:tcPr>
            <w:tcW w:w="1977"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firstLineChars="200"/>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firstLineChars="200"/>
              <w:jc w:val="center"/>
              <w:rPr>
                <w:rFonts w:hint="eastAsia" w:ascii="宋体" w:hAnsi="宋体" w:eastAsia="宋体" w:cs="宋体"/>
                <w:color w:val="auto"/>
                <w:sz w:val="24"/>
                <w:highlight w:val="none"/>
              </w:rPr>
            </w:pPr>
          </w:p>
        </w:tc>
        <w:tc>
          <w:tcPr>
            <w:tcW w:w="3060"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firstLineChars="200"/>
              <w:jc w:val="center"/>
              <w:rPr>
                <w:rFonts w:hint="eastAsia" w:ascii="宋体" w:hAnsi="宋体" w:eastAsia="宋体" w:cs="宋体"/>
                <w:color w:val="auto"/>
                <w:sz w:val="24"/>
                <w:highlight w:val="none"/>
              </w:rPr>
            </w:pPr>
          </w:p>
        </w:tc>
        <w:tc>
          <w:tcPr>
            <w:tcW w:w="1977"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firstLineChars="200"/>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firstLineChars="200"/>
              <w:jc w:val="center"/>
              <w:rPr>
                <w:rFonts w:hint="eastAsia" w:ascii="宋体" w:hAnsi="宋体" w:eastAsia="宋体" w:cs="宋体"/>
                <w:color w:val="auto"/>
                <w:sz w:val="24"/>
                <w:highlight w:val="none"/>
              </w:rPr>
            </w:pPr>
          </w:p>
        </w:tc>
        <w:tc>
          <w:tcPr>
            <w:tcW w:w="3060"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firstLineChars="200"/>
              <w:jc w:val="center"/>
              <w:rPr>
                <w:rFonts w:hint="eastAsia" w:ascii="宋体" w:hAnsi="宋体" w:eastAsia="宋体" w:cs="宋体"/>
                <w:color w:val="auto"/>
                <w:sz w:val="24"/>
                <w:highlight w:val="none"/>
              </w:rPr>
            </w:pPr>
          </w:p>
        </w:tc>
        <w:tc>
          <w:tcPr>
            <w:tcW w:w="1977"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firstLineChars="200"/>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firstLineChars="200"/>
              <w:jc w:val="center"/>
              <w:rPr>
                <w:rFonts w:hint="eastAsia" w:ascii="宋体" w:hAnsi="宋体" w:eastAsia="宋体" w:cs="宋体"/>
                <w:color w:val="auto"/>
                <w:sz w:val="24"/>
                <w:highlight w:val="none"/>
              </w:rPr>
            </w:pPr>
          </w:p>
        </w:tc>
        <w:tc>
          <w:tcPr>
            <w:tcW w:w="3060"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firstLineChars="200"/>
              <w:jc w:val="center"/>
              <w:rPr>
                <w:rFonts w:hint="eastAsia" w:ascii="宋体" w:hAnsi="宋体" w:eastAsia="宋体" w:cs="宋体"/>
                <w:color w:val="auto"/>
                <w:sz w:val="24"/>
                <w:highlight w:val="none"/>
              </w:rPr>
            </w:pPr>
          </w:p>
        </w:tc>
        <w:tc>
          <w:tcPr>
            <w:tcW w:w="1977"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firstLineChars="200"/>
              <w:jc w:val="center"/>
              <w:rPr>
                <w:rFonts w:hint="eastAsia" w:ascii="宋体" w:hAnsi="宋体" w:eastAsia="宋体" w:cs="宋体"/>
                <w:color w:val="auto"/>
                <w:sz w:val="24"/>
                <w:highlight w:val="none"/>
              </w:rPr>
            </w:pPr>
          </w:p>
        </w:tc>
      </w:tr>
    </w:tbl>
    <w:p>
      <w:pPr>
        <w:spacing w:line="360" w:lineRule="auto"/>
        <w:ind w:firstLine="480" w:firstLineChars="200"/>
        <w:rPr>
          <w:rFonts w:hint="eastAsia" w:ascii="宋体" w:hAnsi="宋体" w:eastAsia="宋体" w:cs="宋体"/>
          <w:color w:val="auto"/>
          <w:sz w:val="24"/>
          <w:highlight w:val="none"/>
          <w:lang w:val="en-US" w:eastAsia="zh-CN"/>
        </w:rPr>
      </w:pPr>
    </w:p>
    <w:p>
      <w:pPr>
        <w:spacing w:line="360" w:lineRule="auto"/>
        <w:ind w:leftChars="1800" w:firstLine="480" w:firstLineChars="200"/>
        <w:rPr>
          <w:rFonts w:hint="eastAsia" w:ascii="宋体" w:hAnsi="宋体" w:eastAsia="宋体" w:cs="宋体"/>
          <w:color w:val="auto"/>
          <w:sz w:val="24"/>
          <w:highlight w:val="none"/>
        </w:rPr>
      </w:pPr>
    </w:p>
    <w:p>
      <w:pPr>
        <w:spacing w:line="360" w:lineRule="auto"/>
        <w:ind w:leftChars="18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法定代表人签名（或签名章）：                       </w:t>
      </w:r>
    </w:p>
    <w:p>
      <w:pPr>
        <w:spacing w:line="360" w:lineRule="auto"/>
        <w:ind w:leftChars="18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日 期：</w:t>
      </w:r>
    </w:p>
    <w:p>
      <w:pPr>
        <w:spacing w:line="360" w:lineRule="auto"/>
        <w:ind w:leftChars="18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投标人全称（公章）：</w:t>
      </w:r>
    </w:p>
    <w:p>
      <w:pPr>
        <w:pStyle w:val="4"/>
        <w:numPr>
          <w:ilvl w:val="0"/>
          <w:numId w:val="0"/>
        </w:numPr>
        <w:bidi w:val="0"/>
        <w:spacing w:line="360" w:lineRule="auto"/>
        <w:outlineLvl w:val="1"/>
        <w:rPr>
          <w:rFonts w:hint="eastAsia" w:ascii="宋体" w:hAnsi="宋体" w:eastAsia="宋体" w:cs="宋体"/>
          <w:color w:val="auto"/>
          <w:highlight w:val="none"/>
        </w:rPr>
      </w:pPr>
      <w:bookmarkStart w:id="518" w:name="_Toc32631"/>
      <w:r>
        <w:rPr>
          <w:rFonts w:hint="eastAsia" w:ascii="宋体" w:hAnsi="宋体" w:eastAsia="宋体" w:cs="宋体"/>
          <w:color w:val="auto"/>
          <w:highlight w:val="none"/>
        </w:rPr>
        <w:t>附件</w:t>
      </w:r>
      <w:r>
        <w:rPr>
          <w:rFonts w:hint="eastAsia" w:ascii="宋体" w:hAnsi="宋体" w:eastAsia="宋体" w:cs="宋体"/>
          <w:color w:val="auto"/>
          <w:highlight w:val="none"/>
          <w:lang w:eastAsia="zh-CN"/>
        </w:rPr>
        <w:t>四</w:t>
      </w:r>
      <w:r>
        <w:rPr>
          <w:rFonts w:hint="eastAsia" w:ascii="宋体" w:hAnsi="宋体" w:eastAsia="宋体" w:cs="宋体"/>
          <w:color w:val="auto"/>
          <w:highlight w:val="none"/>
          <w:lang w:val="en-US"/>
        </w:rPr>
        <w:t>：</w:t>
      </w:r>
      <w:bookmarkEnd w:id="518"/>
    </w:p>
    <w:p>
      <w:pPr>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b/>
          <w:bCs/>
          <w:color w:val="auto"/>
          <w:sz w:val="32"/>
          <w:szCs w:val="32"/>
          <w:highlight w:val="none"/>
          <w:u w:val="none"/>
        </w:rPr>
        <w:t>投标人</w:t>
      </w:r>
      <w:r>
        <w:rPr>
          <w:rFonts w:hint="eastAsia" w:ascii="宋体" w:hAnsi="宋体" w:eastAsia="宋体" w:cs="宋体"/>
          <w:b/>
          <w:bCs/>
          <w:color w:val="auto"/>
          <w:sz w:val="32"/>
          <w:szCs w:val="32"/>
          <w:highlight w:val="none"/>
          <w:u w:val="none"/>
          <w:lang w:eastAsia="zh-CN"/>
        </w:rPr>
        <w:t>商务技术</w:t>
      </w:r>
      <w:r>
        <w:rPr>
          <w:rFonts w:hint="eastAsia" w:ascii="宋体" w:hAnsi="宋体" w:eastAsia="宋体" w:cs="宋体"/>
          <w:b/>
          <w:bCs/>
          <w:color w:val="auto"/>
          <w:sz w:val="32"/>
          <w:szCs w:val="32"/>
          <w:highlight w:val="none"/>
          <w:u w:val="none"/>
        </w:rPr>
        <w:t>文件中资信</w:t>
      </w:r>
      <w:r>
        <w:rPr>
          <w:rFonts w:hint="eastAsia" w:ascii="宋体" w:hAnsi="宋体" w:eastAsia="宋体" w:cs="宋体"/>
          <w:b/>
          <w:bCs/>
          <w:color w:val="auto"/>
          <w:sz w:val="32"/>
          <w:szCs w:val="32"/>
          <w:highlight w:val="none"/>
          <w:u w:val="none"/>
          <w:lang w:val="en-US"/>
        </w:rPr>
        <w:t>分</w:t>
      </w:r>
      <w:r>
        <w:rPr>
          <w:rFonts w:hint="eastAsia" w:ascii="宋体" w:hAnsi="宋体" w:eastAsia="宋体" w:cs="宋体"/>
          <w:b/>
          <w:bCs/>
          <w:color w:val="auto"/>
          <w:sz w:val="32"/>
          <w:szCs w:val="32"/>
          <w:highlight w:val="none"/>
          <w:u w:val="none"/>
        </w:rPr>
        <w:t>自评表</w:t>
      </w:r>
      <w:bookmarkEnd w:id="517"/>
    </w:p>
    <w:p>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项目名称：</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采购编号</w:t>
      </w:r>
      <w:r>
        <w:rPr>
          <w:rFonts w:hint="eastAsia" w:ascii="宋体" w:hAnsi="宋体" w:eastAsia="宋体" w:cs="宋体"/>
          <w:color w:val="auto"/>
          <w:sz w:val="24"/>
          <w:highlight w:val="none"/>
        </w:rPr>
        <w:t>：</w:t>
      </w:r>
    </w:p>
    <w:tbl>
      <w:tblPr>
        <w:tblStyle w:val="32"/>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82"/>
        <w:gridCol w:w="2387"/>
        <w:gridCol w:w="1462"/>
        <w:gridCol w:w="2415"/>
        <w:gridCol w:w="174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noWrap w:val="0"/>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2387" w:type="dxa"/>
            <w:noWrap w:val="0"/>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资信分内容</w:t>
            </w:r>
          </w:p>
        </w:tc>
        <w:tc>
          <w:tcPr>
            <w:tcW w:w="1462" w:type="dxa"/>
            <w:noWrap w:val="0"/>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自评得分</w:t>
            </w:r>
          </w:p>
        </w:tc>
        <w:tc>
          <w:tcPr>
            <w:tcW w:w="2415" w:type="dxa"/>
            <w:tcBorders>
              <w:right w:val="single" w:color="auto" w:sz="4" w:space="0"/>
            </w:tcBorders>
            <w:noWrap w:val="0"/>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投标文件对应资料</w:t>
            </w:r>
          </w:p>
        </w:tc>
        <w:tc>
          <w:tcPr>
            <w:tcW w:w="1746" w:type="dxa"/>
            <w:tcBorders>
              <w:left w:val="single" w:color="auto" w:sz="4" w:space="0"/>
            </w:tcBorders>
            <w:noWrap w:val="0"/>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投标文件页码</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noWrap w:val="0"/>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2387" w:type="dxa"/>
            <w:noWrap w:val="0"/>
            <w:vAlign w:val="top"/>
          </w:tcPr>
          <w:p>
            <w:pPr>
              <w:spacing w:line="360" w:lineRule="auto"/>
              <w:jc w:val="center"/>
              <w:rPr>
                <w:rFonts w:hint="eastAsia" w:ascii="宋体" w:hAnsi="宋体" w:eastAsia="宋体" w:cs="宋体"/>
                <w:color w:val="auto"/>
                <w:sz w:val="24"/>
                <w:szCs w:val="24"/>
                <w:highlight w:val="none"/>
              </w:rPr>
            </w:pPr>
          </w:p>
        </w:tc>
        <w:tc>
          <w:tcPr>
            <w:tcW w:w="1462" w:type="dxa"/>
            <w:noWrap w:val="0"/>
            <w:vAlign w:val="top"/>
          </w:tcPr>
          <w:p>
            <w:pPr>
              <w:spacing w:line="360" w:lineRule="auto"/>
              <w:jc w:val="center"/>
              <w:rPr>
                <w:rFonts w:hint="eastAsia" w:ascii="宋体" w:hAnsi="宋体" w:eastAsia="宋体" w:cs="宋体"/>
                <w:color w:val="auto"/>
                <w:sz w:val="24"/>
                <w:szCs w:val="24"/>
                <w:highlight w:val="none"/>
              </w:rPr>
            </w:pPr>
          </w:p>
        </w:tc>
        <w:tc>
          <w:tcPr>
            <w:tcW w:w="2415" w:type="dxa"/>
            <w:tcBorders>
              <w:right w:val="single" w:color="auto" w:sz="4" w:space="0"/>
            </w:tcBorders>
            <w:noWrap w:val="0"/>
            <w:vAlign w:val="top"/>
          </w:tcPr>
          <w:p>
            <w:pPr>
              <w:spacing w:line="360" w:lineRule="auto"/>
              <w:jc w:val="center"/>
              <w:rPr>
                <w:rFonts w:hint="eastAsia" w:ascii="宋体" w:hAnsi="宋体" w:eastAsia="宋体" w:cs="宋体"/>
                <w:color w:val="auto"/>
                <w:sz w:val="24"/>
                <w:szCs w:val="24"/>
                <w:highlight w:val="none"/>
              </w:rPr>
            </w:pPr>
          </w:p>
        </w:tc>
        <w:tc>
          <w:tcPr>
            <w:tcW w:w="1746" w:type="dxa"/>
            <w:tcBorders>
              <w:left w:val="single" w:color="auto" w:sz="4" w:space="0"/>
            </w:tcBorders>
            <w:noWrap w:val="0"/>
            <w:vAlign w:val="top"/>
          </w:tcPr>
          <w:p>
            <w:pPr>
              <w:spacing w:line="360" w:lineRule="auto"/>
              <w:jc w:val="center"/>
              <w:rPr>
                <w:rFonts w:hint="eastAsia" w:ascii="宋体" w:hAnsi="宋体" w:eastAsia="宋体" w:cs="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noWrap w:val="0"/>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2387" w:type="dxa"/>
            <w:noWrap w:val="0"/>
            <w:vAlign w:val="top"/>
          </w:tcPr>
          <w:p>
            <w:pPr>
              <w:spacing w:line="360" w:lineRule="auto"/>
              <w:jc w:val="center"/>
              <w:rPr>
                <w:rFonts w:hint="eastAsia" w:ascii="宋体" w:hAnsi="宋体" w:eastAsia="宋体" w:cs="宋体"/>
                <w:color w:val="auto"/>
                <w:sz w:val="24"/>
                <w:szCs w:val="24"/>
                <w:highlight w:val="none"/>
              </w:rPr>
            </w:pPr>
          </w:p>
        </w:tc>
        <w:tc>
          <w:tcPr>
            <w:tcW w:w="1462" w:type="dxa"/>
            <w:noWrap w:val="0"/>
            <w:vAlign w:val="top"/>
          </w:tcPr>
          <w:p>
            <w:pPr>
              <w:spacing w:line="360" w:lineRule="auto"/>
              <w:jc w:val="center"/>
              <w:rPr>
                <w:rFonts w:hint="eastAsia" w:ascii="宋体" w:hAnsi="宋体" w:eastAsia="宋体" w:cs="宋体"/>
                <w:color w:val="auto"/>
                <w:sz w:val="24"/>
                <w:szCs w:val="24"/>
                <w:highlight w:val="none"/>
              </w:rPr>
            </w:pPr>
          </w:p>
        </w:tc>
        <w:tc>
          <w:tcPr>
            <w:tcW w:w="2415" w:type="dxa"/>
            <w:tcBorders>
              <w:right w:val="single" w:color="auto" w:sz="4" w:space="0"/>
            </w:tcBorders>
            <w:noWrap w:val="0"/>
            <w:vAlign w:val="top"/>
          </w:tcPr>
          <w:p>
            <w:pPr>
              <w:spacing w:line="360" w:lineRule="auto"/>
              <w:jc w:val="center"/>
              <w:rPr>
                <w:rFonts w:hint="eastAsia" w:ascii="宋体" w:hAnsi="宋体" w:eastAsia="宋体" w:cs="宋体"/>
                <w:color w:val="auto"/>
                <w:sz w:val="24"/>
                <w:szCs w:val="24"/>
                <w:highlight w:val="none"/>
              </w:rPr>
            </w:pPr>
          </w:p>
        </w:tc>
        <w:tc>
          <w:tcPr>
            <w:tcW w:w="1746" w:type="dxa"/>
            <w:tcBorders>
              <w:left w:val="single" w:color="auto" w:sz="4" w:space="0"/>
            </w:tcBorders>
            <w:noWrap w:val="0"/>
            <w:vAlign w:val="top"/>
          </w:tcPr>
          <w:p>
            <w:pPr>
              <w:spacing w:line="360" w:lineRule="auto"/>
              <w:jc w:val="center"/>
              <w:rPr>
                <w:rFonts w:hint="eastAsia" w:ascii="宋体" w:hAnsi="宋体" w:eastAsia="宋体" w:cs="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noWrap w:val="0"/>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2387" w:type="dxa"/>
            <w:noWrap w:val="0"/>
            <w:vAlign w:val="top"/>
          </w:tcPr>
          <w:p>
            <w:pPr>
              <w:spacing w:line="360" w:lineRule="auto"/>
              <w:jc w:val="center"/>
              <w:rPr>
                <w:rFonts w:hint="eastAsia" w:ascii="宋体" w:hAnsi="宋体" w:eastAsia="宋体" w:cs="宋体"/>
                <w:color w:val="auto"/>
                <w:sz w:val="24"/>
                <w:szCs w:val="24"/>
                <w:highlight w:val="none"/>
              </w:rPr>
            </w:pPr>
          </w:p>
        </w:tc>
        <w:tc>
          <w:tcPr>
            <w:tcW w:w="1462" w:type="dxa"/>
            <w:noWrap w:val="0"/>
            <w:vAlign w:val="top"/>
          </w:tcPr>
          <w:p>
            <w:pPr>
              <w:spacing w:line="360" w:lineRule="auto"/>
              <w:jc w:val="center"/>
              <w:rPr>
                <w:rFonts w:hint="eastAsia" w:ascii="宋体" w:hAnsi="宋体" w:eastAsia="宋体" w:cs="宋体"/>
                <w:color w:val="auto"/>
                <w:sz w:val="24"/>
                <w:szCs w:val="24"/>
                <w:highlight w:val="none"/>
              </w:rPr>
            </w:pPr>
          </w:p>
        </w:tc>
        <w:tc>
          <w:tcPr>
            <w:tcW w:w="2415" w:type="dxa"/>
            <w:tcBorders>
              <w:right w:val="single" w:color="auto" w:sz="4" w:space="0"/>
            </w:tcBorders>
            <w:noWrap w:val="0"/>
            <w:vAlign w:val="top"/>
          </w:tcPr>
          <w:p>
            <w:pPr>
              <w:spacing w:line="360" w:lineRule="auto"/>
              <w:jc w:val="center"/>
              <w:rPr>
                <w:rFonts w:hint="eastAsia" w:ascii="宋体" w:hAnsi="宋体" w:eastAsia="宋体" w:cs="宋体"/>
                <w:color w:val="auto"/>
                <w:sz w:val="24"/>
                <w:szCs w:val="24"/>
                <w:highlight w:val="none"/>
              </w:rPr>
            </w:pPr>
          </w:p>
        </w:tc>
        <w:tc>
          <w:tcPr>
            <w:tcW w:w="1746" w:type="dxa"/>
            <w:tcBorders>
              <w:left w:val="single" w:color="auto" w:sz="4" w:space="0"/>
            </w:tcBorders>
            <w:noWrap w:val="0"/>
            <w:vAlign w:val="top"/>
          </w:tcPr>
          <w:p>
            <w:pPr>
              <w:spacing w:line="360" w:lineRule="auto"/>
              <w:jc w:val="center"/>
              <w:rPr>
                <w:rFonts w:hint="eastAsia" w:ascii="宋体" w:hAnsi="宋体" w:eastAsia="宋体" w:cs="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noWrap w:val="0"/>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2387" w:type="dxa"/>
            <w:noWrap w:val="0"/>
            <w:vAlign w:val="top"/>
          </w:tcPr>
          <w:p>
            <w:pPr>
              <w:spacing w:line="360" w:lineRule="auto"/>
              <w:jc w:val="center"/>
              <w:rPr>
                <w:rFonts w:hint="eastAsia" w:ascii="宋体" w:hAnsi="宋体" w:eastAsia="宋体" w:cs="宋体"/>
                <w:color w:val="auto"/>
                <w:sz w:val="24"/>
                <w:szCs w:val="24"/>
                <w:highlight w:val="none"/>
              </w:rPr>
            </w:pPr>
          </w:p>
        </w:tc>
        <w:tc>
          <w:tcPr>
            <w:tcW w:w="1462" w:type="dxa"/>
            <w:noWrap w:val="0"/>
            <w:vAlign w:val="top"/>
          </w:tcPr>
          <w:p>
            <w:pPr>
              <w:spacing w:line="360" w:lineRule="auto"/>
              <w:jc w:val="center"/>
              <w:rPr>
                <w:rFonts w:hint="eastAsia" w:ascii="宋体" w:hAnsi="宋体" w:eastAsia="宋体" w:cs="宋体"/>
                <w:color w:val="auto"/>
                <w:sz w:val="24"/>
                <w:szCs w:val="24"/>
                <w:highlight w:val="none"/>
              </w:rPr>
            </w:pPr>
          </w:p>
        </w:tc>
        <w:tc>
          <w:tcPr>
            <w:tcW w:w="2415" w:type="dxa"/>
            <w:tcBorders>
              <w:right w:val="single" w:color="auto" w:sz="4" w:space="0"/>
            </w:tcBorders>
            <w:noWrap w:val="0"/>
            <w:vAlign w:val="top"/>
          </w:tcPr>
          <w:p>
            <w:pPr>
              <w:spacing w:line="360" w:lineRule="auto"/>
              <w:jc w:val="center"/>
              <w:rPr>
                <w:rFonts w:hint="eastAsia" w:ascii="宋体" w:hAnsi="宋体" w:eastAsia="宋体" w:cs="宋体"/>
                <w:color w:val="auto"/>
                <w:sz w:val="24"/>
                <w:szCs w:val="24"/>
                <w:highlight w:val="none"/>
              </w:rPr>
            </w:pPr>
          </w:p>
        </w:tc>
        <w:tc>
          <w:tcPr>
            <w:tcW w:w="1746" w:type="dxa"/>
            <w:tcBorders>
              <w:left w:val="single" w:color="auto" w:sz="4" w:space="0"/>
            </w:tcBorders>
            <w:noWrap w:val="0"/>
            <w:vAlign w:val="top"/>
          </w:tcPr>
          <w:p>
            <w:pPr>
              <w:spacing w:line="360" w:lineRule="auto"/>
              <w:jc w:val="center"/>
              <w:rPr>
                <w:rFonts w:hint="eastAsia" w:ascii="宋体" w:hAnsi="宋体" w:eastAsia="宋体" w:cs="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noWrap w:val="0"/>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2387" w:type="dxa"/>
            <w:noWrap w:val="0"/>
            <w:vAlign w:val="top"/>
          </w:tcPr>
          <w:p>
            <w:pPr>
              <w:spacing w:line="360" w:lineRule="auto"/>
              <w:jc w:val="center"/>
              <w:rPr>
                <w:rFonts w:hint="eastAsia" w:ascii="宋体" w:hAnsi="宋体" w:eastAsia="宋体" w:cs="宋体"/>
                <w:color w:val="auto"/>
                <w:sz w:val="24"/>
                <w:szCs w:val="24"/>
                <w:highlight w:val="none"/>
              </w:rPr>
            </w:pPr>
          </w:p>
        </w:tc>
        <w:tc>
          <w:tcPr>
            <w:tcW w:w="1462" w:type="dxa"/>
            <w:noWrap w:val="0"/>
            <w:vAlign w:val="top"/>
          </w:tcPr>
          <w:p>
            <w:pPr>
              <w:spacing w:line="360" w:lineRule="auto"/>
              <w:jc w:val="center"/>
              <w:rPr>
                <w:rFonts w:hint="eastAsia" w:ascii="宋体" w:hAnsi="宋体" w:eastAsia="宋体" w:cs="宋体"/>
                <w:color w:val="auto"/>
                <w:sz w:val="24"/>
                <w:szCs w:val="24"/>
                <w:highlight w:val="none"/>
              </w:rPr>
            </w:pPr>
          </w:p>
        </w:tc>
        <w:tc>
          <w:tcPr>
            <w:tcW w:w="2415" w:type="dxa"/>
            <w:tcBorders>
              <w:right w:val="single" w:color="auto" w:sz="4" w:space="0"/>
            </w:tcBorders>
            <w:noWrap w:val="0"/>
            <w:vAlign w:val="top"/>
          </w:tcPr>
          <w:p>
            <w:pPr>
              <w:spacing w:line="360" w:lineRule="auto"/>
              <w:jc w:val="center"/>
              <w:rPr>
                <w:rFonts w:hint="eastAsia" w:ascii="宋体" w:hAnsi="宋体" w:eastAsia="宋体" w:cs="宋体"/>
                <w:color w:val="auto"/>
                <w:sz w:val="24"/>
                <w:szCs w:val="24"/>
                <w:highlight w:val="none"/>
              </w:rPr>
            </w:pPr>
          </w:p>
        </w:tc>
        <w:tc>
          <w:tcPr>
            <w:tcW w:w="1746" w:type="dxa"/>
            <w:tcBorders>
              <w:left w:val="single" w:color="auto" w:sz="4" w:space="0"/>
            </w:tcBorders>
            <w:noWrap w:val="0"/>
            <w:vAlign w:val="top"/>
          </w:tcPr>
          <w:p>
            <w:pPr>
              <w:spacing w:line="360" w:lineRule="auto"/>
              <w:jc w:val="center"/>
              <w:rPr>
                <w:rFonts w:hint="eastAsia" w:ascii="宋体" w:hAnsi="宋体" w:eastAsia="宋体" w:cs="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noWrap w:val="0"/>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2387" w:type="dxa"/>
            <w:noWrap w:val="0"/>
            <w:vAlign w:val="top"/>
          </w:tcPr>
          <w:p>
            <w:pPr>
              <w:spacing w:line="360" w:lineRule="auto"/>
              <w:jc w:val="center"/>
              <w:rPr>
                <w:rFonts w:hint="eastAsia" w:ascii="宋体" w:hAnsi="宋体" w:eastAsia="宋体" w:cs="宋体"/>
                <w:color w:val="auto"/>
                <w:sz w:val="24"/>
                <w:szCs w:val="24"/>
                <w:highlight w:val="none"/>
              </w:rPr>
            </w:pPr>
          </w:p>
        </w:tc>
        <w:tc>
          <w:tcPr>
            <w:tcW w:w="1462" w:type="dxa"/>
            <w:noWrap w:val="0"/>
            <w:vAlign w:val="top"/>
          </w:tcPr>
          <w:p>
            <w:pPr>
              <w:spacing w:line="360" w:lineRule="auto"/>
              <w:jc w:val="center"/>
              <w:rPr>
                <w:rFonts w:hint="eastAsia" w:ascii="宋体" w:hAnsi="宋体" w:eastAsia="宋体" w:cs="宋体"/>
                <w:color w:val="auto"/>
                <w:sz w:val="24"/>
                <w:szCs w:val="24"/>
                <w:highlight w:val="none"/>
              </w:rPr>
            </w:pPr>
          </w:p>
        </w:tc>
        <w:tc>
          <w:tcPr>
            <w:tcW w:w="2415" w:type="dxa"/>
            <w:tcBorders>
              <w:right w:val="single" w:color="auto" w:sz="4" w:space="0"/>
            </w:tcBorders>
            <w:noWrap w:val="0"/>
            <w:vAlign w:val="top"/>
          </w:tcPr>
          <w:p>
            <w:pPr>
              <w:spacing w:line="360" w:lineRule="auto"/>
              <w:jc w:val="center"/>
              <w:rPr>
                <w:rFonts w:hint="eastAsia" w:ascii="宋体" w:hAnsi="宋体" w:eastAsia="宋体" w:cs="宋体"/>
                <w:color w:val="auto"/>
                <w:sz w:val="24"/>
                <w:szCs w:val="24"/>
                <w:highlight w:val="none"/>
              </w:rPr>
            </w:pPr>
          </w:p>
        </w:tc>
        <w:tc>
          <w:tcPr>
            <w:tcW w:w="1746" w:type="dxa"/>
            <w:tcBorders>
              <w:left w:val="single" w:color="auto" w:sz="4" w:space="0"/>
            </w:tcBorders>
            <w:noWrap w:val="0"/>
            <w:vAlign w:val="top"/>
          </w:tcPr>
          <w:p>
            <w:pPr>
              <w:spacing w:line="360" w:lineRule="auto"/>
              <w:jc w:val="center"/>
              <w:rPr>
                <w:rFonts w:hint="eastAsia" w:ascii="宋体" w:hAnsi="宋体" w:eastAsia="宋体" w:cs="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noWrap w:val="0"/>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p>
        </w:tc>
        <w:tc>
          <w:tcPr>
            <w:tcW w:w="2387" w:type="dxa"/>
            <w:noWrap w:val="0"/>
            <w:vAlign w:val="top"/>
          </w:tcPr>
          <w:p>
            <w:pPr>
              <w:spacing w:line="360" w:lineRule="auto"/>
              <w:jc w:val="center"/>
              <w:rPr>
                <w:rFonts w:hint="eastAsia" w:ascii="宋体" w:hAnsi="宋体" w:eastAsia="宋体" w:cs="宋体"/>
                <w:color w:val="auto"/>
                <w:sz w:val="24"/>
                <w:szCs w:val="24"/>
                <w:highlight w:val="none"/>
              </w:rPr>
            </w:pPr>
          </w:p>
        </w:tc>
        <w:tc>
          <w:tcPr>
            <w:tcW w:w="1462" w:type="dxa"/>
            <w:noWrap w:val="0"/>
            <w:vAlign w:val="top"/>
          </w:tcPr>
          <w:p>
            <w:pPr>
              <w:spacing w:line="360" w:lineRule="auto"/>
              <w:jc w:val="center"/>
              <w:rPr>
                <w:rFonts w:hint="eastAsia" w:ascii="宋体" w:hAnsi="宋体" w:eastAsia="宋体" w:cs="宋体"/>
                <w:color w:val="auto"/>
                <w:sz w:val="24"/>
                <w:szCs w:val="24"/>
                <w:highlight w:val="none"/>
              </w:rPr>
            </w:pPr>
          </w:p>
        </w:tc>
        <w:tc>
          <w:tcPr>
            <w:tcW w:w="2415" w:type="dxa"/>
            <w:tcBorders>
              <w:right w:val="single" w:color="auto" w:sz="4" w:space="0"/>
            </w:tcBorders>
            <w:noWrap w:val="0"/>
            <w:vAlign w:val="top"/>
          </w:tcPr>
          <w:p>
            <w:pPr>
              <w:spacing w:line="360" w:lineRule="auto"/>
              <w:jc w:val="center"/>
              <w:rPr>
                <w:rFonts w:hint="eastAsia" w:ascii="宋体" w:hAnsi="宋体" w:eastAsia="宋体" w:cs="宋体"/>
                <w:color w:val="auto"/>
                <w:sz w:val="24"/>
                <w:szCs w:val="24"/>
                <w:highlight w:val="none"/>
              </w:rPr>
            </w:pPr>
          </w:p>
        </w:tc>
        <w:tc>
          <w:tcPr>
            <w:tcW w:w="1746" w:type="dxa"/>
            <w:tcBorders>
              <w:left w:val="single" w:color="auto" w:sz="4" w:space="0"/>
            </w:tcBorders>
            <w:noWrap w:val="0"/>
            <w:vAlign w:val="top"/>
          </w:tcPr>
          <w:p>
            <w:pPr>
              <w:spacing w:line="360" w:lineRule="auto"/>
              <w:jc w:val="center"/>
              <w:rPr>
                <w:rFonts w:hint="eastAsia" w:ascii="宋体" w:hAnsi="宋体" w:eastAsia="宋体" w:cs="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noWrap w:val="0"/>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p>
        </w:tc>
        <w:tc>
          <w:tcPr>
            <w:tcW w:w="2387" w:type="dxa"/>
            <w:noWrap w:val="0"/>
            <w:vAlign w:val="top"/>
          </w:tcPr>
          <w:p>
            <w:pPr>
              <w:spacing w:line="360" w:lineRule="auto"/>
              <w:jc w:val="center"/>
              <w:rPr>
                <w:rFonts w:hint="eastAsia" w:ascii="宋体" w:hAnsi="宋体" w:eastAsia="宋体" w:cs="宋体"/>
                <w:color w:val="auto"/>
                <w:sz w:val="24"/>
                <w:szCs w:val="24"/>
                <w:highlight w:val="none"/>
              </w:rPr>
            </w:pPr>
          </w:p>
        </w:tc>
        <w:tc>
          <w:tcPr>
            <w:tcW w:w="1462" w:type="dxa"/>
            <w:noWrap w:val="0"/>
            <w:vAlign w:val="top"/>
          </w:tcPr>
          <w:p>
            <w:pPr>
              <w:spacing w:line="360" w:lineRule="auto"/>
              <w:jc w:val="center"/>
              <w:rPr>
                <w:rFonts w:hint="eastAsia" w:ascii="宋体" w:hAnsi="宋体" w:eastAsia="宋体" w:cs="宋体"/>
                <w:color w:val="auto"/>
                <w:sz w:val="24"/>
                <w:szCs w:val="24"/>
                <w:highlight w:val="none"/>
              </w:rPr>
            </w:pPr>
          </w:p>
        </w:tc>
        <w:tc>
          <w:tcPr>
            <w:tcW w:w="2415" w:type="dxa"/>
            <w:tcBorders>
              <w:right w:val="single" w:color="auto" w:sz="4" w:space="0"/>
            </w:tcBorders>
            <w:noWrap w:val="0"/>
            <w:vAlign w:val="top"/>
          </w:tcPr>
          <w:p>
            <w:pPr>
              <w:spacing w:line="360" w:lineRule="auto"/>
              <w:jc w:val="center"/>
              <w:rPr>
                <w:rFonts w:hint="eastAsia" w:ascii="宋体" w:hAnsi="宋体" w:eastAsia="宋体" w:cs="宋体"/>
                <w:color w:val="auto"/>
                <w:sz w:val="24"/>
                <w:szCs w:val="24"/>
                <w:highlight w:val="none"/>
              </w:rPr>
            </w:pPr>
          </w:p>
        </w:tc>
        <w:tc>
          <w:tcPr>
            <w:tcW w:w="1746" w:type="dxa"/>
            <w:tcBorders>
              <w:left w:val="single" w:color="auto" w:sz="4" w:space="0"/>
            </w:tcBorders>
            <w:noWrap w:val="0"/>
            <w:vAlign w:val="top"/>
          </w:tcPr>
          <w:p>
            <w:pPr>
              <w:spacing w:line="360" w:lineRule="auto"/>
              <w:jc w:val="center"/>
              <w:rPr>
                <w:rFonts w:hint="eastAsia" w:ascii="宋体" w:hAnsi="宋体" w:eastAsia="宋体" w:cs="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noWrap w:val="0"/>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合计</w:t>
            </w:r>
          </w:p>
        </w:tc>
        <w:tc>
          <w:tcPr>
            <w:tcW w:w="2387" w:type="dxa"/>
            <w:noWrap w:val="0"/>
            <w:vAlign w:val="top"/>
          </w:tcPr>
          <w:p>
            <w:pPr>
              <w:spacing w:line="360" w:lineRule="auto"/>
              <w:jc w:val="center"/>
              <w:rPr>
                <w:rFonts w:hint="eastAsia" w:ascii="宋体" w:hAnsi="宋体" w:eastAsia="宋体" w:cs="宋体"/>
                <w:color w:val="auto"/>
                <w:sz w:val="24"/>
                <w:szCs w:val="24"/>
                <w:highlight w:val="none"/>
              </w:rPr>
            </w:pPr>
          </w:p>
        </w:tc>
        <w:tc>
          <w:tcPr>
            <w:tcW w:w="1462" w:type="dxa"/>
            <w:noWrap w:val="0"/>
            <w:vAlign w:val="top"/>
          </w:tcPr>
          <w:p>
            <w:pPr>
              <w:spacing w:line="360" w:lineRule="auto"/>
              <w:jc w:val="center"/>
              <w:rPr>
                <w:rFonts w:hint="eastAsia" w:ascii="宋体" w:hAnsi="宋体" w:eastAsia="宋体" w:cs="宋体"/>
                <w:color w:val="auto"/>
                <w:sz w:val="24"/>
                <w:szCs w:val="24"/>
                <w:highlight w:val="none"/>
              </w:rPr>
            </w:pPr>
          </w:p>
        </w:tc>
        <w:tc>
          <w:tcPr>
            <w:tcW w:w="2415" w:type="dxa"/>
            <w:tcBorders>
              <w:right w:val="single" w:color="auto" w:sz="4" w:space="0"/>
            </w:tcBorders>
            <w:noWrap w:val="0"/>
            <w:vAlign w:val="top"/>
          </w:tcPr>
          <w:p>
            <w:pPr>
              <w:spacing w:line="360" w:lineRule="auto"/>
              <w:jc w:val="center"/>
              <w:rPr>
                <w:rFonts w:hint="eastAsia" w:ascii="宋体" w:hAnsi="宋体" w:eastAsia="宋体" w:cs="宋体"/>
                <w:color w:val="auto"/>
                <w:sz w:val="24"/>
                <w:szCs w:val="24"/>
                <w:highlight w:val="none"/>
              </w:rPr>
            </w:pPr>
          </w:p>
        </w:tc>
        <w:tc>
          <w:tcPr>
            <w:tcW w:w="1746" w:type="dxa"/>
            <w:tcBorders>
              <w:left w:val="single" w:color="auto" w:sz="4" w:space="0"/>
            </w:tcBorders>
            <w:noWrap w:val="0"/>
            <w:vAlign w:val="top"/>
          </w:tcPr>
          <w:p>
            <w:pPr>
              <w:spacing w:line="360" w:lineRule="auto"/>
              <w:jc w:val="center"/>
              <w:rPr>
                <w:rFonts w:hint="eastAsia" w:ascii="宋体" w:hAnsi="宋体" w:eastAsia="宋体" w:cs="宋体"/>
                <w:color w:val="auto"/>
                <w:sz w:val="24"/>
                <w:szCs w:val="24"/>
                <w:highlight w:val="none"/>
              </w:rPr>
            </w:pPr>
          </w:p>
        </w:tc>
      </w:tr>
    </w:tbl>
    <w:p>
      <w:pPr>
        <w:spacing w:line="360" w:lineRule="auto"/>
        <w:ind w:firstLine="480" w:firstLineChars="200"/>
        <w:rPr>
          <w:rFonts w:hint="eastAsia" w:ascii="宋体" w:hAnsi="宋体" w:eastAsia="宋体" w:cs="宋体"/>
          <w:color w:val="auto"/>
          <w:sz w:val="24"/>
          <w:highlight w:val="none"/>
          <w:lang w:val="en-US" w:eastAsia="zh-CN"/>
        </w:rPr>
      </w:pPr>
    </w:p>
    <w:p>
      <w:pPr>
        <w:spacing w:line="360" w:lineRule="auto"/>
        <w:ind w:leftChars="1800" w:firstLine="480" w:firstLineChars="200"/>
        <w:rPr>
          <w:rFonts w:hint="eastAsia" w:ascii="宋体" w:hAnsi="宋体" w:eastAsia="宋体" w:cs="宋体"/>
          <w:color w:val="auto"/>
          <w:sz w:val="24"/>
          <w:highlight w:val="none"/>
        </w:rPr>
      </w:pPr>
    </w:p>
    <w:p>
      <w:pPr>
        <w:spacing w:line="360" w:lineRule="auto"/>
        <w:ind w:leftChars="18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法定代表人签名（或签名章）：                       </w:t>
      </w:r>
    </w:p>
    <w:p>
      <w:pPr>
        <w:spacing w:line="360" w:lineRule="auto"/>
        <w:ind w:leftChars="18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日 期：</w:t>
      </w:r>
    </w:p>
    <w:p>
      <w:pPr>
        <w:spacing w:line="360" w:lineRule="auto"/>
        <w:ind w:leftChars="18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投标人全称（公章）：</w:t>
      </w:r>
    </w:p>
    <w:p>
      <w:pPr>
        <w:spacing w:line="360" w:lineRule="auto"/>
        <w:ind w:leftChars="1800" w:firstLine="480" w:firstLineChars="200"/>
        <w:rPr>
          <w:rFonts w:hint="eastAsia" w:ascii="宋体" w:hAnsi="宋体" w:eastAsia="宋体" w:cs="宋体"/>
          <w:color w:val="auto"/>
          <w:sz w:val="24"/>
          <w:highlight w:val="none"/>
        </w:rPr>
      </w:pPr>
    </w:p>
    <w:p>
      <w:pPr>
        <w:pStyle w:val="4"/>
        <w:numPr>
          <w:ilvl w:val="0"/>
          <w:numId w:val="0"/>
        </w:numPr>
        <w:bidi w:val="0"/>
        <w:spacing w:line="360" w:lineRule="auto"/>
        <w:outlineLvl w:val="1"/>
        <w:rPr>
          <w:rFonts w:hint="eastAsia" w:ascii="宋体" w:hAnsi="宋体" w:eastAsia="宋体" w:cs="宋体"/>
          <w:color w:val="auto"/>
          <w:highlight w:val="none"/>
          <w:lang w:eastAsia="zh-CN"/>
        </w:rPr>
      </w:pPr>
      <w:bookmarkStart w:id="519" w:name="_Toc24787"/>
      <w:r>
        <w:rPr>
          <w:rFonts w:hint="eastAsia" w:ascii="宋体" w:hAnsi="宋体" w:eastAsia="宋体" w:cs="宋体"/>
          <w:color w:val="auto"/>
          <w:highlight w:val="none"/>
          <w:lang w:eastAsia="zh-CN"/>
        </w:rPr>
        <w:t>附件五：</w:t>
      </w:r>
      <w:bookmarkEnd w:id="519"/>
    </w:p>
    <w:p>
      <w:pPr>
        <w:spacing w:line="360" w:lineRule="auto"/>
        <w:ind w:firstLine="602" w:firstLineChars="200"/>
        <w:jc w:val="center"/>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t>投标项目明细清单</w:t>
      </w:r>
    </w:p>
    <w:p>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项目名称：</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采购编号</w:t>
      </w:r>
      <w:r>
        <w:rPr>
          <w:rFonts w:hint="eastAsia" w:ascii="宋体" w:hAnsi="宋体" w:eastAsia="宋体" w:cs="宋体"/>
          <w:color w:val="auto"/>
          <w:sz w:val="24"/>
          <w:highlight w:val="none"/>
        </w:rPr>
        <w:t>：</w:t>
      </w:r>
    </w:p>
    <w:tbl>
      <w:tblPr>
        <w:tblStyle w:val="32"/>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7"/>
        <w:gridCol w:w="1681"/>
        <w:gridCol w:w="839"/>
        <w:gridCol w:w="1281"/>
        <w:gridCol w:w="1419"/>
        <w:gridCol w:w="2227"/>
        <w:gridCol w:w="108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707"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序</w:t>
            </w:r>
            <w:r>
              <w:rPr>
                <w:rFonts w:hint="eastAsia" w:ascii="宋体" w:hAnsi="宋体" w:eastAsia="宋体" w:cs="宋体"/>
                <w:color w:val="auto"/>
                <w:sz w:val="24"/>
                <w:highlight w:val="none"/>
              </w:rPr>
              <w:t>号</w:t>
            </w:r>
          </w:p>
        </w:tc>
        <w:tc>
          <w:tcPr>
            <w:tcW w:w="1681"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货物名称</w:t>
            </w:r>
          </w:p>
        </w:tc>
        <w:tc>
          <w:tcPr>
            <w:tcW w:w="839"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品牌</w:t>
            </w:r>
          </w:p>
        </w:tc>
        <w:tc>
          <w:tcPr>
            <w:tcW w:w="1281"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规格</w:t>
            </w:r>
          </w:p>
          <w:p>
            <w:pPr>
              <w:snapToGrid w:val="0"/>
              <w:spacing w:before="50" w:after="50"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型号</w:t>
            </w:r>
          </w:p>
        </w:tc>
        <w:tc>
          <w:tcPr>
            <w:tcW w:w="1419"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单位及</w:t>
            </w:r>
          </w:p>
          <w:p>
            <w:pPr>
              <w:snapToGrid w:val="0"/>
              <w:spacing w:before="50" w:after="50"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数量</w:t>
            </w:r>
          </w:p>
        </w:tc>
        <w:tc>
          <w:tcPr>
            <w:tcW w:w="2227"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性能及指标</w:t>
            </w:r>
          </w:p>
        </w:tc>
        <w:tc>
          <w:tcPr>
            <w:tcW w:w="108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产地</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707"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p>
        </w:tc>
        <w:tc>
          <w:tcPr>
            <w:tcW w:w="1681"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p>
        </w:tc>
        <w:tc>
          <w:tcPr>
            <w:tcW w:w="839"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ind w:left="480" w:hanging="480"/>
              <w:jc w:val="center"/>
              <w:rPr>
                <w:rFonts w:hint="eastAsia" w:ascii="宋体" w:hAnsi="宋体" w:eastAsia="宋体" w:cs="宋体"/>
                <w:color w:val="auto"/>
                <w:sz w:val="24"/>
                <w:highlight w:val="none"/>
              </w:rPr>
            </w:pPr>
          </w:p>
        </w:tc>
        <w:tc>
          <w:tcPr>
            <w:tcW w:w="1281"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p>
        </w:tc>
        <w:tc>
          <w:tcPr>
            <w:tcW w:w="1419"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p>
        </w:tc>
        <w:tc>
          <w:tcPr>
            <w:tcW w:w="2227"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707"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p>
        </w:tc>
        <w:tc>
          <w:tcPr>
            <w:tcW w:w="1681"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p>
        </w:tc>
        <w:tc>
          <w:tcPr>
            <w:tcW w:w="839"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ind w:left="480" w:hanging="480"/>
              <w:jc w:val="center"/>
              <w:rPr>
                <w:rFonts w:hint="eastAsia" w:ascii="宋体" w:hAnsi="宋体" w:eastAsia="宋体" w:cs="宋体"/>
                <w:color w:val="auto"/>
                <w:sz w:val="24"/>
                <w:highlight w:val="none"/>
              </w:rPr>
            </w:pPr>
          </w:p>
        </w:tc>
        <w:tc>
          <w:tcPr>
            <w:tcW w:w="1281"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p>
        </w:tc>
        <w:tc>
          <w:tcPr>
            <w:tcW w:w="1419"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p>
        </w:tc>
        <w:tc>
          <w:tcPr>
            <w:tcW w:w="2227"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p>
        </w:tc>
      </w:tr>
    </w:tbl>
    <w:p>
      <w:pPr>
        <w:snapToGrid w:val="0"/>
        <w:spacing w:before="167" w:beforeLines="5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注：在填写时，如上表不适合本项目的实际情况，可在确保投标明细内容完整的情况下，根据上表格式自行划表填写。</w:t>
      </w:r>
    </w:p>
    <w:p>
      <w:pPr>
        <w:pStyle w:val="11"/>
        <w:spacing w:line="360" w:lineRule="auto"/>
        <w:rPr>
          <w:rFonts w:hint="eastAsia" w:ascii="宋体" w:hAnsi="宋体" w:eastAsia="宋体" w:cs="宋体"/>
          <w:color w:val="auto"/>
          <w:sz w:val="24"/>
          <w:highlight w:val="none"/>
        </w:rPr>
      </w:pPr>
    </w:p>
    <w:p>
      <w:pPr>
        <w:pStyle w:val="11"/>
        <w:spacing w:line="360" w:lineRule="auto"/>
        <w:rPr>
          <w:rFonts w:hint="eastAsia" w:ascii="宋体" w:hAnsi="宋体" w:eastAsia="宋体" w:cs="宋体"/>
          <w:color w:val="auto"/>
          <w:sz w:val="24"/>
          <w:highlight w:val="none"/>
        </w:rPr>
      </w:pPr>
    </w:p>
    <w:p>
      <w:pPr>
        <w:pStyle w:val="11"/>
        <w:spacing w:line="360" w:lineRule="auto"/>
        <w:rPr>
          <w:rFonts w:hint="eastAsia" w:ascii="宋体" w:hAnsi="宋体" w:eastAsia="宋体" w:cs="宋体"/>
          <w:color w:val="auto"/>
          <w:sz w:val="24"/>
          <w:highlight w:val="none"/>
        </w:rPr>
      </w:pPr>
    </w:p>
    <w:p>
      <w:pPr>
        <w:snapToGrid w:val="0"/>
        <w:spacing w:before="167" w:beforeLines="50" w:line="360" w:lineRule="auto"/>
        <w:rPr>
          <w:rFonts w:hint="eastAsia" w:ascii="宋体" w:hAnsi="宋体" w:eastAsia="宋体" w:cs="宋体"/>
          <w:color w:val="auto"/>
          <w:sz w:val="24"/>
          <w:highlight w:val="none"/>
        </w:rPr>
      </w:pPr>
    </w:p>
    <w:p>
      <w:pPr>
        <w:spacing w:line="360" w:lineRule="auto"/>
        <w:ind w:leftChars="18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法定代表人签名（或签名章）：                       </w:t>
      </w:r>
    </w:p>
    <w:p>
      <w:pPr>
        <w:spacing w:line="360" w:lineRule="auto"/>
        <w:ind w:leftChars="18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日 期：</w:t>
      </w:r>
    </w:p>
    <w:p>
      <w:pPr>
        <w:spacing w:line="360" w:lineRule="auto"/>
        <w:ind w:leftChars="18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投标人全称（公章）：</w:t>
      </w:r>
    </w:p>
    <w:p>
      <w:pPr>
        <w:snapToGrid w:val="0"/>
        <w:spacing w:before="50" w:after="50" w:line="360" w:lineRule="auto"/>
        <w:rPr>
          <w:rFonts w:hint="eastAsia" w:ascii="宋体" w:hAnsi="宋体" w:eastAsia="宋体" w:cs="宋体"/>
          <w:color w:val="auto"/>
          <w:spacing w:val="20"/>
          <w:sz w:val="24"/>
          <w:highlight w:val="none"/>
        </w:rPr>
      </w:pPr>
    </w:p>
    <w:p>
      <w:pPr>
        <w:snapToGrid w:val="0"/>
        <w:spacing w:before="50" w:after="50" w:line="360" w:lineRule="auto"/>
        <w:rPr>
          <w:rFonts w:hint="eastAsia" w:ascii="宋体" w:hAnsi="宋体" w:eastAsia="宋体" w:cs="宋体"/>
          <w:color w:val="auto"/>
          <w:spacing w:val="20"/>
          <w:sz w:val="30"/>
          <w:szCs w:val="30"/>
          <w:highlight w:val="none"/>
        </w:rPr>
      </w:pPr>
    </w:p>
    <w:p>
      <w:pPr>
        <w:pStyle w:val="11"/>
        <w:spacing w:line="360" w:lineRule="auto"/>
        <w:ind w:firstLine="686"/>
        <w:rPr>
          <w:rFonts w:hint="eastAsia" w:ascii="宋体" w:hAnsi="宋体" w:eastAsia="宋体" w:cs="宋体"/>
          <w:color w:val="auto"/>
          <w:spacing w:val="20"/>
          <w:sz w:val="30"/>
          <w:szCs w:val="30"/>
          <w:highlight w:val="none"/>
        </w:rPr>
      </w:pPr>
    </w:p>
    <w:p>
      <w:pPr>
        <w:pStyle w:val="11"/>
        <w:spacing w:line="360" w:lineRule="auto"/>
        <w:ind w:firstLine="686"/>
        <w:rPr>
          <w:rFonts w:hint="eastAsia" w:ascii="宋体" w:hAnsi="宋体" w:eastAsia="宋体" w:cs="宋体"/>
          <w:color w:val="auto"/>
          <w:spacing w:val="20"/>
          <w:sz w:val="30"/>
          <w:szCs w:val="30"/>
          <w:highlight w:val="none"/>
        </w:rPr>
      </w:pPr>
    </w:p>
    <w:p>
      <w:pPr>
        <w:pStyle w:val="11"/>
        <w:spacing w:line="360" w:lineRule="auto"/>
        <w:ind w:firstLine="686"/>
        <w:rPr>
          <w:rFonts w:hint="eastAsia" w:ascii="宋体" w:hAnsi="宋体" w:eastAsia="宋体" w:cs="宋体"/>
          <w:color w:val="auto"/>
          <w:spacing w:val="20"/>
          <w:sz w:val="30"/>
          <w:szCs w:val="30"/>
          <w:highlight w:val="none"/>
        </w:rPr>
      </w:pPr>
    </w:p>
    <w:p>
      <w:pPr>
        <w:pStyle w:val="11"/>
        <w:spacing w:line="360" w:lineRule="auto"/>
        <w:ind w:left="0" w:leftChars="0" w:firstLine="0" w:firstLineChars="0"/>
        <w:rPr>
          <w:rFonts w:hint="eastAsia" w:ascii="宋体" w:hAnsi="宋体" w:eastAsia="宋体" w:cs="宋体"/>
          <w:color w:val="auto"/>
          <w:spacing w:val="20"/>
          <w:sz w:val="30"/>
          <w:szCs w:val="30"/>
          <w:highlight w:val="none"/>
        </w:rPr>
      </w:pPr>
    </w:p>
    <w:p>
      <w:pPr>
        <w:pStyle w:val="4"/>
        <w:numPr>
          <w:ilvl w:val="0"/>
          <w:numId w:val="0"/>
        </w:numPr>
        <w:outlineLvl w:val="1"/>
        <w:rPr>
          <w:rFonts w:hint="eastAsia" w:ascii="宋体" w:hAnsi="宋体" w:eastAsia="宋体" w:cs="宋体"/>
          <w:color w:val="auto"/>
          <w:highlight w:val="none"/>
        </w:rPr>
      </w:pPr>
      <w:bookmarkStart w:id="520" w:name="_Toc2658"/>
      <w:bookmarkStart w:id="521" w:name="_Toc2823"/>
      <w:r>
        <w:rPr>
          <w:rFonts w:hint="eastAsia" w:ascii="宋体" w:hAnsi="宋体" w:eastAsia="宋体" w:cs="宋体"/>
          <w:color w:val="auto"/>
          <w:highlight w:val="none"/>
        </w:rPr>
        <w:t>附件六：</w:t>
      </w:r>
      <w:bookmarkEnd w:id="520"/>
    </w:p>
    <w:p>
      <w:pPr>
        <w:jc w:val="center"/>
        <w:rPr>
          <w:rFonts w:hint="eastAsia" w:ascii="宋体" w:hAnsi="宋体" w:eastAsia="宋体" w:cs="宋体"/>
          <w:b/>
          <w:bCs/>
          <w:color w:val="auto"/>
          <w:sz w:val="32"/>
          <w:szCs w:val="40"/>
          <w:highlight w:val="none"/>
        </w:rPr>
      </w:pPr>
      <w:r>
        <w:rPr>
          <w:rFonts w:hint="eastAsia" w:ascii="宋体" w:hAnsi="宋体" w:eastAsia="宋体" w:cs="宋体"/>
          <w:b/>
          <w:bCs/>
          <w:color w:val="auto"/>
          <w:sz w:val="32"/>
          <w:szCs w:val="40"/>
          <w:highlight w:val="none"/>
        </w:rPr>
        <w:t>随机专用工具及备品备件明细表</w:t>
      </w:r>
    </w:p>
    <w:p>
      <w:pPr>
        <w:jc w:val="center"/>
        <w:rPr>
          <w:rFonts w:hint="eastAsia" w:ascii="宋体" w:hAnsi="宋体" w:eastAsia="宋体" w:cs="宋体"/>
          <w:b/>
          <w:bCs/>
          <w:color w:val="auto"/>
          <w:sz w:val="30"/>
          <w:szCs w:val="30"/>
          <w:highlight w:val="none"/>
        </w:rPr>
      </w:pPr>
    </w:p>
    <w:tbl>
      <w:tblPr>
        <w:tblStyle w:val="32"/>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13"/>
        <w:gridCol w:w="1325"/>
        <w:gridCol w:w="796"/>
        <w:gridCol w:w="796"/>
        <w:gridCol w:w="929"/>
        <w:gridCol w:w="932"/>
        <w:gridCol w:w="14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3" w:hRule="atLeast"/>
        </w:trPr>
        <w:tc>
          <w:tcPr>
            <w:tcW w:w="1358" w:type="pct"/>
            <w:vMerge w:val="restart"/>
            <w:noWrap w:val="0"/>
            <w:vAlign w:val="center"/>
          </w:tcPr>
          <w:p>
            <w:pPr>
              <w:snapToGrid w:val="0"/>
              <w:spacing w:after="12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投标设备名称及编号</w:t>
            </w:r>
          </w:p>
        </w:tc>
        <w:tc>
          <w:tcPr>
            <w:tcW w:w="778" w:type="pct"/>
            <w:vMerge w:val="restart"/>
            <w:noWrap w:val="0"/>
            <w:vAlign w:val="center"/>
          </w:tcPr>
          <w:p>
            <w:pPr>
              <w:snapToGrid w:val="0"/>
              <w:spacing w:after="12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名称</w:t>
            </w:r>
          </w:p>
        </w:tc>
        <w:tc>
          <w:tcPr>
            <w:tcW w:w="467" w:type="pct"/>
            <w:vMerge w:val="restart"/>
            <w:noWrap w:val="0"/>
            <w:vAlign w:val="center"/>
          </w:tcPr>
          <w:p>
            <w:pPr>
              <w:snapToGrid w:val="0"/>
              <w:spacing w:after="12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数量</w:t>
            </w:r>
          </w:p>
        </w:tc>
        <w:tc>
          <w:tcPr>
            <w:tcW w:w="467" w:type="pct"/>
            <w:vMerge w:val="restart"/>
            <w:noWrap w:val="0"/>
            <w:vAlign w:val="center"/>
          </w:tcPr>
          <w:p>
            <w:pPr>
              <w:snapToGrid w:val="0"/>
              <w:spacing w:after="12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单位</w:t>
            </w:r>
          </w:p>
        </w:tc>
        <w:tc>
          <w:tcPr>
            <w:tcW w:w="1092" w:type="pct"/>
            <w:gridSpan w:val="2"/>
            <w:noWrap w:val="0"/>
            <w:vAlign w:val="center"/>
          </w:tcPr>
          <w:p>
            <w:pPr>
              <w:snapToGrid w:val="0"/>
              <w:spacing w:after="12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价格（元）</w:t>
            </w:r>
          </w:p>
        </w:tc>
        <w:tc>
          <w:tcPr>
            <w:tcW w:w="834" w:type="pct"/>
            <w:vMerge w:val="restart"/>
            <w:noWrap w:val="0"/>
            <w:vAlign w:val="center"/>
          </w:tcPr>
          <w:p>
            <w:pPr>
              <w:snapToGrid w:val="0"/>
              <w:spacing w:after="12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2" w:hRule="atLeast"/>
        </w:trPr>
        <w:tc>
          <w:tcPr>
            <w:tcW w:w="1358" w:type="pct"/>
            <w:vMerge w:val="continue"/>
            <w:noWrap w:val="0"/>
            <w:vAlign w:val="top"/>
          </w:tcPr>
          <w:p>
            <w:pPr>
              <w:snapToGrid w:val="0"/>
              <w:spacing w:after="120" w:line="300" w:lineRule="auto"/>
              <w:rPr>
                <w:rFonts w:hint="eastAsia" w:ascii="宋体" w:hAnsi="宋体" w:eastAsia="宋体" w:cs="宋体"/>
                <w:color w:val="auto"/>
                <w:sz w:val="24"/>
                <w:highlight w:val="none"/>
              </w:rPr>
            </w:pPr>
          </w:p>
        </w:tc>
        <w:tc>
          <w:tcPr>
            <w:tcW w:w="778" w:type="pct"/>
            <w:vMerge w:val="continue"/>
            <w:noWrap w:val="0"/>
            <w:vAlign w:val="top"/>
          </w:tcPr>
          <w:p>
            <w:pPr>
              <w:snapToGrid w:val="0"/>
              <w:spacing w:after="120" w:line="300" w:lineRule="auto"/>
              <w:rPr>
                <w:rFonts w:hint="eastAsia" w:ascii="宋体" w:hAnsi="宋体" w:eastAsia="宋体" w:cs="宋体"/>
                <w:color w:val="auto"/>
                <w:sz w:val="24"/>
                <w:highlight w:val="none"/>
              </w:rPr>
            </w:pPr>
          </w:p>
        </w:tc>
        <w:tc>
          <w:tcPr>
            <w:tcW w:w="467" w:type="pct"/>
            <w:vMerge w:val="continue"/>
            <w:noWrap w:val="0"/>
            <w:vAlign w:val="top"/>
          </w:tcPr>
          <w:p>
            <w:pPr>
              <w:snapToGrid w:val="0"/>
              <w:spacing w:after="120" w:line="300" w:lineRule="auto"/>
              <w:rPr>
                <w:rFonts w:hint="eastAsia" w:ascii="宋体" w:hAnsi="宋体" w:eastAsia="宋体" w:cs="宋体"/>
                <w:color w:val="auto"/>
                <w:sz w:val="24"/>
                <w:highlight w:val="none"/>
              </w:rPr>
            </w:pPr>
          </w:p>
        </w:tc>
        <w:tc>
          <w:tcPr>
            <w:tcW w:w="467" w:type="pct"/>
            <w:vMerge w:val="continue"/>
            <w:noWrap w:val="0"/>
            <w:vAlign w:val="top"/>
          </w:tcPr>
          <w:p>
            <w:pPr>
              <w:snapToGrid w:val="0"/>
              <w:spacing w:after="120" w:line="300" w:lineRule="auto"/>
              <w:rPr>
                <w:rFonts w:hint="eastAsia" w:ascii="宋体" w:hAnsi="宋体" w:eastAsia="宋体" w:cs="宋体"/>
                <w:color w:val="auto"/>
                <w:sz w:val="24"/>
                <w:highlight w:val="none"/>
              </w:rPr>
            </w:pPr>
          </w:p>
        </w:tc>
        <w:tc>
          <w:tcPr>
            <w:tcW w:w="545" w:type="pct"/>
            <w:noWrap w:val="0"/>
            <w:vAlign w:val="center"/>
          </w:tcPr>
          <w:p>
            <w:pPr>
              <w:snapToGrid w:val="0"/>
              <w:spacing w:after="12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单价</w:t>
            </w:r>
          </w:p>
        </w:tc>
        <w:tc>
          <w:tcPr>
            <w:tcW w:w="547" w:type="pct"/>
            <w:noWrap w:val="0"/>
            <w:vAlign w:val="center"/>
          </w:tcPr>
          <w:p>
            <w:pPr>
              <w:snapToGrid w:val="0"/>
              <w:spacing w:after="12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总价</w:t>
            </w:r>
          </w:p>
        </w:tc>
        <w:tc>
          <w:tcPr>
            <w:tcW w:w="834" w:type="pct"/>
            <w:vMerge w:val="continue"/>
            <w:noWrap w:val="0"/>
            <w:vAlign w:val="top"/>
          </w:tcPr>
          <w:p>
            <w:pPr>
              <w:snapToGrid w:val="0"/>
              <w:spacing w:after="120"/>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2" w:hRule="atLeast"/>
        </w:trPr>
        <w:tc>
          <w:tcPr>
            <w:tcW w:w="5000" w:type="pct"/>
            <w:gridSpan w:val="7"/>
            <w:noWrap w:val="0"/>
            <w:vAlign w:val="center"/>
          </w:tcPr>
          <w:p>
            <w:pPr>
              <w:snapToGrid w:val="0"/>
              <w:spacing w:after="120" w:line="30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专用工具：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1358" w:type="pct"/>
            <w:vMerge w:val="restart"/>
            <w:noWrap w:val="0"/>
            <w:vAlign w:val="center"/>
          </w:tcPr>
          <w:p>
            <w:pPr>
              <w:snapToGrid w:val="0"/>
              <w:spacing w:after="120" w:line="300" w:lineRule="auto"/>
              <w:rPr>
                <w:rFonts w:hint="eastAsia" w:ascii="宋体" w:hAnsi="宋体" w:eastAsia="宋体" w:cs="宋体"/>
                <w:color w:val="auto"/>
                <w:sz w:val="24"/>
                <w:highlight w:val="none"/>
              </w:rPr>
            </w:pPr>
          </w:p>
        </w:tc>
        <w:tc>
          <w:tcPr>
            <w:tcW w:w="778" w:type="pct"/>
            <w:noWrap w:val="0"/>
            <w:vAlign w:val="center"/>
          </w:tcPr>
          <w:p>
            <w:pPr>
              <w:snapToGrid w:val="0"/>
              <w:spacing w:after="120" w:line="300" w:lineRule="auto"/>
              <w:rPr>
                <w:rFonts w:hint="eastAsia" w:ascii="宋体" w:hAnsi="宋体" w:eastAsia="宋体" w:cs="宋体"/>
                <w:color w:val="auto"/>
                <w:sz w:val="24"/>
                <w:highlight w:val="none"/>
              </w:rPr>
            </w:pPr>
          </w:p>
        </w:tc>
        <w:tc>
          <w:tcPr>
            <w:tcW w:w="467" w:type="pct"/>
            <w:noWrap w:val="0"/>
            <w:vAlign w:val="center"/>
          </w:tcPr>
          <w:p>
            <w:pPr>
              <w:snapToGrid w:val="0"/>
              <w:spacing w:after="120" w:line="300" w:lineRule="auto"/>
              <w:rPr>
                <w:rFonts w:hint="eastAsia" w:ascii="宋体" w:hAnsi="宋体" w:eastAsia="宋体" w:cs="宋体"/>
                <w:color w:val="auto"/>
                <w:sz w:val="24"/>
                <w:highlight w:val="none"/>
              </w:rPr>
            </w:pPr>
          </w:p>
        </w:tc>
        <w:tc>
          <w:tcPr>
            <w:tcW w:w="467" w:type="pct"/>
            <w:noWrap w:val="0"/>
            <w:vAlign w:val="center"/>
          </w:tcPr>
          <w:p>
            <w:pPr>
              <w:snapToGrid w:val="0"/>
              <w:spacing w:after="120" w:line="300" w:lineRule="auto"/>
              <w:rPr>
                <w:rFonts w:hint="eastAsia" w:ascii="宋体" w:hAnsi="宋体" w:eastAsia="宋体" w:cs="宋体"/>
                <w:color w:val="auto"/>
                <w:sz w:val="24"/>
                <w:highlight w:val="none"/>
              </w:rPr>
            </w:pPr>
          </w:p>
        </w:tc>
        <w:tc>
          <w:tcPr>
            <w:tcW w:w="545" w:type="pct"/>
            <w:noWrap w:val="0"/>
            <w:vAlign w:val="center"/>
          </w:tcPr>
          <w:p>
            <w:pPr>
              <w:snapToGrid w:val="0"/>
              <w:spacing w:after="120" w:line="300" w:lineRule="auto"/>
              <w:rPr>
                <w:rFonts w:hint="eastAsia" w:ascii="宋体" w:hAnsi="宋体" w:eastAsia="宋体" w:cs="宋体"/>
                <w:color w:val="auto"/>
                <w:sz w:val="24"/>
                <w:highlight w:val="none"/>
              </w:rPr>
            </w:pPr>
          </w:p>
        </w:tc>
        <w:tc>
          <w:tcPr>
            <w:tcW w:w="547" w:type="pct"/>
            <w:noWrap w:val="0"/>
            <w:vAlign w:val="center"/>
          </w:tcPr>
          <w:p>
            <w:pPr>
              <w:snapToGrid w:val="0"/>
              <w:spacing w:after="120" w:line="300" w:lineRule="auto"/>
              <w:rPr>
                <w:rFonts w:hint="eastAsia" w:ascii="宋体" w:hAnsi="宋体" w:eastAsia="宋体" w:cs="宋体"/>
                <w:color w:val="auto"/>
                <w:sz w:val="24"/>
                <w:highlight w:val="none"/>
              </w:rPr>
            </w:pPr>
          </w:p>
        </w:tc>
        <w:tc>
          <w:tcPr>
            <w:tcW w:w="834" w:type="pct"/>
            <w:noWrap w:val="0"/>
            <w:vAlign w:val="center"/>
          </w:tcPr>
          <w:p>
            <w:pPr>
              <w:snapToGrid w:val="0"/>
              <w:spacing w:after="120" w:line="300" w:lineRule="auto"/>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1358" w:type="pct"/>
            <w:vMerge w:val="continue"/>
            <w:noWrap w:val="0"/>
            <w:vAlign w:val="center"/>
          </w:tcPr>
          <w:p>
            <w:pPr>
              <w:snapToGrid w:val="0"/>
              <w:spacing w:after="120" w:line="300" w:lineRule="auto"/>
              <w:rPr>
                <w:rFonts w:hint="eastAsia" w:ascii="宋体" w:hAnsi="宋体" w:eastAsia="宋体" w:cs="宋体"/>
                <w:color w:val="auto"/>
                <w:sz w:val="24"/>
                <w:highlight w:val="none"/>
              </w:rPr>
            </w:pPr>
          </w:p>
        </w:tc>
        <w:tc>
          <w:tcPr>
            <w:tcW w:w="778" w:type="pct"/>
            <w:noWrap w:val="0"/>
            <w:vAlign w:val="center"/>
          </w:tcPr>
          <w:p>
            <w:pPr>
              <w:snapToGrid w:val="0"/>
              <w:spacing w:after="120" w:line="300" w:lineRule="auto"/>
              <w:rPr>
                <w:rFonts w:hint="eastAsia" w:ascii="宋体" w:hAnsi="宋体" w:eastAsia="宋体" w:cs="宋体"/>
                <w:color w:val="auto"/>
                <w:sz w:val="24"/>
                <w:highlight w:val="none"/>
              </w:rPr>
            </w:pPr>
          </w:p>
        </w:tc>
        <w:tc>
          <w:tcPr>
            <w:tcW w:w="467" w:type="pct"/>
            <w:noWrap w:val="0"/>
            <w:vAlign w:val="center"/>
          </w:tcPr>
          <w:p>
            <w:pPr>
              <w:snapToGrid w:val="0"/>
              <w:spacing w:after="120" w:line="300" w:lineRule="auto"/>
              <w:rPr>
                <w:rFonts w:hint="eastAsia" w:ascii="宋体" w:hAnsi="宋体" w:eastAsia="宋体" w:cs="宋体"/>
                <w:color w:val="auto"/>
                <w:sz w:val="24"/>
                <w:highlight w:val="none"/>
              </w:rPr>
            </w:pPr>
          </w:p>
        </w:tc>
        <w:tc>
          <w:tcPr>
            <w:tcW w:w="467" w:type="pct"/>
            <w:noWrap w:val="0"/>
            <w:vAlign w:val="center"/>
          </w:tcPr>
          <w:p>
            <w:pPr>
              <w:snapToGrid w:val="0"/>
              <w:spacing w:after="120" w:line="300" w:lineRule="auto"/>
              <w:rPr>
                <w:rFonts w:hint="eastAsia" w:ascii="宋体" w:hAnsi="宋体" w:eastAsia="宋体" w:cs="宋体"/>
                <w:color w:val="auto"/>
                <w:sz w:val="24"/>
                <w:highlight w:val="none"/>
              </w:rPr>
            </w:pPr>
          </w:p>
        </w:tc>
        <w:tc>
          <w:tcPr>
            <w:tcW w:w="545" w:type="pct"/>
            <w:noWrap w:val="0"/>
            <w:vAlign w:val="center"/>
          </w:tcPr>
          <w:p>
            <w:pPr>
              <w:snapToGrid w:val="0"/>
              <w:spacing w:after="120" w:line="300" w:lineRule="auto"/>
              <w:rPr>
                <w:rFonts w:hint="eastAsia" w:ascii="宋体" w:hAnsi="宋体" w:eastAsia="宋体" w:cs="宋体"/>
                <w:color w:val="auto"/>
                <w:sz w:val="24"/>
                <w:highlight w:val="none"/>
              </w:rPr>
            </w:pPr>
          </w:p>
        </w:tc>
        <w:tc>
          <w:tcPr>
            <w:tcW w:w="547" w:type="pct"/>
            <w:noWrap w:val="0"/>
            <w:vAlign w:val="center"/>
          </w:tcPr>
          <w:p>
            <w:pPr>
              <w:snapToGrid w:val="0"/>
              <w:spacing w:after="120" w:line="300" w:lineRule="auto"/>
              <w:rPr>
                <w:rFonts w:hint="eastAsia" w:ascii="宋体" w:hAnsi="宋体" w:eastAsia="宋体" w:cs="宋体"/>
                <w:color w:val="auto"/>
                <w:sz w:val="24"/>
                <w:highlight w:val="none"/>
              </w:rPr>
            </w:pPr>
          </w:p>
        </w:tc>
        <w:tc>
          <w:tcPr>
            <w:tcW w:w="834" w:type="pct"/>
            <w:noWrap w:val="0"/>
            <w:vAlign w:val="center"/>
          </w:tcPr>
          <w:p>
            <w:pPr>
              <w:snapToGrid w:val="0"/>
              <w:spacing w:after="120" w:line="300" w:lineRule="auto"/>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1358" w:type="pct"/>
            <w:vMerge w:val="restart"/>
            <w:noWrap w:val="0"/>
            <w:vAlign w:val="center"/>
          </w:tcPr>
          <w:p>
            <w:pPr>
              <w:snapToGrid w:val="0"/>
              <w:spacing w:after="120" w:line="300" w:lineRule="auto"/>
              <w:rPr>
                <w:rFonts w:hint="eastAsia" w:ascii="宋体" w:hAnsi="宋体" w:eastAsia="宋体" w:cs="宋体"/>
                <w:color w:val="auto"/>
                <w:sz w:val="24"/>
                <w:highlight w:val="none"/>
              </w:rPr>
            </w:pPr>
          </w:p>
          <w:p>
            <w:pPr>
              <w:snapToGrid w:val="0"/>
              <w:spacing w:after="120" w:line="300" w:lineRule="auto"/>
              <w:rPr>
                <w:rFonts w:hint="eastAsia" w:ascii="宋体" w:hAnsi="宋体" w:eastAsia="宋体" w:cs="宋体"/>
                <w:color w:val="auto"/>
                <w:sz w:val="24"/>
                <w:highlight w:val="none"/>
              </w:rPr>
            </w:pPr>
          </w:p>
        </w:tc>
        <w:tc>
          <w:tcPr>
            <w:tcW w:w="778" w:type="pct"/>
            <w:noWrap w:val="0"/>
            <w:vAlign w:val="center"/>
          </w:tcPr>
          <w:p>
            <w:pPr>
              <w:snapToGrid w:val="0"/>
              <w:spacing w:after="120" w:line="300" w:lineRule="auto"/>
              <w:rPr>
                <w:rFonts w:hint="eastAsia" w:ascii="宋体" w:hAnsi="宋体" w:eastAsia="宋体" w:cs="宋体"/>
                <w:color w:val="auto"/>
                <w:sz w:val="24"/>
                <w:highlight w:val="none"/>
              </w:rPr>
            </w:pPr>
          </w:p>
        </w:tc>
        <w:tc>
          <w:tcPr>
            <w:tcW w:w="467" w:type="pct"/>
            <w:noWrap w:val="0"/>
            <w:vAlign w:val="center"/>
          </w:tcPr>
          <w:p>
            <w:pPr>
              <w:snapToGrid w:val="0"/>
              <w:spacing w:after="120" w:line="300" w:lineRule="auto"/>
              <w:rPr>
                <w:rFonts w:hint="eastAsia" w:ascii="宋体" w:hAnsi="宋体" w:eastAsia="宋体" w:cs="宋体"/>
                <w:color w:val="auto"/>
                <w:sz w:val="24"/>
                <w:highlight w:val="none"/>
              </w:rPr>
            </w:pPr>
          </w:p>
        </w:tc>
        <w:tc>
          <w:tcPr>
            <w:tcW w:w="467" w:type="pct"/>
            <w:noWrap w:val="0"/>
            <w:vAlign w:val="center"/>
          </w:tcPr>
          <w:p>
            <w:pPr>
              <w:snapToGrid w:val="0"/>
              <w:spacing w:after="120" w:line="300" w:lineRule="auto"/>
              <w:rPr>
                <w:rFonts w:hint="eastAsia" w:ascii="宋体" w:hAnsi="宋体" w:eastAsia="宋体" w:cs="宋体"/>
                <w:color w:val="auto"/>
                <w:sz w:val="24"/>
                <w:highlight w:val="none"/>
              </w:rPr>
            </w:pPr>
          </w:p>
        </w:tc>
        <w:tc>
          <w:tcPr>
            <w:tcW w:w="545" w:type="pct"/>
            <w:noWrap w:val="0"/>
            <w:vAlign w:val="center"/>
          </w:tcPr>
          <w:p>
            <w:pPr>
              <w:snapToGrid w:val="0"/>
              <w:spacing w:after="120" w:line="300" w:lineRule="auto"/>
              <w:rPr>
                <w:rFonts w:hint="eastAsia" w:ascii="宋体" w:hAnsi="宋体" w:eastAsia="宋体" w:cs="宋体"/>
                <w:color w:val="auto"/>
                <w:sz w:val="24"/>
                <w:highlight w:val="none"/>
              </w:rPr>
            </w:pPr>
          </w:p>
        </w:tc>
        <w:tc>
          <w:tcPr>
            <w:tcW w:w="547" w:type="pct"/>
            <w:noWrap w:val="0"/>
            <w:vAlign w:val="center"/>
          </w:tcPr>
          <w:p>
            <w:pPr>
              <w:snapToGrid w:val="0"/>
              <w:spacing w:after="120" w:line="300" w:lineRule="auto"/>
              <w:rPr>
                <w:rFonts w:hint="eastAsia" w:ascii="宋体" w:hAnsi="宋体" w:eastAsia="宋体" w:cs="宋体"/>
                <w:color w:val="auto"/>
                <w:sz w:val="24"/>
                <w:highlight w:val="none"/>
              </w:rPr>
            </w:pPr>
          </w:p>
        </w:tc>
        <w:tc>
          <w:tcPr>
            <w:tcW w:w="834" w:type="pct"/>
            <w:noWrap w:val="0"/>
            <w:vAlign w:val="center"/>
          </w:tcPr>
          <w:p>
            <w:pPr>
              <w:snapToGrid w:val="0"/>
              <w:spacing w:after="120" w:line="300" w:lineRule="auto"/>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1358" w:type="pct"/>
            <w:vMerge w:val="continue"/>
            <w:noWrap w:val="0"/>
            <w:vAlign w:val="center"/>
          </w:tcPr>
          <w:p>
            <w:pPr>
              <w:snapToGrid w:val="0"/>
              <w:spacing w:after="120" w:line="300" w:lineRule="auto"/>
              <w:rPr>
                <w:rFonts w:hint="eastAsia" w:ascii="宋体" w:hAnsi="宋体" w:eastAsia="宋体" w:cs="宋体"/>
                <w:color w:val="auto"/>
                <w:sz w:val="24"/>
                <w:highlight w:val="none"/>
              </w:rPr>
            </w:pPr>
          </w:p>
        </w:tc>
        <w:tc>
          <w:tcPr>
            <w:tcW w:w="778" w:type="pct"/>
            <w:noWrap w:val="0"/>
            <w:vAlign w:val="center"/>
          </w:tcPr>
          <w:p>
            <w:pPr>
              <w:snapToGrid w:val="0"/>
              <w:spacing w:after="120" w:line="300" w:lineRule="auto"/>
              <w:rPr>
                <w:rFonts w:hint="eastAsia" w:ascii="宋体" w:hAnsi="宋体" w:eastAsia="宋体" w:cs="宋体"/>
                <w:color w:val="auto"/>
                <w:sz w:val="24"/>
                <w:highlight w:val="none"/>
              </w:rPr>
            </w:pPr>
          </w:p>
        </w:tc>
        <w:tc>
          <w:tcPr>
            <w:tcW w:w="467" w:type="pct"/>
            <w:noWrap w:val="0"/>
            <w:vAlign w:val="center"/>
          </w:tcPr>
          <w:p>
            <w:pPr>
              <w:snapToGrid w:val="0"/>
              <w:spacing w:after="120" w:line="300" w:lineRule="auto"/>
              <w:rPr>
                <w:rFonts w:hint="eastAsia" w:ascii="宋体" w:hAnsi="宋体" w:eastAsia="宋体" w:cs="宋体"/>
                <w:color w:val="auto"/>
                <w:sz w:val="24"/>
                <w:highlight w:val="none"/>
              </w:rPr>
            </w:pPr>
          </w:p>
        </w:tc>
        <w:tc>
          <w:tcPr>
            <w:tcW w:w="467" w:type="pct"/>
            <w:noWrap w:val="0"/>
            <w:vAlign w:val="center"/>
          </w:tcPr>
          <w:p>
            <w:pPr>
              <w:snapToGrid w:val="0"/>
              <w:spacing w:after="120" w:line="300" w:lineRule="auto"/>
              <w:rPr>
                <w:rFonts w:hint="eastAsia" w:ascii="宋体" w:hAnsi="宋体" w:eastAsia="宋体" w:cs="宋体"/>
                <w:color w:val="auto"/>
                <w:sz w:val="24"/>
                <w:highlight w:val="none"/>
              </w:rPr>
            </w:pPr>
          </w:p>
        </w:tc>
        <w:tc>
          <w:tcPr>
            <w:tcW w:w="545" w:type="pct"/>
            <w:noWrap w:val="0"/>
            <w:vAlign w:val="center"/>
          </w:tcPr>
          <w:p>
            <w:pPr>
              <w:snapToGrid w:val="0"/>
              <w:spacing w:after="120" w:line="300" w:lineRule="auto"/>
              <w:rPr>
                <w:rFonts w:hint="eastAsia" w:ascii="宋体" w:hAnsi="宋体" w:eastAsia="宋体" w:cs="宋体"/>
                <w:color w:val="auto"/>
                <w:sz w:val="24"/>
                <w:highlight w:val="none"/>
              </w:rPr>
            </w:pPr>
          </w:p>
        </w:tc>
        <w:tc>
          <w:tcPr>
            <w:tcW w:w="547" w:type="pct"/>
            <w:noWrap w:val="0"/>
            <w:vAlign w:val="center"/>
          </w:tcPr>
          <w:p>
            <w:pPr>
              <w:snapToGrid w:val="0"/>
              <w:spacing w:after="120" w:line="300" w:lineRule="auto"/>
              <w:rPr>
                <w:rFonts w:hint="eastAsia" w:ascii="宋体" w:hAnsi="宋体" w:eastAsia="宋体" w:cs="宋体"/>
                <w:color w:val="auto"/>
                <w:sz w:val="24"/>
                <w:highlight w:val="none"/>
              </w:rPr>
            </w:pPr>
          </w:p>
        </w:tc>
        <w:tc>
          <w:tcPr>
            <w:tcW w:w="834" w:type="pct"/>
            <w:noWrap w:val="0"/>
            <w:vAlign w:val="center"/>
          </w:tcPr>
          <w:p>
            <w:pPr>
              <w:snapToGrid w:val="0"/>
              <w:spacing w:after="120" w:line="300" w:lineRule="auto"/>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1358" w:type="pct"/>
            <w:vMerge w:val="restart"/>
            <w:noWrap w:val="0"/>
            <w:vAlign w:val="center"/>
          </w:tcPr>
          <w:p>
            <w:pPr>
              <w:snapToGrid w:val="0"/>
              <w:spacing w:after="120" w:line="300" w:lineRule="auto"/>
              <w:rPr>
                <w:rFonts w:hint="eastAsia" w:ascii="宋体" w:hAnsi="宋体" w:eastAsia="宋体" w:cs="宋体"/>
                <w:color w:val="auto"/>
                <w:sz w:val="24"/>
                <w:highlight w:val="none"/>
              </w:rPr>
            </w:pPr>
          </w:p>
        </w:tc>
        <w:tc>
          <w:tcPr>
            <w:tcW w:w="778" w:type="pct"/>
            <w:noWrap w:val="0"/>
            <w:vAlign w:val="center"/>
          </w:tcPr>
          <w:p>
            <w:pPr>
              <w:snapToGrid w:val="0"/>
              <w:spacing w:after="120" w:line="300" w:lineRule="auto"/>
              <w:rPr>
                <w:rFonts w:hint="eastAsia" w:ascii="宋体" w:hAnsi="宋体" w:eastAsia="宋体" w:cs="宋体"/>
                <w:color w:val="auto"/>
                <w:sz w:val="24"/>
                <w:highlight w:val="none"/>
              </w:rPr>
            </w:pPr>
          </w:p>
        </w:tc>
        <w:tc>
          <w:tcPr>
            <w:tcW w:w="467" w:type="pct"/>
            <w:noWrap w:val="0"/>
            <w:vAlign w:val="center"/>
          </w:tcPr>
          <w:p>
            <w:pPr>
              <w:snapToGrid w:val="0"/>
              <w:spacing w:after="120" w:line="300" w:lineRule="auto"/>
              <w:rPr>
                <w:rFonts w:hint="eastAsia" w:ascii="宋体" w:hAnsi="宋体" w:eastAsia="宋体" w:cs="宋体"/>
                <w:color w:val="auto"/>
                <w:sz w:val="24"/>
                <w:highlight w:val="none"/>
              </w:rPr>
            </w:pPr>
          </w:p>
        </w:tc>
        <w:tc>
          <w:tcPr>
            <w:tcW w:w="467" w:type="pct"/>
            <w:noWrap w:val="0"/>
            <w:vAlign w:val="center"/>
          </w:tcPr>
          <w:p>
            <w:pPr>
              <w:snapToGrid w:val="0"/>
              <w:spacing w:after="120" w:line="300" w:lineRule="auto"/>
              <w:rPr>
                <w:rFonts w:hint="eastAsia" w:ascii="宋体" w:hAnsi="宋体" w:eastAsia="宋体" w:cs="宋体"/>
                <w:color w:val="auto"/>
                <w:sz w:val="24"/>
                <w:highlight w:val="none"/>
              </w:rPr>
            </w:pPr>
          </w:p>
        </w:tc>
        <w:tc>
          <w:tcPr>
            <w:tcW w:w="545" w:type="pct"/>
            <w:noWrap w:val="0"/>
            <w:vAlign w:val="center"/>
          </w:tcPr>
          <w:p>
            <w:pPr>
              <w:snapToGrid w:val="0"/>
              <w:spacing w:after="120" w:line="300" w:lineRule="auto"/>
              <w:rPr>
                <w:rFonts w:hint="eastAsia" w:ascii="宋体" w:hAnsi="宋体" w:eastAsia="宋体" w:cs="宋体"/>
                <w:color w:val="auto"/>
                <w:sz w:val="24"/>
                <w:highlight w:val="none"/>
              </w:rPr>
            </w:pPr>
          </w:p>
        </w:tc>
        <w:tc>
          <w:tcPr>
            <w:tcW w:w="547" w:type="pct"/>
            <w:noWrap w:val="0"/>
            <w:vAlign w:val="center"/>
          </w:tcPr>
          <w:p>
            <w:pPr>
              <w:snapToGrid w:val="0"/>
              <w:spacing w:after="120" w:line="300" w:lineRule="auto"/>
              <w:rPr>
                <w:rFonts w:hint="eastAsia" w:ascii="宋体" w:hAnsi="宋体" w:eastAsia="宋体" w:cs="宋体"/>
                <w:color w:val="auto"/>
                <w:sz w:val="24"/>
                <w:highlight w:val="none"/>
              </w:rPr>
            </w:pPr>
          </w:p>
        </w:tc>
        <w:tc>
          <w:tcPr>
            <w:tcW w:w="834" w:type="pct"/>
            <w:noWrap w:val="0"/>
            <w:vAlign w:val="center"/>
          </w:tcPr>
          <w:p>
            <w:pPr>
              <w:snapToGrid w:val="0"/>
              <w:spacing w:after="120" w:line="300" w:lineRule="auto"/>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1358" w:type="pct"/>
            <w:vMerge w:val="continue"/>
            <w:noWrap w:val="0"/>
            <w:vAlign w:val="center"/>
          </w:tcPr>
          <w:p>
            <w:pPr>
              <w:snapToGrid w:val="0"/>
              <w:spacing w:after="120" w:line="300" w:lineRule="auto"/>
              <w:rPr>
                <w:rFonts w:hint="eastAsia" w:ascii="宋体" w:hAnsi="宋体" w:eastAsia="宋体" w:cs="宋体"/>
                <w:color w:val="auto"/>
                <w:sz w:val="24"/>
                <w:highlight w:val="none"/>
              </w:rPr>
            </w:pPr>
          </w:p>
        </w:tc>
        <w:tc>
          <w:tcPr>
            <w:tcW w:w="778" w:type="pct"/>
            <w:noWrap w:val="0"/>
            <w:vAlign w:val="center"/>
          </w:tcPr>
          <w:p>
            <w:pPr>
              <w:snapToGrid w:val="0"/>
              <w:spacing w:after="120" w:line="300" w:lineRule="auto"/>
              <w:rPr>
                <w:rFonts w:hint="eastAsia" w:ascii="宋体" w:hAnsi="宋体" w:eastAsia="宋体" w:cs="宋体"/>
                <w:color w:val="auto"/>
                <w:sz w:val="24"/>
                <w:highlight w:val="none"/>
              </w:rPr>
            </w:pPr>
          </w:p>
        </w:tc>
        <w:tc>
          <w:tcPr>
            <w:tcW w:w="467" w:type="pct"/>
            <w:noWrap w:val="0"/>
            <w:vAlign w:val="center"/>
          </w:tcPr>
          <w:p>
            <w:pPr>
              <w:snapToGrid w:val="0"/>
              <w:spacing w:after="120" w:line="300" w:lineRule="auto"/>
              <w:rPr>
                <w:rFonts w:hint="eastAsia" w:ascii="宋体" w:hAnsi="宋体" w:eastAsia="宋体" w:cs="宋体"/>
                <w:color w:val="auto"/>
                <w:sz w:val="24"/>
                <w:highlight w:val="none"/>
              </w:rPr>
            </w:pPr>
          </w:p>
        </w:tc>
        <w:tc>
          <w:tcPr>
            <w:tcW w:w="467" w:type="pct"/>
            <w:noWrap w:val="0"/>
            <w:vAlign w:val="center"/>
          </w:tcPr>
          <w:p>
            <w:pPr>
              <w:snapToGrid w:val="0"/>
              <w:spacing w:after="120" w:line="300" w:lineRule="auto"/>
              <w:rPr>
                <w:rFonts w:hint="eastAsia" w:ascii="宋体" w:hAnsi="宋体" w:eastAsia="宋体" w:cs="宋体"/>
                <w:color w:val="auto"/>
                <w:sz w:val="24"/>
                <w:highlight w:val="none"/>
              </w:rPr>
            </w:pPr>
          </w:p>
        </w:tc>
        <w:tc>
          <w:tcPr>
            <w:tcW w:w="545" w:type="pct"/>
            <w:noWrap w:val="0"/>
            <w:vAlign w:val="center"/>
          </w:tcPr>
          <w:p>
            <w:pPr>
              <w:snapToGrid w:val="0"/>
              <w:spacing w:after="120" w:line="300" w:lineRule="auto"/>
              <w:rPr>
                <w:rFonts w:hint="eastAsia" w:ascii="宋体" w:hAnsi="宋体" w:eastAsia="宋体" w:cs="宋体"/>
                <w:color w:val="auto"/>
                <w:sz w:val="24"/>
                <w:highlight w:val="none"/>
              </w:rPr>
            </w:pPr>
          </w:p>
        </w:tc>
        <w:tc>
          <w:tcPr>
            <w:tcW w:w="547" w:type="pct"/>
            <w:noWrap w:val="0"/>
            <w:vAlign w:val="center"/>
          </w:tcPr>
          <w:p>
            <w:pPr>
              <w:snapToGrid w:val="0"/>
              <w:spacing w:after="120" w:line="300" w:lineRule="auto"/>
              <w:rPr>
                <w:rFonts w:hint="eastAsia" w:ascii="宋体" w:hAnsi="宋体" w:eastAsia="宋体" w:cs="宋体"/>
                <w:color w:val="auto"/>
                <w:sz w:val="24"/>
                <w:highlight w:val="none"/>
              </w:rPr>
            </w:pPr>
          </w:p>
        </w:tc>
        <w:tc>
          <w:tcPr>
            <w:tcW w:w="834" w:type="pct"/>
            <w:noWrap w:val="0"/>
            <w:vAlign w:val="center"/>
          </w:tcPr>
          <w:p>
            <w:pPr>
              <w:snapToGrid w:val="0"/>
              <w:spacing w:after="120" w:line="300" w:lineRule="auto"/>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2" w:hRule="atLeast"/>
        </w:trPr>
        <w:tc>
          <w:tcPr>
            <w:tcW w:w="5000" w:type="pct"/>
            <w:gridSpan w:val="7"/>
            <w:noWrap w:val="0"/>
            <w:vAlign w:val="center"/>
          </w:tcPr>
          <w:p>
            <w:pPr>
              <w:snapToGrid w:val="0"/>
              <w:spacing w:after="120" w:line="30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备品备件：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1358" w:type="pct"/>
            <w:vMerge w:val="restart"/>
            <w:noWrap w:val="0"/>
            <w:vAlign w:val="top"/>
          </w:tcPr>
          <w:p>
            <w:pPr>
              <w:snapToGrid w:val="0"/>
              <w:spacing w:after="120" w:line="300" w:lineRule="auto"/>
              <w:rPr>
                <w:rFonts w:hint="eastAsia" w:ascii="宋体" w:hAnsi="宋体" w:eastAsia="宋体" w:cs="宋体"/>
                <w:color w:val="auto"/>
                <w:sz w:val="24"/>
                <w:highlight w:val="none"/>
              </w:rPr>
            </w:pPr>
          </w:p>
        </w:tc>
        <w:tc>
          <w:tcPr>
            <w:tcW w:w="778" w:type="pct"/>
            <w:noWrap w:val="0"/>
            <w:vAlign w:val="top"/>
          </w:tcPr>
          <w:p>
            <w:pPr>
              <w:snapToGrid w:val="0"/>
              <w:spacing w:after="120" w:line="300" w:lineRule="auto"/>
              <w:rPr>
                <w:rFonts w:hint="eastAsia" w:ascii="宋体" w:hAnsi="宋体" w:eastAsia="宋体" w:cs="宋体"/>
                <w:color w:val="auto"/>
                <w:sz w:val="24"/>
                <w:highlight w:val="none"/>
              </w:rPr>
            </w:pPr>
          </w:p>
        </w:tc>
        <w:tc>
          <w:tcPr>
            <w:tcW w:w="467" w:type="pct"/>
            <w:noWrap w:val="0"/>
            <w:vAlign w:val="top"/>
          </w:tcPr>
          <w:p>
            <w:pPr>
              <w:snapToGrid w:val="0"/>
              <w:spacing w:after="120" w:line="300" w:lineRule="auto"/>
              <w:rPr>
                <w:rFonts w:hint="eastAsia" w:ascii="宋体" w:hAnsi="宋体" w:eastAsia="宋体" w:cs="宋体"/>
                <w:color w:val="auto"/>
                <w:sz w:val="24"/>
                <w:highlight w:val="none"/>
              </w:rPr>
            </w:pPr>
          </w:p>
        </w:tc>
        <w:tc>
          <w:tcPr>
            <w:tcW w:w="467" w:type="pct"/>
            <w:noWrap w:val="0"/>
            <w:vAlign w:val="top"/>
          </w:tcPr>
          <w:p>
            <w:pPr>
              <w:snapToGrid w:val="0"/>
              <w:spacing w:after="120" w:line="300" w:lineRule="auto"/>
              <w:rPr>
                <w:rFonts w:hint="eastAsia" w:ascii="宋体" w:hAnsi="宋体" w:eastAsia="宋体" w:cs="宋体"/>
                <w:color w:val="auto"/>
                <w:sz w:val="24"/>
                <w:highlight w:val="none"/>
              </w:rPr>
            </w:pPr>
          </w:p>
        </w:tc>
        <w:tc>
          <w:tcPr>
            <w:tcW w:w="545" w:type="pct"/>
            <w:noWrap w:val="0"/>
            <w:vAlign w:val="top"/>
          </w:tcPr>
          <w:p>
            <w:pPr>
              <w:snapToGrid w:val="0"/>
              <w:spacing w:after="120" w:line="300" w:lineRule="auto"/>
              <w:jc w:val="center"/>
              <w:rPr>
                <w:rFonts w:hint="eastAsia" w:ascii="宋体" w:hAnsi="宋体" w:eastAsia="宋体" w:cs="宋体"/>
                <w:color w:val="auto"/>
                <w:sz w:val="24"/>
                <w:highlight w:val="none"/>
              </w:rPr>
            </w:pPr>
          </w:p>
        </w:tc>
        <w:tc>
          <w:tcPr>
            <w:tcW w:w="547" w:type="pct"/>
            <w:noWrap w:val="0"/>
            <w:vAlign w:val="top"/>
          </w:tcPr>
          <w:p>
            <w:pPr>
              <w:snapToGrid w:val="0"/>
              <w:spacing w:after="120" w:line="300" w:lineRule="auto"/>
              <w:jc w:val="center"/>
              <w:rPr>
                <w:rFonts w:hint="eastAsia" w:ascii="宋体" w:hAnsi="宋体" w:eastAsia="宋体" w:cs="宋体"/>
                <w:color w:val="auto"/>
                <w:sz w:val="24"/>
                <w:highlight w:val="none"/>
              </w:rPr>
            </w:pPr>
          </w:p>
        </w:tc>
        <w:tc>
          <w:tcPr>
            <w:tcW w:w="834" w:type="pct"/>
            <w:noWrap w:val="0"/>
            <w:vAlign w:val="top"/>
          </w:tcPr>
          <w:p>
            <w:pPr>
              <w:snapToGrid w:val="0"/>
              <w:spacing w:after="120" w:line="30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1358" w:type="pct"/>
            <w:vMerge w:val="continue"/>
            <w:noWrap w:val="0"/>
            <w:vAlign w:val="top"/>
          </w:tcPr>
          <w:p>
            <w:pPr>
              <w:snapToGrid w:val="0"/>
              <w:spacing w:after="120" w:line="300" w:lineRule="auto"/>
              <w:rPr>
                <w:rFonts w:hint="eastAsia" w:ascii="宋体" w:hAnsi="宋体" w:eastAsia="宋体" w:cs="宋体"/>
                <w:color w:val="auto"/>
                <w:sz w:val="24"/>
                <w:highlight w:val="none"/>
              </w:rPr>
            </w:pPr>
          </w:p>
        </w:tc>
        <w:tc>
          <w:tcPr>
            <w:tcW w:w="778" w:type="pct"/>
            <w:noWrap w:val="0"/>
            <w:vAlign w:val="top"/>
          </w:tcPr>
          <w:p>
            <w:pPr>
              <w:snapToGrid w:val="0"/>
              <w:spacing w:after="120" w:line="300" w:lineRule="auto"/>
              <w:rPr>
                <w:rFonts w:hint="eastAsia" w:ascii="宋体" w:hAnsi="宋体" w:eastAsia="宋体" w:cs="宋体"/>
                <w:color w:val="auto"/>
                <w:sz w:val="24"/>
                <w:highlight w:val="none"/>
              </w:rPr>
            </w:pPr>
          </w:p>
        </w:tc>
        <w:tc>
          <w:tcPr>
            <w:tcW w:w="467" w:type="pct"/>
            <w:noWrap w:val="0"/>
            <w:vAlign w:val="top"/>
          </w:tcPr>
          <w:p>
            <w:pPr>
              <w:snapToGrid w:val="0"/>
              <w:spacing w:after="120" w:line="300" w:lineRule="auto"/>
              <w:rPr>
                <w:rFonts w:hint="eastAsia" w:ascii="宋体" w:hAnsi="宋体" w:eastAsia="宋体" w:cs="宋体"/>
                <w:color w:val="auto"/>
                <w:sz w:val="24"/>
                <w:highlight w:val="none"/>
              </w:rPr>
            </w:pPr>
          </w:p>
        </w:tc>
        <w:tc>
          <w:tcPr>
            <w:tcW w:w="467" w:type="pct"/>
            <w:noWrap w:val="0"/>
            <w:vAlign w:val="top"/>
          </w:tcPr>
          <w:p>
            <w:pPr>
              <w:snapToGrid w:val="0"/>
              <w:spacing w:after="120" w:line="300" w:lineRule="auto"/>
              <w:rPr>
                <w:rFonts w:hint="eastAsia" w:ascii="宋体" w:hAnsi="宋体" w:eastAsia="宋体" w:cs="宋体"/>
                <w:color w:val="auto"/>
                <w:sz w:val="24"/>
                <w:highlight w:val="none"/>
              </w:rPr>
            </w:pPr>
          </w:p>
        </w:tc>
        <w:tc>
          <w:tcPr>
            <w:tcW w:w="545" w:type="pct"/>
            <w:noWrap w:val="0"/>
            <w:vAlign w:val="top"/>
          </w:tcPr>
          <w:p>
            <w:pPr>
              <w:snapToGrid w:val="0"/>
              <w:spacing w:after="120" w:line="300" w:lineRule="auto"/>
              <w:rPr>
                <w:rFonts w:hint="eastAsia" w:ascii="宋体" w:hAnsi="宋体" w:eastAsia="宋体" w:cs="宋体"/>
                <w:color w:val="auto"/>
                <w:sz w:val="24"/>
                <w:highlight w:val="none"/>
              </w:rPr>
            </w:pPr>
          </w:p>
        </w:tc>
        <w:tc>
          <w:tcPr>
            <w:tcW w:w="547" w:type="pct"/>
            <w:noWrap w:val="0"/>
            <w:vAlign w:val="top"/>
          </w:tcPr>
          <w:p>
            <w:pPr>
              <w:snapToGrid w:val="0"/>
              <w:spacing w:after="120" w:line="300" w:lineRule="auto"/>
              <w:rPr>
                <w:rFonts w:hint="eastAsia" w:ascii="宋体" w:hAnsi="宋体" w:eastAsia="宋体" w:cs="宋体"/>
                <w:color w:val="auto"/>
                <w:sz w:val="24"/>
                <w:highlight w:val="none"/>
              </w:rPr>
            </w:pPr>
          </w:p>
        </w:tc>
        <w:tc>
          <w:tcPr>
            <w:tcW w:w="834" w:type="pct"/>
            <w:noWrap w:val="0"/>
            <w:vAlign w:val="top"/>
          </w:tcPr>
          <w:p>
            <w:pPr>
              <w:snapToGrid w:val="0"/>
              <w:spacing w:after="120" w:line="300" w:lineRule="auto"/>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1358" w:type="pct"/>
            <w:vMerge w:val="restart"/>
            <w:noWrap w:val="0"/>
            <w:vAlign w:val="top"/>
          </w:tcPr>
          <w:p>
            <w:pPr>
              <w:snapToGrid w:val="0"/>
              <w:spacing w:after="120" w:line="300" w:lineRule="auto"/>
              <w:rPr>
                <w:rFonts w:hint="eastAsia" w:ascii="宋体" w:hAnsi="宋体" w:eastAsia="宋体" w:cs="宋体"/>
                <w:color w:val="auto"/>
                <w:sz w:val="24"/>
                <w:highlight w:val="none"/>
              </w:rPr>
            </w:pPr>
          </w:p>
          <w:p>
            <w:pPr>
              <w:snapToGrid w:val="0"/>
              <w:spacing w:after="120" w:line="300" w:lineRule="auto"/>
              <w:rPr>
                <w:rFonts w:hint="eastAsia" w:ascii="宋体" w:hAnsi="宋体" w:eastAsia="宋体" w:cs="宋体"/>
                <w:color w:val="auto"/>
                <w:sz w:val="24"/>
                <w:highlight w:val="none"/>
              </w:rPr>
            </w:pPr>
          </w:p>
        </w:tc>
        <w:tc>
          <w:tcPr>
            <w:tcW w:w="778" w:type="pct"/>
            <w:noWrap w:val="0"/>
            <w:vAlign w:val="top"/>
          </w:tcPr>
          <w:p>
            <w:pPr>
              <w:snapToGrid w:val="0"/>
              <w:spacing w:after="120" w:line="300" w:lineRule="auto"/>
              <w:rPr>
                <w:rFonts w:hint="eastAsia" w:ascii="宋体" w:hAnsi="宋体" w:eastAsia="宋体" w:cs="宋体"/>
                <w:color w:val="auto"/>
                <w:sz w:val="24"/>
                <w:highlight w:val="none"/>
              </w:rPr>
            </w:pPr>
          </w:p>
        </w:tc>
        <w:tc>
          <w:tcPr>
            <w:tcW w:w="467" w:type="pct"/>
            <w:noWrap w:val="0"/>
            <w:vAlign w:val="top"/>
          </w:tcPr>
          <w:p>
            <w:pPr>
              <w:snapToGrid w:val="0"/>
              <w:spacing w:after="120" w:line="300" w:lineRule="auto"/>
              <w:rPr>
                <w:rFonts w:hint="eastAsia" w:ascii="宋体" w:hAnsi="宋体" w:eastAsia="宋体" w:cs="宋体"/>
                <w:color w:val="auto"/>
                <w:sz w:val="24"/>
                <w:highlight w:val="none"/>
              </w:rPr>
            </w:pPr>
          </w:p>
        </w:tc>
        <w:tc>
          <w:tcPr>
            <w:tcW w:w="467" w:type="pct"/>
            <w:noWrap w:val="0"/>
            <w:vAlign w:val="top"/>
          </w:tcPr>
          <w:p>
            <w:pPr>
              <w:snapToGrid w:val="0"/>
              <w:spacing w:after="120" w:line="300" w:lineRule="auto"/>
              <w:rPr>
                <w:rFonts w:hint="eastAsia" w:ascii="宋体" w:hAnsi="宋体" w:eastAsia="宋体" w:cs="宋体"/>
                <w:color w:val="auto"/>
                <w:sz w:val="24"/>
                <w:highlight w:val="none"/>
              </w:rPr>
            </w:pPr>
          </w:p>
        </w:tc>
        <w:tc>
          <w:tcPr>
            <w:tcW w:w="545" w:type="pct"/>
            <w:noWrap w:val="0"/>
            <w:vAlign w:val="top"/>
          </w:tcPr>
          <w:p>
            <w:pPr>
              <w:snapToGrid w:val="0"/>
              <w:spacing w:after="120" w:line="300" w:lineRule="auto"/>
              <w:rPr>
                <w:rFonts w:hint="eastAsia" w:ascii="宋体" w:hAnsi="宋体" w:eastAsia="宋体" w:cs="宋体"/>
                <w:color w:val="auto"/>
                <w:sz w:val="24"/>
                <w:highlight w:val="none"/>
              </w:rPr>
            </w:pPr>
          </w:p>
        </w:tc>
        <w:tc>
          <w:tcPr>
            <w:tcW w:w="547" w:type="pct"/>
            <w:noWrap w:val="0"/>
            <w:vAlign w:val="top"/>
          </w:tcPr>
          <w:p>
            <w:pPr>
              <w:snapToGrid w:val="0"/>
              <w:spacing w:after="120" w:line="300" w:lineRule="auto"/>
              <w:rPr>
                <w:rFonts w:hint="eastAsia" w:ascii="宋体" w:hAnsi="宋体" w:eastAsia="宋体" w:cs="宋体"/>
                <w:color w:val="auto"/>
                <w:sz w:val="24"/>
                <w:highlight w:val="none"/>
              </w:rPr>
            </w:pPr>
          </w:p>
        </w:tc>
        <w:tc>
          <w:tcPr>
            <w:tcW w:w="834" w:type="pct"/>
            <w:noWrap w:val="0"/>
            <w:vAlign w:val="top"/>
          </w:tcPr>
          <w:p>
            <w:pPr>
              <w:snapToGrid w:val="0"/>
              <w:spacing w:after="120" w:line="300" w:lineRule="auto"/>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1358" w:type="pct"/>
            <w:vMerge w:val="continue"/>
            <w:noWrap w:val="0"/>
            <w:vAlign w:val="top"/>
          </w:tcPr>
          <w:p>
            <w:pPr>
              <w:snapToGrid w:val="0"/>
              <w:spacing w:after="120" w:line="300" w:lineRule="auto"/>
              <w:rPr>
                <w:rFonts w:hint="eastAsia" w:ascii="宋体" w:hAnsi="宋体" w:eastAsia="宋体" w:cs="宋体"/>
                <w:color w:val="auto"/>
                <w:sz w:val="24"/>
                <w:highlight w:val="none"/>
              </w:rPr>
            </w:pPr>
          </w:p>
        </w:tc>
        <w:tc>
          <w:tcPr>
            <w:tcW w:w="778" w:type="pct"/>
            <w:noWrap w:val="0"/>
            <w:vAlign w:val="top"/>
          </w:tcPr>
          <w:p>
            <w:pPr>
              <w:snapToGrid w:val="0"/>
              <w:spacing w:after="120" w:line="300" w:lineRule="auto"/>
              <w:rPr>
                <w:rFonts w:hint="eastAsia" w:ascii="宋体" w:hAnsi="宋体" w:eastAsia="宋体" w:cs="宋体"/>
                <w:color w:val="auto"/>
                <w:sz w:val="24"/>
                <w:highlight w:val="none"/>
              </w:rPr>
            </w:pPr>
          </w:p>
        </w:tc>
        <w:tc>
          <w:tcPr>
            <w:tcW w:w="467" w:type="pct"/>
            <w:noWrap w:val="0"/>
            <w:vAlign w:val="top"/>
          </w:tcPr>
          <w:p>
            <w:pPr>
              <w:snapToGrid w:val="0"/>
              <w:spacing w:after="120" w:line="300" w:lineRule="auto"/>
              <w:rPr>
                <w:rFonts w:hint="eastAsia" w:ascii="宋体" w:hAnsi="宋体" w:eastAsia="宋体" w:cs="宋体"/>
                <w:color w:val="auto"/>
                <w:sz w:val="24"/>
                <w:highlight w:val="none"/>
              </w:rPr>
            </w:pPr>
          </w:p>
        </w:tc>
        <w:tc>
          <w:tcPr>
            <w:tcW w:w="467" w:type="pct"/>
            <w:noWrap w:val="0"/>
            <w:vAlign w:val="top"/>
          </w:tcPr>
          <w:p>
            <w:pPr>
              <w:snapToGrid w:val="0"/>
              <w:spacing w:after="120" w:line="300" w:lineRule="auto"/>
              <w:rPr>
                <w:rFonts w:hint="eastAsia" w:ascii="宋体" w:hAnsi="宋体" w:eastAsia="宋体" w:cs="宋体"/>
                <w:color w:val="auto"/>
                <w:sz w:val="24"/>
                <w:highlight w:val="none"/>
              </w:rPr>
            </w:pPr>
          </w:p>
        </w:tc>
        <w:tc>
          <w:tcPr>
            <w:tcW w:w="545" w:type="pct"/>
            <w:noWrap w:val="0"/>
            <w:vAlign w:val="top"/>
          </w:tcPr>
          <w:p>
            <w:pPr>
              <w:snapToGrid w:val="0"/>
              <w:spacing w:after="120" w:line="300" w:lineRule="auto"/>
              <w:rPr>
                <w:rFonts w:hint="eastAsia" w:ascii="宋体" w:hAnsi="宋体" w:eastAsia="宋体" w:cs="宋体"/>
                <w:color w:val="auto"/>
                <w:sz w:val="24"/>
                <w:highlight w:val="none"/>
              </w:rPr>
            </w:pPr>
          </w:p>
        </w:tc>
        <w:tc>
          <w:tcPr>
            <w:tcW w:w="547" w:type="pct"/>
            <w:noWrap w:val="0"/>
            <w:vAlign w:val="top"/>
          </w:tcPr>
          <w:p>
            <w:pPr>
              <w:snapToGrid w:val="0"/>
              <w:spacing w:after="120" w:line="300" w:lineRule="auto"/>
              <w:rPr>
                <w:rFonts w:hint="eastAsia" w:ascii="宋体" w:hAnsi="宋体" w:eastAsia="宋体" w:cs="宋体"/>
                <w:color w:val="auto"/>
                <w:sz w:val="24"/>
                <w:highlight w:val="none"/>
              </w:rPr>
            </w:pPr>
          </w:p>
        </w:tc>
        <w:tc>
          <w:tcPr>
            <w:tcW w:w="834" w:type="pct"/>
            <w:noWrap w:val="0"/>
            <w:vAlign w:val="top"/>
          </w:tcPr>
          <w:p>
            <w:pPr>
              <w:snapToGrid w:val="0"/>
              <w:spacing w:after="120" w:line="300" w:lineRule="auto"/>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1358" w:type="pct"/>
            <w:vMerge w:val="restart"/>
            <w:noWrap w:val="0"/>
            <w:vAlign w:val="top"/>
          </w:tcPr>
          <w:p>
            <w:pPr>
              <w:snapToGrid w:val="0"/>
              <w:spacing w:after="120" w:line="300" w:lineRule="auto"/>
              <w:rPr>
                <w:rFonts w:hint="eastAsia" w:ascii="宋体" w:hAnsi="宋体" w:eastAsia="宋体" w:cs="宋体"/>
                <w:color w:val="auto"/>
                <w:sz w:val="24"/>
                <w:highlight w:val="none"/>
              </w:rPr>
            </w:pPr>
          </w:p>
        </w:tc>
        <w:tc>
          <w:tcPr>
            <w:tcW w:w="778" w:type="pct"/>
            <w:noWrap w:val="0"/>
            <w:vAlign w:val="top"/>
          </w:tcPr>
          <w:p>
            <w:pPr>
              <w:snapToGrid w:val="0"/>
              <w:spacing w:after="120" w:line="300" w:lineRule="auto"/>
              <w:rPr>
                <w:rFonts w:hint="eastAsia" w:ascii="宋体" w:hAnsi="宋体" w:eastAsia="宋体" w:cs="宋体"/>
                <w:color w:val="auto"/>
                <w:sz w:val="24"/>
                <w:highlight w:val="none"/>
              </w:rPr>
            </w:pPr>
          </w:p>
        </w:tc>
        <w:tc>
          <w:tcPr>
            <w:tcW w:w="467" w:type="pct"/>
            <w:noWrap w:val="0"/>
            <w:vAlign w:val="top"/>
          </w:tcPr>
          <w:p>
            <w:pPr>
              <w:snapToGrid w:val="0"/>
              <w:spacing w:after="120" w:line="300" w:lineRule="auto"/>
              <w:rPr>
                <w:rFonts w:hint="eastAsia" w:ascii="宋体" w:hAnsi="宋体" w:eastAsia="宋体" w:cs="宋体"/>
                <w:color w:val="auto"/>
                <w:sz w:val="24"/>
                <w:highlight w:val="none"/>
              </w:rPr>
            </w:pPr>
          </w:p>
        </w:tc>
        <w:tc>
          <w:tcPr>
            <w:tcW w:w="467" w:type="pct"/>
            <w:noWrap w:val="0"/>
            <w:vAlign w:val="top"/>
          </w:tcPr>
          <w:p>
            <w:pPr>
              <w:snapToGrid w:val="0"/>
              <w:spacing w:after="120" w:line="300" w:lineRule="auto"/>
              <w:rPr>
                <w:rFonts w:hint="eastAsia" w:ascii="宋体" w:hAnsi="宋体" w:eastAsia="宋体" w:cs="宋体"/>
                <w:color w:val="auto"/>
                <w:sz w:val="24"/>
                <w:highlight w:val="none"/>
              </w:rPr>
            </w:pPr>
          </w:p>
        </w:tc>
        <w:tc>
          <w:tcPr>
            <w:tcW w:w="545" w:type="pct"/>
            <w:noWrap w:val="0"/>
            <w:vAlign w:val="top"/>
          </w:tcPr>
          <w:p>
            <w:pPr>
              <w:snapToGrid w:val="0"/>
              <w:spacing w:after="120" w:line="300" w:lineRule="auto"/>
              <w:rPr>
                <w:rFonts w:hint="eastAsia" w:ascii="宋体" w:hAnsi="宋体" w:eastAsia="宋体" w:cs="宋体"/>
                <w:color w:val="auto"/>
                <w:sz w:val="24"/>
                <w:highlight w:val="none"/>
              </w:rPr>
            </w:pPr>
          </w:p>
        </w:tc>
        <w:tc>
          <w:tcPr>
            <w:tcW w:w="547" w:type="pct"/>
            <w:noWrap w:val="0"/>
            <w:vAlign w:val="top"/>
          </w:tcPr>
          <w:p>
            <w:pPr>
              <w:snapToGrid w:val="0"/>
              <w:spacing w:after="120" w:line="300" w:lineRule="auto"/>
              <w:rPr>
                <w:rFonts w:hint="eastAsia" w:ascii="宋体" w:hAnsi="宋体" w:eastAsia="宋体" w:cs="宋体"/>
                <w:color w:val="auto"/>
                <w:sz w:val="24"/>
                <w:highlight w:val="none"/>
              </w:rPr>
            </w:pPr>
          </w:p>
        </w:tc>
        <w:tc>
          <w:tcPr>
            <w:tcW w:w="834" w:type="pct"/>
            <w:noWrap w:val="0"/>
            <w:vAlign w:val="top"/>
          </w:tcPr>
          <w:p>
            <w:pPr>
              <w:snapToGrid w:val="0"/>
              <w:spacing w:after="120" w:line="300" w:lineRule="auto"/>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1358" w:type="pct"/>
            <w:vMerge w:val="continue"/>
            <w:noWrap w:val="0"/>
            <w:vAlign w:val="top"/>
          </w:tcPr>
          <w:p>
            <w:pPr>
              <w:snapToGrid w:val="0"/>
              <w:spacing w:after="120" w:line="300" w:lineRule="auto"/>
              <w:rPr>
                <w:rFonts w:hint="eastAsia" w:ascii="宋体" w:hAnsi="宋体" w:eastAsia="宋体" w:cs="宋体"/>
                <w:color w:val="auto"/>
                <w:sz w:val="24"/>
                <w:highlight w:val="none"/>
              </w:rPr>
            </w:pPr>
          </w:p>
        </w:tc>
        <w:tc>
          <w:tcPr>
            <w:tcW w:w="778" w:type="pct"/>
            <w:noWrap w:val="0"/>
            <w:vAlign w:val="top"/>
          </w:tcPr>
          <w:p>
            <w:pPr>
              <w:snapToGrid w:val="0"/>
              <w:spacing w:after="120" w:line="300" w:lineRule="auto"/>
              <w:rPr>
                <w:rFonts w:hint="eastAsia" w:ascii="宋体" w:hAnsi="宋体" w:eastAsia="宋体" w:cs="宋体"/>
                <w:color w:val="auto"/>
                <w:sz w:val="24"/>
                <w:highlight w:val="none"/>
              </w:rPr>
            </w:pPr>
          </w:p>
        </w:tc>
        <w:tc>
          <w:tcPr>
            <w:tcW w:w="467" w:type="pct"/>
            <w:noWrap w:val="0"/>
            <w:vAlign w:val="top"/>
          </w:tcPr>
          <w:p>
            <w:pPr>
              <w:snapToGrid w:val="0"/>
              <w:spacing w:after="120" w:line="300" w:lineRule="auto"/>
              <w:rPr>
                <w:rFonts w:hint="eastAsia" w:ascii="宋体" w:hAnsi="宋体" w:eastAsia="宋体" w:cs="宋体"/>
                <w:color w:val="auto"/>
                <w:sz w:val="24"/>
                <w:highlight w:val="none"/>
              </w:rPr>
            </w:pPr>
          </w:p>
        </w:tc>
        <w:tc>
          <w:tcPr>
            <w:tcW w:w="467" w:type="pct"/>
            <w:noWrap w:val="0"/>
            <w:vAlign w:val="top"/>
          </w:tcPr>
          <w:p>
            <w:pPr>
              <w:snapToGrid w:val="0"/>
              <w:spacing w:after="120" w:line="300" w:lineRule="auto"/>
              <w:rPr>
                <w:rFonts w:hint="eastAsia" w:ascii="宋体" w:hAnsi="宋体" w:eastAsia="宋体" w:cs="宋体"/>
                <w:color w:val="auto"/>
                <w:sz w:val="24"/>
                <w:highlight w:val="none"/>
              </w:rPr>
            </w:pPr>
          </w:p>
        </w:tc>
        <w:tc>
          <w:tcPr>
            <w:tcW w:w="545" w:type="pct"/>
            <w:noWrap w:val="0"/>
            <w:vAlign w:val="top"/>
          </w:tcPr>
          <w:p>
            <w:pPr>
              <w:snapToGrid w:val="0"/>
              <w:spacing w:after="120" w:line="300" w:lineRule="auto"/>
              <w:rPr>
                <w:rFonts w:hint="eastAsia" w:ascii="宋体" w:hAnsi="宋体" w:eastAsia="宋体" w:cs="宋体"/>
                <w:color w:val="auto"/>
                <w:sz w:val="24"/>
                <w:highlight w:val="none"/>
              </w:rPr>
            </w:pPr>
          </w:p>
        </w:tc>
        <w:tc>
          <w:tcPr>
            <w:tcW w:w="547" w:type="pct"/>
            <w:noWrap w:val="0"/>
            <w:vAlign w:val="top"/>
          </w:tcPr>
          <w:p>
            <w:pPr>
              <w:snapToGrid w:val="0"/>
              <w:spacing w:after="120" w:line="300" w:lineRule="auto"/>
              <w:rPr>
                <w:rFonts w:hint="eastAsia" w:ascii="宋体" w:hAnsi="宋体" w:eastAsia="宋体" w:cs="宋体"/>
                <w:color w:val="auto"/>
                <w:sz w:val="24"/>
                <w:highlight w:val="none"/>
              </w:rPr>
            </w:pPr>
          </w:p>
        </w:tc>
        <w:tc>
          <w:tcPr>
            <w:tcW w:w="834" w:type="pct"/>
            <w:noWrap w:val="0"/>
            <w:vAlign w:val="top"/>
          </w:tcPr>
          <w:p>
            <w:pPr>
              <w:snapToGrid w:val="0"/>
              <w:spacing w:after="120" w:line="300" w:lineRule="auto"/>
              <w:rPr>
                <w:rFonts w:hint="eastAsia" w:ascii="宋体" w:hAnsi="宋体" w:eastAsia="宋体" w:cs="宋体"/>
                <w:color w:val="auto"/>
                <w:sz w:val="24"/>
                <w:highlight w:val="none"/>
              </w:rPr>
            </w:pPr>
          </w:p>
        </w:tc>
      </w:tr>
    </w:tbl>
    <w:p>
      <w:pPr>
        <w:snapToGrid w:val="0"/>
        <w:spacing w:line="30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注：1. 本表所列为随投标设备所带的专用工具和备品备件。</w:t>
      </w:r>
    </w:p>
    <w:p>
      <w:pPr>
        <w:snapToGrid w:val="0"/>
        <w:spacing w:line="30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2. 本表中所列价格应计入投标总价。</w:t>
      </w:r>
    </w:p>
    <w:p>
      <w:pP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3. 此表仅提供了表格形式，投标人应根据需要准备足够数量的表格来填写。</w:t>
      </w:r>
    </w:p>
    <w:p>
      <w:pPr>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r>
        <w:rPr>
          <w:rFonts w:hint="eastAsia" w:ascii="宋体" w:hAnsi="宋体" w:eastAsia="宋体" w:cs="宋体"/>
          <w:bCs/>
          <w:color w:val="auto"/>
          <w:sz w:val="24"/>
          <w:highlight w:val="none"/>
        </w:rPr>
        <w:t xml:space="preserve"> 如无此项内容，投标时需说明。</w:t>
      </w:r>
    </w:p>
    <w:p>
      <w:pPr>
        <w:pStyle w:val="14"/>
        <w:spacing w:after="120" w:line="360" w:lineRule="auto"/>
        <w:rPr>
          <w:rFonts w:hint="eastAsia" w:ascii="宋体" w:hAnsi="宋体" w:eastAsia="宋体" w:cs="宋体"/>
          <w:color w:val="auto"/>
          <w:sz w:val="24"/>
          <w:szCs w:val="24"/>
          <w:highlight w:val="none"/>
        </w:rPr>
      </w:pPr>
    </w:p>
    <w:p>
      <w:pPr>
        <w:adjustRightInd w:val="0"/>
        <w:snapToGrid w:val="0"/>
        <w:spacing w:line="440" w:lineRule="exact"/>
        <w:ind w:left="300" w:leftChars="150" w:firstLine="3568" w:firstLineChars="1487"/>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投标人（盖单位公章）：</w:t>
      </w:r>
    </w:p>
    <w:p>
      <w:pPr>
        <w:adjustRightInd w:val="0"/>
        <w:snapToGrid w:val="0"/>
        <w:spacing w:line="440" w:lineRule="exact"/>
        <w:ind w:left="300" w:leftChars="150" w:firstLine="3568" w:firstLineChars="1487"/>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法定代表人或授权</w:t>
      </w:r>
      <w:r>
        <w:rPr>
          <w:rFonts w:hint="eastAsia" w:ascii="宋体" w:hAnsi="宋体" w:eastAsia="宋体" w:cs="宋体"/>
          <w:color w:val="auto"/>
          <w:kern w:val="0"/>
          <w:sz w:val="24"/>
          <w:highlight w:val="none"/>
        </w:rPr>
        <w:t>代理</w:t>
      </w:r>
      <w:r>
        <w:rPr>
          <w:rFonts w:hint="eastAsia" w:ascii="宋体" w:hAnsi="宋体" w:eastAsia="宋体" w:cs="宋体"/>
          <w:color w:val="auto"/>
          <w:kern w:val="0"/>
          <w:sz w:val="24"/>
          <w:highlight w:val="none"/>
          <w:lang w:val="zh-CN"/>
        </w:rPr>
        <w:t>人（签字或盖章）：</w:t>
      </w:r>
    </w:p>
    <w:p>
      <w:pPr>
        <w:adjustRightInd w:val="0"/>
        <w:snapToGrid w:val="0"/>
        <w:spacing w:line="440" w:lineRule="exact"/>
        <w:ind w:left="300" w:leftChars="150" w:firstLine="3568" w:firstLineChars="1487"/>
        <w:jc w:val="righ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  月   日</w:t>
      </w:r>
    </w:p>
    <w:p>
      <w:pPr>
        <w:spacing w:line="360" w:lineRule="auto"/>
        <w:jc w:val="center"/>
        <w:rPr>
          <w:rFonts w:hint="eastAsia" w:ascii="宋体" w:hAnsi="宋体" w:eastAsia="宋体" w:cs="宋体"/>
          <w:b/>
          <w:bCs/>
          <w:color w:val="auto"/>
          <w:sz w:val="32"/>
          <w:szCs w:val="32"/>
          <w:highlight w:val="none"/>
        </w:rPr>
      </w:pPr>
    </w:p>
    <w:p>
      <w:pPr>
        <w:pStyle w:val="4"/>
        <w:numPr>
          <w:ilvl w:val="0"/>
          <w:numId w:val="0"/>
        </w:numPr>
        <w:outlineLvl w:val="1"/>
        <w:rPr>
          <w:rFonts w:hint="eastAsia" w:ascii="宋体" w:hAnsi="宋体" w:eastAsia="宋体" w:cs="宋体"/>
          <w:color w:val="auto"/>
          <w:highlight w:val="none"/>
        </w:rPr>
      </w:pPr>
      <w:bookmarkStart w:id="522" w:name="_Toc24834"/>
      <w:r>
        <w:rPr>
          <w:rFonts w:hint="eastAsia" w:ascii="宋体" w:hAnsi="宋体" w:eastAsia="宋体" w:cs="宋体"/>
          <w:color w:val="auto"/>
          <w:highlight w:val="none"/>
        </w:rPr>
        <w:t>附件七：</w:t>
      </w:r>
      <w:bookmarkEnd w:id="522"/>
    </w:p>
    <w:p>
      <w:pPr>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投标人推荐的供选择的配套零部件及价格表</w:t>
      </w:r>
    </w:p>
    <w:p>
      <w:pPr>
        <w:ind w:firstLine="1108" w:firstLineChars="345"/>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 xml:space="preserve">               （质保期外）</w:t>
      </w:r>
    </w:p>
    <w:tbl>
      <w:tblPr>
        <w:tblStyle w:val="32"/>
        <w:tblW w:w="4998"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1279"/>
        <w:gridCol w:w="2074"/>
        <w:gridCol w:w="842"/>
        <w:gridCol w:w="1009"/>
        <w:gridCol w:w="1095"/>
        <w:gridCol w:w="1095"/>
        <w:gridCol w:w="1125"/>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750" w:type="pct"/>
            <w:vMerge w:val="restart"/>
            <w:noWrap w:val="0"/>
            <w:vAlign w:val="center"/>
          </w:tcPr>
          <w:p>
            <w:pPr>
              <w:spacing w:line="5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名称及编号</w:t>
            </w:r>
          </w:p>
        </w:tc>
        <w:tc>
          <w:tcPr>
            <w:tcW w:w="1216" w:type="pct"/>
            <w:vMerge w:val="restart"/>
            <w:noWrap w:val="0"/>
            <w:vAlign w:val="center"/>
          </w:tcPr>
          <w:p>
            <w:pPr>
              <w:spacing w:line="5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备件名称</w:t>
            </w:r>
          </w:p>
        </w:tc>
        <w:tc>
          <w:tcPr>
            <w:tcW w:w="494" w:type="pct"/>
            <w:vMerge w:val="restart"/>
            <w:noWrap w:val="0"/>
            <w:vAlign w:val="center"/>
          </w:tcPr>
          <w:p>
            <w:pPr>
              <w:spacing w:line="5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数量</w:t>
            </w:r>
          </w:p>
        </w:tc>
        <w:tc>
          <w:tcPr>
            <w:tcW w:w="592" w:type="pct"/>
            <w:vMerge w:val="restart"/>
            <w:noWrap w:val="0"/>
            <w:vAlign w:val="center"/>
          </w:tcPr>
          <w:p>
            <w:pPr>
              <w:spacing w:line="5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单位</w:t>
            </w:r>
          </w:p>
        </w:tc>
        <w:tc>
          <w:tcPr>
            <w:tcW w:w="1284" w:type="pct"/>
            <w:gridSpan w:val="2"/>
            <w:noWrap w:val="0"/>
            <w:vAlign w:val="center"/>
          </w:tcPr>
          <w:p>
            <w:pPr>
              <w:spacing w:line="5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价格（元）</w:t>
            </w:r>
          </w:p>
        </w:tc>
        <w:tc>
          <w:tcPr>
            <w:tcW w:w="660" w:type="pct"/>
            <w:vMerge w:val="restart"/>
            <w:noWrap w:val="0"/>
            <w:vAlign w:val="center"/>
          </w:tcPr>
          <w:p>
            <w:pPr>
              <w:spacing w:line="5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备注</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750" w:type="pct"/>
            <w:vMerge w:val="continue"/>
            <w:noWrap w:val="0"/>
            <w:vAlign w:val="center"/>
          </w:tcPr>
          <w:p>
            <w:pPr>
              <w:spacing w:line="500" w:lineRule="exact"/>
              <w:jc w:val="center"/>
              <w:rPr>
                <w:rFonts w:hint="eastAsia" w:ascii="宋体" w:hAnsi="宋体" w:eastAsia="宋体" w:cs="宋体"/>
                <w:color w:val="auto"/>
                <w:sz w:val="24"/>
                <w:highlight w:val="none"/>
              </w:rPr>
            </w:pPr>
          </w:p>
        </w:tc>
        <w:tc>
          <w:tcPr>
            <w:tcW w:w="1216" w:type="pct"/>
            <w:vMerge w:val="continue"/>
            <w:noWrap w:val="0"/>
            <w:vAlign w:val="center"/>
          </w:tcPr>
          <w:p>
            <w:pPr>
              <w:spacing w:line="500" w:lineRule="exact"/>
              <w:jc w:val="center"/>
              <w:rPr>
                <w:rFonts w:hint="eastAsia" w:ascii="宋体" w:hAnsi="宋体" w:eastAsia="宋体" w:cs="宋体"/>
                <w:color w:val="auto"/>
                <w:sz w:val="24"/>
                <w:highlight w:val="none"/>
              </w:rPr>
            </w:pPr>
          </w:p>
        </w:tc>
        <w:tc>
          <w:tcPr>
            <w:tcW w:w="494" w:type="pct"/>
            <w:vMerge w:val="continue"/>
            <w:noWrap w:val="0"/>
            <w:vAlign w:val="center"/>
          </w:tcPr>
          <w:p>
            <w:pPr>
              <w:spacing w:line="500" w:lineRule="exact"/>
              <w:jc w:val="center"/>
              <w:rPr>
                <w:rFonts w:hint="eastAsia" w:ascii="宋体" w:hAnsi="宋体" w:eastAsia="宋体" w:cs="宋体"/>
                <w:color w:val="auto"/>
                <w:sz w:val="24"/>
                <w:highlight w:val="none"/>
              </w:rPr>
            </w:pPr>
          </w:p>
        </w:tc>
        <w:tc>
          <w:tcPr>
            <w:tcW w:w="592" w:type="pct"/>
            <w:vMerge w:val="continue"/>
            <w:noWrap w:val="0"/>
            <w:vAlign w:val="center"/>
          </w:tcPr>
          <w:p>
            <w:pPr>
              <w:spacing w:line="500" w:lineRule="exact"/>
              <w:jc w:val="center"/>
              <w:rPr>
                <w:rFonts w:hint="eastAsia" w:ascii="宋体" w:hAnsi="宋体" w:eastAsia="宋体" w:cs="宋体"/>
                <w:color w:val="auto"/>
                <w:sz w:val="24"/>
                <w:highlight w:val="none"/>
              </w:rPr>
            </w:pPr>
          </w:p>
        </w:tc>
        <w:tc>
          <w:tcPr>
            <w:tcW w:w="642" w:type="pct"/>
            <w:noWrap w:val="0"/>
            <w:vAlign w:val="center"/>
          </w:tcPr>
          <w:p>
            <w:pPr>
              <w:spacing w:line="5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单价</w:t>
            </w:r>
          </w:p>
        </w:tc>
        <w:tc>
          <w:tcPr>
            <w:tcW w:w="642" w:type="pct"/>
            <w:noWrap w:val="0"/>
            <w:vAlign w:val="center"/>
          </w:tcPr>
          <w:p>
            <w:pPr>
              <w:spacing w:line="5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总价</w:t>
            </w:r>
          </w:p>
        </w:tc>
        <w:tc>
          <w:tcPr>
            <w:tcW w:w="660" w:type="pct"/>
            <w:vMerge w:val="continue"/>
            <w:noWrap w:val="0"/>
            <w:vAlign w:val="center"/>
          </w:tcPr>
          <w:p>
            <w:pPr>
              <w:spacing w:line="500" w:lineRule="exact"/>
              <w:jc w:val="center"/>
              <w:rPr>
                <w:rFonts w:hint="eastAsia" w:ascii="宋体" w:hAnsi="宋体" w:eastAsia="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750" w:type="pct"/>
            <w:noWrap w:val="0"/>
            <w:vAlign w:val="center"/>
          </w:tcPr>
          <w:p>
            <w:pPr>
              <w:spacing w:line="500" w:lineRule="exact"/>
              <w:jc w:val="center"/>
              <w:rPr>
                <w:rFonts w:hint="eastAsia" w:ascii="宋体" w:hAnsi="宋体" w:eastAsia="宋体" w:cs="宋体"/>
                <w:color w:val="auto"/>
                <w:sz w:val="24"/>
                <w:highlight w:val="none"/>
              </w:rPr>
            </w:pPr>
          </w:p>
        </w:tc>
        <w:tc>
          <w:tcPr>
            <w:tcW w:w="1216" w:type="pct"/>
            <w:noWrap w:val="0"/>
            <w:vAlign w:val="center"/>
          </w:tcPr>
          <w:p>
            <w:pPr>
              <w:spacing w:line="500" w:lineRule="exact"/>
              <w:jc w:val="center"/>
              <w:rPr>
                <w:rFonts w:hint="eastAsia" w:ascii="宋体" w:hAnsi="宋体" w:eastAsia="宋体" w:cs="宋体"/>
                <w:color w:val="auto"/>
                <w:sz w:val="24"/>
                <w:highlight w:val="none"/>
              </w:rPr>
            </w:pPr>
          </w:p>
        </w:tc>
        <w:tc>
          <w:tcPr>
            <w:tcW w:w="494" w:type="pct"/>
            <w:noWrap w:val="0"/>
            <w:vAlign w:val="center"/>
          </w:tcPr>
          <w:p>
            <w:pPr>
              <w:spacing w:line="500" w:lineRule="exact"/>
              <w:jc w:val="center"/>
              <w:rPr>
                <w:rFonts w:hint="eastAsia" w:ascii="宋体" w:hAnsi="宋体" w:eastAsia="宋体" w:cs="宋体"/>
                <w:color w:val="auto"/>
                <w:sz w:val="24"/>
                <w:highlight w:val="none"/>
              </w:rPr>
            </w:pPr>
          </w:p>
        </w:tc>
        <w:tc>
          <w:tcPr>
            <w:tcW w:w="592" w:type="pct"/>
            <w:noWrap w:val="0"/>
            <w:vAlign w:val="center"/>
          </w:tcPr>
          <w:p>
            <w:pPr>
              <w:spacing w:line="500" w:lineRule="exact"/>
              <w:jc w:val="center"/>
              <w:rPr>
                <w:rFonts w:hint="eastAsia" w:ascii="宋体" w:hAnsi="宋体" w:eastAsia="宋体" w:cs="宋体"/>
                <w:color w:val="auto"/>
                <w:sz w:val="24"/>
                <w:highlight w:val="none"/>
              </w:rPr>
            </w:pPr>
          </w:p>
        </w:tc>
        <w:tc>
          <w:tcPr>
            <w:tcW w:w="642" w:type="pct"/>
            <w:noWrap w:val="0"/>
            <w:vAlign w:val="center"/>
          </w:tcPr>
          <w:p>
            <w:pPr>
              <w:spacing w:line="500" w:lineRule="exact"/>
              <w:jc w:val="center"/>
              <w:rPr>
                <w:rFonts w:hint="eastAsia" w:ascii="宋体" w:hAnsi="宋体" w:eastAsia="宋体" w:cs="宋体"/>
                <w:color w:val="auto"/>
                <w:sz w:val="24"/>
                <w:highlight w:val="none"/>
              </w:rPr>
            </w:pPr>
          </w:p>
        </w:tc>
        <w:tc>
          <w:tcPr>
            <w:tcW w:w="642" w:type="pct"/>
            <w:noWrap w:val="0"/>
            <w:vAlign w:val="center"/>
          </w:tcPr>
          <w:p>
            <w:pPr>
              <w:spacing w:line="500" w:lineRule="exact"/>
              <w:jc w:val="center"/>
              <w:rPr>
                <w:rFonts w:hint="eastAsia" w:ascii="宋体" w:hAnsi="宋体" w:eastAsia="宋体" w:cs="宋体"/>
                <w:color w:val="auto"/>
                <w:sz w:val="24"/>
                <w:highlight w:val="none"/>
              </w:rPr>
            </w:pPr>
          </w:p>
        </w:tc>
        <w:tc>
          <w:tcPr>
            <w:tcW w:w="660" w:type="pct"/>
            <w:noWrap w:val="0"/>
            <w:vAlign w:val="center"/>
          </w:tcPr>
          <w:p>
            <w:pPr>
              <w:spacing w:line="500" w:lineRule="exact"/>
              <w:jc w:val="center"/>
              <w:rPr>
                <w:rFonts w:hint="eastAsia" w:ascii="宋体" w:hAnsi="宋体" w:eastAsia="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750" w:type="pct"/>
            <w:noWrap w:val="0"/>
            <w:vAlign w:val="center"/>
          </w:tcPr>
          <w:p>
            <w:pPr>
              <w:spacing w:line="500" w:lineRule="exact"/>
              <w:jc w:val="center"/>
              <w:rPr>
                <w:rFonts w:hint="eastAsia" w:ascii="宋体" w:hAnsi="宋体" w:eastAsia="宋体" w:cs="宋体"/>
                <w:color w:val="auto"/>
                <w:sz w:val="24"/>
                <w:highlight w:val="none"/>
              </w:rPr>
            </w:pPr>
          </w:p>
        </w:tc>
        <w:tc>
          <w:tcPr>
            <w:tcW w:w="1216" w:type="pct"/>
            <w:noWrap w:val="0"/>
            <w:vAlign w:val="center"/>
          </w:tcPr>
          <w:p>
            <w:pPr>
              <w:spacing w:line="500" w:lineRule="exact"/>
              <w:jc w:val="center"/>
              <w:rPr>
                <w:rFonts w:hint="eastAsia" w:ascii="宋体" w:hAnsi="宋体" w:eastAsia="宋体" w:cs="宋体"/>
                <w:color w:val="auto"/>
                <w:sz w:val="24"/>
                <w:highlight w:val="none"/>
              </w:rPr>
            </w:pPr>
          </w:p>
        </w:tc>
        <w:tc>
          <w:tcPr>
            <w:tcW w:w="494" w:type="pct"/>
            <w:noWrap w:val="0"/>
            <w:vAlign w:val="center"/>
          </w:tcPr>
          <w:p>
            <w:pPr>
              <w:spacing w:line="500" w:lineRule="exact"/>
              <w:jc w:val="center"/>
              <w:rPr>
                <w:rFonts w:hint="eastAsia" w:ascii="宋体" w:hAnsi="宋体" w:eastAsia="宋体" w:cs="宋体"/>
                <w:color w:val="auto"/>
                <w:sz w:val="24"/>
                <w:highlight w:val="none"/>
              </w:rPr>
            </w:pPr>
          </w:p>
        </w:tc>
        <w:tc>
          <w:tcPr>
            <w:tcW w:w="592" w:type="pct"/>
            <w:noWrap w:val="0"/>
            <w:vAlign w:val="center"/>
          </w:tcPr>
          <w:p>
            <w:pPr>
              <w:spacing w:line="500" w:lineRule="exact"/>
              <w:jc w:val="center"/>
              <w:rPr>
                <w:rFonts w:hint="eastAsia" w:ascii="宋体" w:hAnsi="宋体" w:eastAsia="宋体" w:cs="宋体"/>
                <w:color w:val="auto"/>
                <w:sz w:val="24"/>
                <w:highlight w:val="none"/>
              </w:rPr>
            </w:pPr>
          </w:p>
        </w:tc>
        <w:tc>
          <w:tcPr>
            <w:tcW w:w="642" w:type="pct"/>
            <w:noWrap w:val="0"/>
            <w:vAlign w:val="center"/>
          </w:tcPr>
          <w:p>
            <w:pPr>
              <w:spacing w:line="500" w:lineRule="exact"/>
              <w:jc w:val="center"/>
              <w:rPr>
                <w:rFonts w:hint="eastAsia" w:ascii="宋体" w:hAnsi="宋体" w:eastAsia="宋体" w:cs="宋体"/>
                <w:color w:val="auto"/>
                <w:sz w:val="24"/>
                <w:highlight w:val="none"/>
              </w:rPr>
            </w:pPr>
          </w:p>
        </w:tc>
        <w:tc>
          <w:tcPr>
            <w:tcW w:w="642" w:type="pct"/>
            <w:noWrap w:val="0"/>
            <w:vAlign w:val="center"/>
          </w:tcPr>
          <w:p>
            <w:pPr>
              <w:spacing w:line="500" w:lineRule="exact"/>
              <w:jc w:val="center"/>
              <w:rPr>
                <w:rFonts w:hint="eastAsia" w:ascii="宋体" w:hAnsi="宋体" w:eastAsia="宋体" w:cs="宋体"/>
                <w:color w:val="auto"/>
                <w:sz w:val="24"/>
                <w:highlight w:val="none"/>
              </w:rPr>
            </w:pPr>
          </w:p>
        </w:tc>
        <w:tc>
          <w:tcPr>
            <w:tcW w:w="660" w:type="pct"/>
            <w:noWrap w:val="0"/>
            <w:vAlign w:val="center"/>
          </w:tcPr>
          <w:p>
            <w:pPr>
              <w:spacing w:line="500" w:lineRule="exact"/>
              <w:jc w:val="center"/>
              <w:rPr>
                <w:rFonts w:hint="eastAsia" w:ascii="宋体" w:hAnsi="宋体" w:eastAsia="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750" w:type="pct"/>
            <w:noWrap w:val="0"/>
            <w:vAlign w:val="center"/>
          </w:tcPr>
          <w:p>
            <w:pPr>
              <w:spacing w:line="500" w:lineRule="exact"/>
              <w:jc w:val="center"/>
              <w:rPr>
                <w:rFonts w:hint="eastAsia" w:ascii="宋体" w:hAnsi="宋体" w:eastAsia="宋体" w:cs="宋体"/>
                <w:color w:val="auto"/>
                <w:sz w:val="24"/>
                <w:highlight w:val="none"/>
              </w:rPr>
            </w:pPr>
          </w:p>
        </w:tc>
        <w:tc>
          <w:tcPr>
            <w:tcW w:w="1216" w:type="pct"/>
            <w:noWrap w:val="0"/>
            <w:vAlign w:val="center"/>
          </w:tcPr>
          <w:p>
            <w:pPr>
              <w:spacing w:line="500" w:lineRule="exact"/>
              <w:jc w:val="center"/>
              <w:rPr>
                <w:rFonts w:hint="eastAsia" w:ascii="宋体" w:hAnsi="宋体" w:eastAsia="宋体" w:cs="宋体"/>
                <w:color w:val="auto"/>
                <w:sz w:val="24"/>
                <w:highlight w:val="none"/>
              </w:rPr>
            </w:pPr>
          </w:p>
        </w:tc>
        <w:tc>
          <w:tcPr>
            <w:tcW w:w="494" w:type="pct"/>
            <w:noWrap w:val="0"/>
            <w:vAlign w:val="center"/>
          </w:tcPr>
          <w:p>
            <w:pPr>
              <w:spacing w:line="500" w:lineRule="exact"/>
              <w:jc w:val="center"/>
              <w:rPr>
                <w:rFonts w:hint="eastAsia" w:ascii="宋体" w:hAnsi="宋体" w:eastAsia="宋体" w:cs="宋体"/>
                <w:color w:val="auto"/>
                <w:sz w:val="24"/>
                <w:highlight w:val="none"/>
              </w:rPr>
            </w:pPr>
          </w:p>
        </w:tc>
        <w:tc>
          <w:tcPr>
            <w:tcW w:w="592" w:type="pct"/>
            <w:noWrap w:val="0"/>
            <w:vAlign w:val="center"/>
          </w:tcPr>
          <w:p>
            <w:pPr>
              <w:spacing w:line="500" w:lineRule="exact"/>
              <w:jc w:val="center"/>
              <w:rPr>
                <w:rFonts w:hint="eastAsia" w:ascii="宋体" w:hAnsi="宋体" w:eastAsia="宋体" w:cs="宋体"/>
                <w:color w:val="auto"/>
                <w:sz w:val="24"/>
                <w:highlight w:val="none"/>
              </w:rPr>
            </w:pPr>
          </w:p>
        </w:tc>
        <w:tc>
          <w:tcPr>
            <w:tcW w:w="642" w:type="pct"/>
            <w:noWrap w:val="0"/>
            <w:vAlign w:val="center"/>
          </w:tcPr>
          <w:p>
            <w:pPr>
              <w:spacing w:line="500" w:lineRule="exact"/>
              <w:jc w:val="center"/>
              <w:rPr>
                <w:rFonts w:hint="eastAsia" w:ascii="宋体" w:hAnsi="宋体" w:eastAsia="宋体" w:cs="宋体"/>
                <w:color w:val="auto"/>
                <w:sz w:val="24"/>
                <w:highlight w:val="none"/>
              </w:rPr>
            </w:pPr>
          </w:p>
        </w:tc>
        <w:tc>
          <w:tcPr>
            <w:tcW w:w="642" w:type="pct"/>
            <w:noWrap w:val="0"/>
            <w:vAlign w:val="center"/>
          </w:tcPr>
          <w:p>
            <w:pPr>
              <w:spacing w:line="500" w:lineRule="exact"/>
              <w:jc w:val="center"/>
              <w:rPr>
                <w:rFonts w:hint="eastAsia" w:ascii="宋体" w:hAnsi="宋体" w:eastAsia="宋体" w:cs="宋体"/>
                <w:color w:val="auto"/>
                <w:sz w:val="24"/>
                <w:highlight w:val="none"/>
              </w:rPr>
            </w:pPr>
          </w:p>
        </w:tc>
        <w:tc>
          <w:tcPr>
            <w:tcW w:w="660" w:type="pct"/>
            <w:noWrap w:val="0"/>
            <w:vAlign w:val="center"/>
          </w:tcPr>
          <w:p>
            <w:pPr>
              <w:spacing w:line="500" w:lineRule="exact"/>
              <w:jc w:val="center"/>
              <w:rPr>
                <w:rFonts w:hint="eastAsia" w:ascii="宋体" w:hAnsi="宋体" w:eastAsia="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750" w:type="pct"/>
            <w:noWrap w:val="0"/>
            <w:vAlign w:val="center"/>
          </w:tcPr>
          <w:p>
            <w:pPr>
              <w:spacing w:line="500" w:lineRule="exact"/>
              <w:jc w:val="center"/>
              <w:rPr>
                <w:rFonts w:hint="eastAsia" w:ascii="宋体" w:hAnsi="宋体" w:eastAsia="宋体" w:cs="宋体"/>
                <w:color w:val="auto"/>
                <w:sz w:val="24"/>
                <w:highlight w:val="none"/>
              </w:rPr>
            </w:pPr>
          </w:p>
        </w:tc>
        <w:tc>
          <w:tcPr>
            <w:tcW w:w="1216" w:type="pct"/>
            <w:noWrap w:val="0"/>
            <w:vAlign w:val="center"/>
          </w:tcPr>
          <w:p>
            <w:pPr>
              <w:spacing w:line="500" w:lineRule="exact"/>
              <w:jc w:val="center"/>
              <w:rPr>
                <w:rFonts w:hint="eastAsia" w:ascii="宋体" w:hAnsi="宋体" w:eastAsia="宋体" w:cs="宋体"/>
                <w:color w:val="auto"/>
                <w:sz w:val="24"/>
                <w:highlight w:val="none"/>
              </w:rPr>
            </w:pPr>
          </w:p>
        </w:tc>
        <w:tc>
          <w:tcPr>
            <w:tcW w:w="494" w:type="pct"/>
            <w:noWrap w:val="0"/>
            <w:vAlign w:val="center"/>
          </w:tcPr>
          <w:p>
            <w:pPr>
              <w:spacing w:line="500" w:lineRule="exact"/>
              <w:jc w:val="center"/>
              <w:rPr>
                <w:rFonts w:hint="eastAsia" w:ascii="宋体" w:hAnsi="宋体" w:eastAsia="宋体" w:cs="宋体"/>
                <w:color w:val="auto"/>
                <w:sz w:val="24"/>
                <w:highlight w:val="none"/>
              </w:rPr>
            </w:pPr>
          </w:p>
        </w:tc>
        <w:tc>
          <w:tcPr>
            <w:tcW w:w="592" w:type="pct"/>
            <w:noWrap w:val="0"/>
            <w:vAlign w:val="center"/>
          </w:tcPr>
          <w:p>
            <w:pPr>
              <w:spacing w:line="500" w:lineRule="exact"/>
              <w:jc w:val="center"/>
              <w:rPr>
                <w:rFonts w:hint="eastAsia" w:ascii="宋体" w:hAnsi="宋体" w:eastAsia="宋体" w:cs="宋体"/>
                <w:color w:val="auto"/>
                <w:sz w:val="24"/>
                <w:highlight w:val="none"/>
              </w:rPr>
            </w:pPr>
          </w:p>
        </w:tc>
        <w:tc>
          <w:tcPr>
            <w:tcW w:w="642" w:type="pct"/>
            <w:noWrap w:val="0"/>
            <w:vAlign w:val="center"/>
          </w:tcPr>
          <w:p>
            <w:pPr>
              <w:spacing w:line="500" w:lineRule="exact"/>
              <w:jc w:val="center"/>
              <w:rPr>
                <w:rFonts w:hint="eastAsia" w:ascii="宋体" w:hAnsi="宋体" w:eastAsia="宋体" w:cs="宋体"/>
                <w:color w:val="auto"/>
                <w:sz w:val="24"/>
                <w:highlight w:val="none"/>
              </w:rPr>
            </w:pPr>
          </w:p>
        </w:tc>
        <w:tc>
          <w:tcPr>
            <w:tcW w:w="642" w:type="pct"/>
            <w:noWrap w:val="0"/>
            <w:vAlign w:val="center"/>
          </w:tcPr>
          <w:p>
            <w:pPr>
              <w:spacing w:line="500" w:lineRule="exact"/>
              <w:jc w:val="center"/>
              <w:rPr>
                <w:rFonts w:hint="eastAsia" w:ascii="宋体" w:hAnsi="宋体" w:eastAsia="宋体" w:cs="宋体"/>
                <w:color w:val="auto"/>
                <w:sz w:val="24"/>
                <w:highlight w:val="none"/>
              </w:rPr>
            </w:pPr>
          </w:p>
        </w:tc>
        <w:tc>
          <w:tcPr>
            <w:tcW w:w="660" w:type="pct"/>
            <w:noWrap w:val="0"/>
            <w:vAlign w:val="center"/>
          </w:tcPr>
          <w:p>
            <w:pPr>
              <w:spacing w:line="500" w:lineRule="exact"/>
              <w:jc w:val="center"/>
              <w:rPr>
                <w:rFonts w:hint="eastAsia" w:ascii="宋体" w:hAnsi="宋体" w:eastAsia="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750" w:type="pct"/>
            <w:noWrap w:val="0"/>
            <w:vAlign w:val="center"/>
          </w:tcPr>
          <w:p>
            <w:pPr>
              <w:spacing w:line="500" w:lineRule="exact"/>
              <w:jc w:val="center"/>
              <w:rPr>
                <w:rFonts w:hint="eastAsia" w:ascii="宋体" w:hAnsi="宋体" w:eastAsia="宋体" w:cs="宋体"/>
                <w:color w:val="auto"/>
                <w:sz w:val="24"/>
                <w:highlight w:val="none"/>
              </w:rPr>
            </w:pPr>
          </w:p>
        </w:tc>
        <w:tc>
          <w:tcPr>
            <w:tcW w:w="1216" w:type="pct"/>
            <w:noWrap w:val="0"/>
            <w:vAlign w:val="center"/>
          </w:tcPr>
          <w:p>
            <w:pPr>
              <w:spacing w:line="500" w:lineRule="exact"/>
              <w:jc w:val="center"/>
              <w:rPr>
                <w:rFonts w:hint="eastAsia" w:ascii="宋体" w:hAnsi="宋体" w:eastAsia="宋体" w:cs="宋体"/>
                <w:color w:val="auto"/>
                <w:sz w:val="24"/>
                <w:highlight w:val="none"/>
              </w:rPr>
            </w:pPr>
          </w:p>
        </w:tc>
        <w:tc>
          <w:tcPr>
            <w:tcW w:w="494" w:type="pct"/>
            <w:noWrap w:val="0"/>
            <w:vAlign w:val="center"/>
          </w:tcPr>
          <w:p>
            <w:pPr>
              <w:spacing w:line="500" w:lineRule="exact"/>
              <w:jc w:val="center"/>
              <w:rPr>
                <w:rFonts w:hint="eastAsia" w:ascii="宋体" w:hAnsi="宋体" w:eastAsia="宋体" w:cs="宋体"/>
                <w:color w:val="auto"/>
                <w:sz w:val="24"/>
                <w:highlight w:val="none"/>
              </w:rPr>
            </w:pPr>
          </w:p>
        </w:tc>
        <w:tc>
          <w:tcPr>
            <w:tcW w:w="592" w:type="pct"/>
            <w:noWrap w:val="0"/>
            <w:vAlign w:val="center"/>
          </w:tcPr>
          <w:p>
            <w:pPr>
              <w:spacing w:line="500" w:lineRule="exact"/>
              <w:jc w:val="center"/>
              <w:rPr>
                <w:rFonts w:hint="eastAsia" w:ascii="宋体" w:hAnsi="宋体" w:eastAsia="宋体" w:cs="宋体"/>
                <w:color w:val="auto"/>
                <w:sz w:val="24"/>
                <w:highlight w:val="none"/>
              </w:rPr>
            </w:pPr>
          </w:p>
        </w:tc>
        <w:tc>
          <w:tcPr>
            <w:tcW w:w="642" w:type="pct"/>
            <w:noWrap w:val="0"/>
            <w:vAlign w:val="center"/>
          </w:tcPr>
          <w:p>
            <w:pPr>
              <w:spacing w:line="500" w:lineRule="exact"/>
              <w:jc w:val="center"/>
              <w:rPr>
                <w:rFonts w:hint="eastAsia" w:ascii="宋体" w:hAnsi="宋体" w:eastAsia="宋体" w:cs="宋体"/>
                <w:color w:val="auto"/>
                <w:sz w:val="24"/>
                <w:highlight w:val="none"/>
              </w:rPr>
            </w:pPr>
          </w:p>
        </w:tc>
        <w:tc>
          <w:tcPr>
            <w:tcW w:w="642" w:type="pct"/>
            <w:noWrap w:val="0"/>
            <w:vAlign w:val="center"/>
          </w:tcPr>
          <w:p>
            <w:pPr>
              <w:spacing w:line="500" w:lineRule="exact"/>
              <w:jc w:val="center"/>
              <w:rPr>
                <w:rFonts w:hint="eastAsia" w:ascii="宋体" w:hAnsi="宋体" w:eastAsia="宋体" w:cs="宋体"/>
                <w:color w:val="auto"/>
                <w:sz w:val="24"/>
                <w:highlight w:val="none"/>
              </w:rPr>
            </w:pPr>
          </w:p>
        </w:tc>
        <w:tc>
          <w:tcPr>
            <w:tcW w:w="660" w:type="pct"/>
            <w:noWrap w:val="0"/>
            <w:vAlign w:val="center"/>
          </w:tcPr>
          <w:p>
            <w:pPr>
              <w:spacing w:line="500" w:lineRule="exact"/>
              <w:jc w:val="center"/>
              <w:rPr>
                <w:rFonts w:hint="eastAsia" w:ascii="宋体" w:hAnsi="宋体" w:eastAsia="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750" w:type="pct"/>
            <w:noWrap w:val="0"/>
            <w:vAlign w:val="center"/>
          </w:tcPr>
          <w:p>
            <w:pPr>
              <w:spacing w:line="500" w:lineRule="exact"/>
              <w:jc w:val="center"/>
              <w:rPr>
                <w:rFonts w:hint="eastAsia" w:ascii="宋体" w:hAnsi="宋体" w:eastAsia="宋体" w:cs="宋体"/>
                <w:color w:val="auto"/>
                <w:sz w:val="24"/>
                <w:highlight w:val="none"/>
              </w:rPr>
            </w:pPr>
          </w:p>
        </w:tc>
        <w:tc>
          <w:tcPr>
            <w:tcW w:w="1216" w:type="pct"/>
            <w:noWrap w:val="0"/>
            <w:vAlign w:val="center"/>
          </w:tcPr>
          <w:p>
            <w:pPr>
              <w:spacing w:line="500" w:lineRule="exact"/>
              <w:jc w:val="center"/>
              <w:rPr>
                <w:rFonts w:hint="eastAsia" w:ascii="宋体" w:hAnsi="宋体" w:eastAsia="宋体" w:cs="宋体"/>
                <w:color w:val="auto"/>
                <w:sz w:val="24"/>
                <w:highlight w:val="none"/>
              </w:rPr>
            </w:pPr>
          </w:p>
        </w:tc>
        <w:tc>
          <w:tcPr>
            <w:tcW w:w="494" w:type="pct"/>
            <w:noWrap w:val="0"/>
            <w:vAlign w:val="center"/>
          </w:tcPr>
          <w:p>
            <w:pPr>
              <w:spacing w:line="500" w:lineRule="exact"/>
              <w:jc w:val="center"/>
              <w:rPr>
                <w:rFonts w:hint="eastAsia" w:ascii="宋体" w:hAnsi="宋体" w:eastAsia="宋体" w:cs="宋体"/>
                <w:color w:val="auto"/>
                <w:sz w:val="24"/>
                <w:highlight w:val="none"/>
              </w:rPr>
            </w:pPr>
          </w:p>
        </w:tc>
        <w:tc>
          <w:tcPr>
            <w:tcW w:w="592" w:type="pct"/>
            <w:noWrap w:val="0"/>
            <w:vAlign w:val="center"/>
          </w:tcPr>
          <w:p>
            <w:pPr>
              <w:spacing w:line="500" w:lineRule="exact"/>
              <w:jc w:val="center"/>
              <w:rPr>
                <w:rFonts w:hint="eastAsia" w:ascii="宋体" w:hAnsi="宋体" w:eastAsia="宋体" w:cs="宋体"/>
                <w:color w:val="auto"/>
                <w:sz w:val="24"/>
                <w:highlight w:val="none"/>
              </w:rPr>
            </w:pPr>
          </w:p>
        </w:tc>
        <w:tc>
          <w:tcPr>
            <w:tcW w:w="642" w:type="pct"/>
            <w:noWrap w:val="0"/>
            <w:vAlign w:val="center"/>
          </w:tcPr>
          <w:p>
            <w:pPr>
              <w:spacing w:line="500" w:lineRule="exact"/>
              <w:jc w:val="center"/>
              <w:rPr>
                <w:rFonts w:hint="eastAsia" w:ascii="宋体" w:hAnsi="宋体" w:eastAsia="宋体" w:cs="宋体"/>
                <w:color w:val="auto"/>
                <w:sz w:val="24"/>
                <w:highlight w:val="none"/>
              </w:rPr>
            </w:pPr>
          </w:p>
        </w:tc>
        <w:tc>
          <w:tcPr>
            <w:tcW w:w="642" w:type="pct"/>
            <w:noWrap w:val="0"/>
            <w:vAlign w:val="center"/>
          </w:tcPr>
          <w:p>
            <w:pPr>
              <w:spacing w:line="500" w:lineRule="exact"/>
              <w:jc w:val="center"/>
              <w:rPr>
                <w:rFonts w:hint="eastAsia" w:ascii="宋体" w:hAnsi="宋体" w:eastAsia="宋体" w:cs="宋体"/>
                <w:color w:val="auto"/>
                <w:sz w:val="24"/>
                <w:highlight w:val="none"/>
              </w:rPr>
            </w:pPr>
          </w:p>
        </w:tc>
        <w:tc>
          <w:tcPr>
            <w:tcW w:w="660" w:type="pct"/>
            <w:noWrap w:val="0"/>
            <w:vAlign w:val="center"/>
          </w:tcPr>
          <w:p>
            <w:pPr>
              <w:spacing w:line="500" w:lineRule="exact"/>
              <w:jc w:val="center"/>
              <w:rPr>
                <w:rFonts w:hint="eastAsia" w:ascii="宋体" w:hAnsi="宋体" w:eastAsia="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750" w:type="pct"/>
            <w:noWrap w:val="0"/>
            <w:vAlign w:val="center"/>
          </w:tcPr>
          <w:p>
            <w:pPr>
              <w:spacing w:line="500" w:lineRule="exact"/>
              <w:jc w:val="center"/>
              <w:rPr>
                <w:rFonts w:hint="eastAsia" w:ascii="宋体" w:hAnsi="宋体" w:eastAsia="宋体" w:cs="宋体"/>
                <w:color w:val="auto"/>
                <w:sz w:val="24"/>
                <w:highlight w:val="none"/>
              </w:rPr>
            </w:pPr>
          </w:p>
        </w:tc>
        <w:tc>
          <w:tcPr>
            <w:tcW w:w="1216" w:type="pct"/>
            <w:noWrap w:val="0"/>
            <w:vAlign w:val="center"/>
          </w:tcPr>
          <w:p>
            <w:pPr>
              <w:spacing w:line="500" w:lineRule="exact"/>
              <w:jc w:val="center"/>
              <w:rPr>
                <w:rFonts w:hint="eastAsia" w:ascii="宋体" w:hAnsi="宋体" w:eastAsia="宋体" w:cs="宋体"/>
                <w:color w:val="auto"/>
                <w:sz w:val="24"/>
                <w:highlight w:val="none"/>
              </w:rPr>
            </w:pPr>
          </w:p>
        </w:tc>
        <w:tc>
          <w:tcPr>
            <w:tcW w:w="494" w:type="pct"/>
            <w:noWrap w:val="0"/>
            <w:vAlign w:val="center"/>
          </w:tcPr>
          <w:p>
            <w:pPr>
              <w:spacing w:line="500" w:lineRule="exact"/>
              <w:jc w:val="center"/>
              <w:rPr>
                <w:rFonts w:hint="eastAsia" w:ascii="宋体" w:hAnsi="宋体" w:eastAsia="宋体" w:cs="宋体"/>
                <w:color w:val="auto"/>
                <w:sz w:val="24"/>
                <w:highlight w:val="none"/>
              </w:rPr>
            </w:pPr>
          </w:p>
        </w:tc>
        <w:tc>
          <w:tcPr>
            <w:tcW w:w="592" w:type="pct"/>
            <w:noWrap w:val="0"/>
            <w:vAlign w:val="center"/>
          </w:tcPr>
          <w:p>
            <w:pPr>
              <w:spacing w:line="500" w:lineRule="exact"/>
              <w:jc w:val="center"/>
              <w:rPr>
                <w:rFonts w:hint="eastAsia" w:ascii="宋体" w:hAnsi="宋体" w:eastAsia="宋体" w:cs="宋体"/>
                <w:color w:val="auto"/>
                <w:sz w:val="24"/>
                <w:highlight w:val="none"/>
              </w:rPr>
            </w:pPr>
          </w:p>
        </w:tc>
        <w:tc>
          <w:tcPr>
            <w:tcW w:w="642" w:type="pct"/>
            <w:noWrap w:val="0"/>
            <w:vAlign w:val="center"/>
          </w:tcPr>
          <w:p>
            <w:pPr>
              <w:spacing w:line="500" w:lineRule="exact"/>
              <w:jc w:val="center"/>
              <w:rPr>
                <w:rFonts w:hint="eastAsia" w:ascii="宋体" w:hAnsi="宋体" w:eastAsia="宋体" w:cs="宋体"/>
                <w:color w:val="auto"/>
                <w:sz w:val="24"/>
                <w:highlight w:val="none"/>
              </w:rPr>
            </w:pPr>
          </w:p>
        </w:tc>
        <w:tc>
          <w:tcPr>
            <w:tcW w:w="642" w:type="pct"/>
            <w:noWrap w:val="0"/>
            <w:vAlign w:val="center"/>
          </w:tcPr>
          <w:p>
            <w:pPr>
              <w:spacing w:line="500" w:lineRule="exact"/>
              <w:jc w:val="center"/>
              <w:rPr>
                <w:rFonts w:hint="eastAsia" w:ascii="宋体" w:hAnsi="宋体" w:eastAsia="宋体" w:cs="宋体"/>
                <w:color w:val="auto"/>
                <w:sz w:val="24"/>
                <w:highlight w:val="none"/>
              </w:rPr>
            </w:pPr>
          </w:p>
        </w:tc>
        <w:tc>
          <w:tcPr>
            <w:tcW w:w="660" w:type="pct"/>
            <w:noWrap w:val="0"/>
            <w:vAlign w:val="center"/>
          </w:tcPr>
          <w:p>
            <w:pPr>
              <w:spacing w:line="500" w:lineRule="exact"/>
              <w:jc w:val="center"/>
              <w:rPr>
                <w:rFonts w:hint="eastAsia" w:ascii="宋体" w:hAnsi="宋体" w:eastAsia="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750" w:type="pct"/>
            <w:noWrap w:val="0"/>
            <w:vAlign w:val="center"/>
          </w:tcPr>
          <w:p>
            <w:pPr>
              <w:spacing w:line="500" w:lineRule="exact"/>
              <w:jc w:val="center"/>
              <w:rPr>
                <w:rFonts w:hint="eastAsia" w:ascii="宋体" w:hAnsi="宋体" w:eastAsia="宋体" w:cs="宋体"/>
                <w:color w:val="auto"/>
                <w:sz w:val="24"/>
                <w:highlight w:val="none"/>
              </w:rPr>
            </w:pPr>
          </w:p>
        </w:tc>
        <w:tc>
          <w:tcPr>
            <w:tcW w:w="1216" w:type="pct"/>
            <w:noWrap w:val="0"/>
            <w:vAlign w:val="center"/>
          </w:tcPr>
          <w:p>
            <w:pPr>
              <w:spacing w:line="500" w:lineRule="exact"/>
              <w:jc w:val="center"/>
              <w:rPr>
                <w:rFonts w:hint="eastAsia" w:ascii="宋体" w:hAnsi="宋体" w:eastAsia="宋体" w:cs="宋体"/>
                <w:color w:val="auto"/>
                <w:sz w:val="24"/>
                <w:highlight w:val="none"/>
              </w:rPr>
            </w:pPr>
          </w:p>
        </w:tc>
        <w:tc>
          <w:tcPr>
            <w:tcW w:w="494" w:type="pct"/>
            <w:noWrap w:val="0"/>
            <w:vAlign w:val="center"/>
          </w:tcPr>
          <w:p>
            <w:pPr>
              <w:spacing w:line="500" w:lineRule="exact"/>
              <w:jc w:val="center"/>
              <w:rPr>
                <w:rFonts w:hint="eastAsia" w:ascii="宋体" w:hAnsi="宋体" w:eastAsia="宋体" w:cs="宋体"/>
                <w:color w:val="auto"/>
                <w:sz w:val="24"/>
                <w:highlight w:val="none"/>
              </w:rPr>
            </w:pPr>
          </w:p>
        </w:tc>
        <w:tc>
          <w:tcPr>
            <w:tcW w:w="592" w:type="pct"/>
            <w:noWrap w:val="0"/>
            <w:vAlign w:val="center"/>
          </w:tcPr>
          <w:p>
            <w:pPr>
              <w:spacing w:line="500" w:lineRule="exact"/>
              <w:jc w:val="center"/>
              <w:rPr>
                <w:rFonts w:hint="eastAsia" w:ascii="宋体" w:hAnsi="宋体" w:eastAsia="宋体" w:cs="宋体"/>
                <w:color w:val="auto"/>
                <w:sz w:val="24"/>
                <w:highlight w:val="none"/>
              </w:rPr>
            </w:pPr>
          </w:p>
        </w:tc>
        <w:tc>
          <w:tcPr>
            <w:tcW w:w="642" w:type="pct"/>
            <w:noWrap w:val="0"/>
            <w:vAlign w:val="center"/>
          </w:tcPr>
          <w:p>
            <w:pPr>
              <w:spacing w:line="500" w:lineRule="exact"/>
              <w:jc w:val="center"/>
              <w:rPr>
                <w:rFonts w:hint="eastAsia" w:ascii="宋体" w:hAnsi="宋体" w:eastAsia="宋体" w:cs="宋体"/>
                <w:color w:val="auto"/>
                <w:sz w:val="24"/>
                <w:highlight w:val="none"/>
              </w:rPr>
            </w:pPr>
          </w:p>
        </w:tc>
        <w:tc>
          <w:tcPr>
            <w:tcW w:w="642" w:type="pct"/>
            <w:noWrap w:val="0"/>
            <w:vAlign w:val="center"/>
          </w:tcPr>
          <w:p>
            <w:pPr>
              <w:spacing w:line="500" w:lineRule="exact"/>
              <w:jc w:val="center"/>
              <w:rPr>
                <w:rFonts w:hint="eastAsia" w:ascii="宋体" w:hAnsi="宋体" w:eastAsia="宋体" w:cs="宋体"/>
                <w:color w:val="auto"/>
                <w:sz w:val="24"/>
                <w:highlight w:val="none"/>
              </w:rPr>
            </w:pPr>
          </w:p>
        </w:tc>
        <w:tc>
          <w:tcPr>
            <w:tcW w:w="660" w:type="pct"/>
            <w:noWrap w:val="0"/>
            <w:vAlign w:val="center"/>
          </w:tcPr>
          <w:p>
            <w:pPr>
              <w:spacing w:line="500" w:lineRule="exact"/>
              <w:jc w:val="center"/>
              <w:rPr>
                <w:rFonts w:hint="eastAsia" w:ascii="宋体" w:hAnsi="宋体" w:eastAsia="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750" w:type="pct"/>
            <w:noWrap w:val="0"/>
            <w:vAlign w:val="center"/>
          </w:tcPr>
          <w:p>
            <w:pPr>
              <w:spacing w:line="500" w:lineRule="exact"/>
              <w:jc w:val="center"/>
              <w:rPr>
                <w:rFonts w:hint="eastAsia" w:ascii="宋体" w:hAnsi="宋体" w:eastAsia="宋体" w:cs="宋体"/>
                <w:color w:val="auto"/>
                <w:sz w:val="24"/>
                <w:highlight w:val="none"/>
              </w:rPr>
            </w:pPr>
          </w:p>
        </w:tc>
        <w:tc>
          <w:tcPr>
            <w:tcW w:w="1216" w:type="pct"/>
            <w:noWrap w:val="0"/>
            <w:vAlign w:val="center"/>
          </w:tcPr>
          <w:p>
            <w:pPr>
              <w:spacing w:line="500" w:lineRule="exact"/>
              <w:jc w:val="center"/>
              <w:rPr>
                <w:rFonts w:hint="eastAsia" w:ascii="宋体" w:hAnsi="宋体" w:eastAsia="宋体" w:cs="宋体"/>
                <w:color w:val="auto"/>
                <w:sz w:val="24"/>
                <w:highlight w:val="none"/>
              </w:rPr>
            </w:pPr>
          </w:p>
        </w:tc>
        <w:tc>
          <w:tcPr>
            <w:tcW w:w="494" w:type="pct"/>
            <w:noWrap w:val="0"/>
            <w:vAlign w:val="center"/>
          </w:tcPr>
          <w:p>
            <w:pPr>
              <w:spacing w:line="500" w:lineRule="exact"/>
              <w:jc w:val="center"/>
              <w:rPr>
                <w:rFonts w:hint="eastAsia" w:ascii="宋体" w:hAnsi="宋体" w:eastAsia="宋体" w:cs="宋体"/>
                <w:color w:val="auto"/>
                <w:sz w:val="24"/>
                <w:highlight w:val="none"/>
              </w:rPr>
            </w:pPr>
          </w:p>
        </w:tc>
        <w:tc>
          <w:tcPr>
            <w:tcW w:w="592" w:type="pct"/>
            <w:noWrap w:val="0"/>
            <w:vAlign w:val="center"/>
          </w:tcPr>
          <w:p>
            <w:pPr>
              <w:spacing w:line="500" w:lineRule="exact"/>
              <w:jc w:val="center"/>
              <w:rPr>
                <w:rFonts w:hint="eastAsia" w:ascii="宋体" w:hAnsi="宋体" w:eastAsia="宋体" w:cs="宋体"/>
                <w:color w:val="auto"/>
                <w:sz w:val="24"/>
                <w:highlight w:val="none"/>
              </w:rPr>
            </w:pPr>
          </w:p>
        </w:tc>
        <w:tc>
          <w:tcPr>
            <w:tcW w:w="642" w:type="pct"/>
            <w:noWrap w:val="0"/>
            <w:vAlign w:val="center"/>
          </w:tcPr>
          <w:p>
            <w:pPr>
              <w:spacing w:line="500" w:lineRule="exact"/>
              <w:jc w:val="center"/>
              <w:rPr>
                <w:rFonts w:hint="eastAsia" w:ascii="宋体" w:hAnsi="宋体" w:eastAsia="宋体" w:cs="宋体"/>
                <w:color w:val="auto"/>
                <w:sz w:val="24"/>
                <w:highlight w:val="none"/>
              </w:rPr>
            </w:pPr>
          </w:p>
        </w:tc>
        <w:tc>
          <w:tcPr>
            <w:tcW w:w="642" w:type="pct"/>
            <w:noWrap w:val="0"/>
            <w:vAlign w:val="center"/>
          </w:tcPr>
          <w:p>
            <w:pPr>
              <w:spacing w:line="500" w:lineRule="exact"/>
              <w:jc w:val="center"/>
              <w:rPr>
                <w:rFonts w:hint="eastAsia" w:ascii="宋体" w:hAnsi="宋体" w:eastAsia="宋体" w:cs="宋体"/>
                <w:color w:val="auto"/>
                <w:sz w:val="24"/>
                <w:highlight w:val="none"/>
              </w:rPr>
            </w:pPr>
          </w:p>
        </w:tc>
        <w:tc>
          <w:tcPr>
            <w:tcW w:w="660" w:type="pct"/>
            <w:noWrap w:val="0"/>
            <w:vAlign w:val="center"/>
          </w:tcPr>
          <w:p>
            <w:pPr>
              <w:spacing w:line="500" w:lineRule="exact"/>
              <w:jc w:val="center"/>
              <w:rPr>
                <w:rFonts w:hint="eastAsia" w:ascii="宋体" w:hAnsi="宋体" w:eastAsia="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750" w:type="pct"/>
            <w:noWrap w:val="0"/>
            <w:vAlign w:val="center"/>
          </w:tcPr>
          <w:p>
            <w:pPr>
              <w:spacing w:line="500" w:lineRule="exact"/>
              <w:jc w:val="center"/>
              <w:rPr>
                <w:rFonts w:hint="eastAsia" w:ascii="宋体" w:hAnsi="宋体" w:eastAsia="宋体" w:cs="宋体"/>
                <w:color w:val="auto"/>
                <w:sz w:val="24"/>
                <w:highlight w:val="none"/>
              </w:rPr>
            </w:pPr>
          </w:p>
        </w:tc>
        <w:tc>
          <w:tcPr>
            <w:tcW w:w="1216" w:type="pct"/>
            <w:noWrap w:val="0"/>
            <w:vAlign w:val="center"/>
          </w:tcPr>
          <w:p>
            <w:pPr>
              <w:spacing w:line="500" w:lineRule="exact"/>
              <w:jc w:val="center"/>
              <w:rPr>
                <w:rFonts w:hint="eastAsia" w:ascii="宋体" w:hAnsi="宋体" w:eastAsia="宋体" w:cs="宋体"/>
                <w:color w:val="auto"/>
                <w:sz w:val="24"/>
                <w:highlight w:val="none"/>
              </w:rPr>
            </w:pPr>
          </w:p>
        </w:tc>
        <w:tc>
          <w:tcPr>
            <w:tcW w:w="494" w:type="pct"/>
            <w:noWrap w:val="0"/>
            <w:vAlign w:val="center"/>
          </w:tcPr>
          <w:p>
            <w:pPr>
              <w:spacing w:line="500" w:lineRule="exact"/>
              <w:jc w:val="center"/>
              <w:rPr>
                <w:rFonts w:hint="eastAsia" w:ascii="宋体" w:hAnsi="宋体" w:eastAsia="宋体" w:cs="宋体"/>
                <w:color w:val="auto"/>
                <w:sz w:val="24"/>
                <w:highlight w:val="none"/>
              </w:rPr>
            </w:pPr>
          </w:p>
        </w:tc>
        <w:tc>
          <w:tcPr>
            <w:tcW w:w="592" w:type="pct"/>
            <w:noWrap w:val="0"/>
            <w:vAlign w:val="center"/>
          </w:tcPr>
          <w:p>
            <w:pPr>
              <w:spacing w:line="500" w:lineRule="exact"/>
              <w:jc w:val="center"/>
              <w:rPr>
                <w:rFonts w:hint="eastAsia" w:ascii="宋体" w:hAnsi="宋体" w:eastAsia="宋体" w:cs="宋体"/>
                <w:color w:val="auto"/>
                <w:sz w:val="24"/>
                <w:highlight w:val="none"/>
              </w:rPr>
            </w:pPr>
          </w:p>
        </w:tc>
        <w:tc>
          <w:tcPr>
            <w:tcW w:w="642" w:type="pct"/>
            <w:noWrap w:val="0"/>
            <w:vAlign w:val="center"/>
          </w:tcPr>
          <w:p>
            <w:pPr>
              <w:spacing w:line="500" w:lineRule="exact"/>
              <w:jc w:val="center"/>
              <w:rPr>
                <w:rFonts w:hint="eastAsia" w:ascii="宋体" w:hAnsi="宋体" w:eastAsia="宋体" w:cs="宋体"/>
                <w:color w:val="auto"/>
                <w:sz w:val="24"/>
                <w:highlight w:val="none"/>
              </w:rPr>
            </w:pPr>
          </w:p>
        </w:tc>
        <w:tc>
          <w:tcPr>
            <w:tcW w:w="642" w:type="pct"/>
            <w:noWrap w:val="0"/>
            <w:vAlign w:val="center"/>
          </w:tcPr>
          <w:p>
            <w:pPr>
              <w:spacing w:line="500" w:lineRule="exact"/>
              <w:jc w:val="center"/>
              <w:rPr>
                <w:rFonts w:hint="eastAsia" w:ascii="宋体" w:hAnsi="宋体" w:eastAsia="宋体" w:cs="宋体"/>
                <w:color w:val="auto"/>
                <w:sz w:val="24"/>
                <w:highlight w:val="none"/>
              </w:rPr>
            </w:pPr>
          </w:p>
        </w:tc>
        <w:tc>
          <w:tcPr>
            <w:tcW w:w="660" w:type="pct"/>
            <w:noWrap w:val="0"/>
            <w:vAlign w:val="center"/>
          </w:tcPr>
          <w:p>
            <w:pPr>
              <w:spacing w:line="500" w:lineRule="exact"/>
              <w:jc w:val="center"/>
              <w:rPr>
                <w:rFonts w:hint="eastAsia" w:ascii="宋体" w:hAnsi="宋体" w:eastAsia="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750" w:type="pct"/>
            <w:noWrap w:val="0"/>
            <w:vAlign w:val="center"/>
          </w:tcPr>
          <w:p>
            <w:pPr>
              <w:spacing w:line="500" w:lineRule="exact"/>
              <w:jc w:val="center"/>
              <w:rPr>
                <w:rFonts w:hint="eastAsia" w:ascii="宋体" w:hAnsi="宋体" w:eastAsia="宋体" w:cs="宋体"/>
                <w:color w:val="auto"/>
                <w:sz w:val="24"/>
                <w:highlight w:val="none"/>
              </w:rPr>
            </w:pPr>
          </w:p>
        </w:tc>
        <w:tc>
          <w:tcPr>
            <w:tcW w:w="1216" w:type="pct"/>
            <w:noWrap w:val="0"/>
            <w:vAlign w:val="center"/>
          </w:tcPr>
          <w:p>
            <w:pPr>
              <w:spacing w:line="500" w:lineRule="exact"/>
              <w:jc w:val="center"/>
              <w:rPr>
                <w:rFonts w:hint="eastAsia" w:ascii="宋体" w:hAnsi="宋体" w:eastAsia="宋体" w:cs="宋体"/>
                <w:color w:val="auto"/>
                <w:sz w:val="24"/>
                <w:highlight w:val="none"/>
              </w:rPr>
            </w:pPr>
          </w:p>
        </w:tc>
        <w:tc>
          <w:tcPr>
            <w:tcW w:w="494" w:type="pct"/>
            <w:noWrap w:val="0"/>
            <w:vAlign w:val="center"/>
          </w:tcPr>
          <w:p>
            <w:pPr>
              <w:spacing w:line="500" w:lineRule="exact"/>
              <w:jc w:val="center"/>
              <w:rPr>
                <w:rFonts w:hint="eastAsia" w:ascii="宋体" w:hAnsi="宋体" w:eastAsia="宋体" w:cs="宋体"/>
                <w:color w:val="auto"/>
                <w:sz w:val="24"/>
                <w:highlight w:val="none"/>
              </w:rPr>
            </w:pPr>
          </w:p>
        </w:tc>
        <w:tc>
          <w:tcPr>
            <w:tcW w:w="592" w:type="pct"/>
            <w:noWrap w:val="0"/>
            <w:vAlign w:val="center"/>
          </w:tcPr>
          <w:p>
            <w:pPr>
              <w:spacing w:line="500" w:lineRule="exact"/>
              <w:jc w:val="center"/>
              <w:rPr>
                <w:rFonts w:hint="eastAsia" w:ascii="宋体" w:hAnsi="宋体" w:eastAsia="宋体" w:cs="宋体"/>
                <w:color w:val="auto"/>
                <w:sz w:val="24"/>
                <w:highlight w:val="none"/>
              </w:rPr>
            </w:pPr>
          </w:p>
        </w:tc>
        <w:tc>
          <w:tcPr>
            <w:tcW w:w="642" w:type="pct"/>
            <w:noWrap w:val="0"/>
            <w:vAlign w:val="center"/>
          </w:tcPr>
          <w:p>
            <w:pPr>
              <w:spacing w:line="500" w:lineRule="exact"/>
              <w:jc w:val="center"/>
              <w:rPr>
                <w:rFonts w:hint="eastAsia" w:ascii="宋体" w:hAnsi="宋体" w:eastAsia="宋体" w:cs="宋体"/>
                <w:color w:val="auto"/>
                <w:sz w:val="24"/>
                <w:highlight w:val="none"/>
              </w:rPr>
            </w:pPr>
          </w:p>
        </w:tc>
        <w:tc>
          <w:tcPr>
            <w:tcW w:w="642" w:type="pct"/>
            <w:noWrap w:val="0"/>
            <w:vAlign w:val="center"/>
          </w:tcPr>
          <w:p>
            <w:pPr>
              <w:spacing w:line="500" w:lineRule="exact"/>
              <w:jc w:val="center"/>
              <w:rPr>
                <w:rFonts w:hint="eastAsia" w:ascii="宋体" w:hAnsi="宋体" w:eastAsia="宋体" w:cs="宋体"/>
                <w:color w:val="auto"/>
                <w:sz w:val="24"/>
                <w:highlight w:val="none"/>
              </w:rPr>
            </w:pPr>
          </w:p>
        </w:tc>
        <w:tc>
          <w:tcPr>
            <w:tcW w:w="660" w:type="pct"/>
            <w:noWrap w:val="0"/>
            <w:vAlign w:val="center"/>
          </w:tcPr>
          <w:p>
            <w:pPr>
              <w:spacing w:line="500" w:lineRule="exact"/>
              <w:jc w:val="center"/>
              <w:rPr>
                <w:rFonts w:hint="eastAsia" w:ascii="宋体" w:hAnsi="宋体" w:eastAsia="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750" w:type="pct"/>
            <w:noWrap w:val="0"/>
            <w:vAlign w:val="center"/>
          </w:tcPr>
          <w:p>
            <w:pPr>
              <w:spacing w:line="500" w:lineRule="exact"/>
              <w:jc w:val="center"/>
              <w:rPr>
                <w:rFonts w:hint="eastAsia" w:ascii="宋体" w:hAnsi="宋体" w:eastAsia="宋体" w:cs="宋体"/>
                <w:color w:val="auto"/>
                <w:sz w:val="24"/>
                <w:highlight w:val="none"/>
              </w:rPr>
            </w:pPr>
          </w:p>
        </w:tc>
        <w:tc>
          <w:tcPr>
            <w:tcW w:w="1216" w:type="pct"/>
            <w:noWrap w:val="0"/>
            <w:vAlign w:val="center"/>
          </w:tcPr>
          <w:p>
            <w:pPr>
              <w:spacing w:line="500" w:lineRule="exact"/>
              <w:jc w:val="center"/>
              <w:rPr>
                <w:rFonts w:hint="eastAsia" w:ascii="宋体" w:hAnsi="宋体" w:eastAsia="宋体" w:cs="宋体"/>
                <w:color w:val="auto"/>
                <w:sz w:val="24"/>
                <w:highlight w:val="none"/>
              </w:rPr>
            </w:pPr>
          </w:p>
        </w:tc>
        <w:tc>
          <w:tcPr>
            <w:tcW w:w="494" w:type="pct"/>
            <w:noWrap w:val="0"/>
            <w:vAlign w:val="center"/>
          </w:tcPr>
          <w:p>
            <w:pPr>
              <w:spacing w:line="500" w:lineRule="exact"/>
              <w:jc w:val="center"/>
              <w:rPr>
                <w:rFonts w:hint="eastAsia" w:ascii="宋体" w:hAnsi="宋体" w:eastAsia="宋体" w:cs="宋体"/>
                <w:color w:val="auto"/>
                <w:sz w:val="24"/>
                <w:highlight w:val="none"/>
              </w:rPr>
            </w:pPr>
          </w:p>
        </w:tc>
        <w:tc>
          <w:tcPr>
            <w:tcW w:w="592" w:type="pct"/>
            <w:noWrap w:val="0"/>
            <w:vAlign w:val="center"/>
          </w:tcPr>
          <w:p>
            <w:pPr>
              <w:spacing w:line="500" w:lineRule="exact"/>
              <w:jc w:val="center"/>
              <w:rPr>
                <w:rFonts w:hint="eastAsia" w:ascii="宋体" w:hAnsi="宋体" w:eastAsia="宋体" w:cs="宋体"/>
                <w:color w:val="auto"/>
                <w:sz w:val="24"/>
                <w:highlight w:val="none"/>
              </w:rPr>
            </w:pPr>
          </w:p>
        </w:tc>
        <w:tc>
          <w:tcPr>
            <w:tcW w:w="642" w:type="pct"/>
            <w:noWrap w:val="0"/>
            <w:vAlign w:val="center"/>
          </w:tcPr>
          <w:p>
            <w:pPr>
              <w:spacing w:line="500" w:lineRule="exact"/>
              <w:jc w:val="center"/>
              <w:rPr>
                <w:rFonts w:hint="eastAsia" w:ascii="宋体" w:hAnsi="宋体" w:eastAsia="宋体" w:cs="宋体"/>
                <w:color w:val="auto"/>
                <w:sz w:val="24"/>
                <w:highlight w:val="none"/>
              </w:rPr>
            </w:pPr>
          </w:p>
        </w:tc>
        <w:tc>
          <w:tcPr>
            <w:tcW w:w="642" w:type="pct"/>
            <w:noWrap w:val="0"/>
            <w:vAlign w:val="center"/>
          </w:tcPr>
          <w:p>
            <w:pPr>
              <w:spacing w:line="500" w:lineRule="exact"/>
              <w:jc w:val="center"/>
              <w:rPr>
                <w:rFonts w:hint="eastAsia" w:ascii="宋体" w:hAnsi="宋体" w:eastAsia="宋体" w:cs="宋体"/>
                <w:color w:val="auto"/>
                <w:sz w:val="24"/>
                <w:highlight w:val="none"/>
              </w:rPr>
            </w:pPr>
          </w:p>
        </w:tc>
        <w:tc>
          <w:tcPr>
            <w:tcW w:w="660" w:type="pct"/>
            <w:noWrap w:val="0"/>
            <w:vAlign w:val="center"/>
          </w:tcPr>
          <w:p>
            <w:pPr>
              <w:spacing w:line="500" w:lineRule="exact"/>
              <w:jc w:val="center"/>
              <w:rPr>
                <w:rFonts w:hint="eastAsia" w:ascii="宋体" w:hAnsi="宋体" w:eastAsia="宋体" w:cs="宋体"/>
                <w:color w:val="auto"/>
                <w:sz w:val="24"/>
                <w:highlight w:val="none"/>
              </w:rPr>
            </w:pPr>
          </w:p>
        </w:tc>
      </w:tr>
    </w:tbl>
    <w:p>
      <w:pPr>
        <w:rPr>
          <w:rFonts w:hint="eastAsia" w:ascii="宋体" w:hAnsi="宋体" w:eastAsia="宋体" w:cs="宋体"/>
          <w:color w:val="auto"/>
          <w:sz w:val="24"/>
          <w:highlight w:val="none"/>
        </w:rPr>
      </w:pPr>
      <w:r>
        <w:rPr>
          <w:rFonts w:hint="eastAsia" w:ascii="宋体" w:hAnsi="宋体" w:eastAsia="宋体" w:cs="宋体"/>
          <w:color w:val="auto"/>
          <w:sz w:val="24"/>
          <w:highlight w:val="none"/>
        </w:rPr>
        <w:t>注：1、本表中所列价格不计入投标总价，仅供采购人选购时参考。</w:t>
      </w:r>
    </w:p>
    <w:p>
      <w:pPr>
        <w:ind w:left="816" w:leftChars="228" w:hanging="360" w:hanging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2、单价为现场交货价。</w:t>
      </w:r>
    </w:p>
    <w:p>
      <w:pPr>
        <w:ind w:left="816" w:leftChars="228" w:hanging="360" w:hangingChars="150"/>
        <w:rPr>
          <w:rFonts w:hint="eastAsia" w:ascii="宋体" w:hAnsi="宋体" w:eastAsia="宋体" w:cs="宋体"/>
          <w:color w:val="auto"/>
          <w:sz w:val="24"/>
          <w:highlight w:val="none"/>
        </w:rPr>
      </w:pPr>
    </w:p>
    <w:p>
      <w:pPr>
        <w:spacing w:line="440" w:lineRule="exact"/>
        <w:ind w:left="300" w:leftChars="150" w:firstLine="2848" w:firstLineChars="1187"/>
        <w:rPr>
          <w:rFonts w:hint="eastAsia" w:ascii="宋体" w:hAnsi="宋体" w:eastAsia="宋体" w:cs="宋体"/>
          <w:color w:val="auto"/>
          <w:sz w:val="24"/>
          <w:highlight w:val="none"/>
        </w:rPr>
      </w:pPr>
    </w:p>
    <w:p>
      <w:pPr>
        <w:adjustRightInd w:val="0"/>
        <w:snapToGrid w:val="0"/>
        <w:spacing w:line="440" w:lineRule="exact"/>
        <w:ind w:left="300" w:leftChars="150" w:firstLine="3568" w:firstLineChars="1487"/>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投标人名称（公章）：</w:t>
      </w:r>
    </w:p>
    <w:p>
      <w:pPr>
        <w:adjustRightInd w:val="0"/>
        <w:snapToGrid w:val="0"/>
        <w:spacing w:line="440" w:lineRule="exact"/>
        <w:ind w:left="300" w:leftChars="150" w:firstLine="3568" w:firstLineChars="1487"/>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法定代表人或授权委托人(签字)：</w:t>
      </w:r>
    </w:p>
    <w:p>
      <w:pPr>
        <w:adjustRightInd w:val="0"/>
        <w:snapToGrid w:val="0"/>
        <w:spacing w:line="440" w:lineRule="exact"/>
        <w:ind w:left="300" w:leftChars="150" w:firstLine="3568" w:firstLineChars="1487"/>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日期：20</w:t>
      </w:r>
      <w:r>
        <w:rPr>
          <w:rFonts w:hint="eastAsia" w:ascii="宋体" w:hAnsi="宋体" w:eastAsia="宋体" w:cs="宋体"/>
          <w:color w:val="auto"/>
          <w:kern w:val="0"/>
          <w:sz w:val="24"/>
          <w:highlight w:val="none"/>
          <w:lang w:val="en-US" w:eastAsia="zh-CN"/>
        </w:rPr>
        <w:t>21</w:t>
      </w:r>
      <w:r>
        <w:rPr>
          <w:rFonts w:hint="eastAsia" w:ascii="宋体" w:hAnsi="宋体" w:eastAsia="宋体" w:cs="宋体"/>
          <w:color w:val="auto"/>
          <w:kern w:val="0"/>
          <w:sz w:val="24"/>
          <w:highlight w:val="none"/>
          <w:lang w:val="zh-CN"/>
        </w:rPr>
        <w:t>年  月   日</w:t>
      </w:r>
    </w:p>
    <w:p>
      <w:pPr>
        <w:bidi w:val="0"/>
        <w:rPr>
          <w:rFonts w:hint="eastAsia" w:ascii="宋体" w:hAnsi="宋体" w:eastAsia="宋体" w:cs="宋体"/>
          <w:color w:val="auto"/>
          <w:highlight w:val="none"/>
          <w:lang w:eastAsia="zh-CN"/>
        </w:rPr>
      </w:pPr>
    </w:p>
    <w:p>
      <w:pPr>
        <w:bidi w:val="0"/>
        <w:rPr>
          <w:rFonts w:hint="eastAsia" w:ascii="宋体" w:hAnsi="宋体" w:eastAsia="宋体" w:cs="宋体"/>
          <w:color w:val="auto"/>
          <w:highlight w:val="none"/>
          <w:lang w:eastAsia="zh-CN"/>
        </w:rPr>
      </w:pPr>
    </w:p>
    <w:p>
      <w:pPr>
        <w:bidi w:val="0"/>
        <w:rPr>
          <w:rFonts w:hint="eastAsia" w:ascii="宋体" w:hAnsi="宋体" w:eastAsia="宋体" w:cs="宋体"/>
          <w:color w:val="auto"/>
          <w:highlight w:val="none"/>
          <w:lang w:eastAsia="zh-CN"/>
        </w:rPr>
      </w:pPr>
    </w:p>
    <w:p>
      <w:pPr>
        <w:bidi w:val="0"/>
        <w:rPr>
          <w:rFonts w:hint="eastAsia" w:ascii="宋体" w:hAnsi="宋体" w:eastAsia="宋体" w:cs="宋体"/>
          <w:color w:val="auto"/>
          <w:highlight w:val="none"/>
          <w:lang w:eastAsia="zh-CN"/>
        </w:rPr>
      </w:pPr>
    </w:p>
    <w:p>
      <w:pPr>
        <w:pStyle w:val="4"/>
        <w:numPr>
          <w:ilvl w:val="0"/>
          <w:numId w:val="0"/>
        </w:numPr>
        <w:bidi w:val="0"/>
        <w:spacing w:line="360" w:lineRule="auto"/>
        <w:outlineLvl w:val="1"/>
        <w:rPr>
          <w:rFonts w:hint="eastAsia" w:ascii="宋体" w:hAnsi="宋体" w:eastAsia="宋体" w:cs="宋体"/>
          <w:color w:val="auto"/>
          <w:highlight w:val="none"/>
        </w:rPr>
      </w:pPr>
      <w:bookmarkStart w:id="523" w:name="_Toc28334"/>
      <w:r>
        <w:rPr>
          <w:rFonts w:hint="eastAsia" w:ascii="宋体" w:hAnsi="宋体" w:eastAsia="宋体" w:cs="宋体"/>
          <w:color w:val="auto"/>
          <w:highlight w:val="none"/>
          <w:lang w:eastAsia="zh-CN"/>
        </w:rPr>
        <w:t>附件八：</w:t>
      </w:r>
      <w:bookmarkEnd w:id="521"/>
      <w:bookmarkEnd w:id="523"/>
    </w:p>
    <w:p>
      <w:pPr>
        <w:spacing w:line="360" w:lineRule="auto"/>
        <w:ind w:firstLine="602" w:firstLineChars="200"/>
        <w:jc w:val="center"/>
        <w:rPr>
          <w:rFonts w:hint="eastAsia" w:ascii="宋体" w:hAnsi="宋体" w:eastAsia="宋体" w:cs="宋体"/>
          <w:b/>
          <w:bCs/>
          <w:color w:val="auto"/>
          <w:sz w:val="30"/>
          <w:szCs w:val="30"/>
          <w:highlight w:val="none"/>
          <w:lang w:eastAsia="zh-CN"/>
        </w:rPr>
      </w:pPr>
      <w:r>
        <w:rPr>
          <w:rFonts w:hint="eastAsia" w:ascii="宋体" w:hAnsi="宋体" w:eastAsia="宋体" w:cs="宋体"/>
          <w:b/>
          <w:bCs/>
          <w:color w:val="auto"/>
          <w:sz w:val="30"/>
          <w:szCs w:val="30"/>
          <w:highlight w:val="none"/>
          <w:lang w:eastAsia="zh-CN"/>
        </w:rPr>
        <w:t>技术响应及建议表</w:t>
      </w:r>
    </w:p>
    <w:p>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项目名称：</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采购编号</w:t>
      </w:r>
      <w:r>
        <w:rPr>
          <w:rFonts w:hint="eastAsia" w:ascii="宋体" w:hAnsi="宋体" w:eastAsia="宋体" w:cs="宋体"/>
          <w:color w:val="auto"/>
          <w:sz w:val="24"/>
          <w:highlight w:val="none"/>
        </w:rPr>
        <w:t>：</w:t>
      </w:r>
    </w:p>
    <w:tbl>
      <w:tblPr>
        <w:tblStyle w:val="3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440"/>
        <w:gridCol w:w="1980"/>
        <w:gridCol w:w="2520"/>
        <w:gridCol w:w="19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noWrap w:val="0"/>
            <w:vAlign w:val="center"/>
          </w:tcPr>
          <w:p>
            <w:pPr>
              <w:snapToGrid w:val="0"/>
              <w:spacing w:before="50" w:after="50"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序号</w:t>
            </w:r>
          </w:p>
        </w:tc>
        <w:tc>
          <w:tcPr>
            <w:tcW w:w="1440" w:type="dxa"/>
            <w:noWrap w:val="0"/>
            <w:vAlign w:val="center"/>
          </w:tcPr>
          <w:p>
            <w:pPr>
              <w:snapToGrid w:val="0"/>
              <w:spacing w:before="50" w:after="50"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货物名称</w:t>
            </w:r>
          </w:p>
        </w:tc>
        <w:tc>
          <w:tcPr>
            <w:tcW w:w="1980" w:type="dxa"/>
            <w:noWrap w:val="0"/>
            <w:vAlign w:val="center"/>
          </w:tcPr>
          <w:p>
            <w:pPr>
              <w:snapToGrid w:val="0"/>
              <w:spacing w:before="50" w:after="50"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招标文件要求</w:t>
            </w:r>
          </w:p>
        </w:tc>
        <w:tc>
          <w:tcPr>
            <w:tcW w:w="2520" w:type="dxa"/>
            <w:noWrap w:val="0"/>
            <w:vAlign w:val="center"/>
          </w:tcPr>
          <w:p>
            <w:pPr>
              <w:snapToGrid w:val="0"/>
              <w:spacing w:before="50" w:after="50"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投标文件响应</w:t>
            </w:r>
          </w:p>
        </w:tc>
        <w:tc>
          <w:tcPr>
            <w:tcW w:w="1953" w:type="dxa"/>
            <w:noWrap w:val="0"/>
            <w:vAlign w:val="center"/>
          </w:tcPr>
          <w:p>
            <w:pPr>
              <w:snapToGrid w:val="0"/>
              <w:spacing w:before="50" w:after="50"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偏离情况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noWrap w:val="0"/>
            <w:vAlign w:val="center"/>
          </w:tcPr>
          <w:p>
            <w:pPr>
              <w:snapToGrid w:val="0"/>
              <w:spacing w:before="50" w:after="50" w:line="360" w:lineRule="auto"/>
              <w:jc w:val="center"/>
              <w:rPr>
                <w:rFonts w:hint="eastAsia" w:ascii="宋体" w:hAnsi="宋体" w:eastAsia="宋体" w:cs="宋体"/>
                <w:color w:val="auto"/>
                <w:sz w:val="24"/>
                <w:highlight w:val="none"/>
              </w:rPr>
            </w:pPr>
          </w:p>
        </w:tc>
        <w:tc>
          <w:tcPr>
            <w:tcW w:w="1440" w:type="dxa"/>
            <w:noWrap w:val="0"/>
            <w:vAlign w:val="center"/>
          </w:tcPr>
          <w:p>
            <w:pPr>
              <w:snapToGrid w:val="0"/>
              <w:spacing w:before="50" w:after="50" w:line="360" w:lineRule="auto"/>
              <w:jc w:val="center"/>
              <w:rPr>
                <w:rFonts w:hint="eastAsia" w:ascii="宋体" w:hAnsi="宋体" w:eastAsia="宋体" w:cs="宋体"/>
                <w:color w:val="auto"/>
                <w:sz w:val="24"/>
                <w:highlight w:val="none"/>
              </w:rPr>
            </w:pPr>
          </w:p>
        </w:tc>
        <w:tc>
          <w:tcPr>
            <w:tcW w:w="1980" w:type="dxa"/>
            <w:noWrap w:val="0"/>
            <w:vAlign w:val="center"/>
          </w:tcPr>
          <w:p>
            <w:pPr>
              <w:snapToGrid w:val="0"/>
              <w:spacing w:before="50" w:after="50" w:line="360" w:lineRule="auto"/>
              <w:jc w:val="center"/>
              <w:rPr>
                <w:rFonts w:hint="eastAsia" w:ascii="宋体" w:hAnsi="宋体" w:eastAsia="宋体" w:cs="宋体"/>
                <w:color w:val="auto"/>
                <w:sz w:val="24"/>
                <w:highlight w:val="none"/>
              </w:rPr>
            </w:pPr>
          </w:p>
        </w:tc>
        <w:tc>
          <w:tcPr>
            <w:tcW w:w="2520" w:type="dxa"/>
            <w:noWrap w:val="0"/>
            <w:vAlign w:val="center"/>
          </w:tcPr>
          <w:p>
            <w:pPr>
              <w:snapToGrid w:val="0"/>
              <w:spacing w:before="50" w:after="50" w:line="360" w:lineRule="auto"/>
              <w:jc w:val="center"/>
              <w:rPr>
                <w:rFonts w:hint="eastAsia" w:ascii="宋体" w:hAnsi="宋体" w:eastAsia="宋体" w:cs="宋体"/>
                <w:color w:val="auto"/>
                <w:sz w:val="24"/>
                <w:highlight w:val="none"/>
              </w:rPr>
            </w:pPr>
          </w:p>
        </w:tc>
        <w:tc>
          <w:tcPr>
            <w:tcW w:w="1953" w:type="dxa"/>
            <w:noWrap w:val="0"/>
            <w:vAlign w:val="center"/>
          </w:tcPr>
          <w:p>
            <w:pPr>
              <w:snapToGrid w:val="0"/>
              <w:spacing w:before="50" w:after="50"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noWrap w:val="0"/>
            <w:vAlign w:val="center"/>
          </w:tcPr>
          <w:p>
            <w:pPr>
              <w:snapToGrid w:val="0"/>
              <w:spacing w:before="50" w:after="50" w:line="360" w:lineRule="auto"/>
              <w:jc w:val="center"/>
              <w:rPr>
                <w:rFonts w:hint="eastAsia" w:ascii="宋体" w:hAnsi="宋体" w:eastAsia="宋体" w:cs="宋体"/>
                <w:color w:val="auto"/>
                <w:sz w:val="24"/>
                <w:highlight w:val="none"/>
              </w:rPr>
            </w:pPr>
          </w:p>
        </w:tc>
        <w:tc>
          <w:tcPr>
            <w:tcW w:w="1440" w:type="dxa"/>
            <w:noWrap w:val="0"/>
            <w:vAlign w:val="center"/>
          </w:tcPr>
          <w:p>
            <w:pPr>
              <w:snapToGrid w:val="0"/>
              <w:spacing w:before="50" w:after="50" w:line="360" w:lineRule="auto"/>
              <w:jc w:val="center"/>
              <w:rPr>
                <w:rFonts w:hint="eastAsia" w:ascii="宋体" w:hAnsi="宋体" w:eastAsia="宋体" w:cs="宋体"/>
                <w:color w:val="auto"/>
                <w:sz w:val="24"/>
                <w:highlight w:val="none"/>
              </w:rPr>
            </w:pPr>
          </w:p>
        </w:tc>
        <w:tc>
          <w:tcPr>
            <w:tcW w:w="1980" w:type="dxa"/>
            <w:noWrap w:val="0"/>
            <w:vAlign w:val="center"/>
          </w:tcPr>
          <w:p>
            <w:pPr>
              <w:snapToGrid w:val="0"/>
              <w:spacing w:before="50" w:after="50" w:line="360" w:lineRule="auto"/>
              <w:jc w:val="center"/>
              <w:rPr>
                <w:rFonts w:hint="eastAsia" w:ascii="宋体" w:hAnsi="宋体" w:eastAsia="宋体" w:cs="宋体"/>
                <w:color w:val="auto"/>
                <w:sz w:val="24"/>
                <w:highlight w:val="none"/>
              </w:rPr>
            </w:pPr>
          </w:p>
        </w:tc>
        <w:tc>
          <w:tcPr>
            <w:tcW w:w="2520" w:type="dxa"/>
            <w:noWrap w:val="0"/>
            <w:vAlign w:val="center"/>
          </w:tcPr>
          <w:p>
            <w:pPr>
              <w:snapToGrid w:val="0"/>
              <w:spacing w:before="50" w:after="50" w:line="360" w:lineRule="auto"/>
              <w:jc w:val="center"/>
              <w:rPr>
                <w:rFonts w:hint="eastAsia" w:ascii="宋体" w:hAnsi="宋体" w:eastAsia="宋体" w:cs="宋体"/>
                <w:color w:val="auto"/>
                <w:sz w:val="24"/>
                <w:highlight w:val="none"/>
              </w:rPr>
            </w:pPr>
          </w:p>
        </w:tc>
        <w:tc>
          <w:tcPr>
            <w:tcW w:w="1953" w:type="dxa"/>
            <w:noWrap w:val="0"/>
            <w:vAlign w:val="center"/>
          </w:tcPr>
          <w:p>
            <w:pPr>
              <w:snapToGrid w:val="0"/>
              <w:spacing w:before="50" w:after="50"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noWrap w:val="0"/>
            <w:vAlign w:val="center"/>
          </w:tcPr>
          <w:p>
            <w:pPr>
              <w:snapToGrid w:val="0"/>
              <w:spacing w:before="50" w:after="50" w:line="360" w:lineRule="auto"/>
              <w:jc w:val="center"/>
              <w:rPr>
                <w:rFonts w:hint="eastAsia" w:ascii="宋体" w:hAnsi="宋体" w:eastAsia="宋体" w:cs="宋体"/>
                <w:color w:val="auto"/>
                <w:sz w:val="24"/>
                <w:highlight w:val="none"/>
              </w:rPr>
            </w:pPr>
          </w:p>
        </w:tc>
        <w:tc>
          <w:tcPr>
            <w:tcW w:w="1440" w:type="dxa"/>
            <w:noWrap w:val="0"/>
            <w:vAlign w:val="center"/>
          </w:tcPr>
          <w:p>
            <w:pPr>
              <w:snapToGrid w:val="0"/>
              <w:spacing w:before="50" w:after="50" w:line="360" w:lineRule="auto"/>
              <w:jc w:val="center"/>
              <w:rPr>
                <w:rFonts w:hint="eastAsia" w:ascii="宋体" w:hAnsi="宋体" w:eastAsia="宋体" w:cs="宋体"/>
                <w:color w:val="auto"/>
                <w:sz w:val="24"/>
                <w:highlight w:val="none"/>
              </w:rPr>
            </w:pPr>
          </w:p>
        </w:tc>
        <w:tc>
          <w:tcPr>
            <w:tcW w:w="1980" w:type="dxa"/>
            <w:noWrap w:val="0"/>
            <w:vAlign w:val="center"/>
          </w:tcPr>
          <w:p>
            <w:pPr>
              <w:snapToGrid w:val="0"/>
              <w:spacing w:before="50" w:after="50" w:line="360" w:lineRule="auto"/>
              <w:jc w:val="center"/>
              <w:rPr>
                <w:rFonts w:hint="eastAsia" w:ascii="宋体" w:hAnsi="宋体" w:eastAsia="宋体" w:cs="宋体"/>
                <w:color w:val="auto"/>
                <w:sz w:val="24"/>
                <w:highlight w:val="none"/>
              </w:rPr>
            </w:pPr>
          </w:p>
        </w:tc>
        <w:tc>
          <w:tcPr>
            <w:tcW w:w="2520" w:type="dxa"/>
            <w:noWrap w:val="0"/>
            <w:vAlign w:val="center"/>
          </w:tcPr>
          <w:p>
            <w:pPr>
              <w:snapToGrid w:val="0"/>
              <w:spacing w:before="50" w:after="50" w:line="360" w:lineRule="auto"/>
              <w:jc w:val="center"/>
              <w:rPr>
                <w:rFonts w:hint="eastAsia" w:ascii="宋体" w:hAnsi="宋体" w:eastAsia="宋体" w:cs="宋体"/>
                <w:color w:val="auto"/>
                <w:sz w:val="24"/>
                <w:highlight w:val="none"/>
              </w:rPr>
            </w:pPr>
          </w:p>
        </w:tc>
        <w:tc>
          <w:tcPr>
            <w:tcW w:w="1953" w:type="dxa"/>
            <w:noWrap w:val="0"/>
            <w:vAlign w:val="center"/>
          </w:tcPr>
          <w:p>
            <w:pPr>
              <w:snapToGrid w:val="0"/>
              <w:spacing w:before="50" w:after="50"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noWrap w:val="0"/>
            <w:vAlign w:val="center"/>
          </w:tcPr>
          <w:p>
            <w:pPr>
              <w:snapToGrid w:val="0"/>
              <w:spacing w:before="50" w:after="50" w:line="360" w:lineRule="auto"/>
              <w:jc w:val="center"/>
              <w:rPr>
                <w:rFonts w:hint="eastAsia" w:ascii="宋体" w:hAnsi="宋体" w:eastAsia="宋体" w:cs="宋体"/>
                <w:color w:val="auto"/>
                <w:sz w:val="24"/>
                <w:highlight w:val="none"/>
              </w:rPr>
            </w:pPr>
          </w:p>
        </w:tc>
        <w:tc>
          <w:tcPr>
            <w:tcW w:w="1440" w:type="dxa"/>
            <w:noWrap w:val="0"/>
            <w:vAlign w:val="center"/>
          </w:tcPr>
          <w:p>
            <w:pPr>
              <w:snapToGrid w:val="0"/>
              <w:spacing w:before="50" w:after="50" w:line="360" w:lineRule="auto"/>
              <w:jc w:val="center"/>
              <w:rPr>
                <w:rFonts w:hint="eastAsia" w:ascii="宋体" w:hAnsi="宋体" w:eastAsia="宋体" w:cs="宋体"/>
                <w:color w:val="auto"/>
                <w:sz w:val="24"/>
                <w:highlight w:val="none"/>
              </w:rPr>
            </w:pPr>
          </w:p>
        </w:tc>
        <w:tc>
          <w:tcPr>
            <w:tcW w:w="1980" w:type="dxa"/>
            <w:noWrap w:val="0"/>
            <w:vAlign w:val="center"/>
          </w:tcPr>
          <w:p>
            <w:pPr>
              <w:snapToGrid w:val="0"/>
              <w:spacing w:before="50" w:after="50" w:line="360" w:lineRule="auto"/>
              <w:jc w:val="center"/>
              <w:rPr>
                <w:rFonts w:hint="eastAsia" w:ascii="宋体" w:hAnsi="宋体" w:eastAsia="宋体" w:cs="宋体"/>
                <w:color w:val="auto"/>
                <w:sz w:val="24"/>
                <w:highlight w:val="none"/>
              </w:rPr>
            </w:pPr>
          </w:p>
        </w:tc>
        <w:tc>
          <w:tcPr>
            <w:tcW w:w="2520" w:type="dxa"/>
            <w:noWrap w:val="0"/>
            <w:vAlign w:val="center"/>
          </w:tcPr>
          <w:p>
            <w:pPr>
              <w:snapToGrid w:val="0"/>
              <w:spacing w:before="50" w:after="50" w:line="360" w:lineRule="auto"/>
              <w:jc w:val="center"/>
              <w:rPr>
                <w:rFonts w:hint="eastAsia" w:ascii="宋体" w:hAnsi="宋体" w:eastAsia="宋体" w:cs="宋体"/>
                <w:color w:val="auto"/>
                <w:sz w:val="24"/>
                <w:highlight w:val="none"/>
              </w:rPr>
            </w:pPr>
          </w:p>
        </w:tc>
        <w:tc>
          <w:tcPr>
            <w:tcW w:w="1953" w:type="dxa"/>
            <w:noWrap w:val="0"/>
            <w:vAlign w:val="center"/>
          </w:tcPr>
          <w:p>
            <w:pPr>
              <w:snapToGrid w:val="0"/>
              <w:spacing w:before="50" w:after="50"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noWrap w:val="0"/>
            <w:vAlign w:val="center"/>
          </w:tcPr>
          <w:p>
            <w:pPr>
              <w:snapToGrid w:val="0"/>
              <w:spacing w:before="50" w:after="50" w:line="360" w:lineRule="auto"/>
              <w:jc w:val="center"/>
              <w:rPr>
                <w:rFonts w:hint="eastAsia" w:ascii="宋体" w:hAnsi="宋体" w:eastAsia="宋体" w:cs="宋体"/>
                <w:color w:val="auto"/>
                <w:sz w:val="24"/>
                <w:highlight w:val="none"/>
              </w:rPr>
            </w:pPr>
          </w:p>
        </w:tc>
        <w:tc>
          <w:tcPr>
            <w:tcW w:w="1440" w:type="dxa"/>
            <w:noWrap w:val="0"/>
            <w:vAlign w:val="center"/>
          </w:tcPr>
          <w:p>
            <w:pPr>
              <w:snapToGrid w:val="0"/>
              <w:spacing w:before="50" w:after="50" w:line="360" w:lineRule="auto"/>
              <w:jc w:val="center"/>
              <w:rPr>
                <w:rFonts w:hint="eastAsia" w:ascii="宋体" w:hAnsi="宋体" w:eastAsia="宋体" w:cs="宋体"/>
                <w:color w:val="auto"/>
                <w:sz w:val="24"/>
                <w:highlight w:val="none"/>
              </w:rPr>
            </w:pPr>
          </w:p>
        </w:tc>
        <w:tc>
          <w:tcPr>
            <w:tcW w:w="1980" w:type="dxa"/>
            <w:noWrap w:val="0"/>
            <w:vAlign w:val="center"/>
          </w:tcPr>
          <w:p>
            <w:pPr>
              <w:snapToGrid w:val="0"/>
              <w:spacing w:before="50" w:after="50" w:line="360" w:lineRule="auto"/>
              <w:jc w:val="center"/>
              <w:rPr>
                <w:rFonts w:hint="eastAsia" w:ascii="宋体" w:hAnsi="宋体" w:eastAsia="宋体" w:cs="宋体"/>
                <w:color w:val="auto"/>
                <w:sz w:val="24"/>
                <w:highlight w:val="none"/>
              </w:rPr>
            </w:pPr>
          </w:p>
        </w:tc>
        <w:tc>
          <w:tcPr>
            <w:tcW w:w="2520" w:type="dxa"/>
            <w:noWrap w:val="0"/>
            <w:vAlign w:val="center"/>
          </w:tcPr>
          <w:p>
            <w:pPr>
              <w:snapToGrid w:val="0"/>
              <w:spacing w:before="50" w:after="50" w:line="360" w:lineRule="auto"/>
              <w:jc w:val="center"/>
              <w:rPr>
                <w:rFonts w:hint="eastAsia" w:ascii="宋体" w:hAnsi="宋体" w:eastAsia="宋体" w:cs="宋体"/>
                <w:color w:val="auto"/>
                <w:sz w:val="24"/>
                <w:highlight w:val="none"/>
              </w:rPr>
            </w:pPr>
          </w:p>
        </w:tc>
        <w:tc>
          <w:tcPr>
            <w:tcW w:w="1953" w:type="dxa"/>
            <w:noWrap w:val="0"/>
            <w:vAlign w:val="center"/>
          </w:tcPr>
          <w:p>
            <w:pPr>
              <w:snapToGrid w:val="0"/>
              <w:spacing w:before="50" w:after="50"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2160" w:type="dxa"/>
            <w:gridSpan w:val="2"/>
            <w:noWrap w:val="0"/>
            <w:vAlign w:val="center"/>
          </w:tcPr>
          <w:p>
            <w:pPr>
              <w:snapToGrid w:val="0"/>
              <w:spacing w:before="50" w:after="50"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投标建议</w:t>
            </w:r>
          </w:p>
        </w:tc>
        <w:tc>
          <w:tcPr>
            <w:tcW w:w="6453" w:type="dxa"/>
            <w:gridSpan w:val="3"/>
            <w:noWrap w:val="0"/>
            <w:vAlign w:val="center"/>
          </w:tcPr>
          <w:p>
            <w:pPr>
              <w:spacing w:line="360" w:lineRule="auto"/>
              <w:jc w:val="center"/>
              <w:rPr>
                <w:rFonts w:hint="eastAsia" w:ascii="宋体" w:hAnsi="宋体" w:eastAsia="宋体" w:cs="宋体"/>
                <w:color w:val="auto"/>
                <w:sz w:val="24"/>
                <w:highlight w:val="none"/>
              </w:rPr>
            </w:pPr>
          </w:p>
        </w:tc>
      </w:tr>
    </w:tbl>
    <w:p>
      <w:pPr>
        <w:snapToGrid w:val="0"/>
        <w:spacing w:line="360" w:lineRule="auto"/>
        <w:rPr>
          <w:rFonts w:hint="eastAsia" w:ascii="宋体" w:hAnsi="宋体" w:eastAsia="宋体" w:cs="宋体"/>
          <w:color w:val="auto"/>
          <w:sz w:val="24"/>
          <w:highlight w:val="none"/>
        </w:rPr>
      </w:pPr>
    </w:p>
    <w:p>
      <w:pPr>
        <w:pStyle w:val="14"/>
        <w:spacing w:line="360" w:lineRule="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注：</w:t>
      </w:r>
      <w:r>
        <w:rPr>
          <w:rFonts w:hint="eastAsia" w:hAnsi="宋体" w:eastAsia="宋体" w:cs="宋体"/>
          <w:color w:val="auto"/>
          <w:sz w:val="24"/>
          <w:highlight w:val="none"/>
          <w:lang w:eastAsia="zh-CN"/>
        </w:rPr>
        <w:t>投标人投标时可以对采购需求中要求的各项产品技术规格逐条进行响应，并可以</w:t>
      </w:r>
      <w:r>
        <w:rPr>
          <w:rFonts w:hint="eastAsia" w:ascii="宋体" w:hAnsi="宋体" w:eastAsia="宋体" w:cs="宋体"/>
          <w:color w:val="auto"/>
          <w:sz w:val="24"/>
          <w:highlight w:val="none"/>
        </w:rPr>
        <w:t>根据投标人</w:t>
      </w:r>
      <w:r>
        <w:rPr>
          <w:rFonts w:hint="eastAsia" w:hAnsi="宋体" w:eastAsia="宋体" w:cs="宋体"/>
          <w:color w:val="auto"/>
          <w:sz w:val="24"/>
          <w:highlight w:val="none"/>
          <w:lang w:eastAsia="zh-CN"/>
        </w:rPr>
        <w:t>对本项目的</w:t>
      </w:r>
      <w:r>
        <w:rPr>
          <w:rFonts w:hint="eastAsia" w:ascii="宋体" w:hAnsi="宋体" w:eastAsia="宋体" w:cs="宋体"/>
          <w:color w:val="auto"/>
          <w:sz w:val="24"/>
          <w:highlight w:val="none"/>
        </w:rPr>
        <w:t>实际</w:t>
      </w:r>
      <w:r>
        <w:rPr>
          <w:rFonts w:hint="eastAsia" w:hAnsi="宋体" w:eastAsia="宋体" w:cs="宋体"/>
          <w:color w:val="auto"/>
          <w:sz w:val="24"/>
          <w:highlight w:val="none"/>
          <w:lang w:eastAsia="zh-CN"/>
        </w:rPr>
        <w:t>了解</w:t>
      </w:r>
      <w:r>
        <w:rPr>
          <w:rFonts w:hint="eastAsia" w:ascii="宋体" w:hAnsi="宋体" w:eastAsia="宋体" w:cs="宋体"/>
          <w:color w:val="auto"/>
          <w:sz w:val="24"/>
          <w:highlight w:val="none"/>
        </w:rPr>
        <w:t>情况</w:t>
      </w:r>
      <w:r>
        <w:rPr>
          <w:rFonts w:hint="eastAsia" w:hAnsi="宋体" w:eastAsia="宋体" w:cs="宋体"/>
          <w:color w:val="auto"/>
          <w:sz w:val="24"/>
          <w:highlight w:val="none"/>
          <w:lang w:eastAsia="zh-CN"/>
        </w:rPr>
        <w:t>及投标人实际情况进行优化和</w:t>
      </w:r>
      <w:r>
        <w:rPr>
          <w:rFonts w:hint="eastAsia" w:ascii="宋体" w:hAnsi="宋体" w:eastAsia="宋体" w:cs="宋体"/>
          <w:color w:val="auto"/>
          <w:sz w:val="24"/>
          <w:highlight w:val="none"/>
        </w:rPr>
        <w:t>调整</w:t>
      </w:r>
      <w:r>
        <w:rPr>
          <w:rFonts w:hint="eastAsia" w:hAnsi="宋体" w:eastAsia="宋体" w:cs="宋体"/>
          <w:color w:val="auto"/>
          <w:sz w:val="24"/>
          <w:highlight w:val="none"/>
          <w:lang w:eastAsia="zh-CN"/>
        </w:rPr>
        <w:t>，但不能低于招标文件的要求</w:t>
      </w:r>
      <w:r>
        <w:rPr>
          <w:rFonts w:hint="eastAsia" w:ascii="宋体" w:hAnsi="宋体" w:eastAsia="宋体" w:cs="宋体"/>
          <w:color w:val="auto"/>
          <w:sz w:val="24"/>
          <w:highlight w:val="none"/>
        </w:rPr>
        <w:t>。</w:t>
      </w:r>
      <w:r>
        <w:rPr>
          <w:rFonts w:hint="eastAsia" w:hAnsi="宋体" w:eastAsia="宋体" w:cs="宋体"/>
          <w:color w:val="auto"/>
          <w:sz w:val="24"/>
          <w:highlight w:val="none"/>
          <w:lang w:eastAsia="zh-CN"/>
        </w:rPr>
        <w:t>采购需求和评审办法中要求的标注“★”和“▲”的技术指标须逐条响应，并按规定提供相应证明文件，同时标注“★”和“▲”。</w:t>
      </w:r>
    </w:p>
    <w:p>
      <w:pPr>
        <w:spacing w:line="360" w:lineRule="auto"/>
        <w:rPr>
          <w:rFonts w:hint="eastAsia" w:ascii="宋体" w:hAnsi="宋体" w:eastAsia="宋体" w:cs="宋体"/>
          <w:color w:val="auto"/>
          <w:sz w:val="24"/>
          <w:highlight w:val="none"/>
        </w:rPr>
      </w:pPr>
    </w:p>
    <w:p>
      <w:pPr>
        <w:pStyle w:val="11"/>
        <w:spacing w:line="360" w:lineRule="auto"/>
        <w:rPr>
          <w:rFonts w:hint="eastAsia" w:ascii="宋体" w:hAnsi="宋体" w:eastAsia="宋体" w:cs="宋体"/>
          <w:color w:val="auto"/>
          <w:highlight w:val="none"/>
        </w:rPr>
      </w:pPr>
    </w:p>
    <w:p>
      <w:pPr>
        <w:snapToGrid w:val="0"/>
        <w:spacing w:line="360" w:lineRule="auto"/>
        <w:rPr>
          <w:rFonts w:hint="eastAsia" w:ascii="宋体" w:hAnsi="宋体" w:eastAsia="宋体" w:cs="宋体"/>
          <w:color w:val="auto"/>
          <w:sz w:val="24"/>
          <w:highlight w:val="none"/>
        </w:rPr>
      </w:pPr>
    </w:p>
    <w:p>
      <w:pPr>
        <w:spacing w:line="360" w:lineRule="auto"/>
        <w:ind w:leftChars="18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法定代表人签名（或签名章）：                       </w:t>
      </w:r>
    </w:p>
    <w:p>
      <w:pPr>
        <w:spacing w:line="360" w:lineRule="auto"/>
        <w:ind w:leftChars="18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日 期：</w:t>
      </w:r>
    </w:p>
    <w:p>
      <w:pPr>
        <w:spacing w:line="360" w:lineRule="auto"/>
        <w:ind w:leftChars="1800" w:firstLine="480" w:firstLineChars="200"/>
        <w:rPr>
          <w:rFonts w:hint="eastAsia" w:ascii="宋体" w:hAnsi="宋体" w:eastAsia="宋体" w:cs="宋体"/>
          <w:b/>
          <w:bCs/>
          <w:color w:val="auto"/>
          <w:sz w:val="30"/>
          <w:szCs w:val="30"/>
          <w:highlight w:val="none"/>
        </w:rPr>
      </w:pPr>
      <w:r>
        <w:rPr>
          <w:rFonts w:hint="eastAsia" w:ascii="宋体" w:hAnsi="宋体" w:eastAsia="宋体" w:cs="宋体"/>
          <w:color w:val="auto"/>
          <w:sz w:val="24"/>
          <w:highlight w:val="none"/>
        </w:rPr>
        <w:t>投标人全称（公章）：</w:t>
      </w:r>
    </w:p>
    <w:p>
      <w:pPr>
        <w:pStyle w:val="4"/>
        <w:numPr>
          <w:ilvl w:val="0"/>
          <w:numId w:val="0"/>
        </w:numPr>
        <w:bidi w:val="0"/>
        <w:spacing w:line="360" w:lineRule="auto"/>
        <w:outlineLvl w:val="1"/>
        <w:rPr>
          <w:rFonts w:hint="eastAsia" w:ascii="宋体" w:hAnsi="宋体" w:eastAsia="宋体" w:cs="宋体"/>
          <w:color w:val="auto"/>
          <w:highlight w:val="none"/>
          <w:lang w:eastAsia="zh-CN"/>
        </w:rPr>
      </w:pPr>
      <w:bookmarkStart w:id="524" w:name="_Toc11957"/>
      <w:r>
        <w:rPr>
          <w:rFonts w:hint="eastAsia" w:ascii="宋体" w:hAnsi="宋体" w:eastAsia="宋体" w:cs="宋体"/>
          <w:color w:val="auto"/>
          <w:highlight w:val="none"/>
          <w:lang w:eastAsia="zh-CN"/>
        </w:rPr>
        <w:t>附件九：</w:t>
      </w:r>
      <w:bookmarkEnd w:id="524"/>
    </w:p>
    <w:p>
      <w:pPr>
        <w:bidi w:val="0"/>
        <w:spacing w:line="360" w:lineRule="auto"/>
        <w:jc w:val="center"/>
        <w:rPr>
          <w:rFonts w:hint="eastAsia" w:ascii="宋体" w:hAnsi="宋体" w:eastAsia="宋体" w:cs="宋体"/>
          <w:b/>
          <w:bCs/>
          <w:color w:val="auto"/>
          <w:sz w:val="30"/>
          <w:szCs w:val="30"/>
          <w:highlight w:val="none"/>
          <w:lang w:eastAsia="zh-CN"/>
        </w:rPr>
      </w:pPr>
      <w:r>
        <w:rPr>
          <w:rFonts w:hint="eastAsia" w:ascii="宋体" w:hAnsi="宋体" w:eastAsia="宋体" w:cs="宋体"/>
          <w:b/>
          <w:bCs/>
          <w:color w:val="auto"/>
          <w:sz w:val="30"/>
          <w:szCs w:val="30"/>
          <w:highlight w:val="none"/>
        </w:rPr>
        <w:t>商务响应表</w:t>
      </w:r>
    </w:p>
    <w:p>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项目名称：</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采购编号</w:t>
      </w:r>
      <w:r>
        <w:rPr>
          <w:rFonts w:hint="eastAsia" w:ascii="宋体" w:hAnsi="宋体" w:eastAsia="宋体" w:cs="宋体"/>
          <w:color w:val="auto"/>
          <w:sz w:val="24"/>
          <w:highlight w:val="none"/>
        </w:rPr>
        <w:t>：</w:t>
      </w:r>
    </w:p>
    <w:tbl>
      <w:tblPr>
        <w:tblStyle w:val="32"/>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454"/>
        <w:gridCol w:w="2700"/>
        <w:gridCol w:w="1260"/>
        <w:gridCol w:w="302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项目</w:t>
            </w:r>
          </w:p>
        </w:tc>
        <w:tc>
          <w:tcPr>
            <w:tcW w:w="270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招标文件要求</w:t>
            </w:r>
          </w:p>
        </w:tc>
        <w:tc>
          <w:tcPr>
            <w:tcW w:w="126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是否</w:t>
            </w:r>
          </w:p>
          <w:p>
            <w:pPr>
              <w:snapToGrid w:val="0"/>
              <w:spacing w:before="50" w:after="50"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响应</w:t>
            </w:r>
          </w:p>
        </w:tc>
        <w:tc>
          <w:tcPr>
            <w:tcW w:w="302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投标人的承诺或说明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交货期</w:t>
            </w:r>
            <w:r>
              <w:rPr>
                <w:rFonts w:hint="eastAsia" w:ascii="宋体" w:hAnsi="宋体" w:eastAsia="宋体" w:cs="宋体"/>
                <w:color w:val="auto"/>
                <w:sz w:val="24"/>
                <w:highlight w:val="none"/>
              </w:rPr>
              <w:t>及地点</w:t>
            </w:r>
          </w:p>
        </w:tc>
        <w:tc>
          <w:tcPr>
            <w:tcW w:w="270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p>
        </w:tc>
        <w:tc>
          <w:tcPr>
            <w:tcW w:w="302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付款条件</w:t>
            </w:r>
          </w:p>
        </w:tc>
        <w:tc>
          <w:tcPr>
            <w:tcW w:w="270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p>
        </w:tc>
        <w:tc>
          <w:tcPr>
            <w:tcW w:w="302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违约责任及争议解决方式</w:t>
            </w:r>
          </w:p>
        </w:tc>
        <w:tc>
          <w:tcPr>
            <w:tcW w:w="270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p>
        </w:tc>
        <w:tc>
          <w:tcPr>
            <w:tcW w:w="302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项目维护计划</w:t>
            </w:r>
          </w:p>
        </w:tc>
        <w:tc>
          <w:tcPr>
            <w:tcW w:w="270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p>
        </w:tc>
        <w:tc>
          <w:tcPr>
            <w:tcW w:w="302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售后服务响应情况</w:t>
            </w:r>
          </w:p>
        </w:tc>
        <w:tc>
          <w:tcPr>
            <w:tcW w:w="270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p>
        </w:tc>
        <w:tc>
          <w:tcPr>
            <w:tcW w:w="302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本地化服务</w:t>
            </w:r>
          </w:p>
        </w:tc>
        <w:tc>
          <w:tcPr>
            <w:tcW w:w="270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p>
        </w:tc>
        <w:tc>
          <w:tcPr>
            <w:tcW w:w="302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技术培训</w:t>
            </w:r>
          </w:p>
        </w:tc>
        <w:tc>
          <w:tcPr>
            <w:tcW w:w="270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p>
        </w:tc>
        <w:tc>
          <w:tcPr>
            <w:tcW w:w="302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2" w:hRule="atLeast"/>
          <w:jc w:val="center"/>
        </w:trPr>
        <w:tc>
          <w:tcPr>
            <w:tcW w:w="2454"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公司技术力量情况</w:t>
            </w:r>
          </w:p>
        </w:tc>
        <w:tc>
          <w:tcPr>
            <w:tcW w:w="270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p>
        </w:tc>
        <w:tc>
          <w:tcPr>
            <w:tcW w:w="302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经验或业绩要求</w:t>
            </w:r>
          </w:p>
        </w:tc>
        <w:tc>
          <w:tcPr>
            <w:tcW w:w="270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p>
        </w:tc>
        <w:tc>
          <w:tcPr>
            <w:tcW w:w="302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各类证书</w:t>
            </w:r>
          </w:p>
        </w:tc>
        <w:tc>
          <w:tcPr>
            <w:tcW w:w="270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p>
        </w:tc>
        <w:tc>
          <w:tcPr>
            <w:tcW w:w="302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tc>
        <w:tc>
          <w:tcPr>
            <w:tcW w:w="270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p>
        </w:tc>
        <w:tc>
          <w:tcPr>
            <w:tcW w:w="302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p>
        </w:tc>
      </w:tr>
    </w:tbl>
    <w:p>
      <w:pPr>
        <w:spacing w:line="360" w:lineRule="auto"/>
        <w:ind w:leftChars="1800" w:firstLine="480" w:firstLineChars="200"/>
        <w:rPr>
          <w:rFonts w:hint="eastAsia" w:ascii="宋体" w:hAnsi="宋体" w:eastAsia="宋体" w:cs="宋体"/>
          <w:color w:val="auto"/>
          <w:sz w:val="24"/>
          <w:highlight w:val="none"/>
        </w:rPr>
      </w:pPr>
    </w:p>
    <w:p>
      <w:pPr>
        <w:spacing w:line="360" w:lineRule="auto"/>
        <w:ind w:leftChars="1800" w:firstLine="480" w:firstLineChars="200"/>
        <w:rPr>
          <w:rFonts w:hint="eastAsia" w:ascii="宋体" w:hAnsi="宋体" w:eastAsia="宋体" w:cs="宋体"/>
          <w:color w:val="auto"/>
          <w:sz w:val="24"/>
          <w:highlight w:val="none"/>
        </w:rPr>
      </w:pPr>
    </w:p>
    <w:p>
      <w:pPr>
        <w:spacing w:line="360" w:lineRule="auto"/>
        <w:ind w:leftChars="1800" w:firstLine="480" w:firstLineChars="200"/>
        <w:rPr>
          <w:rFonts w:hint="eastAsia" w:ascii="宋体" w:hAnsi="宋体" w:eastAsia="宋体" w:cs="宋体"/>
          <w:color w:val="auto"/>
          <w:sz w:val="24"/>
          <w:highlight w:val="none"/>
        </w:rPr>
      </w:pPr>
    </w:p>
    <w:p>
      <w:pPr>
        <w:spacing w:line="360" w:lineRule="auto"/>
        <w:ind w:leftChars="18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法定代表人签名（或签名章）：                       </w:t>
      </w:r>
    </w:p>
    <w:p>
      <w:pPr>
        <w:spacing w:line="360" w:lineRule="auto"/>
        <w:ind w:leftChars="18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日 期：</w:t>
      </w:r>
    </w:p>
    <w:p>
      <w:pPr>
        <w:spacing w:line="360" w:lineRule="auto"/>
        <w:ind w:leftChars="18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投标人全称（公章）：</w:t>
      </w:r>
    </w:p>
    <w:p>
      <w:pPr>
        <w:spacing w:line="360" w:lineRule="auto"/>
        <w:ind w:leftChars="1800" w:firstLine="480" w:firstLineChars="200"/>
        <w:rPr>
          <w:rFonts w:hint="eastAsia" w:ascii="宋体" w:hAnsi="宋体" w:eastAsia="宋体" w:cs="宋体"/>
          <w:color w:val="auto"/>
          <w:sz w:val="24"/>
          <w:highlight w:val="none"/>
        </w:rPr>
      </w:pPr>
    </w:p>
    <w:p>
      <w:pPr>
        <w:spacing w:line="360" w:lineRule="auto"/>
        <w:ind w:leftChars="1800" w:firstLine="480" w:firstLineChars="200"/>
        <w:rPr>
          <w:rFonts w:hint="eastAsia" w:ascii="宋体" w:hAnsi="宋体" w:eastAsia="宋体" w:cs="宋体"/>
          <w:color w:val="auto"/>
          <w:sz w:val="24"/>
          <w:highlight w:val="none"/>
          <w:lang w:val="zh-CN" w:eastAsia="zh-CN"/>
        </w:rPr>
      </w:pPr>
    </w:p>
    <w:p>
      <w:pPr>
        <w:pStyle w:val="4"/>
        <w:numPr>
          <w:ilvl w:val="0"/>
          <w:numId w:val="0"/>
        </w:numPr>
        <w:bidi w:val="0"/>
        <w:spacing w:line="360" w:lineRule="auto"/>
        <w:outlineLvl w:val="1"/>
        <w:rPr>
          <w:rFonts w:hint="eastAsia" w:ascii="宋体" w:hAnsi="宋体" w:eastAsia="宋体" w:cs="宋体"/>
          <w:color w:val="auto"/>
          <w:highlight w:val="none"/>
          <w:lang w:eastAsia="zh-CN"/>
        </w:rPr>
      </w:pPr>
      <w:bookmarkStart w:id="525" w:name="_Toc6760"/>
      <w:r>
        <w:rPr>
          <w:rFonts w:hint="eastAsia" w:ascii="宋体" w:hAnsi="宋体" w:eastAsia="宋体" w:cs="宋体"/>
          <w:color w:val="auto"/>
          <w:highlight w:val="none"/>
          <w:lang w:eastAsia="zh-CN"/>
        </w:rPr>
        <w:t>附件十：</w:t>
      </w:r>
      <w:bookmarkEnd w:id="525"/>
    </w:p>
    <w:p>
      <w:pPr>
        <w:snapToGrid w:val="0"/>
        <w:spacing w:before="120" w:beforeLines="50" w:after="50" w:line="360" w:lineRule="auto"/>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项目组人员清单</w:t>
      </w:r>
    </w:p>
    <w:p>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项目名称：</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采购编号</w:t>
      </w:r>
      <w:r>
        <w:rPr>
          <w:rFonts w:hint="eastAsia" w:ascii="宋体" w:hAnsi="宋体" w:eastAsia="宋体" w:cs="宋体"/>
          <w:color w:val="auto"/>
          <w:sz w:val="24"/>
          <w:highlight w:val="none"/>
        </w:rPr>
        <w:t>：</w:t>
      </w:r>
    </w:p>
    <w:tbl>
      <w:tblPr>
        <w:tblStyle w:val="32"/>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04"/>
        <w:gridCol w:w="1004"/>
        <w:gridCol w:w="1663"/>
        <w:gridCol w:w="1260"/>
        <w:gridCol w:w="1800"/>
        <w:gridCol w:w="180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姓名</w:t>
            </w:r>
          </w:p>
        </w:tc>
        <w:tc>
          <w:tcPr>
            <w:tcW w:w="1004"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职务</w:t>
            </w:r>
          </w:p>
        </w:tc>
        <w:tc>
          <w:tcPr>
            <w:tcW w:w="1663"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专业技术资格</w:t>
            </w:r>
          </w:p>
        </w:tc>
        <w:tc>
          <w:tcPr>
            <w:tcW w:w="126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证书编号</w:t>
            </w:r>
          </w:p>
        </w:tc>
        <w:tc>
          <w:tcPr>
            <w:tcW w:w="180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参加本单位工作时间</w:t>
            </w:r>
          </w:p>
        </w:tc>
        <w:tc>
          <w:tcPr>
            <w:tcW w:w="180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劳动合同编号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hint="eastAsia" w:ascii="宋体" w:hAnsi="宋体" w:eastAsia="宋体" w:cs="宋体"/>
                <w:color w:val="auto"/>
                <w:sz w:val="24"/>
                <w:highlight w:val="none"/>
              </w:rPr>
            </w:pPr>
          </w:p>
        </w:tc>
        <w:tc>
          <w:tcPr>
            <w:tcW w:w="100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hint="eastAsia" w:ascii="宋体" w:hAnsi="宋体" w:eastAsia="宋体" w:cs="宋体"/>
                <w:color w:val="auto"/>
                <w:sz w:val="24"/>
                <w:highlight w:val="none"/>
              </w:rPr>
            </w:pPr>
          </w:p>
        </w:tc>
        <w:tc>
          <w:tcPr>
            <w:tcW w:w="1663"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hint="eastAsia" w:ascii="宋体" w:hAnsi="宋体" w:eastAsia="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hint="eastAsia" w:ascii="宋体" w:hAnsi="宋体" w:eastAsia="宋体" w:cs="宋体"/>
                <w:color w:val="auto"/>
                <w:sz w:val="24"/>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hint="eastAsia" w:ascii="宋体" w:hAnsi="宋体" w:eastAsia="宋体" w:cs="宋体"/>
                <w:color w:val="auto"/>
                <w:sz w:val="24"/>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hint="eastAsia" w:ascii="宋体" w:hAnsi="宋体" w:eastAsia="宋体" w:cs="宋体"/>
                <w:color w:val="auto"/>
                <w:sz w:val="24"/>
                <w:highlight w:val="none"/>
              </w:rPr>
            </w:pPr>
          </w:p>
        </w:tc>
        <w:tc>
          <w:tcPr>
            <w:tcW w:w="100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hint="eastAsia" w:ascii="宋体" w:hAnsi="宋体" w:eastAsia="宋体" w:cs="宋体"/>
                <w:color w:val="auto"/>
                <w:sz w:val="24"/>
                <w:highlight w:val="none"/>
              </w:rPr>
            </w:pPr>
          </w:p>
        </w:tc>
        <w:tc>
          <w:tcPr>
            <w:tcW w:w="1663"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hint="eastAsia" w:ascii="宋体" w:hAnsi="宋体" w:eastAsia="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hint="eastAsia" w:ascii="宋体" w:hAnsi="宋体" w:eastAsia="宋体" w:cs="宋体"/>
                <w:color w:val="auto"/>
                <w:sz w:val="24"/>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hint="eastAsia" w:ascii="宋体" w:hAnsi="宋体" w:eastAsia="宋体" w:cs="宋体"/>
                <w:color w:val="auto"/>
                <w:sz w:val="24"/>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hint="eastAsia" w:ascii="宋体" w:hAnsi="宋体" w:eastAsia="宋体" w:cs="宋体"/>
                <w:color w:val="auto"/>
                <w:sz w:val="24"/>
                <w:highlight w:val="none"/>
              </w:rPr>
            </w:pPr>
          </w:p>
        </w:tc>
        <w:tc>
          <w:tcPr>
            <w:tcW w:w="100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hint="eastAsia" w:ascii="宋体" w:hAnsi="宋体" w:eastAsia="宋体" w:cs="宋体"/>
                <w:color w:val="auto"/>
                <w:sz w:val="24"/>
                <w:highlight w:val="none"/>
              </w:rPr>
            </w:pPr>
          </w:p>
        </w:tc>
        <w:tc>
          <w:tcPr>
            <w:tcW w:w="1663" w:type="dxa"/>
            <w:tcBorders>
              <w:top w:val="single" w:color="auto" w:sz="4" w:space="0"/>
              <w:left w:val="single" w:color="auto" w:sz="4" w:space="0"/>
              <w:bottom w:val="single" w:color="auto" w:sz="4" w:space="0"/>
              <w:right w:val="single" w:color="auto" w:sz="4" w:space="0"/>
            </w:tcBorders>
            <w:noWrap w:val="0"/>
            <w:vAlign w:val="top"/>
          </w:tcPr>
          <w:p>
            <w:pPr>
              <w:pStyle w:val="16"/>
              <w:snapToGrid w:val="0"/>
              <w:spacing w:before="120" w:beforeLines="50" w:after="50" w:line="360" w:lineRule="auto"/>
              <w:ind w:left="5250"/>
              <w:rPr>
                <w:rFonts w:hint="eastAsia" w:ascii="宋体" w:hAnsi="宋体" w:eastAsia="宋体" w:cs="宋体"/>
                <w:color w:val="auto"/>
                <w:szCs w:val="24"/>
                <w:highlight w:val="none"/>
                <w:lang w:eastAsia="zh-CN"/>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hint="eastAsia" w:ascii="宋体" w:hAnsi="宋体" w:eastAsia="宋体" w:cs="宋体"/>
                <w:color w:val="auto"/>
                <w:sz w:val="24"/>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hint="eastAsia" w:ascii="宋体" w:hAnsi="宋体" w:eastAsia="宋体" w:cs="宋体"/>
                <w:color w:val="auto"/>
                <w:sz w:val="24"/>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hint="eastAsia" w:ascii="宋体" w:hAnsi="宋体" w:eastAsia="宋体" w:cs="宋体"/>
                <w:color w:val="auto"/>
                <w:sz w:val="24"/>
                <w:highlight w:val="none"/>
              </w:rPr>
            </w:pPr>
          </w:p>
        </w:tc>
        <w:tc>
          <w:tcPr>
            <w:tcW w:w="100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hint="eastAsia" w:ascii="宋体" w:hAnsi="宋体" w:eastAsia="宋体" w:cs="宋体"/>
                <w:color w:val="auto"/>
                <w:sz w:val="24"/>
                <w:highlight w:val="none"/>
              </w:rPr>
            </w:pPr>
          </w:p>
        </w:tc>
        <w:tc>
          <w:tcPr>
            <w:tcW w:w="1663"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hint="eastAsia" w:ascii="宋体" w:hAnsi="宋体" w:eastAsia="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hint="eastAsia" w:ascii="宋体" w:hAnsi="宋体" w:eastAsia="宋体" w:cs="宋体"/>
                <w:color w:val="auto"/>
                <w:sz w:val="24"/>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hint="eastAsia" w:ascii="宋体" w:hAnsi="宋体" w:eastAsia="宋体" w:cs="宋体"/>
                <w:color w:val="auto"/>
                <w:sz w:val="24"/>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hint="eastAsia" w:ascii="宋体" w:hAnsi="宋体" w:eastAsia="宋体" w:cs="宋体"/>
                <w:color w:val="auto"/>
                <w:sz w:val="24"/>
                <w:highlight w:val="none"/>
              </w:rPr>
            </w:pPr>
          </w:p>
        </w:tc>
        <w:tc>
          <w:tcPr>
            <w:tcW w:w="100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hint="eastAsia" w:ascii="宋体" w:hAnsi="宋体" w:eastAsia="宋体" w:cs="宋体"/>
                <w:color w:val="auto"/>
                <w:sz w:val="24"/>
                <w:highlight w:val="none"/>
              </w:rPr>
            </w:pPr>
          </w:p>
        </w:tc>
        <w:tc>
          <w:tcPr>
            <w:tcW w:w="1663"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hint="eastAsia" w:ascii="宋体" w:hAnsi="宋体" w:eastAsia="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hint="eastAsia" w:ascii="宋体" w:hAnsi="宋体" w:eastAsia="宋体" w:cs="宋体"/>
                <w:color w:val="auto"/>
                <w:sz w:val="24"/>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hint="eastAsia" w:ascii="宋体" w:hAnsi="宋体" w:eastAsia="宋体" w:cs="宋体"/>
                <w:color w:val="auto"/>
                <w:sz w:val="24"/>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hint="eastAsia" w:ascii="宋体" w:hAnsi="宋体" w:eastAsia="宋体" w:cs="宋体"/>
                <w:color w:val="auto"/>
                <w:sz w:val="24"/>
                <w:highlight w:val="none"/>
              </w:rPr>
            </w:pPr>
          </w:p>
        </w:tc>
        <w:tc>
          <w:tcPr>
            <w:tcW w:w="100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hint="eastAsia" w:ascii="宋体" w:hAnsi="宋体" w:eastAsia="宋体" w:cs="宋体"/>
                <w:color w:val="auto"/>
                <w:sz w:val="24"/>
                <w:highlight w:val="none"/>
              </w:rPr>
            </w:pPr>
          </w:p>
        </w:tc>
        <w:tc>
          <w:tcPr>
            <w:tcW w:w="1663"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hint="eastAsia" w:ascii="宋体" w:hAnsi="宋体" w:eastAsia="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hint="eastAsia" w:ascii="宋体" w:hAnsi="宋体" w:eastAsia="宋体" w:cs="宋体"/>
                <w:color w:val="auto"/>
                <w:sz w:val="24"/>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hint="eastAsia" w:ascii="宋体" w:hAnsi="宋体" w:eastAsia="宋体" w:cs="宋体"/>
                <w:color w:val="auto"/>
                <w:sz w:val="24"/>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hint="eastAsia" w:ascii="宋体" w:hAnsi="宋体" w:eastAsia="宋体" w:cs="宋体"/>
                <w:color w:val="auto"/>
                <w:sz w:val="24"/>
                <w:highlight w:val="none"/>
              </w:rPr>
            </w:pPr>
          </w:p>
        </w:tc>
        <w:tc>
          <w:tcPr>
            <w:tcW w:w="100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hint="eastAsia" w:ascii="宋体" w:hAnsi="宋体" w:eastAsia="宋体" w:cs="宋体"/>
                <w:color w:val="auto"/>
                <w:sz w:val="24"/>
                <w:highlight w:val="none"/>
              </w:rPr>
            </w:pPr>
          </w:p>
        </w:tc>
        <w:tc>
          <w:tcPr>
            <w:tcW w:w="1663"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hint="eastAsia" w:ascii="宋体" w:hAnsi="宋体" w:eastAsia="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hint="eastAsia" w:ascii="宋体" w:hAnsi="宋体" w:eastAsia="宋体" w:cs="宋体"/>
                <w:color w:val="auto"/>
                <w:sz w:val="24"/>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hint="eastAsia" w:ascii="宋体" w:hAnsi="宋体" w:eastAsia="宋体" w:cs="宋体"/>
                <w:color w:val="auto"/>
                <w:sz w:val="24"/>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hint="eastAsia" w:ascii="宋体" w:hAnsi="宋体" w:eastAsia="宋体" w:cs="宋体"/>
                <w:color w:val="auto"/>
                <w:sz w:val="24"/>
                <w:highlight w:val="none"/>
              </w:rPr>
            </w:pPr>
          </w:p>
        </w:tc>
        <w:tc>
          <w:tcPr>
            <w:tcW w:w="100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hint="eastAsia" w:ascii="宋体" w:hAnsi="宋体" w:eastAsia="宋体" w:cs="宋体"/>
                <w:color w:val="auto"/>
                <w:sz w:val="24"/>
                <w:highlight w:val="none"/>
              </w:rPr>
            </w:pPr>
          </w:p>
        </w:tc>
        <w:tc>
          <w:tcPr>
            <w:tcW w:w="1663"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hint="eastAsia" w:ascii="宋体" w:hAnsi="宋体" w:eastAsia="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hint="eastAsia" w:ascii="宋体" w:hAnsi="宋体" w:eastAsia="宋体" w:cs="宋体"/>
                <w:color w:val="auto"/>
                <w:sz w:val="24"/>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hint="eastAsia" w:ascii="宋体" w:hAnsi="宋体" w:eastAsia="宋体" w:cs="宋体"/>
                <w:color w:val="auto"/>
                <w:sz w:val="24"/>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hint="eastAsia" w:ascii="宋体" w:hAnsi="宋体" w:eastAsia="宋体" w:cs="宋体"/>
                <w:color w:val="auto"/>
                <w:sz w:val="24"/>
                <w:highlight w:val="none"/>
              </w:rPr>
            </w:pPr>
          </w:p>
        </w:tc>
        <w:tc>
          <w:tcPr>
            <w:tcW w:w="100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hint="eastAsia" w:ascii="宋体" w:hAnsi="宋体" w:eastAsia="宋体" w:cs="宋体"/>
                <w:color w:val="auto"/>
                <w:sz w:val="24"/>
                <w:highlight w:val="none"/>
              </w:rPr>
            </w:pPr>
          </w:p>
        </w:tc>
        <w:tc>
          <w:tcPr>
            <w:tcW w:w="1663"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hint="eastAsia" w:ascii="宋体" w:hAnsi="宋体" w:eastAsia="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hint="eastAsia" w:ascii="宋体" w:hAnsi="宋体" w:eastAsia="宋体" w:cs="宋体"/>
                <w:color w:val="auto"/>
                <w:sz w:val="24"/>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hint="eastAsia" w:ascii="宋体" w:hAnsi="宋体" w:eastAsia="宋体" w:cs="宋体"/>
                <w:color w:val="auto"/>
                <w:sz w:val="24"/>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hint="eastAsia" w:ascii="宋体" w:hAnsi="宋体" w:eastAsia="宋体" w:cs="宋体"/>
                <w:color w:val="auto"/>
                <w:sz w:val="24"/>
                <w:highlight w:val="none"/>
              </w:rPr>
            </w:pPr>
          </w:p>
        </w:tc>
      </w:tr>
    </w:tbl>
    <w:p>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color w:val="auto"/>
          <w:sz w:val="24"/>
          <w:highlight w:val="none"/>
        </w:rPr>
      </w:pP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注：在填写时，如本表格不适合投标单位的实际情况，可根据本表格式自行划表填写。 </w:t>
      </w:r>
    </w:p>
    <w:p>
      <w:pPr>
        <w:snapToGrid w:val="0"/>
        <w:spacing w:before="50" w:after="120" w:afterLines="50" w:line="360" w:lineRule="auto"/>
        <w:jc w:val="left"/>
        <w:rPr>
          <w:rFonts w:hint="eastAsia" w:ascii="宋体" w:hAnsi="宋体" w:eastAsia="宋体" w:cs="宋体"/>
          <w:color w:val="auto"/>
          <w:sz w:val="24"/>
          <w:highlight w:val="none"/>
        </w:rPr>
      </w:pPr>
    </w:p>
    <w:p>
      <w:pPr>
        <w:pStyle w:val="11"/>
        <w:spacing w:line="360" w:lineRule="auto"/>
        <w:rPr>
          <w:rFonts w:hint="eastAsia" w:ascii="宋体" w:hAnsi="宋体" w:eastAsia="宋体" w:cs="宋体"/>
          <w:color w:val="auto"/>
          <w:highlight w:val="none"/>
        </w:rPr>
      </w:pPr>
    </w:p>
    <w:p>
      <w:pPr>
        <w:spacing w:line="360" w:lineRule="auto"/>
        <w:ind w:leftChars="18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法定代表人签名（或签名章）：                       </w:t>
      </w:r>
    </w:p>
    <w:p>
      <w:pPr>
        <w:spacing w:line="360" w:lineRule="auto"/>
        <w:ind w:leftChars="18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日 期：</w:t>
      </w:r>
    </w:p>
    <w:p>
      <w:pPr>
        <w:spacing w:line="360" w:lineRule="auto"/>
        <w:ind w:leftChars="18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投标人全称（公章）：</w:t>
      </w:r>
    </w:p>
    <w:p>
      <w:pPr>
        <w:spacing w:line="360" w:lineRule="auto"/>
        <w:jc w:val="both"/>
        <w:rPr>
          <w:rFonts w:hint="eastAsia" w:ascii="宋体" w:hAnsi="宋体" w:eastAsia="宋体" w:cs="宋体"/>
          <w:b/>
          <w:color w:val="auto"/>
          <w:kern w:val="0"/>
          <w:sz w:val="36"/>
          <w:szCs w:val="36"/>
          <w:highlight w:val="none"/>
        </w:rPr>
      </w:pPr>
    </w:p>
    <w:p>
      <w:pPr>
        <w:pStyle w:val="3"/>
        <w:bidi w:val="0"/>
        <w:spacing w:line="360" w:lineRule="auto"/>
        <w:jc w:val="center"/>
        <w:rPr>
          <w:rFonts w:hint="eastAsia" w:ascii="宋体" w:hAnsi="宋体" w:eastAsia="宋体" w:cs="宋体"/>
          <w:color w:val="auto"/>
          <w:sz w:val="36"/>
          <w:szCs w:val="22"/>
          <w:highlight w:val="none"/>
          <w:lang w:val="en-US" w:eastAsia="zh-CN"/>
        </w:rPr>
      </w:pPr>
      <w:bookmarkStart w:id="526" w:name="_Toc24357"/>
      <w:r>
        <w:rPr>
          <w:rFonts w:hint="eastAsia" w:ascii="宋体" w:hAnsi="宋体" w:eastAsia="宋体" w:cs="宋体"/>
          <w:color w:val="auto"/>
          <w:sz w:val="36"/>
          <w:szCs w:val="22"/>
          <w:highlight w:val="none"/>
          <w:lang w:val="en-US" w:eastAsia="zh-CN"/>
        </w:rPr>
        <w:t>报价文件</w:t>
      </w:r>
      <w:bookmarkEnd w:id="526"/>
    </w:p>
    <w:p>
      <w:pPr>
        <w:spacing w:line="360" w:lineRule="auto"/>
        <w:jc w:val="center"/>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目录</w:t>
      </w:r>
    </w:p>
    <w:p>
      <w:pPr>
        <w:pStyle w:val="11"/>
        <w:spacing w:line="360" w:lineRule="auto"/>
        <w:ind w:firstLine="723"/>
        <w:rPr>
          <w:rFonts w:hint="eastAsia" w:ascii="宋体" w:hAnsi="宋体" w:eastAsia="宋体" w:cs="宋体"/>
          <w:b/>
          <w:color w:val="auto"/>
          <w:kern w:val="0"/>
          <w:sz w:val="36"/>
          <w:szCs w:val="36"/>
          <w:highlight w:val="none"/>
        </w:rPr>
      </w:pPr>
    </w:p>
    <w:p>
      <w:pPr>
        <w:tabs>
          <w:tab w:val="left" w:pos="1440"/>
          <w:tab w:val="left" w:pos="1620"/>
          <w:tab w:val="left" w:pos="1800"/>
          <w:tab w:val="left" w:pos="1980"/>
        </w:tabs>
        <w:autoSpaceDE w:val="0"/>
        <w:autoSpaceDN w:val="0"/>
        <w:spacing w:line="360" w:lineRule="auto"/>
        <w:ind w:left="400" w:leftChars="200"/>
        <w:textAlignment w:val="bottom"/>
        <w:rPr>
          <w:rFonts w:hint="eastAsia" w:ascii="宋体" w:hAnsi="宋体" w:eastAsia="宋体" w:cs="宋体"/>
          <w:color w:val="auto"/>
          <w:sz w:val="24"/>
          <w:highlight w:val="none"/>
        </w:rPr>
      </w:pPr>
      <w:r>
        <w:rPr>
          <w:rFonts w:hint="eastAsia" w:ascii="宋体" w:hAnsi="宋体" w:eastAsia="宋体" w:cs="宋体"/>
          <w:color w:val="auto"/>
          <w:sz w:val="24"/>
          <w:highlight w:val="none"/>
        </w:rPr>
        <w:t>（1）投标函（格式见附件）；</w:t>
      </w:r>
    </w:p>
    <w:p>
      <w:pPr>
        <w:tabs>
          <w:tab w:val="left" w:pos="1440"/>
          <w:tab w:val="left" w:pos="1620"/>
          <w:tab w:val="left" w:pos="1800"/>
          <w:tab w:val="left" w:pos="1980"/>
        </w:tabs>
        <w:autoSpaceDE w:val="0"/>
        <w:autoSpaceDN w:val="0"/>
        <w:spacing w:line="360" w:lineRule="auto"/>
        <w:ind w:left="400" w:leftChars="200"/>
        <w:textAlignment w:val="bottom"/>
        <w:rPr>
          <w:rFonts w:hint="eastAsia" w:ascii="宋体" w:hAnsi="宋体" w:eastAsia="宋体" w:cs="宋体"/>
          <w:color w:val="auto"/>
          <w:sz w:val="24"/>
          <w:highlight w:val="none"/>
        </w:rPr>
      </w:pPr>
      <w:r>
        <w:rPr>
          <w:rFonts w:hint="eastAsia" w:ascii="宋体" w:hAnsi="宋体" w:eastAsia="宋体" w:cs="宋体"/>
          <w:color w:val="auto"/>
          <w:sz w:val="24"/>
          <w:highlight w:val="none"/>
        </w:rPr>
        <w:t>（2）开标一览表（格式见附件）；</w:t>
      </w:r>
    </w:p>
    <w:p>
      <w:pPr>
        <w:tabs>
          <w:tab w:val="left" w:pos="1440"/>
          <w:tab w:val="left" w:pos="1620"/>
          <w:tab w:val="left" w:pos="1800"/>
          <w:tab w:val="left" w:pos="1980"/>
        </w:tabs>
        <w:autoSpaceDE w:val="0"/>
        <w:autoSpaceDN w:val="0"/>
        <w:spacing w:line="360" w:lineRule="auto"/>
        <w:ind w:left="400" w:leftChars="200"/>
        <w:textAlignment w:val="bottom"/>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）投标报价明细表（格式见附件）；</w:t>
      </w:r>
    </w:p>
    <w:p>
      <w:pPr>
        <w:pStyle w:val="11"/>
        <w:spacing w:line="360" w:lineRule="auto"/>
        <w:ind w:firstLine="560"/>
        <w:rPr>
          <w:rFonts w:hint="eastAsia" w:ascii="宋体" w:hAnsi="宋体" w:eastAsia="宋体" w:cs="宋体"/>
          <w:color w:val="auto"/>
          <w:sz w:val="28"/>
          <w:szCs w:val="28"/>
          <w:highlight w:val="none"/>
        </w:rPr>
      </w:pPr>
    </w:p>
    <w:p>
      <w:pPr>
        <w:pStyle w:val="11"/>
        <w:spacing w:line="360" w:lineRule="auto"/>
        <w:ind w:firstLine="560"/>
        <w:rPr>
          <w:rFonts w:hint="eastAsia" w:ascii="宋体" w:hAnsi="宋体" w:eastAsia="宋体" w:cs="宋体"/>
          <w:color w:val="auto"/>
          <w:sz w:val="28"/>
          <w:szCs w:val="28"/>
          <w:highlight w:val="none"/>
        </w:rPr>
      </w:pPr>
    </w:p>
    <w:p>
      <w:pPr>
        <w:pStyle w:val="11"/>
        <w:spacing w:line="360" w:lineRule="auto"/>
        <w:ind w:firstLine="560"/>
        <w:rPr>
          <w:rFonts w:hint="eastAsia" w:ascii="宋体" w:hAnsi="宋体" w:eastAsia="宋体" w:cs="宋体"/>
          <w:color w:val="auto"/>
          <w:sz w:val="28"/>
          <w:szCs w:val="28"/>
          <w:highlight w:val="none"/>
        </w:rPr>
      </w:pPr>
    </w:p>
    <w:p>
      <w:pPr>
        <w:pStyle w:val="11"/>
        <w:spacing w:line="360" w:lineRule="auto"/>
        <w:ind w:firstLine="560"/>
        <w:rPr>
          <w:rFonts w:hint="eastAsia" w:ascii="宋体" w:hAnsi="宋体" w:eastAsia="宋体" w:cs="宋体"/>
          <w:color w:val="auto"/>
          <w:sz w:val="28"/>
          <w:szCs w:val="28"/>
          <w:highlight w:val="none"/>
        </w:rPr>
      </w:pPr>
    </w:p>
    <w:p>
      <w:pPr>
        <w:pStyle w:val="11"/>
        <w:spacing w:line="360" w:lineRule="auto"/>
        <w:ind w:firstLine="560"/>
        <w:rPr>
          <w:rFonts w:hint="eastAsia" w:ascii="宋体" w:hAnsi="宋体" w:eastAsia="宋体" w:cs="宋体"/>
          <w:color w:val="auto"/>
          <w:sz w:val="28"/>
          <w:szCs w:val="28"/>
          <w:highlight w:val="none"/>
        </w:rPr>
      </w:pPr>
    </w:p>
    <w:p>
      <w:pPr>
        <w:pStyle w:val="11"/>
        <w:spacing w:line="360" w:lineRule="auto"/>
        <w:ind w:firstLine="560"/>
        <w:rPr>
          <w:rFonts w:hint="eastAsia" w:ascii="宋体" w:hAnsi="宋体" w:eastAsia="宋体" w:cs="宋体"/>
          <w:color w:val="auto"/>
          <w:sz w:val="28"/>
          <w:szCs w:val="28"/>
          <w:highlight w:val="none"/>
        </w:rPr>
      </w:pPr>
    </w:p>
    <w:p>
      <w:pPr>
        <w:pStyle w:val="11"/>
        <w:spacing w:line="360" w:lineRule="auto"/>
        <w:ind w:firstLine="560"/>
        <w:rPr>
          <w:rFonts w:hint="eastAsia" w:ascii="宋体" w:hAnsi="宋体" w:eastAsia="宋体" w:cs="宋体"/>
          <w:color w:val="auto"/>
          <w:sz w:val="28"/>
          <w:szCs w:val="28"/>
          <w:highlight w:val="none"/>
        </w:rPr>
      </w:pPr>
    </w:p>
    <w:p>
      <w:pPr>
        <w:pStyle w:val="11"/>
        <w:spacing w:line="360" w:lineRule="auto"/>
        <w:ind w:firstLine="560"/>
        <w:rPr>
          <w:rFonts w:hint="eastAsia" w:ascii="宋体" w:hAnsi="宋体" w:eastAsia="宋体" w:cs="宋体"/>
          <w:color w:val="auto"/>
          <w:sz w:val="28"/>
          <w:szCs w:val="28"/>
          <w:highlight w:val="none"/>
        </w:rPr>
      </w:pPr>
    </w:p>
    <w:p>
      <w:pPr>
        <w:pStyle w:val="11"/>
        <w:spacing w:line="360" w:lineRule="auto"/>
        <w:ind w:firstLine="560"/>
        <w:rPr>
          <w:rFonts w:hint="eastAsia" w:ascii="宋体" w:hAnsi="宋体" w:eastAsia="宋体" w:cs="宋体"/>
          <w:color w:val="auto"/>
          <w:sz w:val="28"/>
          <w:szCs w:val="28"/>
          <w:highlight w:val="none"/>
        </w:rPr>
      </w:pPr>
    </w:p>
    <w:p>
      <w:pPr>
        <w:pStyle w:val="11"/>
        <w:spacing w:line="360" w:lineRule="auto"/>
        <w:ind w:firstLine="560"/>
        <w:rPr>
          <w:rFonts w:hint="eastAsia" w:ascii="宋体" w:hAnsi="宋体" w:eastAsia="宋体" w:cs="宋体"/>
          <w:color w:val="auto"/>
          <w:sz w:val="28"/>
          <w:szCs w:val="28"/>
          <w:highlight w:val="none"/>
        </w:rPr>
      </w:pPr>
    </w:p>
    <w:p>
      <w:pPr>
        <w:pStyle w:val="11"/>
        <w:spacing w:line="360" w:lineRule="auto"/>
        <w:ind w:firstLine="560"/>
        <w:rPr>
          <w:rFonts w:hint="eastAsia" w:ascii="宋体" w:hAnsi="宋体" w:eastAsia="宋体" w:cs="宋体"/>
          <w:color w:val="auto"/>
          <w:sz w:val="28"/>
          <w:szCs w:val="28"/>
          <w:highlight w:val="none"/>
        </w:rPr>
      </w:pPr>
    </w:p>
    <w:p>
      <w:pPr>
        <w:pStyle w:val="11"/>
        <w:spacing w:line="360" w:lineRule="auto"/>
        <w:ind w:firstLine="560"/>
        <w:rPr>
          <w:rFonts w:hint="eastAsia" w:ascii="宋体" w:hAnsi="宋体" w:eastAsia="宋体" w:cs="宋体"/>
          <w:color w:val="auto"/>
          <w:sz w:val="28"/>
          <w:szCs w:val="28"/>
          <w:highlight w:val="none"/>
        </w:rPr>
      </w:pPr>
    </w:p>
    <w:p>
      <w:pPr>
        <w:pStyle w:val="11"/>
        <w:spacing w:line="360" w:lineRule="auto"/>
        <w:ind w:left="0" w:leftChars="0" w:firstLine="0" w:firstLineChars="0"/>
        <w:rPr>
          <w:rFonts w:hint="eastAsia" w:ascii="宋体" w:hAnsi="宋体" w:eastAsia="宋体" w:cs="宋体"/>
          <w:color w:val="auto"/>
          <w:sz w:val="28"/>
          <w:szCs w:val="28"/>
          <w:highlight w:val="none"/>
        </w:rPr>
      </w:pPr>
    </w:p>
    <w:p>
      <w:pPr>
        <w:pStyle w:val="4"/>
        <w:numPr>
          <w:ilvl w:val="0"/>
          <w:numId w:val="0"/>
        </w:numPr>
        <w:bidi w:val="0"/>
        <w:spacing w:line="360" w:lineRule="auto"/>
        <w:outlineLvl w:val="1"/>
        <w:rPr>
          <w:rFonts w:hint="eastAsia" w:ascii="宋体" w:hAnsi="宋体" w:eastAsia="宋体" w:cs="宋体"/>
          <w:color w:val="auto"/>
          <w:highlight w:val="none"/>
          <w:lang w:val="zh-CN" w:eastAsia="zh-CN"/>
        </w:rPr>
      </w:pPr>
      <w:bookmarkStart w:id="527" w:name="_Toc6113"/>
      <w:bookmarkStart w:id="528" w:name="_Toc3094"/>
      <w:r>
        <w:rPr>
          <w:rFonts w:hint="eastAsia" w:ascii="宋体" w:hAnsi="宋体" w:eastAsia="宋体" w:cs="宋体"/>
          <w:color w:val="auto"/>
          <w:highlight w:val="none"/>
          <w:lang w:val="zh-CN" w:eastAsia="zh-CN"/>
        </w:rPr>
        <w:t>附件</w:t>
      </w:r>
      <w:bookmarkStart w:id="529" w:name="_Toc98731770"/>
      <w:bookmarkStart w:id="530" w:name="_Toc130094924"/>
      <w:r>
        <w:rPr>
          <w:rFonts w:hint="eastAsia" w:ascii="宋体" w:hAnsi="宋体" w:eastAsia="宋体" w:cs="宋体"/>
          <w:color w:val="auto"/>
          <w:highlight w:val="none"/>
          <w:lang w:val="en-US" w:eastAsia="zh-CN"/>
        </w:rPr>
        <w:t>十一：</w:t>
      </w:r>
      <w:bookmarkEnd w:id="527"/>
    </w:p>
    <w:p>
      <w:pPr>
        <w:spacing w:line="360" w:lineRule="auto"/>
        <w:jc w:val="center"/>
        <w:rPr>
          <w:rFonts w:hint="eastAsia" w:ascii="宋体" w:hAnsi="宋体" w:eastAsia="宋体" w:cs="宋体"/>
          <w:b/>
          <w:bCs/>
          <w:color w:val="auto"/>
          <w:sz w:val="32"/>
          <w:szCs w:val="32"/>
          <w:highlight w:val="none"/>
          <w:u w:val="none"/>
        </w:rPr>
      </w:pPr>
      <w:r>
        <w:rPr>
          <w:rFonts w:hint="eastAsia" w:ascii="宋体" w:hAnsi="宋体" w:eastAsia="宋体" w:cs="宋体"/>
          <w:b/>
          <w:bCs/>
          <w:color w:val="auto"/>
          <w:sz w:val="32"/>
          <w:szCs w:val="32"/>
          <w:highlight w:val="none"/>
          <w:u w:val="none"/>
        </w:rPr>
        <w:t>投</w:t>
      </w:r>
      <w:r>
        <w:rPr>
          <w:rFonts w:hint="eastAsia" w:ascii="宋体" w:hAnsi="宋体" w:eastAsia="宋体" w:cs="宋体"/>
          <w:b/>
          <w:bCs/>
          <w:color w:val="auto"/>
          <w:sz w:val="32"/>
          <w:szCs w:val="32"/>
          <w:highlight w:val="none"/>
          <w:u w:val="none"/>
          <w:lang w:val="en-US"/>
        </w:rPr>
        <w:t xml:space="preserve"> </w:t>
      </w:r>
      <w:r>
        <w:rPr>
          <w:rFonts w:hint="eastAsia" w:ascii="宋体" w:hAnsi="宋体" w:eastAsia="宋体" w:cs="宋体"/>
          <w:b/>
          <w:bCs/>
          <w:color w:val="auto"/>
          <w:sz w:val="32"/>
          <w:szCs w:val="32"/>
          <w:highlight w:val="none"/>
          <w:u w:val="none"/>
        </w:rPr>
        <w:t>标</w:t>
      </w:r>
      <w:r>
        <w:rPr>
          <w:rFonts w:hint="eastAsia" w:ascii="宋体" w:hAnsi="宋体" w:eastAsia="宋体" w:cs="宋体"/>
          <w:b/>
          <w:bCs/>
          <w:color w:val="auto"/>
          <w:sz w:val="32"/>
          <w:szCs w:val="32"/>
          <w:highlight w:val="none"/>
          <w:u w:val="none"/>
          <w:lang w:val="en-US"/>
        </w:rPr>
        <w:t xml:space="preserve"> </w:t>
      </w:r>
      <w:r>
        <w:rPr>
          <w:rFonts w:hint="eastAsia" w:ascii="宋体" w:hAnsi="宋体" w:eastAsia="宋体" w:cs="宋体"/>
          <w:b/>
          <w:bCs/>
          <w:color w:val="auto"/>
          <w:sz w:val="32"/>
          <w:szCs w:val="32"/>
          <w:highlight w:val="none"/>
          <w:u w:val="none"/>
        </w:rPr>
        <w:t>函</w:t>
      </w:r>
      <w:bookmarkEnd w:id="528"/>
      <w:bookmarkEnd w:id="529"/>
      <w:bookmarkEnd w:id="530"/>
    </w:p>
    <w:p>
      <w:pPr>
        <w:spacing w:line="360" w:lineRule="auto"/>
        <w:ind w:firstLine="480" w:firstLineChars="200"/>
        <w:rPr>
          <w:rFonts w:hint="eastAsia" w:ascii="宋体" w:hAnsi="宋体" w:eastAsia="宋体" w:cs="宋体"/>
          <w:color w:val="auto"/>
          <w:sz w:val="24"/>
          <w:highlight w:val="none"/>
          <w:u w:val="single"/>
        </w:rPr>
      </w:pP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绍兴市上虞杭州湾滨海新城投资开发建设有限公司：</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浙江五洲工程项目管理有限公司</w:t>
      </w:r>
      <w:r>
        <w:rPr>
          <w:rFonts w:hint="eastAsia" w:ascii="宋体" w:hAnsi="宋体" w:eastAsia="宋体" w:cs="宋体"/>
          <w:color w:val="auto"/>
          <w:sz w:val="24"/>
          <w:highlight w:val="none"/>
        </w:rPr>
        <w:t>：</w:t>
      </w:r>
    </w:p>
    <w:p>
      <w:pPr>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我单位认真研究了关于</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的招标文件，包括修改文件（如有）以及全部参考资料和有关附件。我们完全理解并接受招标文件的各项规定和要求，对招标文件的合理性、合法性不再有异议。如招标文件前后有矛盾的，我方完全同意按贵方的理解处理。我单位承诺：</w:t>
      </w:r>
    </w:p>
    <w:p>
      <w:pPr>
        <w:spacing w:line="360" w:lineRule="auto"/>
        <w:ind w:firstLine="576" w:firstLineChars="240"/>
        <w:rPr>
          <w:rFonts w:hint="eastAsia" w:ascii="宋体" w:hAnsi="宋体" w:eastAsia="宋体" w:cs="宋体"/>
          <w:color w:val="auto"/>
          <w:sz w:val="24"/>
          <w:highlight w:val="none"/>
        </w:rPr>
      </w:pPr>
      <w:r>
        <w:rPr>
          <w:rFonts w:hint="eastAsia" w:ascii="宋体" w:hAnsi="宋体" w:eastAsia="宋体" w:cs="宋体"/>
          <w:color w:val="auto"/>
          <w:sz w:val="24"/>
          <w:highlight w:val="none"/>
        </w:rPr>
        <mc:AlternateContent>
          <mc:Choice Requires="wps">
            <w:drawing>
              <wp:anchor distT="0" distB="0" distL="114300" distR="114300" simplePos="0" relativeHeight="251659264" behindDoc="0" locked="0" layoutInCell="0" allowOverlap="1">
                <wp:simplePos x="0" y="0"/>
                <wp:positionH relativeFrom="column">
                  <wp:posOffset>114300</wp:posOffset>
                </wp:positionH>
                <wp:positionV relativeFrom="paragraph">
                  <wp:posOffset>495300</wp:posOffset>
                </wp:positionV>
                <wp:extent cx="635" cy="0"/>
                <wp:effectExtent l="0" t="0" r="0" b="0"/>
                <wp:wrapNone/>
                <wp:docPr id="2" name="直接连接符 2"/>
                <wp:cNvGraphicFramePr/>
                <a:graphic xmlns:a="http://schemas.openxmlformats.org/drawingml/2006/main">
                  <a:graphicData uri="http://schemas.microsoft.com/office/word/2010/wordprocessingShape">
                    <wps:wsp>
                      <wps:cNvCnPr/>
                      <wps:spPr>
                        <a:xfrm>
                          <a:off x="0" y="0"/>
                          <a:ext cx="635" cy="0"/>
                        </a:xfrm>
                        <a:prstGeom prst="line">
                          <a:avLst/>
                        </a:prstGeom>
                        <a:ln w="9525" cap="flat" cmpd="sng">
                          <a:solidFill>
                            <a:srgbClr val="000000"/>
                          </a:solidFill>
                          <a:prstDash val="solid"/>
                          <a:headEnd type="none" w="med" len="med"/>
                          <a:tailEnd type="none" w="med" len="med"/>
                        </a:ln>
                        <a:effectLst/>
                      </wps:spPr>
                      <wps:bodyPr upright="1"/>
                    </wps:wsp>
                  </a:graphicData>
                </a:graphic>
              </wp:anchor>
            </w:drawing>
          </mc:Choice>
          <mc:Fallback>
            <w:pict>
              <v:line id="_x0000_s1026" o:spid="_x0000_s1026" o:spt="20" style="position:absolute;left:0pt;margin-left:9pt;margin-top:39pt;height:0pt;width:0.05pt;z-index:251659264;mso-width-relative:page;mso-height-relative:page;" filled="f" stroked="t" coordsize="21600,21600" o:allowincell="f" o:gfxdata="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6T0kGtIAAAAHAQAADwAAAAAAAAABACAAAAAiAAAAZHJzL2Rvd25yZXYueG1sUEsBAhQAFAAA&#10;AAgAh07iQIScJp71AQAA7gMAAA4AAAAAAAAAAQAgAAAAIQEAAGRycy9lMm9Eb2MueG1sUEsFBgAA&#10;AAAGAAYAWQEAAIgFAAAAAA==&#10;">
                <v:fill on="f" focussize="0,0"/>
                <v:stroke color="#000000" joinstyle="round"/>
                <v:imagedata o:title=""/>
                <o:lock v:ext="edit" aspectratio="f"/>
              </v:line>
            </w:pict>
          </mc:Fallback>
        </mc:AlternateContent>
      </w:r>
      <w:r>
        <w:rPr>
          <w:rFonts w:hint="eastAsia" w:ascii="宋体" w:hAnsi="宋体" w:eastAsia="宋体" w:cs="宋体"/>
          <w:color w:val="auto"/>
          <w:sz w:val="24"/>
          <w:highlight w:val="none"/>
        </w:rPr>
        <w:t>1、一旦我单位中标，我单位愿意承接开标一览表中所列的设备供应及技术服务，交货期为：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天。</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2、我单位同意提供按照</w:t>
      </w:r>
      <w:r>
        <w:rPr>
          <w:rFonts w:hint="eastAsia" w:ascii="宋体" w:hAnsi="宋体" w:eastAsia="宋体" w:cs="宋体"/>
          <w:bCs/>
          <w:color w:val="auto"/>
          <w:sz w:val="24"/>
          <w:highlight w:val="none"/>
        </w:rPr>
        <w:t>采购人的可能要求与其投标有关的一切数据和资料，完全理解采购人不一定要接受最低价者作为中标人</w:t>
      </w:r>
      <w:r>
        <w:rPr>
          <w:rFonts w:hint="eastAsia" w:ascii="宋体" w:hAnsi="宋体" w:eastAsia="宋体" w:cs="宋体"/>
          <w:color w:val="auto"/>
          <w:sz w:val="24"/>
          <w:highlight w:val="none"/>
        </w:rPr>
        <w:t>。</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3、一旦我单位中标，我们保证按照招标文件的要求，完成设备交货、安装、验收并交付使用。</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4、如果我单位中标，我方将按照要求提交履约保证金，严格履行合同义务。</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5、除非另行达成协议并生效，你方的中标通知书和本投标函将构成约束你我双方的合同。</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6、我单位承诺，一旦发生招标文件第二部分第12条规定情形之一的，承担该条款约定的责任。</w:t>
      </w:r>
    </w:p>
    <w:p>
      <w:pPr>
        <w:pStyle w:val="14"/>
        <w:snapToGrid w:val="0"/>
        <w:spacing w:line="360" w:lineRule="auto"/>
        <w:ind w:left="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pPr>
        <w:spacing w:line="360" w:lineRule="auto"/>
        <w:ind w:firstLine="480" w:firstLineChars="200"/>
        <w:rPr>
          <w:rFonts w:hint="eastAsia" w:ascii="宋体" w:hAnsi="宋体" w:eastAsia="宋体" w:cs="宋体"/>
          <w:bCs/>
          <w:color w:val="auto"/>
          <w:sz w:val="24"/>
          <w:szCs w:val="21"/>
          <w:highlight w:val="none"/>
        </w:rPr>
      </w:pPr>
      <w:r>
        <w:rPr>
          <w:rFonts w:hint="eastAsia" w:ascii="宋体" w:hAnsi="宋体" w:eastAsia="宋体" w:cs="宋体"/>
          <w:bCs/>
          <w:color w:val="auto"/>
          <w:sz w:val="24"/>
          <w:szCs w:val="21"/>
          <w:highlight w:val="none"/>
        </w:rPr>
        <w:t>地址：</w:t>
      </w:r>
      <w:r>
        <w:rPr>
          <w:rFonts w:hint="eastAsia" w:ascii="宋体" w:hAnsi="宋体" w:eastAsia="宋体" w:cs="宋体"/>
          <w:bCs/>
          <w:color w:val="auto"/>
          <w:sz w:val="24"/>
          <w:szCs w:val="21"/>
          <w:highlight w:val="none"/>
          <w:u w:val="single"/>
        </w:rPr>
        <w:t xml:space="preserve">                               </w:t>
      </w:r>
      <w:r>
        <w:rPr>
          <w:rFonts w:hint="eastAsia" w:ascii="宋体" w:hAnsi="宋体" w:eastAsia="宋体" w:cs="宋体"/>
          <w:bCs/>
          <w:color w:val="auto"/>
          <w:sz w:val="24"/>
          <w:szCs w:val="21"/>
          <w:highlight w:val="none"/>
        </w:rPr>
        <w:t>邮编：</w:t>
      </w:r>
      <w:r>
        <w:rPr>
          <w:rFonts w:hint="eastAsia" w:ascii="宋体" w:hAnsi="宋体" w:eastAsia="宋体" w:cs="宋体"/>
          <w:bCs/>
          <w:color w:val="auto"/>
          <w:sz w:val="24"/>
          <w:szCs w:val="21"/>
          <w:highlight w:val="none"/>
          <w:u w:val="single"/>
        </w:rPr>
        <w:t xml:space="preserve">                 </w:t>
      </w:r>
    </w:p>
    <w:p>
      <w:pPr>
        <w:spacing w:line="360" w:lineRule="auto"/>
        <w:ind w:firstLine="480" w:firstLineChars="200"/>
        <w:rPr>
          <w:rFonts w:hint="eastAsia" w:ascii="宋体" w:hAnsi="宋体" w:eastAsia="宋体" w:cs="宋体"/>
          <w:bCs/>
          <w:color w:val="auto"/>
          <w:sz w:val="24"/>
          <w:szCs w:val="21"/>
          <w:highlight w:val="none"/>
          <w:u w:val="single"/>
        </w:rPr>
      </w:pPr>
      <w:r>
        <w:rPr>
          <w:rFonts w:hint="eastAsia" w:ascii="宋体" w:hAnsi="宋体" w:eastAsia="宋体" w:cs="宋体"/>
          <w:bCs/>
          <w:color w:val="auto"/>
          <w:sz w:val="24"/>
          <w:szCs w:val="21"/>
          <w:highlight w:val="none"/>
        </w:rPr>
        <w:t>电话：</w:t>
      </w:r>
      <w:r>
        <w:rPr>
          <w:rFonts w:hint="eastAsia" w:ascii="宋体" w:hAnsi="宋体" w:eastAsia="宋体" w:cs="宋体"/>
          <w:bCs/>
          <w:color w:val="auto"/>
          <w:sz w:val="24"/>
          <w:szCs w:val="21"/>
          <w:highlight w:val="none"/>
          <w:u w:val="single"/>
        </w:rPr>
        <w:t xml:space="preserve">                               </w:t>
      </w:r>
      <w:r>
        <w:rPr>
          <w:rFonts w:hint="eastAsia" w:ascii="宋体" w:hAnsi="宋体" w:eastAsia="宋体" w:cs="宋体"/>
          <w:bCs/>
          <w:color w:val="auto"/>
          <w:sz w:val="24"/>
          <w:szCs w:val="21"/>
          <w:highlight w:val="none"/>
        </w:rPr>
        <w:t>传真：</w:t>
      </w:r>
      <w:r>
        <w:rPr>
          <w:rFonts w:hint="eastAsia" w:ascii="宋体" w:hAnsi="宋体" w:eastAsia="宋体" w:cs="宋体"/>
          <w:bCs/>
          <w:color w:val="auto"/>
          <w:sz w:val="24"/>
          <w:szCs w:val="21"/>
          <w:highlight w:val="none"/>
          <w:u w:val="single"/>
        </w:rPr>
        <w:t xml:space="preserve">                 </w:t>
      </w:r>
    </w:p>
    <w:p>
      <w:pPr>
        <w:spacing w:line="360" w:lineRule="auto"/>
        <w:ind w:firstLine="480" w:firstLineChars="200"/>
        <w:rPr>
          <w:rFonts w:hint="eastAsia" w:ascii="宋体" w:hAnsi="宋体" w:eastAsia="宋体" w:cs="宋体"/>
          <w:bCs/>
          <w:color w:val="auto"/>
          <w:sz w:val="24"/>
          <w:szCs w:val="21"/>
          <w:highlight w:val="none"/>
        </w:rPr>
      </w:pPr>
      <w:r>
        <w:rPr>
          <w:rFonts w:hint="eastAsia" w:ascii="宋体" w:hAnsi="宋体" w:eastAsia="宋体" w:cs="宋体"/>
          <w:bCs/>
          <w:color w:val="auto"/>
          <w:sz w:val="24"/>
          <w:szCs w:val="21"/>
          <w:highlight w:val="none"/>
        </w:rPr>
        <w:t>供应商代表姓名：</w:t>
      </w:r>
      <w:r>
        <w:rPr>
          <w:rFonts w:hint="eastAsia" w:ascii="宋体" w:hAnsi="宋体" w:eastAsia="宋体" w:cs="宋体"/>
          <w:bCs/>
          <w:color w:val="auto"/>
          <w:sz w:val="24"/>
          <w:szCs w:val="21"/>
          <w:highlight w:val="none"/>
          <w:u w:val="single"/>
        </w:rPr>
        <w:t xml:space="preserve">                     </w:t>
      </w:r>
      <w:r>
        <w:rPr>
          <w:rFonts w:hint="eastAsia" w:ascii="宋体" w:hAnsi="宋体" w:eastAsia="宋体" w:cs="宋体"/>
          <w:bCs/>
          <w:color w:val="auto"/>
          <w:sz w:val="24"/>
          <w:szCs w:val="21"/>
          <w:highlight w:val="none"/>
        </w:rPr>
        <w:t>职务：</w:t>
      </w:r>
      <w:r>
        <w:rPr>
          <w:rFonts w:hint="eastAsia" w:ascii="宋体" w:hAnsi="宋体" w:eastAsia="宋体" w:cs="宋体"/>
          <w:bCs/>
          <w:color w:val="auto"/>
          <w:sz w:val="24"/>
          <w:szCs w:val="21"/>
          <w:highlight w:val="none"/>
          <w:u w:val="single"/>
        </w:rPr>
        <w:t xml:space="preserve">                 </w:t>
      </w:r>
    </w:p>
    <w:p>
      <w:pPr>
        <w:spacing w:line="360" w:lineRule="auto"/>
        <w:ind w:firstLine="480" w:firstLineChars="200"/>
        <w:rPr>
          <w:rFonts w:hint="eastAsia" w:ascii="宋体" w:hAnsi="宋体" w:eastAsia="宋体" w:cs="宋体"/>
          <w:bCs/>
          <w:color w:val="auto"/>
          <w:sz w:val="24"/>
          <w:szCs w:val="21"/>
          <w:highlight w:val="none"/>
        </w:rPr>
      </w:pPr>
      <w:r>
        <w:rPr>
          <w:rFonts w:hint="eastAsia" w:ascii="宋体" w:hAnsi="宋体" w:eastAsia="宋体" w:cs="宋体"/>
          <w:bCs/>
          <w:color w:val="auto"/>
          <w:sz w:val="24"/>
          <w:szCs w:val="21"/>
          <w:highlight w:val="none"/>
        </w:rPr>
        <w:t>供应商名称</w:t>
      </w:r>
      <w:r>
        <w:rPr>
          <w:rFonts w:hint="eastAsia" w:ascii="宋体" w:hAnsi="宋体" w:eastAsia="宋体" w:cs="宋体"/>
          <w:bCs/>
          <w:color w:val="auto"/>
          <w:sz w:val="24"/>
          <w:szCs w:val="21"/>
          <w:highlight w:val="none"/>
          <w:u w:val="single"/>
        </w:rPr>
        <w:t>：                   　　　</w:t>
      </w:r>
    </w:p>
    <w:p>
      <w:pPr>
        <w:spacing w:line="360" w:lineRule="auto"/>
        <w:ind w:firstLine="480" w:firstLineChars="200"/>
        <w:rPr>
          <w:rFonts w:hint="eastAsia" w:ascii="宋体" w:hAnsi="宋体" w:eastAsia="宋体" w:cs="宋体"/>
          <w:bCs/>
          <w:color w:val="auto"/>
          <w:sz w:val="24"/>
          <w:szCs w:val="21"/>
          <w:highlight w:val="none"/>
        </w:rPr>
      </w:pPr>
      <w:r>
        <w:rPr>
          <w:rFonts w:hint="eastAsia" w:ascii="宋体" w:hAnsi="宋体" w:eastAsia="宋体" w:cs="宋体"/>
          <w:bCs/>
          <w:color w:val="auto"/>
          <w:sz w:val="24"/>
          <w:szCs w:val="21"/>
          <w:highlight w:val="none"/>
        </w:rPr>
        <w:t xml:space="preserve">（公章）：                   </w:t>
      </w:r>
    </w:p>
    <w:p>
      <w:pPr>
        <w:spacing w:line="360" w:lineRule="auto"/>
        <w:ind w:leftChars="18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法定代表人签名（或签名章）：                       </w:t>
      </w:r>
    </w:p>
    <w:p>
      <w:pPr>
        <w:spacing w:line="360" w:lineRule="auto"/>
        <w:ind w:leftChars="18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日 期：</w:t>
      </w:r>
    </w:p>
    <w:p>
      <w:pPr>
        <w:bidi w:val="0"/>
        <w:spacing w:line="360" w:lineRule="auto"/>
        <w:rPr>
          <w:rFonts w:hint="eastAsia" w:ascii="宋体" w:hAnsi="宋体" w:eastAsia="宋体" w:cs="宋体"/>
          <w:color w:val="auto"/>
          <w:highlight w:val="none"/>
          <w:lang w:val="zh-CN" w:eastAsia="zh-CN"/>
        </w:rPr>
      </w:pPr>
      <w:bookmarkStart w:id="531" w:name="_Toc98731771"/>
      <w:bookmarkStart w:id="532" w:name="_Toc12011"/>
      <w:bookmarkStart w:id="533" w:name="_Toc130094925"/>
    </w:p>
    <w:bookmarkEnd w:id="531"/>
    <w:bookmarkEnd w:id="532"/>
    <w:bookmarkEnd w:id="533"/>
    <w:p>
      <w:pPr>
        <w:pStyle w:val="4"/>
        <w:numPr>
          <w:ilvl w:val="0"/>
          <w:numId w:val="0"/>
        </w:numPr>
        <w:bidi w:val="0"/>
        <w:spacing w:line="360" w:lineRule="auto"/>
        <w:outlineLvl w:val="1"/>
        <w:rPr>
          <w:rFonts w:hint="eastAsia" w:ascii="宋体" w:hAnsi="宋体" w:eastAsia="宋体" w:cs="宋体"/>
          <w:color w:val="auto"/>
          <w:highlight w:val="none"/>
        </w:rPr>
      </w:pPr>
      <w:bookmarkStart w:id="534" w:name="_Toc15752"/>
      <w:r>
        <w:rPr>
          <w:rFonts w:hint="eastAsia" w:ascii="宋体" w:hAnsi="宋体" w:eastAsia="宋体" w:cs="宋体"/>
          <w:color w:val="auto"/>
          <w:highlight w:val="none"/>
          <w:lang w:val="zh-CN" w:eastAsia="zh-CN"/>
        </w:rPr>
        <w:t>附件</w:t>
      </w:r>
      <w:r>
        <w:rPr>
          <w:rFonts w:hint="eastAsia" w:ascii="宋体" w:hAnsi="宋体" w:eastAsia="宋体" w:cs="宋体"/>
          <w:color w:val="auto"/>
          <w:highlight w:val="none"/>
          <w:lang w:val="en-US" w:eastAsia="zh-CN"/>
        </w:rPr>
        <w:t>十二：</w:t>
      </w:r>
      <w:bookmarkEnd w:id="534"/>
    </w:p>
    <w:p>
      <w:pPr>
        <w:pStyle w:val="14"/>
        <w:spacing w:line="360" w:lineRule="auto"/>
        <w:jc w:val="center"/>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t>开标一览表</w:t>
      </w:r>
    </w:p>
    <w:p>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项目名称：</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采购编号</w:t>
      </w:r>
      <w:r>
        <w:rPr>
          <w:rFonts w:hint="eastAsia" w:ascii="宋体" w:hAnsi="宋体" w:eastAsia="宋体" w:cs="宋体"/>
          <w:color w:val="auto"/>
          <w:sz w:val="24"/>
          <w:highlight w:val="none"/>
        </w:rPr>
        <w:t xml:space="preserve">：               </w:t>
      </w:r>
    </w:p>
    <w:tbl>
      <w:tblPr>
        <w:tblStyle w:val="3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89"/>
        <w:gridCol w:w="67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79" w:hRule="atLeast"/>
          <w:jc w:val="center"/>
        </w:trPr>
        <w:tc>
          <w:tcPr>
            <w:tcW w:w="2089" w:type="dxa"/>
            <w:noWrap w:val="0"/>
            <w:vAlign w:val="center"/>
          </w:tcPr>
          <w:p>
            <w:pPr>
              <w:pStyle w:val="14"/>
              <w:spacing w:line="360" w:lineRule="auto"/>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投标总价</w:t>
            </w:r>
          </w:p>
        </w:tc>
        <w:tc>
          <w:tcPr>
            <w:tcW w:w="6707" w:type="dxa"/>
            <w:noWrap w:val="0"/>
            <w:vAlign w:val="center"/>
          </w:tcPr>
          <w:p>
            <w:pPr>
              <w:pStyle w:val="14"/>
              <w:spacing w:line="360" w:lineRule="auto"/>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大写：</w:t>
            </w:r>
            <w:r>
              <w:rPr>
                <w:rFonts w:hint="eastAsia" w:ascii="宋体" w:hAnsi="宋体" w:eastAsia="宋体" w:cs="宋体"/>
                <w:b/>
                <w:bCs/>
                <w:color w:val="auto"/>
                <w:sz w:val="24"/>
                <w:highlight w:val="none"/>
                <w:u w:val="single"/>
              </w:rPr>
              <w:t xml:space="preserve">　　　　            </w:t>
            </w:r>
            <w:r>
              <w:rPr>
                <w:rFonts w:hint="eastAsia" w:ascii="宋体" w:hAnsi="宋体" w:eastAsia="宋体" w:cs="宋体"/>
                <w:b/>
                <w:bCs/>
                <w:color w:val="auto"/>
                <w:sz w:val="24"/>
                <w:highlight w:val="none"/>
              </w:rPr>
              <w:t>元（小写：</w:t>
            </w:r>
            <w:r>
              <w:rPr>
                <w:rFonts w:hint="eastAsia" w:ascii="宋体" w:hAnsi="宋体" w:eastAsia="宋体" w:cs="宋体"/>
                <w:b/>
                <w:bCs/>
                <w:color w:val="auto"/>
                <w:sz w:val="24"/>
                <w:highlight w:val="none"/>
                <w:u w:val="single"/>
              </w:rPr>
              <w:t xml:space="preserve">　　　　 </w:t>
            </w:r>
            <w:r>
              <w:rPr>
                <w:rFonts w:hint="eastAsia" w:ascii="宋体" w:hAnsi="宋体" w:eastAsia="宋体" w:cs="宋体"/>
                <w:b/>
                <w:bCs/>
                <w:color w:val="auto"/>
                <w:sz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98" w:hRule="atLeast"/>
          <w:jc w:val="center"/>
        </w:trPr>
        <w:tc>
          <w:tcPr>
            <w:tcW w:w="8796" w:type="dxa"/>
            <w:gridSpan w:val="2"/>
            <w:noWrap w:val="0"/>
            <w:vAlign w:val="center"/>
          </w:tcPr>
          <w:p>
            <w:pPr>
              <w:pStyle w:val="14"/>
              <w:spacing w:line="360" w:lineRule="auto"/>
              <w:ind w:firstLine="480" w:firstLineChars="200"/>
              <w:rPr>
                <w:rFonts w:hint="eastAsia" w:ascii="宋体" w:hAnsi="宋体" w:eastAsia="宋体" w:cs="宋体"/>
                <w:b/>
                <w:bCs/>
                <w:color w:val="auto"/>
                <w:sz w:val="24"/>
                <w:highlight w:val="none"/>
              </w:rPr>
            </w:pPr>
            <w:r>
              <w:rPr>
                <w:rFonts w:hint="eastAsia" w:ascii="宋体" w:hAnsi="宋体" w:eastAsia="宋体" w:cs="宋体"/>
                <w:b w:val="0"/>
                <w:bCs w:val="0"/>
                <w:color w:val="auto"/>
                <w:sz w:val="24"/>
                <w:szCs w:val="24"/>
                <w:highlight w:val="none"/>
                <w:lang w:val="en-US" w:eastAsia="zh-CN"/>
              </w:rPr>
              <w:t>投标报价包括但不限于主材费、包装费、运输费、运输损耗、装卸费、安装费、安装所用水电费、辅料、配件、工具、设计费、保管费、单机调试及联动调试费、第三方检验费、保修费、管理费、相关配合费、现场可能发生的二次搬运费、临时设施费、检验试验费、成品保护费、利润、保险、税金、其他不可预见费等为完成本合同项下所有工作直至竣工验收合格后交付采购人使用所产生</w:t>
            </w:r>
            <w:r>
              <w:rPr>
                <w:rFonts w:hint="eastAsia" w:hAnsi="宋体" w:eastAsia="宋体" w:cs="宋体"/>
                <w:b w:val="0"/>
                <w:bCs w:val="0"/>
                <w:color w:val="auto"/>
                <w:sz w:val="24"/>
                <w:szCs w:val="24"/>
                <w:highlight w:val="none"/>
                <w:lang w:val="en-US" w:eastAsia="zh-CN"/>
              </w:rPr>
              <w:t>的</w:t>
            </w:r>
            <w:r>
              <w:rPr>
                <w:rFonts w:hint="eastAsia" w:ascii="宋体" w:hAnsi="宋体" w:eastAsia="宋体" w:cs="宋体"/>
                <w:b w:val="0"/>
                <w:bCs w:val="0"/>
                <w:color w:val="auto"/>
                <w:sz w:val="24"/>
                <w:szCs w:val="24"/>
                <w:highlight w:val="none"/>
                <w:lang w:val="en-US" w:eastAsia="zh-CN"/>
              </w:rPr>
              <w:t>一切费用以及售后服务费用等</w:t>
            </w:r>
            <w:r>
              <w:rPr>
                <w:rFonts w:hint="eastAsia" w:ascii="宋体" w:hAnsi="宋体" w:eastAsia="宋体" w:cs="宋体"/>
                <w:color w:val="auto"/>
                <w:sz w:val="24"/>
                <w:szCs w:val="24"/>
                <w:highlight w:val="none"/>
              </w:rPr>
              <w:t>。</w:t>
            </w:r>
          </w:p>
        </w:tc>
      </w:tr>
    </w:tbl>
    <w:p>
      <w:pPr>
        <w:pStyle w:val="14"/>
        <w:spacing w:line="360" w:lineRule="auto"/>
        <w:rPr>
          <w:rFonts w:hint="eastAsia" w:ascii="宋体" w:hAnsi="宋体" w:eastAsia="宋体" w:cs="宋体"/>
          <w:color w:val="auto"/>
          <w:sz w:val="24"/>
          <w:highlight w:val="none"/>
        </w:rPr>
      </w:pPr>
    </w:p>
    <w:p>
      <w:pPr>
        <w:pStyle w:val="14"/>
        <w:spacing w:line="360" w:lineRule="auto"/>
        <w:rPr>
          <w:rFonts w:hint="eastAsia" w:ascii="宋体" w:hAnsi="宋体" w:eastAsia="宋体" w:cs="宋体"/>
          <w:color w:val="auto"/>
          <w:sz w:val="24"/>
          <w:highlight w:val="none"/>
        </w:rPr>
      </w:pPr>
    </w:p>
    <w:p>
      <w:pPr>
        <w:pStyle w:val="14"/>
        <w:spacing w:line="360" w:lineRule="auto"/>
        <w:rPr>
          <w:rFonts w:hint="eastAsia" w:ascii="宋体" w:hAnsi="宋体" w:eastAsia="宋体" w:cs="宋体"/>
          <w:color w:val="auto"/>
          <w:sz w:val="24"/>
          <w:highlight w:val="none"/>
        </w:rPr>
      </w:pPr>
    </w:p>
    <w:p>
      <w:pPr>
        <w:spacing w:line="360" w:lineRule="auto"/>
        <w:ind w:leftChars="18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法定代表人签名（或签名章）：                       </w:t>
      </w:r>
    </w:p>
    <w:p>
      <w:pPr>
        <w:spacing w:line="360" w:lineRule="auto"/>
        <w:ind w:leftChars="18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日 期：</w:t>
      </w:r>
    </w:p>
    <w:p>
      <w:pPr>
        <w:spacing w:line="360" w:lineRule="auto"/>
        <w:ind w:leftChars="18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投标人全称（公章）：</w:t>
      </w:r>
    </w:p>
    <w:p>
      <w:pPr>
        <w:snapToGrid w:val="0"/>
        <w:spacing w:line="360" w:lineRule="auto"/>
        <w:ind w:firstLine="435"/>
        <w:rPr>
          <w:rFonts w:hint="eastAsia" w:ascii="宋体" w:hAnsi="宋体" w:eastAsia="宋体" w:cs="宋体"/>
          <w:color w:val="auto"/>
          <w:highlight w:val="none"/>
        </w:rPr>
      </w:pPr>
    </w:p>
    <w:p>
      <w:pPr>
        <w:snapToGrid w:val="0"/>
        <w:spacing w:line="360" w:lineRule="auto"/>
        <w:ind w:firstLine="435"/>
        <w:rPr>
          <w:rFonts w:hint="eastAsia" w:ascii="宋体" w:hAnsi="宋体" w:eastAsia="宋体" w:cs="宋体"/>
          <w:color w:val="auto"/>
          <w:highlight w:val="none"/>
        </w:rPr>
      </w:pPr>
    </w:p>
    <w:p>
      <w:pPr>
        <w:snapToGrid w:val="0"/>
        <w:spacing w:line="360" w:lineRule="auto"/>
        <w:ind w:firstLine="435"/>
        <w:rPr>
          <w:rFonts w:hint="eastAsia" w:ascii="宋体" w:hAnsi="宋体" w:eastAsia="宋体" w:cs="宋体"/>
          <w:color w:val="auto"/>
          <w:highlight w:val="none"/>
        </w:rPr>
      </w:pPr>
    </w:p>
    <w:p>
      <w:pPr>
        <w:snapToGrid w:val="0"/>
        <w:spacing w:line="360" w:lineRule="auto"/>
        <w:ind w:firstLine="435"/>
        <w:rPr>
          <w:rFonts w:hint="eastAsia" w:ascii="宋体" w:hAnsi="宋体" w:eastAsia="宋体" w:cs="宋体"/>
          <w:color w:val="auto"/>
          <w:highlight w:val="none"/>
        </w:rPr>
      </w:pPr>
    </w:p>
    <w:p>
      <w:pPr>
        <w:snapToGrid w:val="0"/>
        <w:spacing w:line="360" w:lineRule="auto"/>
        <w:ind w:firstLine="435"/>
        <w:rPr>
          <w:rFonts w:hint="eastAsia" w:ascii="宋体" w:hAnsi="宋体" w:eastAsia="宋体" w:cs="宋体"/>
          <w:color w:val="auto"/>
          <w:highlight w:val="none"/>
        </w:rPr>
      </w:pPr>
    </w:p>
    <w:p>
      <w:pPr>
        <w:pStyle w:val="4"/>
        <w:numPr>
          <w:ilvl w:val="0"/>
          <w:numId w:val="0"/>
        </w:numPr>
        <w:bidi w:val="0"/>
        <w:spacing w:line="360" w:lineRule="auto"/>
        <w:outlineLvl w:val="1"/>
        <w:rPr>
          <w:rFonts w:hint="eastAsia" w:ascii="宋体" w:hAnsi="宋体" w:eastAsia="宋体" w:cs="宋体"/>
          <w:color w:val="auto"/>
          <w:highlight w:val="none"/>
        </w:rPr>
      </w:pPr>
      <w:r>
        <w:rPr>
          <w:rFonts w:hint="eastAsia" w:ascii="宋体" w:hAnsi="宋体" w:eastAsia="宋体" w:cs="宋体"/>
          <w:color w:val="auto"/>
          <w:highlight w:val="none"/>
        </w:rPr>
        <w:br w:type="page"/>
      </w:r>
      <w:bookmarkStart w:id="535" w:name="_Toc28401"/>
      <w:r>
        <w:rPr>
          <w:rFonts w:hint="eastAsia" w:ascii="宋体" w:hAnsi="宋体" w:eastAsia="宋体" w:cs="宋体"/>
          <w:color w:val="auto"/>
          <w:highlight w:val="none"/>
          <w:lang w:val="zh-CN" w:eastAsia="zh-CN"/>
        </w:rPr>
        <w:t>附件</w:t>
      </w:r>
      <w:r>
        <w:rPr>
          <w:rFonts w:hint="eastAsia" w:ascii="宋体" w:hAnsi="宋体" w:eastAsia="宋体" w:cs="宋体"/>
          <w:color w:val="auto"/>
          <w:highlight w:val="none"/>
          <w:lang w:val="en-US" w:eastAsia="zh-CN"/>
        </w:rPr>
        <w:t>十三：</w:t>
      </w:r>
      <w:bookmarkEnd w:id="535"/>
    </w:p>
    <w:p>
      <w:pPr>
        <w:pStyle w:val="14"/>
        <w:spacing w:line="360" w:lineRule="auto"/>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投标报价明细表</w:t>
      </w:r>
    </w:p>
    <w:p>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项目名称：</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采购编号</w:t>
      </w:r>
      <w:r>
        <w:rPr>
          <w:rFonts w:hint="eastAsia" w:ascii="宋体" w:hAnsi="宋体" w:eastAsia="宋体" w:cs="宋体"/>
          <w:color w:val="auto"/>
          <w:sz w:val="24"/>
          <w:highlight w:val="none"/>
        </w:rPr>
        <w:t xml:space="preserve">：               </w:t>
      </w:r>
    </w:p>
    <w:tbl>
      <w:tblPr>
        <w:tblStyle w:val="3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1080"/>
        <w:gridCol w:w="1944"/>
        <w:gridCol w:w="1830"/>
        <w:gridCol w:w="720"/>
        <w:gridCol w:w="648"/>
        <w:gridCol w:w="1147"/>
        <w:gridCol w:w="11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540" w:type="dxa"/>
            <w:vMerge w:val="restart"/>
            <w:noWrap w:val="0"/>
            <w:vAlign w:val="center"/>
          </w:tcPr>
          <w:p>
            <w:pPr>
              <w:pStyle w:val="14"/>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序</w:t>
            </w:r>
          </w:p>
          <w:p>
            <w:pPr>
              <w:pStyle w:val="14"/>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号</w:t>
            </w:r>
          </w:p>
        </w:tc>
        <w:tc>
          <w:tcPr>
            <w:tcW w:w="1080" w:type="dxa"/>
            <w:vMerge w:val="restart"/>
            <w:noWrap w:val="0"/>
            <w:vAlign w:val="center"/>
          </w:tcPr>
          <w:p>
            <w:pPr>
              <w:pStyle w:val="14"/>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货物</w:t>
            </w:r>
          </w:p>
          <w:p>
            <w:pPr>
              <w:pStyle w:val="14"/>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名称</w:t>
            </w:r>
          </w:p>
        </w:tc>
        <w:tc>
          <w:tcPr>
            <w:tcW w:w="1944" w:type="dxa"/>
            <w:vMerge w:val="restart"/>
            <w:noWrap w:val="0"/>
            <w:vAlign w:val="center"/>
          </w:tcPr>
          <w:p>
            <w:pPr>
              <w:pStyle w:val="14"/>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品牌、</w:t>
            </w:r>
          </w:p>
          <w:p>
            <w:pPr>
              <w:pStyle w:val="14"/>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规格型号</w:t>
            </w:r>
          </w:p>
        </w:tc>
        <w:tc>
          <w:tcPr>
            <w:tcW w:w="1830" w:type="dxa"/>
            <w:vMerge w:val="restart"/>
            <w:noWrap w:val="0"/>
            <w:vAlign w:val="center"/>
          </w:tcPr>
          <w:p>
            <w:pPr>
              <w:pStyle w:val="14"/>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制造商名</w:t>
            </w:r>
          </w:p>
          <w:p>
            <w:pPr>
              <w:pStyle w:val="14"/>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称及产地</w:t>
            </w:r>
          </w:p>
        </w:tc>
        <w:tc>
          <w:tcPr>
            <w:tcW w:w="720" w:type="dxa"/>
            <w:vMerge w:val="restart"/>
            <w:noWrap w:val="0"/>
            <w:vAlign w:val="center"/>
          </w:tcPr>
          <w:p>
            <w:pPr>
              <w:pStyle w:val="14"/>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单</w:t>
            </w:r>
          </w:p>
          <w:p>
            <w:pPr>
              <w:pStyle w:val="14"/>
              <w:spacing w:line="360" w:lineRule="auto"/>
              <w:jc w:val="center"/>
              <w:rPr>
                <w:rFonts w:hint="eastAsia" w:ascii="宋体" w:hAnsi="宋体" w:eastAsia="宋体" w:cs="宋体"/>
                <w:color w:val="auto"/>
                <w:highlight w:val="none"/>
              </w:rPr>
            </w:pPr>
            <w:r>
              <w:rPr>
                <w:rFonts w:hint="eastAsia" w:ascii="宋体" w:hAnsi="宋体" w:eastAsia="宋体" w:cs="宋体"/>
                <w:color w:val="auto"/>
                <w:sz w:val="24"/>
                <w:highlight w:val="none"/>
              </w:rPr>
              <w:t>位</w:t>
            </w:r>
          </w:p>
        </w:tc>
        <w:tc>
          <w:tcPr>
            <w:tcW w:w="648" w:type="dxa"/>
            <w:vMerge w:val="restart"/>
            <w:noWrap w:val="0"/>
            <w:vAlign w:val="center"/>
          </w:tcPr>
          <w:p>
            <w:pPr>
              <w:pStyle w:val="14"/>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数量</w:t>
            </w:r>
          </w:p>
        </w:tc>
        <w:tc>
          <w:tcPr>
            <w:tcW w:w="2270" w:type="dxa"/>
            <w:gridSpan w:val="2"/>
            <w:noWrap w:val="0"/>
            <w:vAlign w:val="center"/>
          </w:tcPr>
          <w:p>
            <w:pPr>
              <w:pStyle w:val="14"/>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投标报价（元）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540" w:type="dxa"/>
            <w:vMerge w:val="continue"/>
            <w:noWrap w:val="0"/>
            <w:vAlign w:val="center"/>
          </w:tcPr>
          <w:p>
            <w:pPr>
              <w:pStyle w:val="14"/>
              <w:spacing w:line="360" w:lineRule="auto"/>
              <w:jc w:val="center"/>
              <w:rPr>
                <w:rFonts w:hint="eastAsia" w:ascii="宋体" w:hAnsi="宋体" w:eastAsia="宋体" w:cs="宋体"/>
                <w:color w:val="auto"/>
                <w:sz w:val="24"/>
                <w:highlight w:val="none"/>
              </w:rPr>
            </w:pPr>
          </w:p>
        </w:tc>
        <w:tc>
          <w:tcPr>
            <w:tcW w:w="1080" w:type="dxa"/>
            <w:vMerge w:val="continue"/>
            <w:noWrap w:val="0"/>
            <w:vAlign w:val="center"/>
          </w:tcPr>
          <w:p>
            <w:pPr>
              <w:pStyle w:val="14"/>
              <w:spacing w:line="360" w:lineRule="auto"/>
              <w:jc w:val="center"/>
              <w:rPr>
                <w:rFonts w:hint="eastAsia" w:ascii="宋体" w:hAnsi="宋体" w:eastAsia="宋体" w:cs="宋体"/>
                <w:color w:val="auto"/>
                <w:sz w:val="24"/>
                <w:highlight w:val="none"/>
              </w:rPr>
            </w:pPr>
          </w:p>
        </w:tc>
        <w:tc>
          <w:tcPr>
            <w:tcW w:w="1944" w:type="dxa"/>
            <w:vMerge w:val="continue"/>
            <w:noWrap w:val="0"/>
            <w:vAlign w:val="center"/>
          </w:tcPr>
          <w:p>
            <w:pPr>
              <w:pStyle w:val="14"/>
              <w:spacing w:line="360" w:lineRule="auto"/>
              <w:jc w:val="center"/>
              <w:rPr>
                <w:rFonts w:hint="eastAsia" w:ascii="宋体" w:hAnsi="宋体" w:eastAsia="宋体" w:cs="宋体"/>
                <w:color w:val="auto"/>
                <w:sz w:val="24"/>
                <w:highlight w:val="none"/>
              </w:rPr>
            </w:pPr>
          </w:p>
        </w:tc>
        <w:tc>
          <w:tcPr>
            <w:tcW w:w="1830" w:type="dxa"/>
            <w:vMerge w:val="continue"/>
            <w:noWrap w:val="0"/>
            <w:vAlign w:val="center"/>
          </w:tcPr>
          <w:p>
            <w:pPr>
              <w:pStyle w:val="14"/>
              <w:spacing w:line="360" w:lineRule="auto"/>
              <w:jc w:val="center"/>
              <w:rPr>
                <w:rFonts w:hint="eastAsia" w:ascii="宋体" w:hAnsi="宋体" w:eastAsia="宋体" w:cs="宋体"/>
                <w:color w:val="auto"/>
                <w:sz w:val="24"/>
                <w:highlight w:val="none"/>
              </w:rPr>
            </w:pPr>
          </w:p>
        </w:tc>
        <w:tc>
          <w:tcPr>
            <w:tcW w:w="720" w:type="dxa"/>
            <w:vMerge w:val="continue"/>
            <w:noWrap w:val="0"/>
            <w:vAlign w:val="center"/>
          </w:tcPr>
          <w:p>
            <w:pPr>
              <w:pStyle w:val="14"/>
              <w:spacing w:line="360" w:lineRule="auto"/>
              <w:jc w:val="center"/>
              <w:rPr>
                <w:rFonts w:hint="eastAsia" w:ascii="宋体" w:hAnsi="宋体" w:eastAsia="宋体" w:cs="宋体"/>
                <w:color w:val="auto"/>
                <w:sz w:val="24"/>
                <w:highlight w:val="none"/>
              </w:rPr>
            </w:pPr>
          </w:p>
        </w:tc>
        <w:tc>
          <w:tcPr>
            <w:tcW w:w="648" w:type="dxa"/>
            <w:vMerge w:val="continue"/>
            <w:noWrap w:val="0"/>
            <w:vAlign w:val="center"/>
          </w:tcPr>
          <w:p>
            <w:pPr>
              <w:pStyle w:val="14"/>
              <w:spacing w:line="360" w:lineRule="auto"/>
              <w:jc w:val="center"/>
              <w:rPr>
                <w:rFonts w:hint="eastAsia" w:ascii="宋体" w:hAnsi="宋体" w:eastAsia="宋体" w:cs="宋体"/>
                <w:color w:val="auto"/>
                <w:sz w:val="24"/>
                <w:highlight w:val="none"/>
              </w:rPr>
            </w:pPr>
          </w:p>
        </w:tc>
        <w:tc>
          <w:tcPr>
            <w:tcW w:w="1147" w:type="dxa"/>
            <w:noWrap w:val="0"/>
            <w:vAlign w:val="center"/>
          </w:tcPr>
          <w:p>
            <w:pPr>
              <w:pStyle w:val="14"/>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单价</w:t>
            </w:r>
          </w:p>
        </w:tc>
        <w:tc>
          <w:tcPr>
            <w:tcW w:w="1123" w:type="dxa"/>
            <w:noWrap w:val="0"/>
            <w:vAlign w:val="center"/>
          </w:tcPr>
          <w:p>
            <w:pPr>
              <w:pStyle w:val="14"/>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小计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540" w:type="dxa"/>
            <w:noWrap w:val="0"/>
            <w:vAlign w:val="center"/>
          </w:tcPr>
          <w:p>
            <w:pPr>
              <w:pStyle w:val="14"/>
              <w:spacing w:line="360" w:lineRule="auto"/>
              <w:jc w:val="center"/>
              <w:rPr>
                <w:rFonts w:hint="eastAsia" w:ascii="宋体" w:hAnsi="宋体" w:eastAsia="宋体" w:cs="宋体"/>
                <w:b/>
                <w:color w:val="auto"/>
                <w:sz w:val="24"/>
                <w:highlight w:val="none"/>
              </w:rPr>
            </w:pPr>
          </w:p>
        </w:tc>
        <w:tc>
          <w:tcPr>
            <w:tcW w:w="1080" w:type="dxa"/>
            <w:noWrap w:val="0"/>
            <w:vAlign w:val="center"/>
          </w:tcPr>
          <w:p>
            <w:pPr>
              <w:pStyle w:val="14"/>
              <w:spacing w:line="360" w:lineRule="auto"/>
              <w:rPr>
                <w:rFonts w:hint="eastAsia" w:ascii="宋体" w:hAnsi="宋体" w:eastAsia="宋体" w:cs="宋体"/>
                <w:b/>
                <w:color w:val="auto"/>
                <w:sz w:val="24"/>
                <w:highlight w:val="none"/>
              </w:rPr>
            </w:pPr>
          </w:p>
        </w:tc>
        <w:tc>
          <w:tcPr>
            <w:tcW w:w="1944" w:type="dxa"/>
            <w:noWrap w:val="0"/>
            <w:vAlign w:val="center"/>
          </w:tcPr>
          <w:p>
            <w:pPr>
              <w:pStyle w:val="14"/>
              <w:spacing w:line="360" w:lineRule="auto"/>
              <w:rPr>
                <w:rFonts w:hint="eastAsia" w:ascii="宋体" w:hAnsi="宋体" w:eastAsia="宋体" w:cs="宋体"/>
                <w:b/>
                <w:color w:val="auto"/>
                <w:sz w:val="24"/>
                <w:highlight w:val="none"/>
              </w:rPr>
            </w:pPr>
          </w:p>
        </w:tc>
        <w:tc>
          <w:tcPr>
            <w:tcW w:w="1830" w:type="dxa"/>
            <w:noWrap w:val="0"/>
            <w:vAlign w:val="center"/>
          </w:tcPr>
          <w:p>
            <w:pPr>
              <w:pStyle w:val="14"/>
              <w:spacing w:line="360" w:lineRule="auto"/>
              <w:rPr>
                <w:rFonts w:hint="eastAsia" w:ascii="宋体" w:hAnsi="宋体" w:eastAsia="宋体" w:cs="宋体"/>
                <w:b/>
                <w:color w:val="auto"/>
                <w:sz w:val="24"/>
                <w:highlight w:val="none"/>
              </w:rPr>
            </w:pPr>
          </w:p>
        </w:tc>
        <w:tc>
          <w:tcPr>
            <w:tcW w:w="720" w:type="dxa"/>
            <w:noWrap w:val="0"/>
            <w:vAlign w:val="center"/>
          </w:tcPr>
          <w:p>
            <w:pPr>
              <w:pStyle w:val="14"/>
              <w:spacing w:line="360" w:lineRule="auto"/>
              <w:rPr>
                <w:rFonts w:hint="eastAsia" w:ascii="宋体" w:hAnsi="宋体" w:eastAsia="宋体" w:cs="宋体"/>
                <w:b/>
                <w:color w:val="auto"/>
                <w:sz w:val="24"/>
                <w:highlight w:val="none"/>
              </w:rPr>
            </w:pPr>
          </w:p>
        </w:tc>
        <w:tc>
          <w:tcPr>
            <w:tcW w:w="648" w:type="dxa"/>
            <w:noWrap w:val="0"/>
            <w:vAlign w:val="center"/>
          </w:tcPr>
          <w:p>
            <w:pPr>
              <w:pStyle w:val="14"/>
              <w:spacing w:line="360" w:lineRule="auto"/>
              <w:rPr>
                <w:rFonts w:hint="eastAsia" w:ascii="宋体" w:hAnsi="宋体" w:eastAsia="宋体" w:cs="宋体"/>
                <w:b/>
                <w:color w:val="auto"/>
                <w:sz w:val="24"/>
                <w:highlight w:val="none"/>
              </w:rPr>
            </w:pPr>
          </w:p>
        </w:tc>
        <w:tc>
          <w:tcPr>
            <w:tcW w:w="1147" w:type="dxa"/>
            <w:noWrap w:val="0"/>
            <w:vAlign w:val="top"/>
          </w:tcPr>
          <w:p>
            <w:pPr>
              <w:pStyle w:val="14"/>
              <w:spacing w:line="360" w:lineRule="auto"/>
              <w:rPr>
                <w:rFonts w:hint="eastAsia" w:ascii="宋体" w:hAnsi="宋体" w:eastAsia="宋体" w:cs="宋体"/>
                <w:color w:val="auto"/>
                <w:sz w:val="24"/>
                <w:highlight w:val="none"/>
              </w:rPr>
            </w:pPr>
          </w:p>
        </w:tc>
        <w:tc>
          <w:tcPr>
            <w:tcW w:w="1123" w:type="dxa"/>
            <w:noWrap w:val="0"/>
            <w:vAlign w:val="top"/>
          </w:tcPr>
          <w:p>
            <w:pPr>
              <w:pStyle w:val="14"/>
              <w:spacing w:line="360" w:lineRule="auto"/>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540" w:type="dxa"/>
            <w:noWrap w:val="0"/>
            <w:vAlign w:val="center"/>
          </w:tcPr>
          <w:p>
            <w:pPr>
              <w:pStyle w:val="14"/>
              <w:spacing w:line="360" w:lineRule="auto"/>
              <w:jc w:val="center"/>
              <w:rPr>
                <w:rFonts w:hint="eastAsia" w:ascii="宋体" w:hAnsi="宋体" w:eastAsia="宋体" w:cs="宋体"/>
                <w:b/>
                <w:color w:val="auto"/>
                <w:sz w:val="24"/>
                <w:highlight w:val="none"/>
              </w:rPr>
            </w:pPr>
          </w:p>
        </w:tc>
        <w:tc>
          <w:tcPr>
            <w:tcW w:w="1080" w:type="dxa"/>
            <w:noWrap w:val="0"/>
            <w:vAlign w:val="center"/>
          </w:tcPr>
          <w:p>
            <w:pPr>
              <w:pStyle w:val="14"/>
              <w:spacing w:line="360" w:lineRule="auto"/>
              <w:rPr>
                <w:rFonts w:hint="eastAsia" w:ascii="宋体" w:hAnsi="宋体" w:eastAsia="宋体" w:cs="宋体"/>
                <w:b/>
                <w:color w:val="auto"/>
                <w:sz w:val="24"/>
                <w:highlight w:val="none"/>
              </w:rPr>
            </w:pPr>
          </w:p>
        </w:tc>
        <w:tc>
          <w:tcPr>
            <w:tcW w:w="1944" w:type="dxa"/>
            <w:noWrap w:val="0"/>
            <w:vAlign w:val="center"/>
          </w:tcPr>
          <w:p>
            <w:pPr>
              <w:pStyle w:val="14"/>
              <w:spacing w:line="360" w:lineRule="auto"/>
              <w:rPr>
                <w:rFonts w:hint="eastAsia" w:ascii="宋体" w:hAnsi="宋体" w:eastAsia="宋体" w:cs="宋体"/>
                <w:b/>
                <w:color w:val="auto"/>
                <w:sz w:val="24"/>
                <w:highlight w:val="none"/>
              </w:rPr>
            </w:pPr>
          </w:p>
        </w:tc>
        <w:tc>
          <w:tcPr>
            <w:tcW w:w="1830" w:type="dxa"/>
            <w:noWrap w:val="0"/>
            <w:vAlign w:val="center"/>
          </w:tcPr>
          <w:p>
            <w:pPr>
              <w:pStyle w:val="14"/>
              <w:spacing w:line="360" w:lineRule="auto"/>
              <w:rPr>
                <w:rFonts w:hint="eastAsia" w:ascii="宋体" w:hAnsi="宋体" w:eastAsia="宋体" w:cs="宋体"/>
                <w:b/>
                <w:color w:val="auto"/>
                <w:sz w:val="24"/>
                <w:highlight w:val="none"/>
              </w:rPr>
            </w:pPr>
          </w:p>
        </w:tc>
        <w:tc>
          <w:tcPr>
            <w:tcW w:w="720" w:type="dxa"/>
            <w:noWrap w:val="0"/>
            <w:vAlign w:val="center"/>
          </w:tcPr>
          <w:p>
            <w:pPr>
              <w:pStyle w:val="14"/>
              <w:spacing w:line="360" w:lineRule="auto"/>
              <w:rPr>
                <w:rFonts w:hint="eastAsia" w:ascii="宋体" w:hAnsi="宋体" w:eastAsia="宋体" w:cs="宋体"/>
                <w:b/>
                <w:color w:val="auto"/>
                <w:sz w:val="24"/>
                <w:highlight w:val="none"/>
              </w:rPr>
            </w:pPr>
          </w:p>
        </w:tc>
        <w:tc>
          <w:tcPr>
            <w:tcW w:w="648" w:type="dxa"/>
            <w:noWrap w:val="0"/>
            <w:vAlign w:val="center"/>
          </w:tcPr>
          <w:p>
            <w:pPr>
              <w:pStyle w:val="14"/>
              <w:spacing w:line="360" w:lineRule="auto"/>
              <w:rPr>
                <w:rFonts w:hint="eastAsia" w:ascii="宋体" w:hAnsi="宋体" w:eastAsia="宋体" w:cs="宋体"/>
                <w:b/>
                <w:color w:val="auto"/>
                <w:sz w:val="24"/>
                <w:highlight w:val="none"/>
              </w:rPr>
            </w:pPr>
          </w:p>
        </w:tc>
        <w:tc>
          <w:tcPr>
            <w:tcW w:w="1147" w:type="dxa"/>
            <w:noWrap w:val="0"/>
            <w:vAlign w:val="top"/>
          </w:tcPr>
          <w:p>
            <w:pPr>
              <w:pStyle w:val="14"/>
              <w:spacing w:line="360" w:lineRule="auto"/>
              <w:rPr>
                <w:rFonts w:hint="eastAsia" w:ascii="宋体" w:hAnsi="宋体" w:eastAsia="宋体" w:cs="宋体"/>
                <w:color w:val="auto"/>
                <w:sz w:val="24"/>
                <w:highlight w:val="none"/>
              </w:rPr>
            </w:pPr>
          </w:p>
        </w:tc>
        <w:tc>
          <w:tcPr>
            <w:tcW w:w="1123" w:type="dxa"/>
            <w:noWrap w:val="0"/>
            <w:vAlign w:val="top"/>
          </w:tcPr>
          <w:p>
            <w:pPr>
              <w:pStyle w:val="14"/>
              <w:spacing w:line="360" w:lineRule="auto"/>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540" w:type="dxa"/>
            <w:noWrap w:val="0"/>
            <w:vAlign w:val="center"/>
          </w:tcPr>
          <w:p>
            <w:pPr>
              <w:pStyle w:val="14"/>
              <w:spacing w:line="360" w:lineRule="auto"/>
              <w:jc w:val="center"/>
              <w:rPr>
                <w:rFonts w:hint="eastAsia" w:ascii="宋体" w:hAnsi="宋体" w:eastAsia="宋体" w:cs="宋体"/>
                <w:b/>
                <w:color w:val="auto"/>
                <w:sz w:val="24"/>
                <w:highlight w:val="none"/>
              </w:rPr>
            </w:pPr>
          </w:p>
        </w:tc>
        <w:tc>
          <w:tcPr>
            <w:tcW w:w="1080" w:type="dxa"/>
            <w:noWrap w:val="0"/>
            <w:vAlign w:val="center"/>
          </w:tcPr>
          <w:p>
            <w:pPr>
              <w:pStyle w:val="14"/>
              <w:spacing w:line="360" w:lineRule="auto"/>
              <w:rPr>
                <w:rFonts w:hint="eastAsia" w:ascii="宋体" w:hAnsi="宋体" w:eastAsia="宋体" w:cs="宋体"/>
                <w:b/>
                <w:color w:val="auto"/>
                <w:sz w:val="24"/>
                <w:highlight w:val="none"/>
              </w:rPr>
            </w:pPr>
          </w:p>
        </w:tc>
        <w:tc>
          <w:tcPr>
            <w:tcW w:w="1944" w:type="dxa"/>
            <w:noWrap w:val="0"/>
            <w:vAlign w:val="center"/>
          </w:tcPr>
          <w:p>
            <w:pPr>
              <w:pStyle w:val="14"/>
              <w:spacing w:line="360" w:lineRule="auto"/>
              <w:rPr>
                <w:rFonts w:hint="eastAsia" w:ascii="宋体" w:hAnsi="宋体" w:eastAsia="宋体" w:cs="宋体"/>
                <w:b/>
                <w:color w:val="auto"/>
                <w:highlight w:val="none"/>
              </w:rPr>
            </w:pPr>
          </w:p>
        </w:tc>
        <w:tc>
          <w:tcPr>
            <w:tcW w:w="1830" w:type="dxa"/>
            <w:noWrap w:val="0"/>
            <w:vAlign w:val="center"/>
          </w:tcPr>
          <w:p>
            <w:pPr>
              <w:pStyle w:val="14"/>
              <w:spacing w:line="360" w:lineRule="auto"/>
              <w:rPr>
                <w:rFonts w:hint="eastAsia" w:ascii="宋体" w:hAnsi="宋体" w:eastAsia="宋体" w:cs="宋体"/>
                <w:b/>
                <w:color w:val="auto"/>
                <w:sz w:val="24"/>
                <w:highlight w:val="none"/>
              </w:rPr>
            </w:pPr>
          </w:p>
        </w:tc>
        <w:tc>
          <w:tcPr>
            <w:tcW w:w="720" w:type="dxa"/>
            <w:noWrap w:val="0"/>
            <w:vAlign w:val="center"/>
          </w:tcPr>
          <w:p>
            <w:pPr>
              <w:pStyle w:val="14"/>
              <w:spacing w:line="360" w:lineRule="auto"/>
              <w:rPr>
                <w:rFonts w:hint="eastAsia" w:ascii="宋体" w:hAnsi="宋体" w:eastAsia="宋体" w:cs="宋体"/>
                <w:b/>
                <w:color w:val="auto"/>
                <w:sz w:val="24"/>
                <w:highlight w:val="none"/>
              </w:rPr>
            </w:pPr>
          </w:p>
        </w:tc>
        <w:tc>
          <w:tcPr>
            <w:tcW w:w="648" w:type="dxa"/>
            <w:noWrap w:val="0"/>
            <w:vAlign w:val="center"/>
          </w:tcPr>
          <w:p>
            <w:pPr>
              <w:pStyle w:val="14"/>
              <w:spacing w:line="360" w:lineRule="auto"/>
              <w:rPr>
                <w:rFonts w:hint="eastAsia" w:ascii="宋体" w:hAnsi="宋体" w:eastAsia="宋体" w:cs="宋体"/>
                <w:b/>
                <w:color w:val="auto"/>
                <w:sz w:val="24"/>
                <w:highlight w:val="none"/>
              </w:rPr>
            </w:pPr>
          </w:p>
        </w:tc>
        <w:tc>
          <w:tcPr>
            <w:tcW w:w="1147" w:type="dxa"/>
            <w:noWrap w:val="0"/>
            <w:vAlign w:val="top"/>
          </w:tcPr>
          <w:p>
            <w:pPr>
              <w:pStyle w:val="14"/>
              <w:spacing w:line="360" w:lineRule="auto"/>
              <w:rPr>
                <w:rFonts w:hint="eastAsia" w:ascii="宋体" w:hAnsi="宋体" w:eastAsia="宋体" w:cs="宋体"/>
                <w:color w:val="auto"/>
                <w:sz w:val="24"/>
                <w:highlight w:val="none"/>
              </w:rPr>
            </w:pPr>
          </w:p>
        </w:tc>
        <w:tc>
          <w:tcPr>
            <w:tcW w:w="1123" w:type="dxa"/>
            <w:noWrap w:val="0"/>
            <w:vAlign w:val="top"/>
          </w:tcPr>
          <w:p>
            <w:pPr>
              <w:pStyle w:val="14"/>
              <w:spacing w:line="360" w:lineRule="auto"/>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40" w:type="dxa"/>
            <w:noWrap w:val="0"/>
            <w:vAlign w:val="top"/>
          </w:tcPr>
          <w:p>
            <w:pPr>
              <w:pStyle w:val="14"/>
              <w:spacing w:line="360" w:lineRule="auto"/>
              <w:rPr>
                <w:rFonts w:hint="eastAsia" w:ascii="宋体" w:hAnsi="宋体" w:eastAsia="宋体" w:cs="宋体"/>
                <w:color w:val="auto"/>
                <w:sz w:val="24"/>
                <w:highlight w:val="none"/>
              </w:rPr>
            </w:pPr>
          </w:p>
        </w:tc>
        <w:tc>
          <w:tcPr>
            <w:tcW w:w="1080" w:type="dxa"/>
            <w:noWrap w:val="0"/>
            <w:vAlign w:val="top"/>
          </w:tcPr>
          <w:p>
            <w:pPr>
              <w:pStyle w:val="14"/>
              <w:spacing w:line="360" w:lineRule="auto"/>
              <w:rPr>
                <w:rFonts w:hint="eastAsia" w:ascii="宋体" w:hAnsi="宋体" w:eastAsia="宋体" w:cs="宋体"/>
                <w:color w:val="auto"/>
                <w:sz w:val="24"/>
                <w:highlight w:val="none"/>
              </w:rPr>
            </w:pPr>
          </w:p>
        </w:tc>
        <w:tc>
          <w:tcPr>
            <w:tcW w:w="1944" w:type="dxa"/>
            <w:noWrap w:val="0"/>
            <w:vAlign w:val="top"/>
          </w:tcPr>
          <w:p>
            <w:pPr>
              <w:pStyle w:val="14"/>
              <w:spacing w:line="360" w:lineRule="auto"/>
              <w:rPr>
                <w:rFonts w:hint="eastAsia" w:ascii="宋体" w:hAnsi="宋体" w:eastAsia="宋体" w:cs="宋体"/>
                <w:color w:val="auto"/>
                <w:sz w:val="24"/>
                <w:highlight w:val="none"/>
              </w:rPr>
            </w:pPr>
          </w:p>
        </w:tc>
        <w:tc>
          <w:tcPr>
            <w:tcW w:w="1830" w:type="dxa"/>
            <w:noWrap w:val="0"/>
            <w:vAlign w:val="top"/>
          </w:tcPr>
          <w:p>
            <w:pPr>
              <w:pStyle w:val="14"/>
              <w:spacing w:line="360" w:lineRule="auto"/>
              <w:rPr>
                <w:rFonts w:hint="eastAsia" w:ascii="宋体" w:hAnsi="宋体" w:eastAsia="宋体" w:cs="宋体"/>
                <w:color w:val="auto"/>
                <w:sz w:val="24"/>
                <w:highlight w:val="none"/>
              </w:rPr>
            </w:pPr>
          </w:p>
        </w:tc>
        <w:tc>
          <w:tcPr>
            <w:tcW w:w="720" w:type="dxa"/>
            <w:noWrap w:val="0"/>
            <w:vAlign w:val="top"/>
          </w:tcPr>
          <w:p>
            <w:pPr>
              <w:pStyle w:val="14"/>
              <w:spacing w:line="360" w:lineRule="auto"/>
              <w:rPr>
                <w:rFonts w:hint="eastAsia" w:ascii="宋体" w:hAnsi="宋体" w:eastAsia="宋体" w:cs="宋体"/>
                <w:color w:val="auto"/>
                <w:sz w:val="24"/>
                <w:highlight w:val="none"/>
              </w:rPr>
            </w:pPr>
          </w:p>
        </w:tc>
        <w:tc>
          <w:tcPr>
            <w:tcW w:w="648" w:type="dxa"/>
            <w:noWrap w:val="0"/>
            <w:vAlign w:val="top"/>
          </w:tcPr>
          <w:p>
            <w:pPr>
              <w:pStyle w:val="14"/>
              <w:spacing w:line="360" w:lineRule="auto"/>
              <w:rPr>
                <w:rFonts w:hint="eastAsia" w:ascii="宋体" w:hAnsi="宋体" w:eastAsia="宋体" w:cs="宋体"/>
                <w:color w:val="auto"/>
                <w:sz w:val="24"/>
                <w:highlight w:val="none"/>
              </w:rPr>
            </w:pPr>
          </w:p>
        </w:tc>
        <w:tc>
          <w:tcPr>
            <w:tcW w:w="1147" w:type="dxa"/>
            <w:noWrap w:val="0"/>
            <w:vAlign w:val="top"/>
          </w:tcPr>
          <w:p>
            <w:pPr>
              <w:pStyle w:val="14"/>
              <w:spacing w:line="360" w:lineRule="auto"/>
              <w:rPr>
                <w:rFonts w:hint="eastAsia" w:ascii="宋体" w:hAnsi="宋体" w:eastAsia="宋体" w:cs="宋体"/>
                <w:color w:val="auto"/>
                <w:sz w:val="24"/>
                <w:highlight w:val="none"/>
              </w:rPr>
            </w:pPr>
          </w:p>
        </w:tc>
        <w:tc>
          <w:tcPr>
            <w:tcW w:w="1123" w:type="dxa"/>
            <w:noWrap w:val="0"/>
            <w:vAlign w:val="top"/>
          </w:tcPr>
          <w:p>
            <w:pPr>
              <w:pStyle w:val="14"/>
              <w:spacing w:line="360" w:lineRule="auto"/>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67" w:hRule="atLeast"/>
          <w:jc w:val="center"/>
        </w:trPr>
        <w:tc>
          <w:tcPr>
            <w:tcW w:w="1620" w:type="dxa"/>
            <w:gridSpan w:val="2"/>
            <w:noWrap w:val="0"/>
            <w:vAlign w:val="center"/>
          </w:tcPr>
          <w:p>
            <w:pPr>
              <w:pStyle w:val="14"/>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投标总价</w:t>
            </w:r>
          </w:p>
        </w:tc>
        <w:tc>
          <w:tcPr>
            <w:tcW w:w="7412" w:type="dxa"/>
            <w:gridSpan w:val="6"/>
            <w:noWrap w:val="0"/>
            <w:vAlign w:val="center"/>
          </w:tcPr>
          <w:p>
            <w:pPr>
              <w:pStyle w:val="14"/>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大写：　　　　                元（小写：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032" w:type="dxa"/>
            <w:gridSpan w:val="8"/>
            <w:noWrap w:val="0"/>
            <w:vAlign w:val="top"/>
          </w:tcPr>
          <w:p>
            <w:pPr>
              <w:pStyle w:val="14"/>
              <w:spacing w:line="360" w:lineRule="auto"/>
              <w:ind w:firstLine="480" w:firstLineChars="200"/>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1、本项目采用固定</w:t>
            </w:r>
            <w:r>
              <w:rPr>
                <w:rFonts w:hint="eastAsia" w:hAnsi="宋体" w:eastAsia="宋体" w:cs="宋体"/>
                <w:b w:val="0"/>
                <w:bCs w:val="0"/>
                <w:color w:val="auto"/>
                <w:kern w:val="2"/>
                <w:sz w:val="24"/>
                <w:szCs w:val="24"/>
                <w:highlight w:val="none"/>
                <w:lang w:val="en-US" w:eastAsia="zh-CN" w:bidi="ar-SA"/>
              </w:rPr>
              <w:t>总价</w:t>
            </w:r>
            <w:r>
              <w:rPr>
                <w:rFonts w:hint="eastAsia" w:ascii="宋体" w:hAnsi="宋体" w:eastAsia="宋体" w:cs="宋体"/>
                <w:b w:val="0"/>
                <w:bCs w:val="0"/>
                <w:color w:val="auto"/>
                <w:kern w:val="2"/>
                <w:sz w:val="24"/>
                <w:szCs w:val="24"/>
                <w:highlight w:val="none"/>
                <w:lang w:val="en-US" w:eastAsia="zh-CN" w:bidi="ar-SA"/>
              </w:rPr>
              <w:t>，</w:t>
            </w:r>
            <w:r>
              <w:rPr>
                <w:rFonts w:hint="eastAsia" w:ascii="宋体" w:hAnsi="宋体" w:eastAsia="宋体" w:cs="宋体"/>
                <w:color w:val="000000"/>
                <w:kern w:val="24"/>
                <w:sz w:val="24"/>
                <w:szCs w:val="24"/>
                <w:highlight w:val="none"/>
              </w:rPr>
              <w:t>除非</w:t>
            </w:r>
            <w:r>
              <w:rPr>
                <w:rFonts w:hint="eastAsia" w:ascii="宋体" w:hAnsi="宋体" w:eastAsia="宋体" w:cs="宋体"/>
                <w:color w:val="000000"/>
                <w:kern w:val="24"/>
                <w:sz w:val="24"/>
                <w:szCs w:val="24"/>
                <w:highlight w:val="none"/>
                <w:lang w:eastAsia="zh-CN"/>
              </w:rPr>
              <w:t>采购人</w:t>
            </w:r>
            <w:r>
              <w:rPr>
                <w:rFonts w:hint="eastAsia" w:ascii="宋体" w:hAnsi="宋体" w:eastAsia="宋体" w:cs="宋体"/>
                <w:color w:val="000000"/>
                <w:kern w:val="24"/>
                <w:sz w:val="24"/>
                <w:szCs w:val="24"/>
                <w:highlight w:val="none"/>
              </w:rPr>
              <w:t>对</w:t>
            </w:r>
            <w:r>
              <w:rPr>
                <w:rFonts w:hint="eastAsia" w:ascii="宋体" w:hAnsi="宋体" w:eastAsia="宋体" w:cs="宋体"/>
                <w:color w:val="000000"/>
                <w:kern w:val="24"/>
                <w:sz w:val="24"/>
                <w:szCs w:val="24"/>
                <w:highlight w:val="none"/>
                <w:lang w:eastAsia="zh-CN"/>
              </w:rPr>
              <w:t>本次供货的范围、数量和技术规格等</w:t>
            </w:r>
            <w:r>
              <w:rPr>
                <w:rFonts w:hint="eastAsia" w:ascii="宋体" w:hAnsi="宋体" w:eastAsia="宋体" w:cs="宋体"/>
                <w:color w:val="000000"/>
                <w:kern w:val="24"/>
                <w:sz w:val="24"/>
                <w:szCs w:val="24"/>
                <w:highlight w:val="none"/>
              </w:rPr>
              <w:t>提出修改</w:t>
            </w:r>
            <w:r>
              <w:rPr>
                <w:rFonts w:hint="eastAsia" w:ascii="宋体" w:hAnsi="宋体" w:eastAsia="宋体" w:cs="宋体"/>
                <w:color w:val="000000"/>
                <w:kern w:val="24"/>
                <w:sz w:val="24"/>
                <w:szCs w:val="24"/>
                <w:highlight w:val="none"/>
                <w:lang w:eastAsia="zh-CN"/>
              </w:rPr>
              <w:t>，否则不予调整价格</w:t>
            </w:r>
            <w:r>
              <w:rPr>
                <w:rFonts w:hint="eastAsia" w:ascii="宋体" w:hAnsi="宋体" w:eastAsia="宋体" w:cs="宋体"/>
                <w:b w:val="0"/>
                <w:bCs w:val="0"/>
                <w:color w:val="auto"/>
                <w:kern w:val="2"/>
                <w:sz w:val="24"/>
                <w:szCs w:val="24"/>
                <w:highlight w:val="none"/>
                <w:lang w:val="en-US" w:eastAsia="zh-CN" w:bidi="ar-SA"/>
              </w:rPr>
              <w:t>。</w:t>
            </w:r>
          </w:p>
          <w:p>
            <w:pPr>
              <w:pStyle w:val="14"/>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b w:val="0"/>
                <w:bCs w:val="0"/>
                <w:color w:val="auto"/>
                <w:kern w:val="2"/>
                <w:sz w:val="24"/>
                <w:szCs w:val="24"/>
                <w:highlight w:val="none"/>
                <w:lang w:val="en-US" w:eastAsia="zh-CN" w:bidi="ar-SA"/>
              </w:rPr>
              <w:t>2、</w:t>
            </w:r>
            <w:r>
              <w:rPr>
                <w:rFonts w:hint="eastAsia" w:ascii="宋体" w:hAnsi="宋体" w:eastAsia="宋体" w:cs="宋体"/>
                <w:b w:val="0"/>
                <w:bCs w:val="0"/>
                <w:color w:val="auto"/>
                <w:sz w:val="24"/>
                <w:szCs w:val="24"/>
                <w:highlight w:val="none"/>
                <w:lang w:val="en-US" w:eastAsia="zh-CN"/>
              </w:rPr>
              <w:t>投标报价包括但不限于主材费、包装费、运输费、运输损耗、装卸费、安装费、安装所用水电费、辅料、配件、工具、设计费、保管费、单机调试及联动调试费、第三方检验费、保修费、管理费、相关配合费、现场可能发生的二次搬运费、临时设施费、检验试验费、成品保护费、利润、保险、税金、其他不可预见费等为完成本合同项下所有工作直至竣工验收合格后交付采购人使用所产生</w:t>
            </w:r>
            <w:r>
              <w:rPr>
                <w:rFonts w:hint="eastAsia" w:hAnsi="宋体" w:eastAsia="宋体" w:cs="宋体"/>
                <w:b w:val="0"/>
                <w:bCs w:val="0"/>
                <w:color w:val="auto"/>
                <w:sz w:val="24"/>
                <w:szCs w:val="24"/>
                <w:highlight w:val="none"/>
                <w:lang w:val="en-US" w:eastAsia="zh-CN"/>
              </w:rPr>
              <w:t>的</w:t>
            </w:r>
            <w:r>
              <w:rPr>
                <w:rFonts w:hint="eastAsia" w:ascii="宋体" w:hAnsi="宋体" w:eastAsia="宋体" w:cs="宋体"/>
                <w:b w:val="0"/>
                <w:bCs w:val="0"/>
                <w:color w:val="auto"/>
                <w:sz w:val="24"/>
                <w:szCs w:val="24"/>
                <w:highlight w:val="none"/>
                <w:lang w:val="en-US" w:eastAsia="zh-CN"/>
              </w:rPr>
              <w:t>一切费用以及售后服务费用等</w:t>
            </w:r>
            <w:r>
              <w:rPr>
                <w:rFonts w:hint="eastAsia" w:ascii="宋体" w:hAnsi="宋体" w:eastAsia="宋体" w:cs="宋体"/>
                <w:b w:val="0"/>
                <w:bCs w:val="0"/>
                <w:color w:val="auto"/>
                <w:kern w:val="2"/>
                <w:sz w:val="24"/>
                <w:szCs w:val="24"/>
                <w:highlight w:val="none"/>
                <w:lang w:val="en-US" w:eastAsia="zh-CN" w:bidi="ar-SA"/>
              </w:rPr>
              <w:t>。</w:t>
            </w:r>
          </w:p>
        </w:tc>
      </w:tr>
    </w:tbl>
    <w:p>
      <w:pPr>
        <w:pStyle w:val="14"/>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注：货物名称包括但不限于主机和标准附件、备品备件、专用工具、安装调试检验、培训、技术服务等，可基于</w:t>
      </w:r>
      <w:r>
        <w:rPr>
          <w:rFonts w:hint="eastAsia" w:hAnsi="宋体" w:eastAsia="宋体" w:cs="宋体"/>
          <w:color w:val="auto"/>
          <w:sz w:val="24"/>
          <w:highlight w:val="none"/>
          <w:lang w:eastAsia="zh-CN"/>
        </w:rPr>
        <w:t>采购需求</w:t>
      </w:r>
      <w:r>
        <w:rPr>
          <w:rFonts w:hint="eastAsia" w:ascii="宋体" w:hAnsi="宋体" w:eastAsia="宋体" w:cs="宋体"/>
          <w:color w:val="auto"/>
          <w:sz w:val="24"/>
          <w:highlight w:val="none"/>
        </w:rPr>
        <w:t>根据投标人</w:t>
      </w:r>
      <w:r>
        <w:rPr>
          <w:rFonts w:hint="eastAsia" w:hAnsi="宋体" w:eastAsia="宋体" w:cs="宋体"/>
          <w:color w:val="auto"/>
          <w:sz w:val="24"/>
          <w:highlight w:val="none"/>
          <w:lang w:eastAsia="zh-CN"/>
        </w:rPr>
        <w:t>对本项目的</w:t>
      </w:r>
      <w:r>
        <w:rPr>
          <w:rFonts w:hint="eastAsia" w:ascii="宋体" w:hAnsi="宋体" w:eastAsia="宋体" w:cs="宋体"/>
          <w:color w:val="auto"/>
          <w:sz w:val="24"/>
          <w:highlight w:val="none"/>
        </w:rPr>
        <w:t>实际</w:t>
      </w:r>
      <w:r>
        <w:rPr>
          <w:rFonts w:hint="eastAsia" w:hAnsi="宋体" w:eastAsia="宋体" w:cs="宋体"/>
          <w:color w:val="auto"/>
          <w:sz w:val="24"/>
          <w:highlight w:val="none"/>
          <w:lang w:eastAsia="zh-CN"/>
        </w:rPr>
        <w:t>了解</w:t>
      </w:r>
      <w:r>
        <w:rPr>
          <w:rFonts w:hint="eastAsia" w:ascii="宋体" w:hAnsi="宋体" w:eastAsia="宋体" w:cs="宋体"/>
          <w:color w:val="auto"/>
          <w:sz w:val="24"/>
          <w:highlight w:val="none"/>
        </w:rPr>
        <w:t>情况</w:t>
      </w:r>
      <w:r>
        <w:rPr>
          <w:rFonts w:hint="eastAsia" w:hAnsi="宋体" w:eastAsia="宋体" w:cs="宋体"/>
          <w:color w:val="auto"/>
          <w:sz w:val="24"/>
          <w:highlight w:val="none"/>
          <w:lang w:eastAsia="zh-CN"/>
        </w:rPr>
        <w:t>及投标人实际情况进行优化和</w:t>
      </w:r>
      <w:r>
        <w:rPr>
          <w:rFonts w:hint="eastAsia" w:ascii="宋体" w:hAnsi="宋体" w:eastAsia="宋体" w:cs="宋体"/>
          <w:color w:val="auto"/>
          <w:sz w:val="24"/>
          <w:highlight w:val="none"/>
        </w:rPr>
        <w:t>调整</w:t>
      </w:r>
      <w:r>
        <w:rPr>
          <w:rFonts w:hint="eastAsia" w:hAnsi="宋体" w:eastAsia="宋体" w:cs="宋体"/>
          <w:color w:val="auto"/>
          <w:sz w:val="24"/>
          <w:highlight w:val="none"/>
          <w:lang w:eastAsia="zh-CN"/>
        </w:rPr>
        <w:t>，但不能低于招标文件的要求</w:t>
      </w:r>
      <w:r>
        <w:rPr>
          <w:rFonts w:hint="eastAsia" w:ascii="宋体" w:hAnsi="宋体" w:eastAsia="宋体" w:cs="宋体"/>
          <w:color w:val="auto"/>
          <w:sz w:val="24"/>
          <w:highlight w:val="none"/>
        </w:rPr>
        <w:t>。</w:t>
      </w:r>
    </w:p>
    <w:p>
      <w:pPr>
        <w:pStyle w:val="14"/>
        <w:spacing w:line="360" w:lineRule="auto"/>
        <w:rPr>
          <w:rFonts w:hint="eastAsia" w:ascii="宋体" w:hAnsi="宋体" w:eastAsia="宋体" w:cs="宋体"/>
          <w:color w:val="auto"/>
          <w:sz w:val="24"/>
          <w:highlight w:val="none"/>
        </w:rPr>
      </w:pPr>
    </w:p>
    <w:p>
      <w:pPr>
        <w:spacing w:line="360" w:lineRule="auto"/>
        <w:ind w:leftChars="18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法定代表人签名（或签名章）：                       </w:t>
      </w:r>
    </w:p>
    <w:p>
      <w:pPr>
        <w:spacing w:line="360" w:lineRule="auto"/>
        <w:ind w:leftChars="18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日 期：</w:t>
      </w:r>
    </w:p>
    <w:p>
      <w:pPr>
        <w:spacing w:line="360" w:lineRule="auto"/>
        <w:ind w:leftChars="18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投标人全称（公章）：</w:t>
      </w:r>
    </w:p>
    <w:sectPr>
      <w:headerReference r:id="rId7"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A1"/>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CS?o｡ﾀ?">
    <w:altName w:val="MS PGothic"/>
    <w:panose1 w:val="00000000000000000000"/>
    <w:charset w:val="80"/>
    <w:family w:val="modern"/>
    <w:pitch w:val="default"/>
    <w:sig w:usb0="00000000" w:usb1="00000000" w:usb2="00000010" w:usb3="00000000" w:csb0="00020000" w:csb1="00000000"/>
  </w:font>
  <w:font w:name="MS PGothic">
    <w:panose1 w:val="020B0600070205080204"/>
    <w:charset w:val="80"/>
    <w:family w:val="auto"/>
    <w:pitch w:val="default"/>
    <w:sig w:usb0="E00002FF" w:usb1="6AC7FDFB" w:usb2="08000012" w:usb3="00000000" w:csb0="4002009F" w:csb1="DFD70000"/>
  </w:font>
  <w:font w:name="Cambria Math">
    <w:panose1 w:val="02040503050406030204"/>
    <w:charset w:val="00"/>
    <w:family w:val="roman"/>
    <w:pitch w:val="default"/>
    <w:sig w:usb0="E00006FF" w:usb1="420024FF" w:usb2="02000000" w:usb3="00000000" w:csb0="2000019F" w:csb1="00000000"/>
  </w:font>
  <w:font w:name="Romantic">
    <w:altName w:val="Segoe Print"/>
    <w:panose1 w:val="00000000000000000000"/>
    <w:charset w:val="02"/>
    <w:family w:val="auto"/>
    <w:pitch w:val="default"/>
    <w:sig w:usb0="00000000" w:usb1="00000000" w:usb2="00000000" w:usb3="00000000" w:csb0="8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rPr>
        <w:rStyle w:val="35"/>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4" name="文本框 10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9"/>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89</w:t>
                          </w:r>
                          <w:r>
                            <w:fldChar w:fldCharType="end"/>
                          </w:r>
                          <w:r>
                            <w:t xml:space="preserve"> 页</w:t>
                          </w:r>
                        </w:p>
                      </w:txbxContent>
                    </wps:txbx>
                    <wps:bodyPr vert="horz" wrap="none" lIns="0" tIns="0" rIns="0" bIns="0" anchor="t" anchorCtr="0" upright="0">
                      <a:spAutoFit/>
                    </wps:bodyPr>
                  </wps:wsp>
                </a:graphicData>
              </a:graphic>
            </wp:anchor>
          </w:drawing>
        </mc:Choice>
        <mc:Fallback>
          <w:pict>
            <v:shape id="文本框 1029"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DOqXm5zwAAAAUBAAAPAAAAAAAA&#10;AAEAIAAAACIAAABkcnMvZG93bnJldi54bWxQSwECFAAUAAAACACHTuJAcj3Rm+IBAADCAwAADgAA&#10;AAAAAAABACAAAAAeAQAAZHJzL2Uyb0RvYy54bWxQSwUGAAAAAAYABgBZAQAAcgUAAAAA&#10;">
              <v:fill on="f" focussize="0,0"/>
              <v:stroke on="f"/>
              <v:imagedata o:title=""/>
              <o:lock v:ext="edit" aspectratio="f"/>
              <v:textbox inset="0mm,0mm,0mm,0mm" style="mso-fit-shape-to-text:t;">
                <w:txbxContent>
                  <w:p>
                    <w:pPr>
                      <w:pStyle w:val="19"/>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89</w:t>
                    </w:r>
                    <w:r>
                      <w:fldChar w:fldCharType="end"/>
                    </w:r>
                    <w:r>
                      <w:t xml:space="preserve"> 页</w:t>
                    </w:r>
                  </w:p>
                </w:txbxContent>
              </v:textbox>
            </v:shape>
          </w:pict>
        </mc:Fallback>
      </mc:AlternateContent>
    </w:r>
  </w:p>
  <w:p>
    <w:pPr>
      <w:pStyle w:val="19"/>
      <w:ind w:right="360" w:firstLine="3600" w:firstLineChars="200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Pr>
    <w:r>
      <w:rPr>
        <w:sz w:val="18"/>
      </w:rPr>
      <mc:AlternateContent>
        <mc:Choice Requires="wps">
          <w:drawing>
            <wp:anchor distT="0" distB="0" distL="114300" distR="114300" simplePos="0" relativeHeight="251661312" behindDoc="0" locked="0" layoutInCell="1" allowOverlap="1">
              <wp:simplePos x="0" y="0"/>
              <wp:positionH relativeFrom="margin">
                <wp:posOffset>2422525</wp:posOffset>
              </wp:positionH>
              <wp:positionV relativeFrom="paragraph">
                <wp:posOffset>0</wp:posOffset>
              </wp:positionV>
              <wp:extent cx="1148080" cy="208280"/>
              <wp:effectExtent l="0" t="0" r="0" b="0"/>
              <wp:wrapNone/>
              <wp:docPr id="37" name="文本框 3"/>
              <wp:cNvGraphicFramePr/>
              <a:graphic xmlns:a="http://schemas.openxmlformats.org/drawingml/2006/main">
                <a:graphicData uri="http://schemas.microsoft.com/office/word/2010/wordprocessingShape">
                  <wps:wsp>
                    <wps:cNvSpPr txBox="1"/>
                    <wps:spPr>
                      <a:xfrm>
                        <a:off x="0" y="0"/>
                        <a:ext cx="1148080" cy="208280"/>
                      </a:xfrm>
                      <a:prstGeom prst="rect">
                        <a:avLst/>
                      </a:prstGeom>
                      <a:noFill/>
                      <a:ln>
                        <a:noFill/>
                      </a:ln>
                      <a:effectLst/>
                    </wps:spPr>
                    <wps:txbx>
                      <w:txbxContent>
                        <w:p>
                          <w:pPr>
                            <w:pStyle w:val="19"/>
                          </w:pPr>
                          <w:r>
                            <w:t xml:space="preserve">第 </w:t>
                          </w:r>
                          <w:r>
                            <w:fldChar w:fldCharType="begin"/>
                          </w:r>
                          <w:r>
                            <w:instrText xml:space="preserve"> PAGE  \* MERGEFORMAT </w:instrText>
                          </w:r>
                          <w:r>
                            <w:fldChar w:fldCharType="separate"/>
                          </w:r>
                          <w:r>
                            <w:t>3</w:t>
                          </w:r>
                          <w:r>
                            <w:fldChar w:fldCharType="end"/>
                          </w:r>
                          <w:r>
                            <w:t xml:space="preserve"> 页 共 </w:t>
                          </w:r>
                          <w:r>
                            <w:fldChar w:fldCharType="begin"/>
                          </w:r>
                          <w:r>
                            <w:instrText xml:space="preserve"> NUMPAGES  \* MERGEFORMAT </w:instrText>
                          </w:r>
                          <w:r>
                            <w:fldChar w:fldCharType="separate"/>
                          </w:r>
                          <w:r>
                            <w:t>89</w:t>
                          </w:r>
                          <w:r>
                            <w:fldChar w:fldCharType="end"/>
                          </w:r>
                          <w:r>
                            <w:t xml:space="preserve"> 页</w:t>
                          </w:r>
                        </w:p>
                      </w:txbxContent>
                    </wps:txbx>
                    <wps:bodyPr vert="horz" wrap="square" lIns="0" tIns="0" rIns="0" bIns="0" anchor="t" anchorCtr="0" upright="0"/>
                  </wps:wsp>
                </a:graphicData>
              </a:graphic>
            </wp:anchor>
          </w:drawing>
        </mc:Choice>
        <mc:Fallback>
          <w:pict>
            <v:shape id="文本框 3" o:spid="_x0000_s1026" o:spt="202" type="#_x0000_t202" style="position:absolute;left:0pt;margin-left:190.75pt;margin-top:0pt;height:16.4pt;width:90.4pt;mso-position-horizontal-relative:margin;z-index:251661312;mso-width-relative:page;mso-height-relative:page;" filled="f" stroked="f" coordsize="21600,21600" o:gfxdata="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AAAAAGRycy9QSwECFAAUAAAACACHTuJAyE0f1NYAAAAHAQAADwAAAAAA&#10;AAABACAAAAAiAAAAZHJzL2Rvd25yZXYueG1sUEsBAhQAFAAAAAgAh07iQEYdY+TcAQAAtAMAAA4A&#10;AAAAAAAAAQAgAAAAJQEAAGRycy9lMm9Eb2MueG1sUEsFBgAAAAAGAAYAWQEAAHMFAAAAAA==&#10;">
              <v:fill on="f" focussize="0,0"/>
              <v:stroke on="f"/>
              <v:imagedata o:title=""/>
              <o:lock v:ext="edit" aspectratio="f"/>
              <v:textbox inset="0mm,0mm,0mm,0mm">
                <w:txbxContent>
                  <w:p>
                    <w:pPr>
                      <w:pStyle w:val="19"/>
                    </w:pPr>
                    <w:r>
                      <w:t xml:space="preserve">第 </w:t>
                    </w:r>
                    <w:r>
                      <w:fldChar w:fldCharType="begin"/>
                    </w:r>
                    <w:r>
                      <w:instrText xml:space="preserve"> PAGE  \* MERGEFORMAT </w:instrText>
                    </w:r>
                    <w:r>
                      <w:fldChar w:fldCharType="separate"/>
                    </w:r>
                    <w:r>
                      <w:t>3</w:t>
                    </w:r>
                    <w:r>
                      <w:fldChar w:fldCharType="end"/>
                    </w:r>
                    <w:r>
                      <w:t xml:space="preserve"> 页 共 </w:t>
                    </w:r>
                    <w:r>
                      <w:fldChar w:fldCharType="begin"/>
                    </w:r>
                    <w:r>
                      <w:instrText xml:space="preserve"> NUMPAGES  \* MERGEFORMAT </w:instrText>
                    </w:r>
                    <w:r>
                      <w:fldChar w:fldCharType="separate"/>
                    </w:r>
                    <w:r>
                      <w:t>89</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8"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19"/>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89</w:t>
                          </w:r>
                          <w:r>
                            <w:fldChar w:fldCharType="end"/>
                          </w:r>
                          <w:r>
                            <w:t xml:space="preserve"> 页</w:t>
                          </w:r>
                        </w:p>
                      </w:txbxContent>
                    </wps:txbx>
                    <wps:bodyPr vert="horz" wrap="none" lIns="0" tIns="0" rIns="0" bIns="0" anchor="t" anchorCtr="0" upright="0">
                      <a:spAutoFit/>
                    </wps:bodyPr>
                  </wps:wsp>
                </a:graphicData>
              </a:graphic>
            </wp:anchor>
          </w:drawing>
        </mc:Choice>
        <mc:Fallback>
          <w:pict>
            <v:shape id="文本框 1"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AAAAAGRycy9QSwECFAAUAAAACACHTuJAzql5uc8AAAAFAQAADwAAAAAA&#10;AAABACAAAAAiAAAAZHJzL2Rvd25yZXYueG1sUEsBAhQAFAAAAAgAh07iQM8THk7jAQAAzQMAAA4A&#10;AAAAAAAAAQAgAAAAHgEAAGRycy9lMm9Eb2MueG1sUEsFBgAAAAAGAAYAWQEAAHMFAAAAAA==&#10;">
              <v:fill on="f" focussize="0,0"/>
              <v:stroke on="f"/>
              <v:imagedata o:title=""/>
              <o:lock v:ext="edit" aspectratio="f"/>
              <v:textbox inset="0mm,0mm,0mm,0mm" style="mso-fit-shape-to-text:t;">
                <w:txbxContent>
                  <w:p>
                    <w:pPr>
                      <w:pStyle w:val="19"/>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89</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pBdr>
        <w:bottom w:val="none" w:color="auto" w:sz="0" w:space="1"/>
      </w:pBdr>
      <w:ind w:left="1080" w:hanging="1080" w:hangingChars="600"/>
      <w:jc w:val="both"/>
      <w:rPr>
        <w:rFonts w:hint="eastAsia"/>
        <w:color w:val="FF0000"/>
      </w:rPr>
    </w:pPr>
    <w:r>
      <w:rPr>
        <w:rFonts w:hint="eastAsia"/>
        <w:color w:val="FF0000"/>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B173AF"/>
    <w:multiLevelType w:val="singleLevel"/>
    <w:tmpl w:val="84B173AF"/>
    <w:lvl w:ilvl="0" w:tentative="0">
      <w:start w:val="1"/>
      <w:numFmt w:val="decimal"/>
      <w:suff w:val="nothing"/>
      <w:lvlText w:val="%1．"/>
      <w:lvlJc w:val="left"/>
      <w:pPr>
        <w:ind w:left="0" w:firstLine="40"/>
      </w:pPr>
      <w:rPr>
        <w:rFonts w:hint="default"/>
      </w:rPr>
    </w:lvl>
  </w:abstractNum>
  <w:abstractNum w:abstractNumId="1">
    <w:nsid w:val="8CA00E09"/>
    <w:multiLevelType w:val="singleLevel"/>
    <w:tmpl w:val="8CA00E09"/>
    <w:lvl w:ilvl="0" w:tentative="0">
      <w:start w:val="1"/>
      <w:numFmt w:val="decimalEnclosedCircleChinese"/>
      <w:suff w:val="nothing"/>
      <w:lvlText w:val="%1　"/>
      <w:lvlJc w:val="left"/>
      <w:pPr>
        <w:ind w:left="0" w:firstLine="1134"/>
      </w:pPr>
      <w:rPr>
        <w:rFonts w:hint="eastAsia"/>
      </w:rPr>
    </w:lvl>
  </w:abstractNum>
  <w:abstractNum w:abstractNumId="2">
    <w:nsid w:val="9577F733"/>
    <w:multiLevelType w:val="singleLevel"/>
    <w:tmpl w:val="9577F733"/>
    <w:lvl w:ilvl="0" w:tentative="0">
      <w:start w:val="1"/>
      <w:numFmt w:val="decimal"/>
      <w:suff w:val="nothing"/>
      <w:lvlText w:val="10.%1 "/>
      <w:lvlJc w:val="left"/>
      <w:pPr>
        <w:tabs>
          <w:tab w:val="left" w:pos="0"/>
        </w:tabs>
        <w:ind w:left="0" w:firstLine="40"/>
      </w:pPr>
      <w:rPr>
        <w:rFonts w:hint="default" w:ascii="宋体" w:hAnsi="宋体" w:eastAsia="宋体" w:cs="宋体"/>
      </w:rPr>
    </w:lvl>
  </w:abstractNum>
  <w:abstractNum w:abstractNumId="3">
    <w:nsid w:val="960C84E7"/>
    <w:multiLevelType w:val="singleLevel"/>
    <w:tmpl w:val="960C84E7"/>
    <w:lvl w:ilvl="0" w:tentative="0">
      <w:start w:val="1"/>
      <w:numFmt w:val="decimal"/>
      <w:suff w:val="nothing"/>
      <w:lvlText w:val="14.%1 "/>
      <w:lvlJc w:val="left"/>
      <w:pPr>
        <w:tabs>
          <w:tab w:val="left" w:pos="0"/>
        </w:tabs>
        <w:ind w:left="0" w:firstLine="40"/>
      </w:pPr>
      <w:rPr>
        <w:rFonts w:hint="default" w:ascii="宋体" w:hAnsi="宋体" w:eastAsia="宋体" w:cs="宋体"/>
      </w:rPr>
    </w:lvl>
  </w:abstractNum>
  <w:abstractNum w:abstractNumId="4">
    <w:nsid w:val="A51B0742"/>
    <w:multiLevelType w:val="singleLevel"/>
    <w:tmpl w:val="A51B0742"/>
    <w:lvl w:ilvl="0" w:tentative="0">
      <w:start w:val="1"/>
      <w:numFmt w:val="decimalEnclosedCircleChinese"/>
      <w:suff w:val="nothing"/>
      <w:lvlText w:val="%1　"/>
      <w:lvlJc w:val="left"/>
      <w:pPr>
        <w:ind w:left="0" w:firstLine="1134"/>
      </w:pPr>
      <w:rPr>
        <w:rFonts w:hint="eastAsia"/>
      </w:rPr>
    </w:lvl>
  </w:abstractNum>
  <w:abstractNum w:abstractNumId="5">
    <w:nsid w:val="A623EEB2"/>
    <w:multiLevelType w:val="singleLevel"/>
    <w:tmpl w:val="A623EEB2"/>
    <w:lvl w:ilvl="0" w:tentative="0">
      <w:start w:val="1"/>
      <w:numFmt w:val="decimal"/>
      <w:suff w:val="nothing"/>
      <w:lvlText w:val="4.%1 "/>
      <w:lvlJc w:val="left"/>
      <w:pPr>
        <w:tabs>
          <w:tab w:val="left" w:pos="0"/>
        </w:tabs>
        <w:ind w:left="0" w:firstLine="40"/>
      </w:pPr>
      <w:rPr>
        <w:rFonts w:hint="default" w:ascii="宋体" w:hAnsi="宋体" w:eastAsia="宋体" w:cs="宋体"/>
      </w:rPr>
    </w:lvl>
  </w:abstractNum>
  <w:abstractNum w:abstractNumId="6">
    <w:nsid w:val="B1D5DF35"/>
    <w:multiLevelType w:val="singleLevel"/>
    <w:tmpl w:val="B1D5DF35"/>
    <w:lvl w:ilvl="0" w:tentative="0">
      <w:start w:val="2"/>
      <w:numFmt w:val="decimal"/>
      <w:suff w:val="nothing"/>
      <w:lvlText w:val="（%1）"/>
      <w:lvlJc w:val="left"/>
    </w:lvl>
  </w:abstractNum>
  <w:abstractNum w:abstractNumId="7">
    <w:nsid w:val="C1BDB196"/>
    <w:multiLevelType w:val="singleLevel"/>
    <w:tmpl w:val="C1BDB196"/>
    <w:lvl w:ilvl="0" w:tentative="0">
      <w:start w:val="1"/>
      <w:numFmt w:val="decimal"/>
      <w:suff w:val="nothing"/>
      <w:lvlText w:val="%1、"/>
      <w:lvlJc w:val="left"/>
    </w:lvl>
  </w:abstractNum>
  <w:abstractNum w:abstractNumId="8">
    <w:nsid w:val="C65771D8"/>
    <w:multiLevelType w:val="singleLevel"/>
    <w:tmpl w:val="C65771D8"/>
    <w:lvl w:ilvl="0" w:tentative="0">
      <w:start w:val="1"/>
      <w:numFmt w:val="decimal"/>
      <w:suff w:val="nothing"/>
      <w:lvlText w:val="19.%1 "/>
      <w:lvlJc w:val="left"/>
      <w:pPr>
        <w:tabs>
          <w:tab w:val="left" w:pos="0"/>
        </w:tabs>
        <w:ind w:left="0" w:firstLine="40"/>
      </w:pPr>
      <w:rPr>
        <w:rFonts w:hint="default" w:ascii="宋体" w:hAnsi="宋体" w:eastAsia="宋体" w:cs="宋体"/>
      </w:rPr>
    </w:lvl>
  </w:abstractNum>
  <w:abstractNum w:abstractNumId="9">
    <w:nsid w:val="C88B87FA"/>
    <w:multiLevelType w:val="singleLevel"/>
    <w:tmpl w:val="C88B87FA"/>
    <w:lvl w:ilvl="0" w:tentative="0">
      <w:start w:val="1"/>
      <w:numFmt w:val="decimal"/>
      <w:suff w:val="nothing"/>
      <w:lvlText w:val="22.%1 "/>
      <w:lvlJc w:val="left"/>
      <w:pPr>
        <w:tabs>
          <w:tab w:val="left" w:pos="0"/>
        </w:tabs>
        <w:ind w:left="0" w:firstLine="40"/>
      </w:pPr>
      <w:rPr>
        <w:rFonts w:hint="default" w:ascii="宋体" w:hAnsi="宋体" w:eastAsia="宋体" w:cs="宋体"/>
      </w:rPr>
    </w:lvl>
  </w:abstractNum>
  <w:abstractNum w:abstractNumId="10">
    <w:nsid w:val="CA005832"/>
    <w:multiLevelType w:val="singleLevel"/>
    <w:tmpl w:val="CA005832"/>
    <w:lvl w:ilvl="0" w:tentative="0">
      <w:start w:val="1"/>
      <w:numFmt w:val="decimal"/>
      <w:suff w:val="nothing"/>
      <w:lvlText w:val="6.%1 "/>
      <w:lvlJc w:val="left"/>
      <w:pPr>
        <w:tabs>
          <w:tab w:val="left" w:pos="0"/>
        </w:tabs>
        <w:ind w:left="0" w:firstLine="40"/>
      </w:pPr>
      <w:rPr>
        <w:rFonts w:hint="default" w:ascii="宋体" w:hAnsi="宋体" w:eastAsia="宋体" w:cs="宋体"/>
      </w:rPr>
    </w:lvl>
  </w:abstractNum>
  <w:abstractNum w:abstractNumId="11">
    <w:nsid w:val="D5C663A9"/>
    <w:multiLevelType w:val="singleLevel"/>
    <w:tmpl w:val="D5C663A9"/>
    <w:lvl w:ilvl="0" w:tentative="0">
      <w:start w:val="1"/>
      <w:numFmt w:val="decimalEnclosedCircleChinese"/>
      <w:suff w:val="nothing"/>
      <w:lvlText w:val="%1　"/>
      <w:lvlJc w:val="left"/>
      <w:pPr>
        <w:ind w:left="0" w:firstLine="1134"/>
      </w:pPr>
      <w:rPr>
        <w:rFonts w:hint="eastAsia"/>
      </w:rPr>
    </w:lvl>
  </w:abstractNum>
  <w:abstractNum w:abstractNumId="12">
    <w:nsid w:val="DFFA6076"/>
    <w:multiLevelType w:val="singleLevel"/>
    <w:tmpl w:val="DFFA6076"/>
    <w:lvl w:ilvl="0" w:tentative="0">
      <w:start w:val="1"/>
      <w:numFmt w:val="decimal"/>
      <w:lvlText w:val="%1)"/>
      <w:lvlJc w:val="left"/>
      <w:pPr>
        <w:ind w:left="425" w:hanging="425"/>
      </w:pPr>
      <w:rPr>
        <w:rFonts w:hint="default"/>
      </w:rPr>
    </w:lvl>
  </w:abstractNum>
  <w:abstractNum w:abstractNumId="13">
    <w:nsid w:val="E3D28C86"/>
    <w:multiLevelType w:val="singleLevel"/>
    <w:tmpl w:val="E3D28C86"/>
    <w:lvl w:ilvl="0" w:tentative="0">
      <w:start w:val="1"/>
      <w:numFmt w:val="decimal"/>
      <w:suff w:val="nothing"/>
      <w:lvlText w:val="18.%1 "/>
      <w:lvlJc w:val="left"/>
      <w:pPr>
        <w:tabs>
          <w:tab w:val="left" w:pos="0"/>
        </w:tabs>
        <w:ind w:left="0" w:firstLine="40"/>
      </w:pPr>
      <w:rPr>
        <w:rFonts w:hint="default" w:ascii="宋体" w:hAnsi="宋体" w:eastAsia="宋体" w:cs="宋体"/>
      </w:rPr>
    </w:lvl>
  </w:abstractNum>
  <w:abstractNum w:abstractNumId="14">
    <w:nsid w:val="EDC34A36"/>
    <w:multiLevelType w:val="singleLevel"/>
    <w:tmpl w:val="EDC34A36"/>
    <w:lvl w:ilvl="0" w:tentative="0">
      <w:start w:val="1"/>
      <w:numFmt w:val="decimal"/>
      <w:suff w:val="nothing"/>
      <w:lvlText w:val="12.%1 "/>
      <w:lvlJc w:val="left"/>
      <w:pPr>
        <w:tabs>
          <w:tab w:val="left" w:pos="0"/>
        </w:tabs>
        <w:ind w:left="0" w:firstLine="40"/>
      </w:pPr>
      <w:rPr>
        <w:rFonts w:hint="default" w:ascii="宋体" w:hAnsi="宋体" w:eastAsia="宋体" w:cs="宋体"/>
      </w:rPr>
    </w:lvl>
  </w:abstractNum>
  <w:abstractNum w:abstractNumId="15">
    <w:nsid w:val="00000001"/>
    <w:multiLevelType w:val="singleLevel"/>
    <w:tmpl w:val="00000001"/>
    <w:lvl w:ilvl="0" w:tentative="0">
      <w:start w:val="0"/>
      <w:numFmt w:val="bullet"/>
      <w:lvlText w:val="-"/>
      <w:lvlJc w:val="left"/>
      <w:pPr>
        <w:tabs>
          <w:tab w:val="left" w:pos="1211"/>
        </w:tabs>
        <w:ind w:left="1191" w:hanging="340"/>
      </w:pPr>
      <w:rPr>
        <w:rFonts w:hint="default" w:ascii="Times New Roman" w:hAnsi="Times New Roman"/>
      </w:rPr>
    </w:lvl>
  </w:abstractNum>
  <w:abstractNum w:abstractNumId="16">
    <w:nsid w:val="00000002"/>
    <w:multiLevelType w:val="singleLevel"/>
    <w:tmpl w:val="00000002"/>
    <w:lvl w:ilvl="0" w:tentative="0">
      <w:start w:val="0"/>
      <w:numFmt w:val="bullet"/>
      <w:lvlText w:val="-"/>
      <w:lvlJc w:val="left"/>
      <w:pPr>
        <w:tabs>
          <w:tab w:val="left" w:pos="1211"/>
        </w:tabs>
        <w:ind w:left="1191" w:hanging="340"/>
      </w:pPr>
      <w:rPr>
        <w:rFonts w:hint="default" w:ascii="Times New Roman" w:hAnsi="Times New Roman"/>
      </w:rPr>
    </w:lvl>
  </w:abstractNum>
  <w:abstractNum w:abstractNumId="17">
    <w:nsid w:val="00000004"/>
    <w:multiLevelType w:val="singleLevel"/>
    <w:tmpl w:val="00000004"/>
    <w:lvl w:ilvl="0" w:tentative="0">
      <w:start w:val="0"/>
      <w:numFmt w:val="bullet"/>
      <w:lvlText w:val="-"/>
      <w:lvlJc w:val="left"/>
      <w:pPr>
        <w:tabs>
          <w:tab w:val="left" w:pos="1211"/>
        </w:tabs>
        <w:ind w:left="1191" w:hanging="340"/>
      </w:pPr>
      <w:rPr>
        <w:rFonts w:hint="default" w:ascii="Times New Roman" w:hAnsi="Times New Roman"/>
      </w:rPr>
    </w:lvl>
  </w:abstractNum>
  <w:abstractNum w:abstractNumId="18">
    <w:nsid w:val="00000007"/>
    <w:multiLevelType w:val="singleLevel"/>
    <w:tmpl w:val="00000007"/>
    <w:lvl w:ilvl="0" w:tentative="0">
      <w:start w:val="4"/>
      <w:numFmt w:val="chineseCounting"/>
      <w:suff w:val="nothing"/>
      <w:lvlText w:val="%1、"/>
      <w:lvlJc w:val="left"/>
      <w:rPr>
        <w:color w:val="auto"/>
      </w:rPr>
    </w:lvl>
  </w:abstractNum>
  <w:abstractNum w:abstractNumId="19">
    <w:nsid w:val="0000000E"/>
    <w:multiLevelType w:val="multilevel"/>
    <w:tmpl w:val="0000000E"/>
    <w:lvl w:ilvl="0" w:tentative="0">
      <w:start w:val="1"/>
      <w:numFmt w:val="bullet"/>
      <w:lvlText w:val=""/>
      <w:lvlJc w:val="left"/>
      <w:pPr>
        <w:tabs>
          <w:tab w:val="left" w:pos="900"/>
        </w:tabs>
        <w:ind w:left="900" w:hanging="420"/>
      </w:pPr>
      <w:rPr>
        <w:rFonts w:hint="default" w:ascii="Wingdings" w:hAnsi="Wingdings"/>
      </w:rPr>
    </w:lvl>
    <w:lvl w:ilvl="1" w:tentative="0">
      <w:start w:val="1"/>
      <w:numFmt w:val="bullet"/>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20">
    <w:nsid w:val="0486B618"/>
    <w:multiLevelType w:val="singleLevel"/>
    <w:tmpl w:val="0486B618"/>
    <w:lvl w:ilvl="0" w:tentative="0">
      <w:start w:val="1"/>
      <w:numFmt w:val="decimalEnclosedCircleChinese"/>
      <w:suff w:val="nothing"/>
      <w:lvlText w:val="%1　"/>
      <w:lvlJc w:val="left"/>
      <w:pPr>
        <w:ind w:left="0" w:firstLine="1134"/>
      </w:pPr>
      <w:rPr>
        <w:rFonts w:hint="eastAsia"/>
      </w:rPr>
    </w:lvl>
  </w:abstractNum>
  <w:abstractNum w:abstractNumId="21">
    <w:nsid w:val="06C7552D"/>
    <w:multiLevelType w:val="singleLevel"/>
    <w:tmpl w:val="06C7552D"/>
    <w:lvl w:ilvl="0" w:tentative="0">
      <w:start w:val="1"/>
      <w:numFmt w:val="bullet"/>
      <w:lvlText w:val=""/>
      <w:lvlJc w:val="left"/>
      <w:pPr>
        <w:ind w:left="420" w:hanging="420"/>
      </w:pPr>
      <w:rPr>
        <w:rFonts w:hint="default" w:ascii="Wingdings" w:hAnsi="Wingdings"/>
      </w:rPr>
    </w:lvl>
  </w:abstractNum>
  <w:abstractNum w:abstractNumId="22">
    <w:nsid w:val="139B6DF6"/>
    <w:multiLevelType w:val="singleLevel"/>
    <w:tmpl w:val="139B6DF6"/>
    <w:lvl w:ilvl="0" w:tentative="0">
      <w:start w:val="1"/>
      <w:numFmt w:val="decimal"/>
      <w:suff w:val="nothing"/>
      <w:lvlText w:val="9.%1 "/>
      <w:lvlJc w:val="left"/>
      <w:pPr>
        <w:tabs>
          <w:tab w:val="left" w:pos="0"/>
        </w:tabs>
        <w:ind w:left="0" w:firstLine="40"/>
      </w:pPr>
      <w:rPr>
        <w:rFonts w:hint="default" w:ascii="宋体" w:hAnsi="宋体" w:eastAsia="宋体" w:cs="宋体"/>
      </w:rPr>
    </w:lvl>
  </w:abstractNum>
  <w:abstractNum w:abstractNumId="23">
    <w:nsid w:val="168230C5"/>
    <w:multiLevelType w:val="multilevel"/>
    <w:tmpl w:val="168230C5"/>
    <w:lvl w:ilvl="0" w:tentative="0">
      <w:start w:val="1"/>
      <w:numFmt w:val="chineseCountingThousand"/>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4">
    <w:nsid w:val="1EC1A361"/>
    <w:multiLevelType w:val="singleLevel"/>
    <w:tmpl w:val="1EC1A361"/>
    <w:lvl w:ilvl="0" w:tentative="0">
      <w:start w:val="1"/>
      <w:numFmt w:val="decimalEnclosedCircleChinese"/>
      <w:suff w:val="nothing"/>
      <w:lvlText w:val="%1　"/>
      <w:lvlJc w:val="left"/>
      <w:pPr>
        <w:ind w:left="0" w:firstLine="397"/>
      </w:pPr>
      <w:rPr>
        <w:rFonts w:hint="eastAsia"/>
      </w:rPr>
    </w:lvl>
  </w:abstractNum>
  <w:abstractNum w:abstractNumId="25">
    <w:nsid w:val="22CAA529"/>
    <w:multiLevelType w:val="singleLevel"/>
    <w:tmpl w:val="22CAA529"/>
    <w:lvl w:ilvl="0" w:tentative="0">
      <w:start w:val="1"/>
      <w:numFmt w:val="decimal"/>
      <w:suff w:val="nothing"/>
      <w:lvlText w:val="16.%1 "/>
      <w:lvlJc w:val="left"/>
      <w:pPr>
        <w:ind w:left="0" w:firstLine="1134"/>
      </w:pPr>
      <w:rPr>
        <w:rFonts w:hint="default"/>
      </w:rPr>
    </w:lvl>
  </w:abstractNum>
  <w:abstractNum w:abstractNumId="26">
    <w:nsid w:val="25F33ADD"/>
    <w:multiLevelType w:val="singleLevel"/>
    <w:tmpl w:val="25F33ADD"/>
    <w:lvl w:ilvl="0" w:tentative="0">
      <w:start w:val="1"/>
      <w:numFmt w:val="decimalEnclosedCircleChinese"/>
      <w:suff w:val="nothing"/>
      <w:lvlText w:val="%1　"/>
      <w:lvlJc w:val="left"/>
      <w:pPr>
        <w:ind w:left="0" w:firstLine="1134"/>
      </w:pPr>
      <w:rPr>
        <w:rFonts w:hint="eastAsia"/>
      </w:rPr>
    </w:lvl>
  </w:abstractNum>
  <w:abstractNum w:abstractNumId="27">
    <w:nsid w:val="26427A75"/>
    <w:multiLevelType w:val="multilevel"/>
    <w:tmpl w:val="26427A75"/>
    <w:lvl w:ilvl="0" w:tentative="0">
      <w:start w:val="1"/>
      <w:numFmt w:val="chineseCountingThousand"/>
      <w:pStyle w:val="57"/>
      <w:lvlText w:val="附表%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8">
    <w:nsid w:val="27029FB5"/>
    <w:multiLevelType w:val="singleLevel"/>
    <w:tmpl w:val="27029FB5"/>
    <w:lvl w:ilvl="0" w:tentative="0">
      <w:start w:val="1"/>
      <w:numFmt w:val="decimal"/>
      <w:suff w:val="nothing"/>
      <w:lvlText w:val="11.%1 "/>
      <w:lvlJc w:val="left"/>
      <w:pPr>
        <w:tabs>
          <w:tab w:val="left" w:pos="0"/>
        </w:tabs>
        <w:ind w:left="0" w:firstLine="40"/>
      </w:pPr>
      <w:rPr>
        <w:rFonts w:hint="default" w:ascii="宋体" w:hAnsi="宋体" w:eastAsia="宋体" w:cs="宋体"/>
      </w:rPr>
    </w:lvl>
  </w:abstractNum>
  <w:abstractNum w:abstractNumId="29">
    <w:nsid w:val="272BB4B6"/>
    <w:multiLevelType w:val="singleLevel"/>
    <w:tmpl w:val="272BB4B6"/>
    <w:lvl w:ilvl="0" w:tentative="0">
      <w:start w:val="1"/>
      <w:numFmt w:val="decimal"/>
      <w:suff w:val="nothing"/>
      <w:lvlText w:val="1.%1 "/>
      <w:lvlJc w:val="left"/>
      <w:pPr>
        <w:ind w:left="0" w:firstLine="397"/>
      </w:pPr>
      <w:rPr>
        <w:rFonts w:hint="default"/>
      </w:rPr>
    </w:lvl>
  </w:abstractNum>
  <w:abstractNum w:abstractNumId="30">
    <w:nsid w:val="31FBB5E1"/>
    <w:multiLevelType w:val="singleLevel"/>
    <w:tmpl w:val="31FBB5E1"/>
    <w:lvl w:ilvl="0" w:tentative="0">
      <w:start w:val="1"/>
      <w:numFmt w:val="decimal"/>
      <w:suff w:val="nothing"/>
      <w:lvlText w:val="23.%1 "/>
      <w:lvlJc w:val="left"/>
      <w:pPr>
        <w:tabs>
          <w:tab w:val="left" w:pos="0"/>
        </w:tabs>
        <w:ind w:left="0" w:firstLine="40"/>
      </w:pPr>
      <w:rPr>
        <w:rFonts w:hint="default" w:ascii="宋体" w:hAnsi="宋体" w:eastAsia="宋体" w:cs="宋体"/>
      </w:rPr>
    </w:lvl>
  </w:abstractNum>
  <w:abstractNum w:abstractNumId="31">
    <w:nsid w:val="33D963B4"/>
    <w:multiLevelType w:val="singleLevel"/>
    <w:tmpl w:val="33D963B4"/>
    <w:lvl w:ilvl="0" w:tentative="0">
      <w:start w:val="1"/>
      <w:numFmt w:val="decimal"/>
      <w:suff w:val="nothing"/>
      <w:lvlText w:val="（%1）"/>
      <w:lvlJc w:val="left"/>
    </w:lvl>
  </w:abstractNum>
  <w:abstractNum w:abstractNumId="32">
    <w:nsid w:val="351BCE69"/>
    <w:multiLevelType w:val="singleLevel"/>
    <w:tmpl w:val="351BCE69"/>
    <w:lvl w:ilvl="0" w:tentative="0">
      <w:start w:val="1"/>
      <w:numFmt w:val="decimalEnclosedCircleChinese"/>
      <w:suff w:val="nothing"/>
      <w:lvlText w:val="%1　"/>
      <w:lvlJc w:val="left"/>
      <w:pPr>
        <w:ind w:left="0" w:firstLine="400"/>
      </w:pPr>
      <w:rPr>
        <w:rFonts w:hint="eastAsia"/>
      </w:rPr>
    </w:lvl>
  </w:abstractNum>
  <w:abstractNum w:abstractNumId="33">
    <w:nsid w:val="3543FC97"/>
    <w:multiLevelType w:val="singleLevel"/>
    <w:tmpl w:val="3543FC97"/>
    <w:lvl w:ilvl="0" w:tentative="0">
      <w:start w:val="1"/>
      <w:numFmt w:val="decimal"/>
      <w:suff w:val="nothing"/>
      <w:lvlText w:val="17.%1 "/>
      <w:lvlJc w:val="left"/>
      <w:pPr>
        <w:tabs>
          <w:tab w:val="left" w:pos="0"/>
        </w:tabs>
        <w:ind w:left="0" w:firstLine="40"/>
      </w:pPr>
      <w:rPr>
        <w:rFonts w:hint="default" w:ascii="宋体" w:hAnsi="宋体" w:eastAsia="宋体" w:cs="宋体"/>
      </w:rPr>
    </w:lvl>
  </w:abstractNum>
  <w:abstractNum w:abstractNumId="34">
    <w:nsid w:val="3F34804C"/>
    <w:multiLevelType w:val="singleLevel"/>
    <w:tmpl w:val="3F34804C"/>
    <w:lvl w:ilvl="0" w:tentative="0">
      <w:start w:val="1"/>
      <w:numFmt w:val="decimal"/>
      <w:suff w:val="nothing"/>
      <w:lvlText w:val="21.%1 "/>
      <w:lvlJc w:val="left"/>
      <w:pPr>
        <w:tabs>
          <w:tab w:val="left" w:pos="0"/>
        </w:tabs>
        <w:ind w:left="0" w:firstLine="40"/>
      </w:pPr>
      <w:rPr>
        <w:rFonts w:hint="default" w:ascii="宋体" w:hAnsi="宋体" w:eastAsia="宋体" w:cs="宋体"/>
      </w:rPr>
    </w:lvl>
  </w:abstractNum>
  <w:abstractNum w:abstractNumId="35">
    <w:nsid w:val="466C6E1F"/>
    <w:multiLevelType w:val="multilevel"/>
    <w:tmpl w:val="466C6E1F"/>
    <w:lvl w:ilvl="0" w:tentative="0">
      <w:start w:val="1"/>
      <w:numFmt w:val="upperLetter"/>
      <w:pStyle w:val="4"/>
      <w:lvlText w:val="%1、"/>
      <w:lvlJc w:val="left"/>
      <w:pPr>
        <w:tabs>
          <w:tab w:val="left" w:pos="1275"/>
        </w:tabs>
        <w:ind w:left="1275" w:hanging="720"/>
      </w:pPr>
      <w:rPr>
        <w:rFonts w:hint="eastAsia" w:hAnsi="宋体"/>
      </w:rPr>
    </w:lvl>
    <w:lvl w:ilvl="1" w:tentative="0">
      <w:start w:val="1"/>
      <w:numFmt w:val="decimalEnclosedCircle"/>
      <w:lvlText w:val="%2"/>
      <w:lvlJc w:val="left"/>
      <w:pPr>
        <w:tabs>
          <w:tab w:val="left" w:pos="1335"/>
        </w:tabs>
        <w:ind w:left="1335" w:hanging="360"/>
      </w:pPr>
      <w:rPr>
        <w:rFonts w:hint="eastAsia" w:hAnsi="宋体"/>
      </w:rPr>
    </w:lvl>
    <w:lvl w:ilvl="2" w:tentative="0">
      <w:start w:val="1"/>
      <w:numFmt w:val="lowerRoman"/>
      <w:lvlText w:val="%3."/>
      <w:lvlJc w:val="right"/>
      <w:pPr>
        <w:tabs>
          <w:tab w:val="left" w:pos="1815"/>
        </w:tabs>
        <w:ind w:left="1815" w:hanging="420"/>
      </w:pPr>
    </w:lvl>
    <w:lvl w:ilvl="3" w:tentative="0">
      <w:start w:val="1"/>
      <w:numFmt w:val="decimal"/>
      <w:lvlText w:val="%4."/>
      <w:lvlJc w:val="left"/>
      <w:pPr>
        <w:tabs>
          <w:tab w:val="left" w:pos="2235"/>
        </w:tabs>
        <w:ind w:left="2235" w:hanging="420"/>
      </w:pPr>
    </w:lvl>
    <w:lvl w:ilvl="4" w:tentative="0">
      <w:start w:val="1"/>
      <w:numFmt w:val="lowerLetter"/>
      <w:lvlText w:val="%5)"/>
      <w:lvlJc w:val="left"/>
      <w:pPr>
        <w:tabs>
          <w:tab w:val="left" w:pos="2655"/>
        </w:tabs>
        <w:ind w:left="2655" w:hanging="420"/>
      </w:pPr>
    </w:lvl>
    <w:lvl w:ilvl="5" w:tentative="0">
      <w:start w:val="1"/>
      <w:numFmt w:val="lowerRoman"/>
      <w:lvlText w:val="%6."/>
      <w:lvlJc w:val="right"/>
      <w:pPr>
        <w:tabs>
          <w:tab w:val="left" w:pos="3075"/>
        </w:tabs>
        <w:ind w:left="3075" w:hanging="420"/>
      </w:pPr>
    </w:lvl>
    <w:lvl w:ilvl="6" w:tentative="0">
      <w:start w:val="1"/>
      <w:numFmt w:val="decimal"/>
      <w:lvlText w:val="%7."/>
      <w:lvlJc w:val="left"/>
      <w:pPr>
        <w:tabs>
          <w:tab w:val="left" w:pos="3495"/>
        </w:tabs>
        <w:ind w:left="3495" w:hanging="420"/>
      </w:pPr>
    </w:lvl>
    <w:lvl w:ilvl="7" w:tentative="0">
      <w:start w:val="1"/>
      <w:numFmt w:val="lowerLetter"/>
      <w:lvlText w:val="%8)"/>
      <w:lvlJc w:val="left"/>
      <w:pPr>
        <w:tabs>
          <w:tab w:val="left" w:pos="3915"/>
        </w:tabs>
        <w:ind w:left="3915" w:hanging="420"/>
      </w:pPr>
    </w:lvl>
    <w:lvl w:ilvl="8" w:tentative="0">
      <w:start w:val="1"/>
      <w:numFmt w:val="lowerRoman"/>
      <w:lvlText w:val="%9."/>
      <w:lvlJc w:val="right"/>
      <w:pPr>
        <w:tabs>
          <w:tab w:val="left" w:pos="4335"/>
        </w:tabs>
        <w:ind w:left="4335" w:hanging="420"/>
      </w:pPr>
    </w:lvl>
  </w:abstractNum>
  <w:abstractNum w:abstractNumId="36">
    <w:nsid w:val="470A1E8D"/>
    <w:multiLevelType w:val="multilevel"/>
    <w:tmpl w:val="470A1E8D"/>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7">
    <w:nsid w:val="474E1A63"/>
    <w:multiLevelType w:val="singleLevel"/>
    <w:tmpl w:val="474E1A63"/>
    <w:lvl w:ilvl="0" w:tentative="0">
      <w:start w:val="1"/>
      <w:numFmt w:val="decimalEnclosedCircleChinese"/>
      <w:suff w:val="nothing"/>
      <w:lvlText w:val="%1　"/>
      <w:lvlJc w:val="left"/>
      <w:pPr>
        <w:ind w:left="0" w:firstLine="1134"/>
      </w:pPr>
      <w:rPr>
        <w:rFonts w:hint="eastAsia"/>
      </w:rPr>
    </w:lvl>
  </w:abstractNum>
  <w:abstractNum w:abstractNumId="38">
    <w:nsid w:val="4D4A2151"/>
    <w:multiLevelType w:val="singleLevel"/>
    <w:tmpl w:val="4D4A2151"/>
    <w:lvl w:ilvl="0" w:tentative="0">
      <w:start w:val="1"/>
      <w:numFmt w:val="decimal"/>
      <w:suff w:val="nothing"/>
      <w:lvlText w:val="%1．"/>
      <w:lvlJc w:val="left"/>
      <w:pPr>
        <w:ind w:left="0" w:firstLine="397"/>
      </w:pPr>
      <w:rPr>
        <w:rFonts w:hint="default"/>
      </w:rPr>
    </w:lvl>
  </w:abstractNum>
  <w:abstractNum w:abstractNumId="39">
    <w:nsid w:val="5541E354"/>
    <w:multiLevelType w:val="singleLevel"/>
    <w:tmpl w:val="5541E354"/>
    <w:lvl w:ilvl="0" w:tentative="0">
      <w:start w:val="1"/>
      <w:numFmt w:val="decimal"/>
      <w:suff w:val="nothing"/>
      <w:lvlText w:val="24.17.%1 "/>
      <w:lvlJc w:val="left"/>
      <w:pPr>
        <w:tabs>
          <w:tab w:val="left" w:pos="0"/>
        </w:tabs>
        <w:ind w:left="0" w:firstLine="40"/>
      </w:pPr>
      <w:rPr>
        <w:rFonts w:hint="default" w:ascii="宋体" w:hAnsi="宋体" w:eastAsia="宋体" w:cs="宋体"/>
      </w:rPr>
    </w:lvl>
  </w:abstractNum>
  <w:abstractNum w:abstractNumId="40">
    <w:nsid w:val="56581EFE"/>
    <w:multiLevelType w:val="singleLevel"/>
    <w:tmpl w:val="56581EFE"/>
    <w:lvl w:ilvl="0" w:tentative="0">
      <w:start w:val="1"/>
      <w:numFmt w:val="decimal"/>
      <w:suff w:val="nothing"/>
      <w:lvlText w:val="24.%1 "/>
      <w:lvlJc w:val="left"/>
      <w:pPr>
        <w:ind w:left="0" w:firstLine="397"/>
      </w:pPr>
      <w:rPr>
        <w:rFonts w:hint="default"/>
      </w:rPr>
    </w:lvl>
  </w:abstractNum>
  <w:abstractNum w:abstractNumId="41">
    <w:nsid w:val="5B1A35EA"/>
    <w:multiLevelType w:val="singleLevel"/>
    <w:tmpl w:val="5B1A35EA"/>
    <w:lvl w:ilvl="0" w:tentative="0">
      <w:start w:val="0"/>
      <w:numFmt w:val="bullet"/>
      <w:lvlText w:val="-"/>
      <w:lvlJc w:val="left"/>
      <w:pPr>
        <w:tabs>
          <w:tab w:val="left" w:pos="1211"/>
        </w:tabs>
        <w:ind w:left="1191" w:hanging="340"/>
      </w:pPr>
      <w:rPr>
        <w:rFonts w:hint="default" w:ascii="Times New Roman" w:hAnsi="Times New Roman"/>
      </w:rPr>
    </w:lvl>
  </w:abstractNum>
  <w:abstractNum w:abstractNumId="42">
    <w:nsid w:val="62705028"/>
    <w:multiLevelType w:val="singleLevel"/>
    <w:tmpl w:val="62705028"/>
    <w:lvl w:ilvl="0" w:tentative="0">
      <w:start w:val="1"/>
      <w:numFmt w:val="decimalEnclosedCircleChinese"/>
      <w:suff w:val="nothing"/>
      <w:lvlText w:val="%1　"/>
      <w:lvlJc w:val="left"/>
      <w:pPr>
        <w:ind w:left="0" w:firstLine="397"/>
      </w:pPr>
      <w:rPr>
        <w:rFonts w:hint="eastAsia"/>
      </w:rPr>
    </w:lvl>
  </w:abstractNum>
  <w:abstractNum w:abstractNumId="43">
    <w:nsid w:val="6271A596"/>
    <w:multiLevelType w:val="singleLevel"/>
    <w:tmpl w:val="6271A596"/>
    <w:lvl w:ilvl="0" w:tentative="0">
      <w:start w:val="1"/>
      <w:numFmt w:val="decimal"/>
      <w:suff w:val="nothing"/>
      <w:lvlText w:val="5.%1 "/>
      <w:lvlJc w:val="left"/>
      <w:pPr>
        <w:tabs>
          <w:tab w:val="left" w:pos="0"/>
        </w:tabs>
        <w:ind w:left="0" w:firstLine="40"/>
      </w:pPr>
      <w:rPr>
        <w:rFonts w:hint="default" w:ascii="宋体" w:hAnsi="宋体" w:eastAsia="宋体" w:cs="宋体"/>
      </w:rPr>
    </w:lvl>
  </w:abstractNum>
  <w:abstractNum w:abstractNumId="44">
    <w:nsid w:val="63557B35"/>
    <w:multiLevelType w:val="singleLevel"/>
    <w:tmpl w:val="63557B35"/>
    <w:lvl w:ilvl="0" w:tentative="0">
      <w:start w:val="1"/>
      <w:numFmt w:val="upperLetter"/>
      <w:pStyle w:val="5"/>
      <w:lvlText w:val="%1、"/>
      <w:lvlJc w:val="left"/>
      <w:pPr>
        <w:tabs>
          <w:tab w:val="left" w:pos="1035"/>
        </w:tabs>
        <w:ind w:left="1035" w:hanging="420"/>
      </w:pPr>
      <w:rPr>
        <w:rFonts w:hint="eastAsia"/>
      </w:rPr>
    </w:lvl>
  </w:abstractNum>
  <w:abstractNum w:abstractNumId="45">
    <w:nsid w:val="6EF32394"/>
    <w:multiLevelType w:val="singleLevel"/>
    <w:tmpl w:val="6EF32394"/>
    <w:lvl w:ilvl="0" w:tentative="0">
      <w:start w:val="1"/>
      <w:numFmt w:val="decimal"/>
      <w:suff w:val="nothing"/>
      <w:lvlText w:val="7.%1 "/>
      <w:lvlJc w:val="left"/>
      <w:pPr>
        <w:tabs>
          <w:tab w:val="left" w:pos="0"/>
        </w:tabs>
        <w:ind w:left="0" w:firstLine="40"/>
      </w:pPr>
      <w:rPr>
        <w:rFonts w:hint="default" w:ascii="宋体" w:hAnsi="宋体" w:eastAsia="宋体" w:cs="宋体"/>
      </w:rPr>
    </w:lvl>
  </w:abstractNum>
  <w:abstractNum w:abstractNumId="46">
    <w:nsid w:val="6F596645"/>
    <w:multiLevelType w:val="singleLevel"/>
    <w:tmpl w:val="6F596645"/>
    <w:lvl w:ilvl="0" w:tentative="0">
      <w:start w:val="1"/>
      <w:numFmt w:val="decimal"/>
      <w:suff w:val="nothing"/>
      <w:lvlText w:val="27.%1 "/>
      <w:lvlJc w:val="left"/>
      <w:pPr>
        <w:tabs>
          <w:tab w:val="left" w:pos="0"/>
        </w:tabs>
        <w:ind w:left="0" w:firstLine="40"/>
      </w:pPr>
      <w:rPr>
        <w:rFonts w:hint="default" w:ascii="宋体" w:hAnsi="宋体" w:eastAsia="宋体" w:cs="宋体"/>
      </w:rPr>
    </w:lvl>
  </w:abstractNum>
  <w:abstractNum w:abstractNumId="47">
    <w:nsid w:val="720E6600"/>
    <w:multiLevelType w:val="multilevel"/>
    <w:tmpl w:val="720E6600"/>
    <w:lvl w:ilvl="0" w:tentative="0">
      <w:start w:val="1"/>
      <w:numFmt w:val="decimal"/>
      <w:lvlText w:val="%1、"/>
      <w:lvlJc w:val="left"/>
      <w:pPr>
        <w:tabs>
          <w:tab w:val="left" w:pos="360"/>
        </w:tabs>
        <w:ind w:left="360" w:hanging="360"/>
      </w:pPr>
      <w:rPr>
        <w:rFonts w:hint="eastAsia"/>
      </w:rPr>
    </w:lvl>
    <w:lvl w:ilvl="1" w:tentative="0">
      <w:start w:val="1"/>
      <w:numFmt w:val="decimal"/>
      <w:lvlText w:val="%2）"/>
      <w:lvlJc w:val="left"/>
      <w:pPr>
        <w:tabs>
          <w:tab w:val="left" w:pos="780"/>
        </w:tabs>
        <w:ind w:left="780" w:hanging="360"/>
      </w:pPr>
      <w:rPr>
        <w:rFonts w:hint="default"/>
        <w:b/>
        <w:color w:val="auto"/>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8">
    <w:nsid w:val="72817D3E"/>
    <w:multiLevelType w:val="singleLevel"/>
    <w:tmpl w:val="72817D3E"/>
    <w:lvl w:ilvl="0" w:tentative="0">
      <w:start w:val="1"/>
      <w:numFmt w:val="decimalEnclosedCircleChinese"/>
      <w:suff w:val="nothing"/>
      <w:lvlText w:val="%1　"/>
      <w:lvlJc w:val="left"/>
      <w:pPr>
        <w:ind w:left="0" w:firstLine="397"/>
      </w:pPr>
      <w:rPr>
        <w:rFonts w:hint="eastAsia"/>
      </w:rPr>
    </w:lvl>
  </w:abstractNum>
  <w:abstractNum w:abstractNumId="49">
    <w:nsid w:val="7B2826C6"/>
    <w:multiLevelType w:val="singleLevel"/>
    <w:tmpl w:val="7B2826C6"/>
    <w:lvl w:ilvl="0" w:tentative="0">
      <w:start w:val="1"/>
      <w:numFmt w:val="decimal"/>
      <w:suff w:val="nothing"/>
      <w:lvlText w:val="%1．"/>
      <w:lvlJc w:val="left"/>
      <w:pPr>
        <w:ind w:left="0" w:firstLine="397"/>
      </w:pPr>
      <w:rPr>
        <w:rFonts w:hint="default"/>
      </w:rPr>
    </w:lvl>
  </w:abstractNum>
  <w:abstractNum w:abstractNumId="50">
    <w:nsid w:val="7D9FA5F8"/>
    <w:multiLevelType w:val="singleLevel"/>
    <w:tmpl w:val="7D9FA5F8"/>
    <w:lvl w:ilvl="0" w:tentative="0">
      <w:start w:val="2"/>
      <w:numFmt w:val="decimal"/>
      <w:suff w:val="nothing"/>
      <w:lvlText w:val="%1、"/>
      <w:lvlJc w:val="left"/>
    </w:lvl>
  </w:abstractNum>
  <w:num w:numId="1">
    <w:abstractNumId w:val="35"/>
  </w:num>
  <w:num w:numId="2">
    <w:abstractNumId w:val="44"/>
  </w:num>
  <w:num w:numId="3">
    <w:abstractNumId w:val="27"/>
  </w:num>
  <w:num w:numId="4">
    <w:abstractNumId w:val="38"/>
  </w:num>
  <w:num w:numId="5">
    <w:abstractNumId w:val="48"/>
  </w:num>
  <w:num w:numId="6">
    <w:abstractNumId w:val="49"/>
  </w:num>
  <w:num w:numId="7">
    <w:abstractNumId w:val="24"/>
  </w:num>
  <w:num w:numId="8">
    <w:abstractNumId w:val="42"/>
  </w:num>
  <w:num w:numId="9">
    <w:abstractNumId w:val="0"/>
  </w:num>
  <w:num w:numId="10">
    <w:abstractNumId w:val="29"/>
  </w:num>
  <w:num w:numId="11">
    <w:abstractNumId w:val="4"/>
  </w:num>
  <w:num w:numId="12">
    <w:abstractNumId w:val="5"/>
  </w:num>
  <w:num w:numId="13">
    <w:abstractNumId w:val="20"/>
  </w:num>
  <w:num w:numId="14">
    <w:abstractNumId w:val="43"/>
  </w:num>
  <w:num w:numId="15">
    <w:abstractNumId w:val="10"/>
  </w:num>
  <w:num w:numId="16">
    <w:abstractNumId w:val="45"/>
  </w:num>
  <w:num w:numId="17">
    <w:abstractNumId w:val="22"/>
  </w:num>
  <w:num w:numId="18">
    <w:abstractNumId w:val="37"/>
  </w:num>
  <w:num w:numId="19">
    <w:abstractNumId w:val="32"/>
  </w:num>
  <w:num w:numId="20">
    <w:abstractNumId w:val="11"/>
  </w:num>
  <w:num w:numId="21">
    <w:abstractNumId w:val="2"/>
  </w:num>
  <w:num w:numId="22">
    <w:abstractNumId w:val="28"/>
  </w:num>
  <w:num w:numId="23">
    <w:abstractNumId w:val="14"/>
  </w:num>
  <w:num w:numId="24">
    <w:abstractNumId w:val="3"/>
  </w:num>
  <w:num w:numId="25">
    <w:abstractNumId w:val="25"/>
  </w:num>
  <w:num w:numId="26">
    <w:abstractNumId w:val="33"/>
  </w:num>
  <w:num w:numId="27">
    <w:abstractNumId w:val="13"/>
  </w:num>
  <w:num w:numId="28">
    <w:abstractNumId w:val="8"/>
  </w:num>
  <w:num w:numId="29">
    <w:abstractNumId w:val="34"/>
  </w:num>
  <w:num w:numId="30">
    <w:abstractNumId w:val="9"/>
  </w:num>
  <w:num w:numId="31">
    <w:abstractNumId w:val="30"/>
  </w:num>
  <w:num w:numId="32">
    <w:abstractNumId w:val="40"/>
  </w:num>
  <w:num w:numId="33">
    <w:abstractNumId w:val="39"/>
  </w:num>
  <w:num w:numId="34">
    <w:abstractNumId w:val="26"/>
  </w:num>
  <w:num w:numId="35">
    <w:abstractNumId w:val="46"/>
  </w:num>
  <w:num w:numId="36">
    <w:abstractNumId w:val="1"/>
  </w:num>
  <w:num w:numId="37">
    <w:abstractNumId w:val="21"/>
  </w:num>
  <w:num w:numId="38">
    <w:abstractNumId w:val="50"/>
  </w:num>
  <w:num w:numId="39">
    <w:abstractNumId w:val="23"/>
  </w:num>
  <w:num w:numId="40">
    <w:abstractNumId w:val="36"/>
  </w:num>
  <w:num w:numId="41">
    <w:abstractNumId w:val="23"/>
    <w:lvlOverride w:ilvl="0">
      <w:startOverride w:val="4"/>
    </w:lvlOverride>
  </w:num>
  <w:num w:numId="42">
    <w:abstractNumId w:val="36"/>
    <w:lvlOverride w:ilvl="0">
      <w:startOverride w:val="1"/>
    </w:lvlOverride>
  </w:num>
  <w:num w:numId="43">
    <w:abstractNumId w:val="6"/>
  </w:num>
  <w:num w:numId="44">
    <w:abstractNumId w:val="19"/>
  </w:num>
  <w:num w:numId="45">
    <w:abstractNumId w:val="47"/>
  </w:num>
  <w:num w:numId="46">
    <w:abstractNumId w:val="36"/>
    <w:lvlOverride w:ilvl="0">
      <w:startOverride w:val="1"/>
    </w:lvlOverride>
  </w:num>
  <w:num w:numId="47">
    <w:abstractNumId w:val="41"/>
  </w:num>
  <w:num w:numId="48">
    <w:abstractNumId w:val="18"/>
  </w:num>
  <w:num w:numId="49">
    <w:abstractNumId w:val="17"/>
  </w:num>
  <w:num w:numId="50">
    <w:abstractNumId w:val="15"/>
  </w:num>
  <w:num w:numId="51">
    <w:abstractNumId w:val="16"/>
  </w:num>
  <w:num w:numId="52">
    <w:abstractNumId w:val="36"/>
    <w:lvlOverride w:ilvl="0">
      <w:startOverride w:val="1"/>
    </w:lvlOverride>
  </w:num>
  <w:num w:numId="53">
    <w:abstractNumId w:val="12"/>
  </w:num>
  <w:num w:numId="54">
    <w:abstractNumId w:val="7"/>
  </w:num>
  <w:num w:numId="55">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4"/>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noPunctuationKerning w:val="1"/>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QzNmJmMzBkNDFhNzEwMWYwOTQzODgzMzEzNzI2YmEifQ=="/>
  </w:docVars>
  <w:rsids>
    <w:rsidRoot w:val="00172A27"/>
    <w:rsid w:val="00001DA3"/>
    <w:rsid w:val="00006818"/>
    <w:rsid w:val="000075DA"/>
    <w:rsid w:val="000077D0"/>
    <w:rsid w:val="000148D6"/>
    <w:rsid w:val="00015D59"/>
    <w:rsid w:val="00017390"/>
    <w:rsid w:val="00017802"/>
    <w:rsid w:val="00020033"/>
    <w:rsid w:val="000213B6"/>
    <w:rsid w:val="00024B66"/>
    <w:rsid w:val="00027239"/>
    <w:rsid w:val="000328AC"/>
    <w:rsid w:val="00045CF2"/>
    <w:rsid w:val="000464E5"/>
    <w:rsid w:val="0004792A"/>
    <w:rsid w:val="0004794A"/>
    <w:rsid w:val="00050858"/>
    <w:rsid w:val="000510A3"/>
    <w:rsid w:val="00052D30"/>
    <w:rsid w:val="00053264"/>
    <w:rsid w:val="000536AD"/>
    <w:rsid w:val="00055F1C"/>
    <w:rsid w:val="00056840"/>
    <w:rsid w:val="000611ED"/>
    <w:rsid w:val="00063E4F"/>
    <w:rsid w:val="00067276"/>
    <w:rsid w:val="00070161"/>
    <w:rsid w:val="000708A0"/>
    <w:rsid w:val="00070FE2"/>
    <w:rsid w:val="00071029"/>
    <w:rsid w:val="00071C5B"/>
    <w:rsid w:val="00074863"/>
    <w:rsid w:val="00076F53"/>
    <w:rsid w:val="000912C7"/>
    <w:rsid w:val="0009279F"/>
    <w:rsid w:val="0009767A"/>
    <w:rsid w:val="00097953"/>
    <w:rsid w:val="000A241D"/>
    <w:rsid w:val="000A5490"/>
    <w:rsid w:val="000B0DE4"/>
    <w:rsid w:val="000B1CDD"/>
    <w:rsid w:val="000B3611"/>
    <w:rsid w:val="000B4627"/>
    <w:rsid w:val="000B5F6E"/>
    <w:rsid w:val="000C2631"/>
    <w:rsid w:val="000C2AC6"/>
    <w:rsid w:val="000C3C4D"/>
    <w:rsid w:val="000C663A"/>
    <w:rsid w:val="000C6E71"/>
    <w:rsid w:val="000D05CC"/>
    <w:rsid w:val="000D263B"/>
    <w:rsid w:val="000D2BAD"/>
    <w:rsid w:val="000D3604"/>
    <w:rsid w:val="000D3E6D"/>
    <w:rsid w:val="000D4E3C"/>
    <w:rsid w:val="000D504A"/>
    <w:rsid w:val="000E136C"/>
    <w:rsid w:val="000E1A92"/>
    <w:rsid w:val="000E1D06"/>
    <w:rsid w:val="000E21F5"/>
    <w:rsid w:val="000E38B1"/>
    <w:rsid w:val="000E4664"/>
    <w:rsid w:val="000E4978"/>
    <w:rsid w:val="000E526A"/>
    <w:rsid w:val="000E5496"/>
    <w:rsid w:val="000E57E4"/>
    <w:rsid w:val="000E730F"/>
    <w:rsid w:val="000F02FC"/>
    <w:rsid w:val="000F1FF4"/>
    <w:rsid w:val="000F45D5"/>
    <w:rsid w:val="000F50EA"/>
    <w:rsid w:val="000F5F2A"/>
    <w:rsid w:val="000F7138"/>
    <w:rsid w:val="000F7272"/>
    <w:rsid w:val="000F7D1F"/>
    <w:rsid w:val="00102B8C"/>
    <w:rsid w:val="001049C2"/>
    <w:rsid w:val="0010598A"/>
    <w:rsid w:val="00106DAD"/>
    <w:rsid w:val="00107709"/>
    <w:rsid w:val="00116DAA"/>
    <w:rsid w:val="001207CD"/>
    <w:rsid w:val="00120FD6"/>
    <w:rsid w:val="0012256C"/>
    <w:rsid w:val="001239D4"/>
    <w:rsid w:val="001306A4"/>
    <w:rsid w:val="00130B31"/>
    <w:rsid w:val="00131F44"/>
    <w:rsid w:val="00132490"/>
    <w:rsid w:val="001330B0"/>
    <w:rsid w:val="001346A9"/>
    <w:rsid w:val="00136306"/>
    <w:rsid w:val="00141DA5"/>
    <w:rsid w:val="00145D2A"/>
    <w:rsid w:val="00145DEA"/>
    <w:rsid w:val="001468A0"/>
    <w:rsid w:val="00154F16"/>
    <w:rsid w:val="00157B09"/>
    <w:rsid w:val="00164064"/>
    <w:rsid w:val="00167BCB"/>
    <w:rsid w:val="0017220F"/>
    <w:rsid w:val="0017302D"/>
    <w:rsid w:val="00175A80"/>
    <w:rsid w:val="00181AB5"/>
    <w:rsid w:val="001840F0"/>
    <w:rsid w:val="0018546D"/>
    <w:rsid w:val="00185753"/>
    <w:rsid w:val="00186A09"/>
    <w:rsid w:val="00187DD3"/>
    <w:rsid w:val="00191FD8"/>
    <w:rsid w:val="001940F2"/>
    <w:rsid w:val="00194D4C"/>
    <w:rsid w:val="0019559D"/>
    <w:rsid w:val="00196875"/>
    <w:rsid w:val="001A09BA"/>
    <w:rsid w:val="001A1935"/>
    <w:rsid w:val="001A493D"/>
    <w:rsid w:val="001A5F98"/>
    <w:rsid w:val="001B260D"/>
    <w:rsid w:val="001B2755"/>
    <w:rsid w:val="001B4867"/>
    <w:rsid w:val="001B6049"/>
    <w:rsid w:val="001B71A5"/>
    <w:rsid w:val="001B7285"/>
    <w:rsid w:val="001C22F6"/>
    <w:rsid w:val="001C26B1"/>
    <w:rsid w:val="001C462F"/>
    <w:rsid w:val="001C48E8"/>
    <w:rsid w:val="001C53F8"/>
    <w:rsid w:val="001C6443"/>
    <w:rsid w:val="001C770C"/>
    <w:rsid w:val="001D0151"/>
    <w:rsid w:val="001D0B98"/>
    <w:rsid w:val="001D3140"/>
    <w:rsid w:val="001E32A6"/>
    <w:rsid w:val="001E48F2"/>
    <w:rsid w:val="001E65BA"/>
    <w:rsid w:val="001E7840"/>
    <w:rsid w:val="001F0C21"/>
    <w:rsid w:val="001F201E"/>
    <w:rsid w:val="001F4C6E"/>
    <w:rsid w:val="001F596D"/>
    <w:rsid w:val="001F5E72"/>
    <w:rsid w:val="001F63FD"/>
    <w:rsid w:val="00201ADE"/>
    <w:rsid w:val="00204834"/>
    <w:rsid w:val="002054EF"/>
    <w:rsid w:val="00207B4A"/>
    <w:rsid w:val="0022084E"/>
    <w:rsid w:val="0022104A"/>
    <w:rsid w:val="00221186"/>
    <w:rsid w:val="00221F74"/>
    <w:rsid w:val="00226C15"/>
    <w:rsid w:val="00233994"/>
    <w:rsid w:val="002364CF"/>
    <w:rsid w:val="00236ADE"/>
    <w:rsid w:val="002375BB"/>
    <w:rsid w:val="0024409C"/>
    <w:rsid w:val="00244106"/>
    <w:rsid w:val="00245C61"/>
    <w:rsid w:val="00247E15"/>
    <w:rsid w:val="00252A03"/>
    <w:rsid w:val="00254070"/>
    <w:rsid w:val="0025652F"/>
    <w:rsid w:val="002606EC"/>
    <w:rsid w:val="00260EDD"/>
    <w:rsid w:val="00270E2D"/>
    <w:rsid w:val="002737DE"/>
    <w:rsid w:val="00274F9A"/>
    <w:rsid w:val="00275072"/>
    <w:rsid w:val="00275157"/>
    <w:rsid w:val="002751D8"/>
    <w:rsid w:val="00280D86"/>
    <w:rsid w:val="00284635"/>
    <w:rsid w:val="00285F7E"/>
    <w:rsid w:val="0029041C"/>
    <w:rsid w:val="0029087D"/>
    <w:rsid w:val="002916B1"/>
    <w:rsid w:val="00295155"/>
    <w:rsid w:val="00296D5E"/>
    <w:rsid w:val="002972FE"/>
    <w:rsid w:val="002A2ACF"/>
    <w:rsid w:val="002A50C8"/>
    <w:rsid w:val="002A64CA"/>
    <w:rsid w:val="002B17BF"/>
    <w:rsid w:val="002B7653"/>
    <w:rsid w:val="002C5223"/>
    <w:rsid w:val="002C7A2D"/>
    <w:rsid w:val="002D11D9"/>
    <w:rsid w:val="002D6B41"/>
    <w:rsid w:val="002E2739"/>
    <w:rsid w:val="002E35E9"/>
    <w:rsid w:val="002F08B1"/>
    <w:rsid w:val="002F097F"/>
    <w:rsid w:val="002F2E8D"/>
    <w:rsid w:val="002F378A"/>
    <w:rsid w:val="002F4F8D"/>
    <w:rsid w:val="003072EC"/>
    <w:rsid w:val="0031129B"/>
    <w:rsid w:val="00311554"/>
    <w:rsid w:val="00317185"/>
    <w:rsid w:val="0032106B"/>
    <w:rsid w:val="0032607A"/>
    <w:rsid w:val="00327130"/>
    <w:rsid w:val="0033593F"/>
    <w:rsid w:val="00335F6A"/>
    <w:rsid w:val="00336801"/>
    <w:rsid w:val="00343AD4"/>
    <w:rsid w:val="00346F9B"/>
    <w:rsid w:val="003503F3"/>
    <w:rsid w:val="003510DB"/>
    <w:rsid w:val="0035370E"/>
    <w:rsid w:val="00354D93"/>
    <w:rsid w:val="00355E84"/>
    <w:rsid w:val="00355E89"/>
    <w:rsid w:val="00361B43"/>
    <w:rsid w:val="00363BE4"/>
    <w:rsid w:val="0036471B"/>
    <w:rsid w:val="00365265"/>
    <w:rsid w:val="00365DEC"/>
    <w:rsid w:val="00366048"/>
    <w:rsid w:val="003666A9"/>
    <w:rsid w:val="00370309"/>
    <w:rsid w:val="0037377A"/>
    <w:rsid w:val="0038062E"/>
    <w:rsid w:val="00380EBB"/>
    <w:rsid w:val="00381BBB"/>
    <w:rsid w:val="00383AA4"/>
    <w:rsid w:val="00392324"/>
    <w:rsid w:val="00392CCA"/>
    <w:rsid w:val="00395EFF"/>
    <w:rsid w:val="003B254E"/>
    <w:rsid w:val="003B5E1A"/>
    <w:rsid w:val="003C045D"/>
    <w:rsid w:val="003C05AC"/>
    <w:rsid w:val="003C2615"/>
    <w:rsid w:val="003C2BEF"/>
    <w:rsid w:val="003D54F9"/>
    <w:rsid w:val="003E03D0"/>
    <w:rsid w:val="003E0923"/>
    <w:rsid w:val="003E2076"/>
    <w:rsid w:val="003E4A85"/>
    <w:rsid w:val="003E650C"/>
    <w:rsid w:val="003E724B"/>
    <w:rsid w:val="003E75CD"/>
    <w:rsid w:val="003F6C24"/>
    <w:rsid w:val="00403983"/>
    <w:rsid w:val="00411B98"/>
    <w:rsid w:val="00412A01"/>
    <w:rsid w:val="0042158E"/>
    <w:rsid w:val="00423F56"/>
    <w:rsid w:val="00431075"/>
    <w:rsid w:val="0043130F"/>
    <w:rsid w:val="00432945"/>
    <w:rsid w:val="00432A66"/>
    <w:rsid w:val="0043576F"/>
    <w:rsid w:val="0044078E"/>
    <w:rsid w:val="004420EA"/>
    <w:rsid w:val="00442E77"/>
    <w:rsid w:val="00445CAB"/>
    <w:rsid w:val="0044612F"/>
    <w:rsid w:val="004544B9"/>
    <w:rsid w:val="00455B4C"/>
    <w:rsid w:val="00463657"/>
    <w:rsid w:val="00464C4C"/>
    <w:rsid w:val="00465A05"/>
    <w:rsid w:val="004707ED"/>
    <w:rsid w:val="00470C83"/>
    <w:rsid w:val="004738DF"/>
    <w:rsid w:val="00477C97"/>
    <w:rsid w:val="00480341"/>
    <w:rsid w:val="004811FE"/>
    <w:rsid w:val="00481376"/>
    <w:rsid w:val="00481EE1"/>
    <w:rsid w:val="00482174"/>
    <w:rsid w:val="004821D3"/>
    <w:rsid w:val="00483ECB"/>
    <w:rsid w:val="00484007"/>
    <w:rsid w:val="004840E1"/>
    <w:rsid w:val="00485252"/>
    <w:rsid w:val="00487344"/>
    <w:rsid w:val="004875E1"/>
    <w:rsid w:val="0049055D"/>
    <w:rsid w:val="00490DDE"/>
    <w:rsid w:val="00490F49"/>
    <w:rsid w:val="0049797C"/>
    <w:rsid w:val="004A4142"/>
    <w:rsid w:val="004A6F58"/>
    <w:rsid w:val="004B05F4"/>
    <w:rsid w:val="004B0811"/>
    <w:rsid w:val="004B3910"/>
    <w:rsid w:val="004B46C4"/>
    <w:rsid w:val="004B5330"/>
    <w:rsid w:val="004B6001"/>
    <w:rsid w:val="004B6A5A"/>
    <w:rsid w:val="004B7EA3"/>
    <w:rsid w:val="004C1318"/>
    <w:rsid w:val="004C1BA6"/>
    <w:rsid w:val="004C267F"/>
    <w:rsid w:val="004D35C6"/>
    <w:rsid w:val="004D57AE"/>
    <w:rsid w:val="004E3A69"/>
    <w:rsid w:val="004E3F19"/>
    <w:rsid w:val="004E52B0"/>
    <w:rsid w:val="004E60DF"/>
    <w:rsid w:val="004F1B98"/>
    <w:rsid w:val="004F1EF6"/>
    <w:rsid w:val="004F4A0C"/>
    <w:rsid w:val="004F675C"/>
    <w:rsid w:val="004F6D1A"/>
    <w:rsid w:val="00500D57"/>
    <w:rsid w:val="00503B44"/>
    <w:rsid w:val="00503EAE"/>
    <w:rsid w:val="00511898"/>
    <w:rsid w:val="00511D3E"/>
    <w:rsid w:val="00517C29"/>
    <w:rsid w:val="00521532"/>
    <w:rsid w:val="005245BA"/>
    <w:rsid w:val="00525303"/>
    <w:rsid w:val="00525C33"/>
    <w:rsid w:val="0052677F"/>
    <w:rsid w:val="005306F4"/>
    <w:rsid w:val="00531CDE"/>
    <w:rsid w:val="00532809"/>
    <w:rsid w:val="00533931"/>
    <w:rsid w:val="00533DC9"/>
    <w:rsid w:val="00536C08"/>
    <w:rsid w:val="00537173"/>
    <w:rsid w:val="005378CB"/>
    <w:rsid w:val="005404A5"/>
    <w:rsid w:val="00540CB5"/>
    <w:rsid w:val="005445DF"/>
    <w:rsid w:val="00546A76"/>
    <w:rsid w:val="005500A4"/>
    <w:rsid w:val="005514E6"/>
    <w:rsid w:val="00554E93"/>
    <w:rsid w:val="00557696"/>
    <w:rsid w:val="00560B4F"/>
    <w:rsid w:val="00560EA2"/>
    <w:rsid w:val="00561E6A"/>
    <w:rsid w:val="005648E0"/>
    <w:rsid w:val="00564E8F"/>
    <w:rsid w:val="00571B49"/>
    <w:rsid w:val="0057210E"/>
    <w:rsid w:val="00575F6F"/>
    <w:rsid w:val="00577904"/>
    <w:rsid w:val="0058006C"/>
    <w:rsid w:val="00581BE5"/>
    <w:rsid w:val="00582FCE"/>
    <w:rsid w:val="0058535A"/>
    <w:rsid w:val="005853D2"/>
    <w:rsid w:val="005900B5"/>
    <w:rsid w:val="00591734"/>
    <w:rsid w:val="00591FA1"/>
    <w:rsid w:val="00592DF2"/>
    <w:rsid w:val="00594041"/>
    <w:rsid w:val="00594F19"/>
    <w:rsid w:val="00594F8E"/>
    <w:rsid w:val="005965F2"/>
    <w:rsid w:val="005A02D2"/>
    <w:rsid w:val="005A61F4"/>
    <w:rsid w:val="005A6DCA"/>
    <w:rsid w:val="005B61AE"/>
    <w:rsid w:val="005B7C66"/>
    <w:rsid w:val="005C1EDC"/>
    <w:rsid w:val="005C40A5"/>
    <w:rsid w:val="005C515B"/>
    <w:rsid w:val="005C7DA4"/>
    <w:rsid w:val="005D3369"/>
    <w:rsid w:val="005D44DD"/>
    <w:rsid w:val="005D4538"/>
    <w:rsid w:val="005D509B"/>
    <w:rsid w:val="005D59F7"/>
    <w:rsid w:val="005D6FDE"/>
    <w:rsid w:val="005E2379"/>
    <w:rsid w:val="005E435B"/>
    <w:rsid w:val="005E45D4"/>
    <w:rsid w:val="005E5B93"/>
    <w:rsid w:val="005E781A"/>
    <w:rsid w:val="005F0902"/>
    <w:rsid w:val="005F20C3"/>
    <w:rsid w:val="005F3EA6"/>
    <w:rsid w:val="005F4076"/>
    <w:rsid w:val="005F5C9B"/>
    <w:rsid w:val="005F7D07"/>
    <w:rsid w:val="0060337E"/>
    <w:rsid w:val="006037E7"/>
    <w:rsid w:val="00605B60"/>
    <w:rsid w:val="00605B63"/>
    <w:rsid w:val="00607067"/>
    <w:rsid w:val="00607DF3"/>
    <w:rsid w:val="006108E4"/>
    <w:rsid w:val="00610BEB"/>
    <w:rsid w:val="00626AD6"/>
    <w:rsid w:val="0062753E"/>
    <w:rsid w:val="00627BE7"/>
    <w:rsid w:val="00627CD0"/>
    <w:rsid w:val="00627E2D"/>
    <w:rsid w:val="0063140B"/>
    <w:rsid w:val="00633569"/>
    <w:rsid w:val="00635132"/>
    <w:rsid w:val="00642080"/>
    <w:rsid w:val="006435A9"/>
    <w:rsid w:val="00644CB6"/>
    <w:rsid w:val="006503B5"/>
    <w:rsid w:val="0065060D"/>
    <w:rsid w:val="00657F9C"/>
    <w:rsid w:val="00665413"/>
    <w:rsid w:val="006708AA"/>
    <w:rsid w:val="00670DA8"/>
    <w:rsid w:val="006733B7"/>
    <w:rsid w:val="00684CC6"/>
    <w:rsid w:val="00684E9E"/>
    <w:rsid w:val="00691327"/>
    <w:rsid w:val="00691830"/>
    <w:rsid w:val="00692449"/>
    <w:rsid w:val="00693E45"/>
    <w:rsid w:val="006951A4"/>
    <w:rsid w:val="00695EAD"/>
    <w:rsid w:val="006974EF"/>
    <w:rsid w:val="006A1152"/>
    <w:rsid w:val="006A545D"/>
    <w:rsid w:val="006B16D2"/>
    <w:rsid w:val="006B18A5"/>
    <w:rsid w:val="006B464F"/>
    <w:rsid w:val="006B5750"/>
    <w:rsid w:val="006B6948"/>
    <w:rsid w:val="006B6E7A"/>
    <w:rsid w:val="006C0A94"/>
    <w:rsid w:val="006C0D27"/>
    <w:rsid w:val="006C252F"/>
    <w:rsid w:val="006C7BC3"/>
    <w:rsid w:val="006D0D78"/>
    <w:rsid w:val="006D127E"/>
    <w:rsid w:val="006D31BD"/>
    <w:rsid w:val="006D6D42"/>
    <w:rsid w:val="006D79C2"/>
    <w:rsid w:val="006E03F0"/>
    <w:rsid w:val="006E132F"/>
    <w:rsid w:val="006E5766"/>
    <w:rsid w:val="006E62AA"/>
    <w:rsid w:val="006F16AA"/>
    <w:rsid w:val="006F770E"/>
    <w:rsid w:val="00702AEC"/>
    <w:rsid w:val="00703C8C"/>
    <w:rsid w:val="00703F26"/>
    <w:rsid w:val="00704022"/>
    <w:rsid w:val="00705C4B"/>
    <w:rsid w:val="0071043E"/>
    <w:rsid w:val="007120A5"/>
    <w:rsid w:val="0071212F"/>
    <w:rsid w:val="00720140"/>
    <w:rsid w:val="00720ECC"/>
    <w:rsid w:val="00722047"/>
    <w:rsid w:val="007266DF"/>
    <w:rsid w:val="007317F3"/>
    <w:rsid w:val="007318D9"/>
    <w:rsid w:val="00732283"/>
    <w:rsid w:val="00733A0A"/>
    <w:rsid w:val="0073530B"/>
    <w:rsid w:val="007353C8"/>
    <w:rsid w:val="00735F37"/>
    <w:rsid w:val="007400BE"/>
    <w:rsid w:val="00741801"/>
    <w:rsid w:val="0074230B"/>
    <w:rsid w:val="00743CE7"/>
    <w:rsid w:val="00745BBA"/>
    <w:rsid w:val="00750AE3"/>
    <w:rsid w:val="00751C16"/>
    <w:rsid w:val="00752348"/>
    <w:rsid w:val="00753F62"/>
    <w:rsid w:val="0075462D"/>
    <w:rsid w:val="00757337"/>
    <w:rsid w:val="00757800"/>
    <w:rsid w:val="00757915"/>
    <w:rsid w:val="00762B3D"/>
    <w:rsid w:val="00766552"/>
    <w:rsid w:val="00770F92"/>
    <w:rsid w:val="00771B65"/>
    <w:rsid w:val="007731A3"/>
    <w:rsid w:val="007742D0"/>
    <w:rsid w:val="00776940"/>
    <w:rsid w:val="007800A5"/>
    <w:rsid w:val="00780F42"/>
    <w:rsid w:val="00785BE9"/>
    <w:rsid w:val="00786247"/>
    <w:rsid w:val="00786F83"/>
    <w:rsid w:val="007877D6"/>
    <w:rsid w:val="00796F96"/>
    <w:rsid w:val="00797CAE"/>
    <w:rsid w:val="007A5FA8"/>
    <w:rsid w:val="007B2FF7"/>
    <w:rsid w:val="007B33BF"/>
    <w:rsid w:val="007B70B3"/>
    <w:rsid w:val="007C2B64"/>
    <w:rsid w:val="007C5553"/>
    <w:rsid w:val="007D16EC"/>
    <w:rsid w:val="007D3620"/>
    <w:rsid w:val="007D4799"/>
    <w:rsid w:val="007E3946"/>
    <w:rsid w:val="007E4563"/>
    <w:rsid w:val="007E66C4"/>
    <w:rsid w:val="007F3D48"/>
    <w:rsid w:val="007F455F"/>
    <w:rsid w:val="0080010D"/>
    <w:rsid w:val="0080289B"/>
    <w:rsid w:val="0080361E"/>
    <w:rsid w:val="00805B80"/>
    <w:rsid w:val="008068C4"/>
    <w:rsid w:val="008112C2"/>
    <w:rsid w:val="0081686A"/>
    <w:rsid w:val="00817FD3"/>
    <w:rsid w:val="00824F2B"/>
    <w:rsid w:val="0083040C"/>
    <w:rsid w:val="00833198"/>
    <w:rsid w:val="00833BF9"/>
    <w:rsid w:val="008341CE"/>
    <w:rsid w:val="0083519D"/>
    <w:rsid w:val="00836471"/>
    <w:rsid w:val="00843413"/>
    <w:rsid w:val="008509B5"/>
    <w:rsid w:val="00851F7A"/>
    <w:rsid w:val="00856F40"/>
    <w:rsid w:val="00865AF7"/>
    <w:rsid w:val="008660C6"/>
    <w:rsid w:val="008705F0"/>
    <w:rsid w:val="00876D91"/>
    <w:rsid w:val="00881169"/>
    <w:rsid w:val="00881590"/>
    <w:rsid w:val="00882269"/>
    <w:rsid w:val="00884273"/>
    <w:rsid w:val="0089235D"/>
    <w:rsid w:val="00894884"/>
    <w:rsid w:val="008948CC"/>
    <w:rsid w:val="00894E12"/>
    <w:rsid w:val="008963A2"/>
    <w:rsid w:val="008964D5"/>
    <w:rsid w:val="008A02CC"/>
    <w:rsid w:val="008A19FB"/>
    <w:rsid w:val="008A220C"/>
    <w:rsid w:val="008B0B06"/>
    <w:rsid w:val="008B598D"/>
    <w:rsid w:val="008C0D07"/>
    <w:rsid w:val="008C2010"/>
    <w:rsid w:val="008C429A"/>
    <w:rsid w:val="008C516E"/>
    <w:rsid w:val="008C6CE7"/>
    <w:rsid w:val="008C767C"/>
    <w:rsid w:val="008D11F5"/>
    <w:rsid w:val="008E1011"/>
    <w:rsid w:val="008E1905"/>
    <w:rsid w:val="008E2A88"/>
    <w:rsid w:val="008E57DF"/>
    <w:rsid w:val="008E6CC5"/>
    <w:rsid w:val="008F0B77"/>
    <w:rsid w:val="008F290B"/>
    <w:rsid w:val="008F62A7"/>
    <w:rsid w:val="00904FB2"/>
    <w:rsid w:val="009072F4"/>
    <w:rsid w:val="00913166"/>
    <w:rsid w:val="009210AE"/>
    <w:rsid w:val="00922517"/>
    <w:rsid w:val="009227B3"/>
    <w:rsid w:val="00925172"/>
    <w:rsid w:val="0093191A"/>
    <w:rsid w:val="00933187"/>
    <w:rsid w:val="009332A3"/>
    <w:rsid w:val="009373F5"/>
    <w:rsid w:val="00937B5B"/>
    <w:rsid w:val="0094293E"/>
    <w:rsid w:val="00953B72"/>
    <w:rsid w:val="00955691"/>
    <w:rsid w:val="009557E9"/>
    <w:rsid w:val="00956B6F"/>
    <w:rsid w:val="00963254"/>
    <w:rsid w:val="009636B7"/>
    <w:rsid w:val="00967340"/>
    <w:rsid w:val="009701C5"/>
    <w:rsid w:val="00970487"/>
    <w:rsid w:val="00970B38"/>
    <w:rsid w:val="0097133A"/>
    <w:rsid w:val="0097423A"/>
    <w:rsid w:val="00977D16"/>
    <w:rsid w:val="0098205C"/>
    <w:rsid w:val="00983B0B"/>
    <w:rsid w:val="00984340"/>
    <w:rsid w:val="009932DC"/>
    <w:rsid w:val="00993C5B"/>
    <w:rsid w:val="00993D04"/>
    <w:rsid w:val="009944AC"/>
    <w:rsid w:val="0099788C"/>
    <w:rsid w:val="009A1276"/>
    <w:rsid w:val="009A194B"/>
    <w:rsid w:val="009A588B"/>
    <w:rsid w:val="009B0797"/>
    <w:rsid w:val="009B19A2"/>
    <w:rsid w:val="009B1A96"/>
    <w:rsid w:val="009C05E8"/>
    <w:rsid w:val="009C4D08"/>
    <w:rsid w:val="009C5701"/>
    <w:rsid w:val="009C663B"/>
    <w:rsid w:val="009C7B33"/>
    <w:rsid w:val="009D0791"/>
    <w:rsid w:val="009D20A7"/>
    <w:rsid w:val="009D219F"/>
    <w:rsid w:val="009D258E"/>
    <w:rsid w:val="009D2BEA"/>
    <w:rsid w:val="009D4EFC"/>
    <w:rsid w:val="009E227A"/>
    <w:rsid w:val="009E5D1E"/>
    <w:rsid w:val="009E79A0"/>
    <w:rsid w:val="009F0C7C"/>
    <w:rsid w:val="009F1C9F"/>
    <w:rsid w:val="009F3362"/>
    <w:rsid w:val="009F50B7"/>
    <w:rsid w:val="009F75D9"/>
    <w:rsid w:val="00A0323C"/>
    <w:rsid w:val="00A032AD"/>
    <w:rsid w:val="00A03D5D"/>
    <w:rsid w:val="00A04CD8"/>
    <w:rsid w:val="00A0624B"/>
    <w:rsid w:val="00A0765D"/>
    <w:rsid w:val="00A11C4E"/>
    <w:rsid w:val="00A14C4D"/>
    <w:rsid w:val="00A165B8"/>
    <w:rsid w:val="00A16B1D"/>
    <w:rsid w:val="00A20580"/>
    <w:rsid w:val="00A20B8C"/>
    <w:rsid w:val="00A242F2"/>
    <w:rsid w:val="00A317D3"/>
    <w:rsid w:val="00A32040"/>
    <w:rsid w:val="00A32A2B"/>
    <w:rsid w:val="00A3757F"/>
    <w:rsid w:val="00A42993"/>
    <w:rsid w:val="00A44BBB"/>
    <w:rsid w:val="00A44E69"/>
    <w:rsid w:val="00A4589E"/>
    <w:rsid w:val="00A46C58"/>
    <w:rsid w:val="00A477A6"/>
    <w:rsid w:val="00A4785E"/>
    <w:rsid w:val="00A52293"/>
    <w:rsid w:val="00A5304B"/>
    <w:rsid w:val="00A53BE4"/>
    <w:rsid w:val="00A55163"/>
    <w:rsid w:val="00A556D4"/>
    <w:rsid w:val="00A56108"/>
    <w:rsid w:val="00A5762D"/>
    <w:rsid w:val="00A6065D"/>
    <w:rsid w:val="00A606DD"/>
    <w:rsid w:val="00A610E5"/>
    <w:rsid w:val="00A61583"/>
    <w:rsid w:val="00A624EC"/>
    <w:rsid w:val="00A62BB5"/>
    <w:rsid w:val="00A653FA"/>
    <w:rsid w:val="00A67145"/>
    <w:rsid w:val="00A755D2"/>
    <w:rsid w:val="00A82586"/>
    <w:rsid w:val="00A82743"/>
    <w:rsid w:val="00A8307D"/>
    <w:rsid w:val="00A85F63"/>
    <w:rsid w:val="00A87E79"/>
    <w:rsid w:val="00A90C66"/>
    <w:rsid w:val="00A927FA"/>
    <w:rsid w:val="00A95870"/>
    <w:rsid w:val="00A974CC"/>
    <w:rsid w:val="00AA4B4A"/>
    <w:rsid w:val="00AB0897"/>
    <w:rsid w:val="00AB102C"/>
    <w:rsid w:val="00AB2FF7"/>
    <w:rsid w:val="00AB5CA2"/>
    <w:rsid w:val="00AB6F1F"/>
    <w:rsid w:val="00AC092A"/>
    <w:rsid w:val="00AD26A9"/>
    <w:rsid w:val="00AD43C6"/>
    <w:rsid w:val="00AD4406"/>
    <w:rsid w:val="00AD5D1C"/>
    <w:rsid w:val="00AD7E80"/>
    <w:rsid w:val="00AE3C10"/>
    <w:rsid w:val="00AE5BC0"/>
    <w:rsid w:val="00AE5DA8"/>
    <w:rsid w:val="00AE73C1"/>
    <w:rsid w:val="00AF1A06"/>
    <w:rsid w:val="00AF3BED"/>
    <w:rsid w:val="00AF4C7A"/>
    <w:rsid w:val="00AF593E"/>
    <w:rsid w:val="00AF62F6"/>
    <w:rsid w:val="00B00DB3"/>
    <w:rsid w:val="00B0166D"/>
    <w:rsid w:val="00B01E5E"/>
    <w:rsid w:val="00B045E2"/>
    <w:rsid w:val="00B05835"/>
    <w:rsid w:val="00B11163"/>
    <w:rsid w:val="00B146C2"/>
    <w:rsid w:val="00B238AF"/>
    <w:rsid w:val="00B33CCF"/>
    <w:rsid w:val="00B354EC"/>
    <w:rsid w:val="00B4109D"/>
    <w:rsid w:val="00B42597"/>
    <w:rsid w:val="00B43764"/>
    <w:rsid w:val="00B445CF"/>
    <w:rsid w:val="00B463C0"/>
    <w:rsid w:val="00B4652A"/>
    <w:rsid w:val="00B4657A"/>
    <w:rsid w:val="00B54777"/>
    <w:rsid w:val="00B54848"/>
    <w:rsid w:val="00B5518D"/>
    <w:rsid w:val="00B565DB"/>
    <w:rsid w:val="00B56E8A"/>
    <w:rsid w:val="00B57128"/>
    <w:rsid w:val="00B5726D"/>
    <w:rsid w:val="00B574CB"/>
    <w:rsid w:val="00B5798E"/>
    <w:rsid w:val="00B60381"/>
    <w:rsid w:val="00B61F4E"/>
    <w:rsid w:val="00B6276A"/>
    <w:rsid w:val="00B62B53"/>
    <w:rsid w:val="00B63F41"/>
    <w:rsid w:val="00B64F6F"/>
    <w:rsid w:val="00B74938"/>
    <w:rsid w:val="00B75C85"/>
    <w:rsid w:val="00B7625E"/>
    <w:rsid w:val="00B774BB"/>
    <w:rsid w:val="00B81257"/>
    <w:rsid w:val="00B81D00"/>
    <w:rsid w:val="00B83083"/>
    <w:rsid w:val="00B836F0"/>
    <w:rsid w:val="00B83F65"/>
    <w:rsid w:val="00B84B09"/>
    <w:rsid w:val="00B86D8A"/>
    <w:rsid w:val="00B91637"/>
    <w:rsid w:val="00B91765"/>
    <w:rsid w:val="00B91C43"/>
    <w:rsid w:val="00B922A9"/>
    <w:rsid w:val="00B92D96"/>
    <w:rsid w:val="00B9312D"/>
    <w:rsid w:val="00B9367D"/>
    <w:rsid w:val="00B93C16"/>
    <w:rsid w:val="00B95556"/>
    <w:rsid w:val="00B97E0A"/>
    <w:rsid w:val="00BA05F5"/>
    <w:rsid w:val="00BA06A5"/>
    <w:rsid w:val="00BB6002"/>
    <w:rsid w:val="00BC1753"/>
    <w:rsid w:val="00BC2423"/>
    <w:rsid w:val="00BC3EB7"/>
    <w:rsid w:val="00BC42E7"/>
    <w:rsid w:val="00BC6A23"/>
    <w:rsid w:val="00BD0B30"/>
    <w:rsid w:val="00BD1053"/>
    <w:rsid w:val="00BD1B50"/>
    <w:rsid w:val="00BD306A"/>
    <w:rsid w:val="00BD37A0"/>
    <w:rsid w:val="00BD4A1A"/>
    <w:rsid w:val="00BD5A7B"/>
    <w:rsid w:val="00BD5A9C"/>
    <w:rsid w:val="00BE0BE0"/>
    <w:rsid w:val="00BE5318"/>
    <w:rsid w:val="00BE58B5"/>
    <w:rsid w:val="00BE5A1F"/>
    <w:rsid w:val="00BE5F32"/>
    <w:rsid w:val="00BE6365"/>
    <w:rsid w:val="00BE723C"/>
    <w:rsid w:val="00BE7689"/>
    <w:rsid w:val="00BF1D92"/>
    <w:rsid w:val="00BF3D26"/>
    <w:rsid w:val="00BF579F"/>
    <w:rsid w:val="00BF57DA"/>
    <w:rsid w:val="00C03E5B"/>
    <w:rsid w:val="00C04267"/>
    <w:rsid w:val="00C050B7"/>
    <w:rsid w:val="00C0689F"/>
    <w:rsid w:val="00C071CF"/>
    <w:rsid w:val="00C1315D"/>
    <w:rsid w:val="00C15AF4"/>
    <w:rsid w:val="00C17640"/>
    <w:rsid w:val="00C21BD6"/>
    <w:rsid w:val="00C237B0"/>
    <w:rsid w:val="00C23838"/>
    <w:rsid w:val="00C26131"/>
    <w:rsid w:val="00C27086"/>
    <w:rsid w:val="00C3078D"/>
    <w:rsid w:val="00C3475E"/>
    <w:rsid w:val="00C34A70"/>
    <w:rsid w:val="00C35FF3"/>
    <w:rsid w:val="00C367BC"/>
    <w:rsid w:val="00C43F77"/>
    <w:rsid w:val="00C50119"/>
    <w:rsid w:val="00C53A8C"/>
    <w:rsid w:val="00C54622"/>
    <w:rsid w:val="00C55F10"/>
    <w:rsid w:val="00C56885"/>
    <w:rsid w:val="00C6104B"/>
    <w:rsid w:val="00C6418C"/>
    <w:rsid w:val="00C645E3"/>
    <w:rsid w:val="00C72AF5"/>
    <w:rsid w:val="00C8309F"/>
    <w:rsid w:val="00C847E4"/>
    <w:rsid w:val="00C85369"/>
    <w:rsid w:val="00C86D93"/>
    <w:rsid w:val="00C92459"/>
    <w:rsid w:val="00C93AF7"/>
    <w:rsid w:val="00C94501"/>
    <w:rsid w:val="00C95CBB"/>
    <w:rsid w:val="00C95FF4"/>
    <w:rsid w:val="00CA599F"/>
    <w:rsid w:val="00CA5DCF"/>
    <w:rsid w:val="00CA6A63"/>
    <w:rsid w:val="00CB5F36"/>
    <w:rsid w:val="00CC276A"/>
    <w:rsid w:val="00CD022A"/>
    <w:rsid w:val="00CD4DC4"/>
    <w:rsid w:val="00CD518F"/>
    <w:rsid w:val="00CD5B6D"/>
    <w:rsid w:val="00CD68FE"/>
    <w:rsid w:val="00CD7C7A"/>
    <w:rsid w:val="00CE1964"/>
    <w:rsid w:val="00CE3ED8"/>
    <w:rsid w:val="00CF0E38"/>
    <w:rsid w:val="00CF0E55"/>
    <w:rsid w:val="00CF2226"/>
    <w:rsid w:val="00CF2712"/>
    <w:rsid w:val="00D0165B"/>
    <w:rsid w:val="00D01A14"/>
    <w:rsid w:val="00D036E4"/>
    <w:rsid w:val="00D0576E"/>
    <w:rsid w:val="00D1174A"/>
    <w:rsid w:val="00D12C4D"/>
    <w:rsid w:val="00D20B2B"/>
    <w:rsid w:val="00D228FE"/>
    <w:rsid w:val="00D229E6"/>
    <w:rsid w:val="00D23330"/>
    <w:rsid w:val="00D23990"/>
    <w:rsid w:val="00D251F6"/>
    <w:rsid w:val="00D3456D"/>
    <w:rsid w:val="00D35025"/>
    <w:rsid w:val="00D35822"/>
    <w:rsid w:val="00D3624E"/>
    <w:rsid w:val="00D37FD7"/>
    <w:rsid w:val="00D41189"/>
    <w:rsid w:val="00D41480"/>
    <w:rsid w:val="00D45133"/>
    <w:rsid w:val="00D45255"/>
    <w:rsid w:val="00D4583C"/>
    <w:rsid w:val="00D46EE0"/>
    <w:rsid w:val="00D47747"/>
    <w:rsid w:val="00D503DD"/>
    <w:rsid w:val="00D523E4"/>
    <w:rsid w:val="00D53CC4"/>
    <w:rsid w:val="00D56715"/>
    <w:rsid w:val="00D56D0C"/>
    <w:rsid w:val="00D57D37"/>
    <w:rsid w:val="00D57D6E"/>
    <w:rsid w:val="00D641C9"/>
    <w:rsid w:val="00D70B53"/>
    <w:rsid w:val="00D72882"/>
    <w:rsid w:val="00D75178"/>
    <w:rsid w:val="00D75556"/>
    <w:rsid w:val="00D76264"/>
    <w:rsid w:val="00D765E6"/>
    <w:rsid w:val="00D8416F"/>
    <w:rsid w:val="00D859BC"/>
    <w:rsid w:val="00D8634B"/>
    <w:rsid w:val="00D87875"/>
    <w:rsid w:val="00D92227"/>
    <w:rsid w:val="00D94783"/>
    <w:rsid w:val="00D9530D"/>
    <w:rsid w:val="00D978B3"/>
    <w:rsid w:val="00DA124D"/>
    <w:rsid w:val="00DA18FA"/>
    <w:rsid w:val="00DA32AB"/>
    <w:rsid w:val="00DA54A3"/>
    <w:rsid w:val="00DA720F"/>
    <w:rsid w:val="00DB1105"/>
    <w:rsid w:val="00DB1B29"/>
    <w:rsid w:val="00DB6309"/>
    <w:rsid w:val="00DC0050"/>
    <w:rsid w:val="00DC0FBD"/>
    <w:rsid w:val="00DC2CC3"/>
    <w:rsid w:val="00DC4473"/>
    <w:rsid w:val="00DD3B2B"/>
    <w:rsid w:val="00DD7A26"/>
    <w:rsid w:val="00DE0587"/>
    <w:rsid w:val="00DE1AF9"/>
    <w:rsid w:val="00DE230E"/>
    <w:rsid w:val="00DE5804"/>
    <w:rsid w:val="00DE6D72"/>
    <w:rsid w:val="00DF0906"/>
    <w:rsid w:val="00DF35CA"/>
    <w:rsid w:val="00DF521F"/>
    <w:rsid w:val="00DF5D57"/>
    <w:rsid w:val="00DF60A0"/>
    <w:rsid w:val="00E030DA"/>
    <w:rsid w:val="00E03173"/>
    <w:rsid w:val="00E049D9"/>
    <w:rsid w:val="00E04B46"/>
    <w:rsid w:val="00E109E1"/>
    <w:rsid w:val="00E16EDD"/>
    <w:rsid w:val="00E16F3D"/>
    <w:rsid w:val="00E172C2"/>
    <w:rsid w:val="00E219AA"/>
    <w:rsid w:val="00E22793"/>
    <w:rsid w:val="00E25BD8"/>
    <w:rsid w:val="00E25C36"/>
    <w:rsid w:val="00E2645F"/>
    <w:rsid w:val="00E2696D"/>
    <w:rsid w:val="00E30DB3"/>
    <w:rsid w:val="00E332DC"/>
    <w:rsid w:val="00E37368"/>
    <w:rsid w:val="00E4084C"/>
    <w:rsid w:val="00E42EC5"/>
    <w:rsid w:val="00E50A7F"/>
    <w:rsid w:val="00E51FBF"/>
    <w:rsid w:val="00E52540"/>
    <w:rsid w:val="00E542E0"/>
    <w:rsid w:val="00E55034"/>
    <w:rsid w:val="00E664F1"/>
    <w:rsid w:val="00E76BC1"/>
    <w:rsid w:val="00E84803"/>
    <w:rsid w:val="00E851BE"/>
    <w:rsid w:val="00E8674F"/>
    <w:rsid w:val="00E943A5"/>
    <w:rsid w:val="00E960B8"/>
    <w:rsid w:val="00E967F2"/>
    <w:rsid w:val="00EA1381"/>
    <w:rsid w:val="00EA4340"/>
    <w:rsid w:val="00EB0543"/>
    <w:rsid w:val="00EB32B5"/>
    <w:rsid w:val="00EC1976"/>
    <w:rsid w:val="00EC2995"/>
    <w:rsid w:val="00EC670D"/>
    <w:rsid w:val="00ED0948"/>
    <w:rsid w:val="00ED1489"/>
    <w:rsid w:val="00ED3018"/>
    <w:rsid w:val="00ED5FE2"/>
    <w:rsid w:val="00ED7899"/>
    <w:rsid w:val="00EE0A8D"/>
    <w:rsid w:val="00EE4218"/>
    <w:rsid w:val="00EE447F"/>
    <w:rsid w:val="00EE5DCB"/>
    <w:rsid w:val="00EE74D4"/>
    <w:rsid w:val="00EF03DF"/>
    <w:rsid w:val="00F0176E"/>
    <w:rsid w:val="00F01C18"/>
    <w:rsid w:val="00F032AD"/>
    <w:rsid w:val="00F03993"/>
    <w:rsid w:val="00F12CA2"/>
    <w:rsid w:val="00F13964"/>
    <w:rsid w:val="00F14408"/>
    <w:rsid w:val="00F16A4E"/>
    <w:rsid w:val="00F17B15"/>
    <w:rsid w:val="00F2370C"/>
    <w:rsid w:val="00F24468"/>
    <w:rsid w:val="00F2693B"/>
    <w:rsid w:val="00F27222"/>
    <w:rsid w:val="00F319C7"/>
    <w:rsid w:val="00F31F40"/>
    <w:rsid w:val="00F3330E"/>
    <w:rsid w:val="00F35275"/>
    <w:rsid w:val="00F3782F"/>
    <w:rsid w:val="00F37C74"/>
    <w:rsid w:val="00F40C38"/>
    <w:rsid w:val="00F42B6B"/>
    <w:rsid w:val="00F4329C"/>
    <w:rsid w:val="00F439FF"/>
    <w:rsid w:val="00F43EC8"/>
    <w:rsid w:val="00F511A3"/>
    <w:rsid w:val="00F54D4C"/>
    <w:rsid w:val="00F5718E"/>
    <w:rsid w:val="00F57A53"/>
    <w:rsid w:val="00F60D25"/>
    <w:rsid w:val="00F66168"/>
    <w:rsid w:val="00F6758C"/>
    <w:rsid w:val="00F6784C"/>
    <w:rsid w:val="00F703CA"/>
    <w:rsid w:val="00F72E39"/>
    <w:rsid w:val="00F74C4C"/>
    <w:rsid w:val="00F754A9"/>
    <w:rsid w:val="00F76235"/>
    <w:rsid w:val="00F76AE2"/>
    <w:rsid w:val="00F76F09"/>
    <w:rsid w:val="00F76F45"/>
    <w:rsid w:val="00F8178D"/>
    <w:rsid w:val="00F84444"/>
    <w:rsid w:val="00F8526C"/>
    <w:rsid w:val="00F8799E"/>
    <w:rsid w:val="00F91AD6"/>
    <w:rsid w:val="00F93C2E"/>
    <w:rsid w:val="00F93CCD"/>
    <w:rsid w:val="00F967F2"/>
    <w:rsid w:val="00FB2B85"/>
    <w:rsid w:val="00FB61C1"/>
    <w:rsid w:val="00FC2987"/>
    <w:rsid w:val="00FC6A2D"/>
    <w:rsid w:val="00FC76DA"/>
    <w:rsid w:val="00FC7A6E"/>
    <w:rsid w:val="00FD0622"/>
    <w:rsid w:val="00FD26FC"/>
    <w:rsid w:val="00FD7A6D"/>
    <w:rsid w:val="00FE0BD4"/>
    <w:rsid w:val="00FE1C26"/>
    <w:rsid w:val="00FE2073"/>
    <w:rsid w:val="00FE20F7"/>
    <w:rsid w:val="00FE42AB"/>
    <w:rsid w:val="00FE5C9D"/>
    <w:rsid w:val="00FE5DF6"/>
    <w:rsid w:val="00FE71A9"/>
    <w:rsid w:val="00FF2C73"/>
    <w:rsid w:val="00FF6BAA"/>
    <w:rsid w:val="00FF6C58"/>
    <w:rsid w:val="010A3562"/>
    <w:rsid w:val="01143EEC"/>
    <w:rsid w:val="01214A58"/>
    <w:rsid w:val="01290489"/>
    <w:rsid w:val="01350E74"/>
    <w:rsid w:val="016B3DED"/>
    <w:rsid w:val="01B36BD0"/>
    <w:rsid w:val="020636EB"/>
    <w:rsid w:val="02394659"/>
    <w:rsid w:val="02394A28"/>
    <w:rsid w:val="025612EA"/>
    <w:rsid w:val="02A0457E"/>
    <w:rsid w:val="02B20C36"/>
    <w:rsid w:val="03662242"/>
    <w:rsid w:val="036829BD"/>
    <w:rsid w:val="036832E8"/>
    <w:rsid w:val="038C1C81"/>
    <w:rsid w:val="03B81AEF"/>
    <w:rsid w:val="04214769"/>
    <w:rsid w:val="047B784B"/>
    <w:rsid w:val="04933986"/>
    <w:rsid w:val="04AE305E"/>
    <w:rsid w:val="04D03931"/>
    <w:rsid w:val="04EF77A7"/>
    <w:rsid w:val="04F438D0"/>
    <w:rsid w:val="04F711FB"/>
    <w:rsid w:val="05003F44"/>
    <w:rsid w:val="05165E73"/>
    <w:rsid w:val="05332283"/>
    <w:rsid w:val="05796D9C"/>
    <w:rsid w:val="05AE0EDE"/>
    <w:rsid w:val="05BB48D6"/>
    <w:rsid w:val="05C818E1"/>
    <w:rsid w:val="05CB28CB"/>
    <w:rsid w:val="06294701"/>
    <w:rsid w:val="06334523"/>
    <w:rsid w:val="066A604B"/>
    <w:rsid w:val="06746FE6"/>
    <w:rsid w:val="06AC0B0C"/>
    <w:rsid w:val="06F7533A"/>
    <w:rsid w:val="0701192F"/>
    <w:rsid w:val="0741119E"/>
    <w:rsid w:val="075D1C06"/>
    <w:rsid w:val="075F5BEE"/>
    <w:rsid w:val="07612B93"/>
    <w:rsid w:val="077661DF"/>
    <w:rsid w:val="07862A94"/>
    <w:rsid w:val="0789394A"/>
    <w:rsid w:val="07D03942"/>
    <w:rsid w:val="07D67372"/>
    <w:rsid w:val="08022C38"/>
    <w:rsid w:val="083E4DEC"/>
    <w:rsid w:val="08670409"/>
    <w:rsid w:val="08C60BA2"/>
    <w:rsid w:val="08D648E1"/>
    <w:rsid w:val="08E46FFA"/>
    <w:rsid w:val="08EA5DF2"/>
    <w:rsid w:val="091A07EA"/>
    <w:rsid w:val="092F65B6"/>
    <w:rsid w:val="09330451"/>
    <w:rsid w:val="094217BD"/>
    <w:rsid w:val="09662BB8"/>
    <w:rsid w:val="09910188"/>
    <w:rsid w:val="09EC47F4"/>
    <w:rsid w:val="0A007206"/>
    <w:rsid w:val="0A0525B3"/>
    <w:rsid w:val="0A432992"/>
    <w:rsid w:val="0A435183"/>
    <w:rsid w:val="0A766471"/>
    <w:rsid w:val="0AA62534"/>
    <w:rsid w:val="0AAA48E8"/>
    <w:rsid w:val="0AC00944"/>
    <w:rsid w:val="0AC54B6E"/>
    <w:rsid w:val="0AD95116"/>
    <w:rsid w:val="0B1964C2"/>
    <w:rsid w:val="0B1C7A9F"/>
    <w:rsid w:val="0B56188B"/>
    <w:rsid w:val="0B785D82"/>
    <w:rsid w:val="0B800ABD"/>
    <w:rsid w:val="0B8E521F"/>
    <w:rsid w:val="0BD35D41"/>
    <w:rsid w:val="0BFB287A"/>
    <w:rsid w:val="0C051E37"/>
    <w:rsid w:val="0C71395A"/>
    <w:rsid w:val="0CAA30F6"/>
    <w:rsid w:val="0CBF4E94"/>
    <w:rsid w:val="0CC579D5"/>
    <w:rsid w:val="0CD556B8"/>
    <w:rsid w:val="0D110610"/>
    <w:rsid w:val="0D216673"/>
    <w:rsid w:val="0D2D5153"/>
    <w:rsid w:val="0D471861"/>
    <w:rsid w:val="0D4E1866"/>
    <w:rsid w:val="0DA23232"/>
    <w:rsid w:val="0DAD0939"/>
    <w:rsid w:val="0DBA0D85"/>
    <w:rsid w:val="0DE64BAC"/>
    <w:rsid w:val="0DEF3799"/>
    <w:rsid w:val="0EC93A2B"/>
    <w:rsid w:val="0ED06D37"/>
    <w:rsid w:val="0ED434D5"/>
    <w:rsid w:val="0EF401AF"/>
    <w:rsid w:val="0F057CA8"/>
    <w:rsid w:val="0F4821BE"/>
    <w:rsid w:val="0F5E1584"/>
    <w:rsid w:val="0F8912B6"/>
    <w:rsid w:val="0F956C90"/>
    <w:rsid w:val="0FA1101D"/>
    <w:rsid w:val="0FD926E1"/>
    <w:rsid w:val="0FEF7B5F"/>
    <w:rsid w:val="0FF2348A"/>
    <w:rsid w:val="0FFE2478"/>
    <w:rsid w:val="1044243E"/>
    <w:rsid w:val="105B4E4C"/>
    <w:rsid w:val="10606175"/>
    <w:rsid w:val="1063598B"/>
    <w:rsid w:val="10EC63C3"/>
    <w:rsid w:val="11054D04"/>
    <w:rsid w:val="112138E3"/>
    <w:rsid w:val="11541461"/>
    <w:rsid w:val="11645AF3"/>
    <w:rsid w:val="118C6B1F"/>
    <w:rsid w:val="11E46CC1"/>
    <w:rsid w:val="120F339E"/>
    <w:rsid w:val="1224767B"/>
    <w:rsid w:val="1232350F"/>
    <w:rsid w:val="123B653D"/>
    <w:rsid w:val="12461EBC"/>
    <w:rsid w:val="126F227B"/>
    <w:rsid w:val="12A53373"/>
    <w:rsid w:val="12B75DA4"/>
    <w:rsid w:val="130F701D"/>
    <w:rsid w:val="1318274F"/>
    <w:rsid w:val="13875F66"/>
    <w:rsid w:val="138B7D02"/>
    <w:rsid w:val="13A908E5"/>
    <w:rsid w:val="13B1699B"/>
    <w:rsid w:val="13B87ED6"/>
    <w:rsid w:val="14102512"/>
    <w:rsid w:val="144C0868"/>
    <w:rsid w:val="147B6FAB"/>
    <w:rsid w:val="14880C8A"/>
    <w:rsid w:val="151E6A62"/>
    <w:rsid w:val="15681D19"/>
    <w:rsid w:val="157B3544"/>
    <w:rsid w:val="15970E66"/>
    <w:rsid w:val="159B2800"/>
    <w:rsid w:val="15D23403"/>
    <w:rsid w:val="15FA4181"/>
    <w:rsid w:val="16266BD5"/>
    <w:rsid w:val="16342DA7"/>
    <w:rsid w:val="16564B80"/>
    <w:rsid w:val="16B56C3D"/>
    <w:rsid w:val="16E135D0"/>
    <w:rsid w:val="16E724CA"/>
    <w:rsid w:val="170536B5"/>
    <w:rsid w:val="171464B3"/>
    <w:rsid w:val="171A1D19"/>
    <w:rsid w:val="17B332EF"/>
    <w:rsid w:val="17C44755"/>
    <w:rsid w:val="184D192A"/>
    <w:rsid w:val="18A9531C"/>
    <w:rsid w:val="1914491D"/>
    <w:rsid w:val="1978154E"/>
    <w:rsid w:val="199128EC"/>
    <w:rsid w:val="1A014E47"/>
    <w:rsid w:val="1A021604"/>
    <w:rsid w:val="1A624C5A"/>
    <w:rsid w:val="1A6416C1"/>
    <w:rsid w:val="1A891D75"/>
    <w:rsid w:val="1A98287D"/>
    <w:rsid w:val="1A9E0B9D"/>
    <w:rsid w:val="1AB071EB"/>
    <w:rsid w:val="1ABA10A1"/>
    <w:rsid w:val="1AC03753"/>
    <w:rsid w:val="1AC123F5"/>
    <w:rsid w:val="1AD8526A"/>
    <w:rsid w:val="1AE03A91"/>
    <w:rsid w:val="1AEF0B99"/>
    <w:rsid w:val="1B167B1B"/>
    <w:rsid w:val="1B2415D3"/>
    <w:rsid w:val="1B6C77AD"/>
    <w:rsid w:val="1BA17790"/>
    <w:rsid w:val="1BFC314F"/>
    <w:rsid w:val="1C451F3A"/>
    <w:rsid w:val="1C4D5DA4"/>
    <w:rsid w:val="1C9E1B58"/>
    <w:rsid w:val="1CCE7CD7"/>
    <w:rsid w:val="1CDC1065"/>
    <w:rsid w:val="1CE11AE5"/>
    <w:rsid w:val="1CFF35D1"/>
    <w:rsid w:val="1D0D1432"/>
    <w:rsid w:val="1D404580"/>
    <w:rsid w:val="1D504783"/>
    <w:rsid w:val="1D813BCE"/>
    <w:rsid w:val="1D9E02DC"/>
    <w:rsid w:val="1DAD3C0B"/>
    <w:rsid w:val="1DB54D46"/>
    <w:rsid w:val="1DC47395"/>
    <w:rsid w:val="1DCC0C5B"/>
    <w:rsid w:val="1E2D550A"/>
    <w:rsid w:val="1E785BBD"/>
    <w:rsid w:val="1E7B27D2"/>
    <w:rsid w:val="1F1360DB"/>
    <w:rsid w:val="1F640DC2"/>
    <w:rsid w:val="1F7E2174"/>
    <w:rsid w:val="1FA57921"/>
    <w:rsid w:val="20322848"/>
    <w:rsid w:val="205840C2"/>
    <w:rsid w:val="20596F35"/>
    <w:rsid w:val="20715C91"/>
    <w:rsid w:val="207E1CC3"/>
    <w:rsid w:val="20920BA4"/>
    <w:rsid w:val="20A30097"/>
    <w:rsid w:val="20D565B0"/>
    <w:rsid w:val="20E750A2"/>
    <w:rsid w:val="2104418C"/>
    <w:rsid w:val="210C1A46"/>
    <w:rsid w:val="211E4815"/>
    <w:rsid w:val="21456A1F"/>
    <w:rsid w:val="214B3D43"/>
    <w:rsid w:val="21A64B87"/>
    <w:rsid w:val="21BC38A4"/>
    <w:rsid w:val="22131B6D"/>
    <w:rsid w:val="222B517D"/>
    <w:rsid w:val="22321601"/>
    <w:rsid w:val="22517CB1"/>
    <w:rsid w:val="22935E93"/>
    <w:rsid w:val="229F7C15"/>
    <w:rsid w:val="22AA2288"/>
    <w:rsid w:val="22B275D1"/>
    <w:rsid w:val="22BC1BC3"/>
    <w:rsid w:val="233C678E"/>
    <w:rsid w:val="23947812"/>
    <w:rsid w:val="23A93532"/>
    <w:rsid w:val="23AF3D16"/>
    <w:rsid w:val="23BF0E1F"/>
    <w:rsid w:val="23E37F8C"/>
    <w:rsid w:val="23E66258"/>
    <w:rsid w:val="23ED667D"/>
    <w:rsid w:val="23F67170"/>
    <w:rsid w:val="24087C88"/>
    <w:rsid w:val="241449D3"/>
    <w:rsid w:val="241E0857"/>
    <w:rsid w:val="243A4E61"/>
    <w:rsid w:val="244C6C69"/>
    <w:rsid w:val="24601156"/>
    <w:rsid w:val="24902CA3"/>
    <w:rsid w:val="2494642A"/>
    <w:rsid w:val="24AE7D94"/>
    <w:rsid w:val="24FF7C73"/>
    <w:rsid w:val="25201C97"/>
    <w:rsid w:val="25391035"/>
    <w:rsid w:val="2542031E"/>
    <w:rsid w:val="254A7016"/>
    <w:rsid w:val="25A0408C"/>
    <w:rsid w:val="25B10365"/>
    <w:rsid w:val="25CFE463"/>
    <w:rsid w:val="25DE6078"/>
    <w:rsid w:val="262056B3"/>
    <w:rsid w:val="26325691"/>
    <w:rsid w:val="26394C9C"/>
    <w:rsid w:val="264E02D7"/>
    <w:rsid w:val="264F7881"/>
    <w:rsid w:val="26B77CD5"/>
    <w:rsid w:val="26D71116"/>
    <w:rsid w:val="26F17AC5"/>
    <w:rsid w:val="273848EA"/>
    <w:rsid w:val="27550FA4"/>
    <w:rsid w:val="279D1605"/>
    <w:rsid w:val="27AA2B15"/>
    <w:rsid w:val="27B55209"/>
    <w:rsid w:val="27F73724"/>
    <w:rsid w:val="280D40E1"/>
    <w:rsid w:val="28246BCA"/>
    <w:rsid w:val="282B0A88"/>
    <w:rsid w:val="285215B4"/>
    <w:rsid w:val="288A05AD"/>
    <w:rsid w:val="28CB554F"/>
    <w:rsid w:val="28D64439"/>
    <w:rsid w:val="29A23BD4"/>
    <w:rsid w:val="29C24B68"/>
    <w:rsid w:val="29CF21C0"/>
    <w:rsid w:val="29F62207"/>
    <w:rsid w:val="29F87845"/>
    <w:rsid w:val="29FE053F"/>
    <w:rsid w:val="2A2B114A"/>
    <w:rsid w:val="2A4F61EE"/>
    <w:rsid w:val="2A50517C"/>
    <w:rsid w:val="2A6D04C4"/>
    <w:rsid w:val="2A736BE0"/>
    <w:rsid w:val="2A89284D"/>
    <w:rsid w:val="2B27650D"/>
    <w:rsid w:val="2B323C77"/>
    <w:rsid w:val="2B4F2D3A"/>
    <w:rsid w:val="2B514ABD"/>
    <w:rsid w:val="2B5E51DD"/>
    <w:rsid w:val="2B81402B"/>
    <w:rsid w:val="2B8F12A9"/>
    <w:rsid w:val="2B9B35E6"/>
    <w:rsid w:val="2BF30E6E"/>
    <w:rsid w:val="2BFC1033"/>
    <w:rsid w:val="2C062617"/>
    <w:rsid w:val="2C165DD0"/>
    <w:rsid w:val="2C45620F"/>
    <w:rsid w:val="2C5C3886"/>
    <w:rsid w:val="2C9D3D0B"/>
    <w:rsid w:val="2CA721F8"/>
    <w:rsid w:val="2CA758D3"/>
    <w:rsid w:val="2CAD4832"/>
    <w:rsid w:val="2CC53975"/>
    <w:rsid w:val="2CF17371"/>
    <w:rsid w:val="2CFF50EA"/>
    <w:rsid w:val="2D624770"/>
    <w:rsid w:val="2D67758F"/>
    <w:rsid w:val="2DA81050"/>
    <w:rsid w:val="2DE67921"/>
    <w:rsid w:val="2DEB7DA8"/>
    <w:rsid w:val="2DEE155D"/>
    <w:rsid w:val="2DFB7B0F"/>
    <w:rsid w:val="2E2D19E1"/>
    <w:rsid w:val="2E5C6996"/>
    <w:rsid w:val="2EA0002C"/>
    <w:rsid w:val="2F2041C5"/>
    <w:rsid w:val="2F773147"/>
    <w:rsid w:val="2FC4686E"/>
    <w:rsid w:val="30243580"/>
    <w:rsid w:val="304832BF"/>
    <w:rsid w:val="306E73C0"/>
    <w:rsid w:val="317121B6"/>
    <w:rsid w:val="3196072F"/>
    <w:rsid w:val="323111FF"/>
    <w:rsid w:val="323304CD"/>
    <w:rsid w:val="323C59AF"/>
    <w:rsid w:val="325A14A9"/>
    <w:rsid w:val="32A658FC"/>
    <w:rsid w:val="32A927FC"/>
    <w:rsid w:val="32D8556D"/>
    <w:rsid w:val="32F80153"/>
    <w:rsid w:val="32FA1C41"/>
    <w:rsid w:val="33497D6F"/>
    <w:rsid w:val="33762B0C"/>
    <w:rsid w:val="33967031"/>
    <w:rsid w:val="33B156B9"/>
    <w:rsid w:val="33E06739"/>
    <w:rsid w:val="341E1DF8"/>
    <w:rsid w:val="342A07E1"/>
    <w:rsid w:val="34330911"/>
    <w:rsid w:val="343A0040"/>
    <w:rsid w:val="347A5380"/>
    <w:rsid w:val="3490100C"/>
    <w:rsid w:val="349C57EF"/>
    <w:rsid w:val="34AE4C08"/>
    <w:rsid w:val="34D9124A"/>
    <w:rsid w:val="34FE09D0"/>
    <w:rsid w:val="350F2286"/>
    <w:rsid w:val="35375AB9"/>
    <w:rsid w:val="356310D2"/>
    <w:rsid w:val="35650004"/>
    <w:rsid w:val="35713485"/>
    <w:rsid w:val="35765BF9"/>
    <w:rsid w:val="35A25225"/>
    <w:rsid w:val="35BA7310"/>
    <w:rsid w:val="35BB25F2"/>
    <w:rsid w:val="35E203DA"/>
    <w:rsid w:val="35ED6770"/>
    <w:rsid w:val="361F5DE1"/>
    <w:rsid w:val="36461ED7"/>
    <w:rsid w:val="366D52FC"/>
    <w:rsid w:val="367D567B"/>
    <w:rsid w:val="36AF5B41"/>
    <w:rsid w:val="36BC2DF8"/>
    <w:rsid w:val="36C81C57"/>
    <w:rsid w:val="36E214AC"/>
    <w:rsid w:val="36F40BD1"/>
    <w:rsid w:val="370545F8"/>
    <w:rsid w:val="37092C79"/>
    <w:rsid w:val="371C6747"/>
    <w:rsid w:val="37551695"/>
    <w:rsid w:val="37792110"/>
    <w:rsid w:val="37E45315"/>
    <w:rsid w:val="381A20B5"/>
    <w:rsid w:val="382122A2"/>
    <w:rsid w:val="382579DA"/>
    <w:rsid w:val="387800E6"/>
    <w:rsid w:val="387A0C1D"/>
    <w:rsid w:val="389116EE"/>
    <w:rsid w:val="38BC005D"/>
    <w:rsid w:val="38E60F4E"/>
    <w:rsid w:val="38E86614"/>
    <w:rsid w:val="39295ACF"/>
    <w:rsid w:val="39833C10"/>
    <w:rsid w:val="399E6BFB"/>
    <w:rsid w:val="39CA6664"/>
    <w:rsid w:val="39EB7DFC"/>
    <w:rsid w:val="3A166AE9"/>
    <w:rsid w:val="3A327515"/>
    <w:rsid w:val="3A427C9D"/>
    <w:rsid w:val="3A776CF9"/>
    <w:rsid w:val="3AA868F8"/>
    <w:rsid w:val="3AAF2519"/>
    <w:rsid w:val="3AE803AA"/>
    <w:rsid w:val="3AFC5601"/>
    <w:rsid w:val="3B132CA2"/>
    <w:rsid w:val="3B225494"/>
    <w:rsid w:val="3B2F0CB0"/>
    <w:rsid w:val="3B8D6278"/>
    <w:rsid w:val="3C520EFB"/>
    <w:rsid w:val="3C9030E6"/>
    <w:rsid w:val="3CA52596"/>
    <w:rsid w:val="3CB22CF7"/>
    <w:rsid w:val="3CFD4234"/>
    <w:rsid w:val="3D1572B3"/>
    <w:rsid w:val="3D3711B6"/>
    <w:rsid w:val="3D8005FF"/>
    <w:rsid w:val="3D9D6D80"/>
    <w:rsid w:val="3DA8588A"/>
    <w:rsid w:val="3DF43C1D"/>
    <w:rsid w:val="3E2B12A9"/>
    <w:rsid w:val="3E2F0AFD"/>
    <w:rsid w:val="3E5B09EB"/>
    <w:rsid w:val="3E771D11"/>
    <w:rsid w:val="3E863380"/>
    <w:rsid w:val="3EE1147F"/>
    <w:rsid w:val="3EF17FDA"/>
    <w:rsid w:val="3F3928BF"/>
    <w:rsid w:val="3F5E201E"/>
    <w:rsid w:val="3F7F16A9"/>
    <w:rsid w:val="3FD57038"/>
    <w:rsid w:val="3FE27262"/>
    <w:rsid w:val="40103D0C"/>
    <w:rsid w:val="40532CA8"/>
    <w:rsid w:val="405C072B"/>
    <w:rsid w:val="40996FC6"/>
    <w:rsid w:val="40B43400"/>
    <w:rsid w:val="40E86FF4"/>
    <w:rsid w:val="41A92006"/>
    <w:rsid w:val="41AD64B0"/>
    <w:rsid w:val="41AF51B5"/>
    <w:rsid w:val="41CE28FA"/>
    <w:rsid w:val="42052432"/>
    <w:rsid w:val="42B03064"/>
    <w:rsid w:val="42F457C3"/>
    <w:rsid w:val="42FF2D1C"/>
    <w:rsid w:val="430671A8"/>
    <w:rsid w:val="430736DD"/>
    <w:rsid w:val="43234275"/>
    <w:rsid w:val="44127A8B"/>
    <w:rsid w:val="443D58AA"/>
    <w:rsid w:val="44563EF2"/>
    <w:rsid w:val="44572895"/>
    <w:rsid w:val="44606284"/>
    <w:rsid w:val="446454D0"/>
    <w:rsid w:val="446749DF"/>
    <w:rsid w:val="44887757"/>
    <w:rsid w:val="44A406E8"/>
    <w:rsid w:val="44B16DCE"/>
    <w:rsid w:val="44D162C6"/>
    <w:rsid w:val="44E4030E"/>
    <w:rsid w:val="44E651F1"/>
    <w:rsid w:val="44FF704D"/>
    <w:rsid w:val="452C38F0"/>
    <w:rsid w:val="455E27BC"/>
    <w:rsid w:val="45794333"/>
    <w:rsid w:val="464A2DC6"/>
    <w:rsid w:val="466D730B"/>
    <w:rsid w:val="4698326B"/>
    <w:rsid w:val="46F9744E"/>
    <w:rsid w:val="473E2065"/>
    <w:rsid w:val="47625D41"/>
    <w:rsid w:val="478C64B2"/>
    <w:rsid w:val="47AA4946"/>
    <w:rsid w:val="47F4785B"/>
    <w:rsid w:val="47F55C75"/>
    <w:rsid w:val="47FB06DB"/>
    <w:rsid w:val="482C4A03"/>
    <w:rsid w:val="4831420C"/>
    <w:rsid w:val="4837507C"/>
    <w:rsid w:val="483E1008"/>
    <w:rsid w:val="486A4AD3"/>
    <w:rsid w:val="486E5F96"/>
    <w:rsid w:val="487C0965"/>
    <w:rsid w:val="48827DDE"/>
    <w:rsid w:val="48BE6881"/>
    <w:rsid w:val="48C06C85"/>
    <w:rsid w:val="48D06193"/>
    <w:rsid w:val="48D20CC4"/>
    <w:rsid w:val="48F6681E"/>
    <w:rsid w:val="49007D37"/>
    <w:rsid w:val="490E5CBB"/>
    <w:rsid w:val="491B1835"/>
    <w:rsid w:val="49CD5416"/>
    <w:rsid w:val="4A03543C"/>
    <w:rsid w:val="4A1009F9"/>
    <w:rsid w:val="4A2154C2"/>
    <w:rsid w:val="4A216DB7"/>
    <w:rsid w:val="4A4F3AB4"/>
    <w:rsid w:val="4A5212A1"/>
    <w:rsid w:val="4A6B1DC7"/>
    <w:rsid w:val="4A743685"/>
    <w:rsid w:val="4AAB7F29"/>
    <w:rsid w:val="4AB23B5D"/>
    <w:rsid w:val="4AF441B7"/>
    <w:rsid w:val="4AF64B23"/>
    <w:rsid w:val="4B0B45F8"/>
    <w:rsid w:val="4B400741"/>
    <w:rsid w:val="4B477BC6"/>
    <w:rsid w:val="4B5A1B72"/>
    <w:rsid w:val="4BAB03CB"/>
    <w:rsid w:val="4BB664A0"/>
    <w:rsid w:val="4BEA6BE4"/>
    <w:rsid w:val="4C4D3A7C"/>
    <w:rsid w:val="4C6A21A2"/>
    <w:rsid w:val="4CBB7149"/>
    <w:rsid w:val="4CF50638"/>
    <w:rsid w:val="4D071093"/>
    <w:rsid w:val="4D6825F5"/>
    <w:rsid w:val="4DF34A88"/>
    <w:rsid w:val="4E5305CF"/>
    <w:rsid w:val="4E601E59"/>
    <w:rsid w:val="4E6B7F6F"/>
    <w:rsid w:val="4E872F75"/>
    <w:rsid w:val="4EB91B1F"/>
    <w:rsid w:val="4F181265"/>
    <w:rsid w:val="4F1F0BF7"/>
    <w:rsid w:val="4F1F6825"/>
    <w:rsid w:val="4F681903"/>
    <w:rsid w:val="4FB1194D"/>
    <w:rsid w:val="4FBB5D29"/>
    <w:rsid w:val="4FC43087"/>
    <w:rsid w:val="4FCF06B5"/>
    <w:rsid w:val="4FE126A9"/>
    <w:rsid w:val="4FFF10C6"/>
    <w:rsid w:val="500C52C0"/>
    <w:rsid w:val="500D5E11"/>
    <w:rsid w:val="50124405"/>
    <w:rsid w:val="50B574B7"/>
    <w:rsid w:val="50DF0A22"/>
    <w:rsid w:val="51153AEE"/>
    <w:rsid w:val="51167BAE"/>
    <w:rsid w:val="511A6570"/>
    <w:rsid w:val="512C261D"/>
    <w:rsid w:val="51326D7B"/>
    <w:rsid w:val="517B63AD"/>
    <w:rsid w:val="51A3705C"/>
    <w:rsid w:val="51AB3CB4"/>
    <w:rsid w:val="51B21C69"/>
    <w:rsid w:val="521F22CE"/>
    <w:rsid w:val="52312C3E"/>
    <w:rsid w:val="52591EBD"/>
    <w:rsid w:val="529509A1"/>
    <w:rsid w:val="52EA0F7C"/>
    <w:rsid w:val="534A70A8"/>
    <w:rsid w:val="534E72B5"/>
    <w:rsid w:val="538F23C7"/>
    <w:rsid w:val="539E07FC"/>
    <w:rsid w:val="53E36013"/>
    <w:rsid w:val="540076EF"/>
    <w:rsid w:val="54243EAA"/>
    <w:rsid w:val="544464C4"/>
    <w:rsid w:val="547C3284"/>
    <w:rsid w:val="547E595F"/>
    <w:rsid w:val="54A22B9C"/>
    <w:rsid w:val="54DA3745"/>
    <w:rsid w:val="54EE4385"/>
    <w:rsid w:val="555F79F2"/>
    <w:rsid w:val="55917172"/>
    <w:rsid w:val="55BD0710"/>
    <w:rsid w:val="55D1563D"/>
    <w:rsid w:val="55DC0CE3"/>
    <w:rsid w:val="55EF39CF"/>
    <w:rsid w:val="563764AE"/>
    <w:rsid w:val="566771C8"/>
    <w:rsid w:val="56731EC2"/>
    <w:rsid w:val="5691613F"/>
    <w:rsid w:val="56DA27D4"/>
    <w:rsid w:val="57062127"/>
    <w:rsid w:val="57550F07"/>
    <w:rsid w:val="578E53C8"/>
    <w:rsid w:val="57B10719"/>
    <w:rsid w:val="58317205"/>
    <w:rsid w:val="584F18E4"/>
    <w:rsid w:val="584F2890"/>
    <w:rsid w:val="58762CFB"/>
    <w:rsid w:val="588C5B66"/>
    <w:rsid w:val="58B47BD3"/>
    <w:rsid w:val="58DE4629"/>
    <w:rsid w:val="58E90C25"/>
    <w:rsid w:val="590F55B1"/>
    <w:rsid w:val="596F5259"/>
    <w:rsid w:val="59AC44CF"/>
    <w:rsid w:val="59DA3ECF"/>
    <w:rsid w:val="59DE31F2"/>
    <w:rsid w:val="59F105BF"/>
    <w:rsid w:val="5A0A4C8A"/>
    <w:rsid w:val="5A2B3547"/>
    <w:rsid w:val="5A33133F"/>
    <w:rsid w:val="5A435BA8"/>
    <w:rsid w:val="5ACE5E3E"/>
    <w:rsid w:val="5ADE1CCB"/>
    <w:rsid w:val="5AEA4476"/>
    <w:rsid w:val="5B1C518E"/>
    <w:rsid w:val="5B2E3F11"/>
    <w:rsid w:val="5B2F0801"/>
    <w:rsid w:val="5B300997"/>
    <w:rsid w:val="5B3D2211"/>
    <w:rsid w:val="5B7406A2"/>
    <w:rsid w:val="5B77749C"/>
    <w:rsid w:val="5B8B3398"/>
    <w:rsid w:val="5BAE34C5"/>
    <w:rsid w:val="5BB22859"/>
    <w:rsid w:val="5BD81549"/>
    <w:rsid w:val="5C463BC8"/>
    <w:rsid w:val="5C6B4FA1"/>
    <w:rsid w:val="5C6D6C8B"/>
    <w:rsid w:val="5C841237"/>
    <w:rsid w:val="5C8B4198"/>
    <w:rsid w:val="5C9B21DE"/>
    <w:rsid w:val="5CD64696"/>
    <w:rsid w:val="5CE26471"/>
    <w:rsid w:val="5CEA1177"/>
    <w:rsid w:val="5CF856B6"/>
    <w:rsid w:val="5D493C90"/>
    <w:rsid w:val="5D4B165C"/>
    <w:rsid w:val="5D550E25"/>
    <w:rsid w:val="5D8E5807"/>
    <w:rsid w:val="5D985B70"/>
    <w:rsid w:val="5DBB663C"/>
    <w:rsid w:val="5DFF5703"/>
    <w:rsid w:val="5E1A6F8C"/>
    <w:rsid w:val="5E356FB8"/>
    <w:rsid w:val="5E3B4242"/>
    <w:rsid w:val="5E603F4A"/>
    <w:rsid w:val="5E7517F5"/>
    <w:rsid w:val="5E847FBB"/>
    <w:rsid w:val="5EC73BE1"/>
    <w:rsid w:val="5EE66E8C"/>
    <w:rsid w:val="5F2269D4"/>
    <w:rsid w:val="5F55079B"/>
    <w:rsid w:val="5F630AD3"/>
    <w:rsid w:val="5FA87FBA"/>
    <w:rsid w:val="5FF612D7"/>
    <w:rsid w:val="604007A9"/>
    <w:rsid w:val="6050755C"/>
    <w:rsid w:val="6065494A"/>
    <w:rsid w:val="60B80627"/>
    <w:rsid w:val="60EA14AD"/>
    <w:rsid w:val="611312F2"/>
    <w:rsid w:val="61311029"/>
    <w:rsid w:val="61477FB3"/>
    <w:rsid w:val="617539B6"/>
    <w:rsid w:val="61764983"/>
    <w:rsid w:val="61863C86"/>
    <w:rsid w:val="61A316A6"/>
    <w:rsid w:val="61BF394A"/>
    <w:rsid w:val="62103CE8"/>
    <w:rsid w:val="62197C87"/>
    <w:rsid w:val="624E6DAA"/>
    <w:rsid w:val="62906F0B"/>
    <w:rsid w:val="629E2444"/>
    <w:rsid w:val="62D54F40"/>
    <w:rsid w:val="62D64D9C"/>
    <w:rsid w:val="62F30C40"/>
    <w:rsid w:val="62FD1D35"/>
    <w:rsid w:val="6309230E"/>
    <w:rsid w:val="631D552C"/>
    <w:rsid w:val="63617019"/>
    <w:rsid w:val="63683893"/>
    <w:rsid w:val="63937E51"/>
    <w:rsid w:val="63DE6647"/>
    <w:rsid w:val="641B0A80"/>
    <w:rsid w:val="644B6D24"/>
    <w:rsid w:val="64714CC7"/>
    <w:rsid w:val="647E09B2"/>
    <w:rsid w:val="64A0693F"/>
    <w:rsid w:val="64A9769A"/>
    <w:rsid w:val="64BB2185"/>
    <w:rsid w:val="64CB7E9D"/>
    <w:rsid w:val="64CE5E75"/>
    <w:rsid w:val="64D644C9"/>
    <w:rsid w:val="64DB7FED"/>
    <w:rsid w:val="64E50DCA"/>
    <w:rsid w:val="65026A60"/>
    <w:rsid w:val="65132DE1"/>
    <w:rsid w:val="652502A7"/>
    <w:rsid w:val="654241FB"/>
    <w:rsid w:val="65452F09"/>
    <w:rsid w:val="65755673"/>
    <w:rsid w:val="65B14C1E"/>
    <w:rsid w:val="65CF5A53"/>
    <w:rsid w:val="65E0701F"/>
    <w:rsid w:val="65ED0C3E"/>
    <w:rsid w:val="65F64B98"/>
    <w:rsid w:val="660A2938"/>
    <w:rsid w:val="66233C1E"/>
    <w:rsid w:val="66385FA9"/>
    <w:rsid w:val="665F45AA"/>
    <w:rsid w:val="66617445"/>
    <w:rsid w:val="667A6041"/>
    <w:rsid w:val="670D12A7"/>
    <w:rsid w:val="67334135"/>
    <w:rsid w:val="673A309E"/>
    <w:rsid w:val="6765049E"/>
    <w:rsid w:val="67711925"/>
    <w:rsid w:val="6787046D"/>
    <w:rsid w:val="679D1739"/>
    <w:rsid w:val="67A10F57"/>
    <w:rsid w:val="67A2692F"/>
    <w:rsid w:val="67E759A9"/>
    <w:rsid w:val="68076E0B"/>
    <w:rsid w:val="6809456D"/>
    <w:rsid w:val="681933D4"/>
    <w:rsid w:val="682677EC"/>
    <w:rsid w:val="68330A3C"/>
    <w:rsid w:val="684E534B"/>
    <w:rsid w:val="6859366D"/>
    <w:rsid w:val="68A015FA"/>
    <w:rsid w:val="68AB3249"/>
    <w:rsid w:val="68C47A98"/>
    <w:rsid w:val="68C52DF7"/>
    <w:rsid w:val="68CE26A6"/>
    <w:rsid w:val="68F36A2E"/>
    <w:rsid w:val="68FA3AE9"/>
    <w:rsid w:val="68FD73A5"/>
    <w:rsid w:val="694A4AFE"/>
    <w:rsid w:val="697C7DB1"/>
    <w:rsid w:val="69B558FE"/>
    <w:rsid w:val="69B95FCE"/>
    <w:rsid w:val="69DA57C5"/>
    <w:rsid w:val="69ED596F"/>
    <w:rsid w:val="6A265A8D"/>
    <w:rsid w:val="6A7554EE"/>
    <w:rsid w:val="6AC45ED6"/>
    <w:rsid w:val="6B14722B"/>
    <w:rsid w:val="6B665430"/>
    <w:rsid w:val="6B765F3D"/>
    <w:rsid w:val="6B9255B9"/>
    <w:rsid w:val="6B9C5394"/>
    <w:rsid w:val="6C036C1C"/>
    <w:rsid w:val="6C4A2CA5"/>
    <w:rsid w:val="6C967E43"/>
    <w:rsid w:val="6CB35FBD"/>
    <w:rsid w:val="6D6543A3"/>
    <w:rsid w:val="6D6C2303"/>
    <w:rsid w:val="6D7136ED"/>
    <w:rsid w:val="6D7B3756"/>
    <w:rsid w:val="6D89623E"/>
    <w:rsid w:val="6DD00F54"/>
    <w:rsid w:val="6E3523CA"/>
    <w:rsid w:val="6E35307A"/>
    <w:rsid w:val="6E4B4CE0"/>
    <w:rsid w:val="6E863529"/>
    <w:rsid w:val="6E9A7825"/>
    <w:rsid w:val="6EA70224"/>
    <w:rsid w:val="6ED175BF"/>
    <w:rsid w:val="6EE01868"/>
    <w:rsid w:val="6EF16B28"/>
    <w:rsid w:val="6F103C92"/>
    <w:rsid w:val="6F121370"/>
    <w:rsid w:val="6F323220"/>
    <w:rsid w:val="6F3C2A7E"/>
    <w:rsid w:val="6F48218B"/>
    <w:rsid w:val="6F4D6995"/>
    <w:rsid w:val="6F5A097E"/>
    <w:rsid w:val="6F5C2E44"/>
    <w:rsid w:val="6F8B00D3"/>
    <w:rsid w:val="6F966A74"/>
    <w:rsid w:val="6FA83C3C"/>
    <w:rsid w:val="6FC34F87"/>
    <w:rsid w:val="6FC42866"/>
    <w:rsid w:val="706D67CB"/>
    <w:rsid w:val="707935D4"/>
    <w:rsid w:val="70AF4CE1"/>
    <w:rsid w:val="70C16C70"/>
    <w:rsid w:val="70D07E75"/>
    <w:rsid w:val="70D81058"/>
    <w:rsid w:val="70E84879"/>
    <w:rsid w:val="70FC40BF"/>
    <w:rsid w:val="71045389"/>
    <w:rsid w:val="71235070"/>
    <w:rsid w:val="71515E5E"/>
    <w:rsid w:val="716027CE"/>
    <w:rsid w:val="717903DD"/>
    <w:rsid w:val="71DE4C64"/>
    <w:rsid w:val="72072F9F"/>
    <w:rsid w:val="72490FAE"/>
    <w:rsid w:val="72AC0256"/>
    <w:rsid w:val="72E472D2"/>
    <w:rsid w:val="73246F2C"/>
    <w:rsid w:val="733E5B7F"/>
    <w:rsid w:val="734E3FF8"/>
    <w:rsid w:val="736A4BC5"/>
    <w:rsid w:val="739A2334"/>
    <w:rsid w:val="73A32535"/>
    <w:rsid w:val="73E92E4C"/>
    <w:rsid w:val="73EB3C03"/>
    <w:rsid w:val="73F628ED"/>
    <w:rsid w:val="740D2C3B"/>
    <w:rsid w:val="74410803"/>
    <w:rsid w:val="74425539"/>
    <w:rsid w:val="74426E5A"/>
    <w:rsid w:val="74D86FD2"/>
    <w:rsid w:val="7506715F"/>
    <w:rsid w:val="752C4421"/>
    <w:rsid w:val="755421F2"/>
    <w:rsid w:val="75576E1D"/>
    <w:rsid w:val="75721269"/>
    <w:rsid w:val="75B467ED"/>
    <w:rsid w:val="75B66448"/>
    <w:rsid w:val="75BE5B4D"/>
    <w:rsid w:val="75CE5C20"/>
    <w:rsid w:val="75E476ED"/>
    <w:rsid w:val="76002828"/>
    <w:rsid w:val="7634691F"/>
    <w:rsid w:val="764710EF"/>
    <w:rsid w:val="76484006"/>
    <w:rsid w:val="764E6EF1"/>
    <w:rsid w:val="76577867"/>
    <w:rsid w:val="768D1F11"/>
    <w:rsid w:val="76C012AD"/>
    <w:rsid w:val="77295015"/>
    <w:rsid w:val="77712277"/>
    <w:rsid w:val="7780311D"/>
    <w:rsid w:val="78113C9B"/>
    <w:rsid w:val="781567D1"/>
    <w:rsid w:val="78272A2E"/>
    <w:rsid w:val="78312074"/>
    <w:rsid w:val="78327A5B"/>
    <w:rsid w:val="784F6DCD"/>
    <w:rsid w:val="790C0D17"/>
    <w:rsid w:val="790F6670"/>
    <w:rsid w:val="79154E31"/>
    <w:rsid w:val="79265C8D"/>
    <w:rsid w:val="792A5615"/>
    <w:rsid w:val="798E50CC"/>
    <w:rsid w:val="7A26257B"/>
    <w:rsid w:val="7A3B69BB"/>
    <w:rsid w:val="7A66004B"/>
    <w:rsid w:val="7ACA0554"/>
    <w:rsid w:val="7AD35472"/>
    <w:rsid w:val="7ADA4687"/>
    <w:rsid w:val="7AE84787"/>
    <w:rsid w:val="7AFB0585"/>
    <w:rsid w:val="7B0D52CF"/>
    <w:rsid w:val="7B0E29B1"/>
    <w:rsid w:val="7B991390"/>
    <w:rsid w:val="7C3A2CC2"/>
    <w:rsid w:val="7C5C1CB7"/>
    <w:rsid w:val="7C665B94"/>
    <w:rsid w:val="7C790E6E"/>
    <w:rsid w:val="7C91492E"/>
    <w:rsid w:val="7CBC67F5"/>
    <w:rsid w:val="7CD23007"/>
    <w:rsid w:val="7CDD45F1"/>
    <w:rsid w:val="7CDD572E"/>
    <w:rsid w:val="7D2237E9"/>
    <w:rsid w:val="7D4A45B8"/>
    <w:rsid w:val="7D5D77BB"/>
    <w:rsid w:val="7D603DDC"/>
    <w:rsid w:val="7D6E7260"/>
    <w:rsid w:val="7D9D6EC5"/>
    <w:rsid w:val="7DBA55FF"/>
    <w:rsid w:val="7DD740AC"/>
    <w:rsid w:val="7DEC20B1"/>
    <w:rsid w:val="7E0771BC"/>
    <w:rsid w:val="7E9877D0"/>
    <w:rsid w:val="7ED945B4"/>
    <w:rsid w:val="7F043992"/>
    <w:rsid w:val="7F50003A"/>
    <w:rsid w:val="7F963EA4"/>
    <w:rsid w:val="7F994527"/>
    <w:rsid w:val="7F9976FC"/>
    <w:rsid w:val="7FB32B71"/>
    <w:rsid w:val="7FCB0E53"/>
    <w:rsid w:val="7FE500F3"/>
    <w:rsid w:val="EFFC5446"/>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name="toc 1"/>
    <w:lsdException w:qFormat="1" w:unhideWhenUsed="0" w:uiPriority="0" w:name="toc 2"/>
    <w:lsdException w:qFormat="1" w:unhideWhenUsed="0" w:uiPriority="0" w:name="toc 3"/>
    <w:lsdException w:qFormat="1" w:unhideWhenUsed="0" w:uiPriority="0" w:name="toc 4"/>
    <w:lsdException w:qFormat="1" w:unhideWhenUsed="0" w:uiPriority="0" w:name="toc 5"/>
    <w:lsdException w:qFormat="1" w:unhideWhenUsed="0" w:uiPriority="0" w:name="toc 6"/>
    <w:lsdException w:qFormat="1" w:unhideWhenUsed="0" w:uiPriority="0" w:name="toc 7"/>
    <w:lsdException w:qFormat="1" w:unhideWhenUsed="0" w:uiPriority="0" w:name="toc 8"/>
    <w:lsdException w:qFormat="1" w:unhideWhenUsed="0" w:uiPriority="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99"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宋体" w:hAnsi="宋体" w:eastAsia="宋体" w:cs="宋体"/>
      <w:szCs w:val="21"/>
    </w:rPr>
  </w:style>
  <w:style w:type="paragraph" w:styleId="2">
    <w:name w:val="heading 1"/>
    <w:basedOn w:val="1"/>
    <w:next w:val="1"/>
    <w:link w:val="38"/>
    <w:qFormat/>
    <w:uiPriority w:val="0"/>
    <w:pPr>
      <w:keepNext/>
      <w:spacing w:line="216" w:lineRule="auto"/>
      <w:jc w:val="center"/>
      <w:outlineLvl w:val="0"/>
    </w:pPr>
    <w:rPr>
      <w:rFonts w:ascii="宋体" w:hAnsi="宋体"/>
      <w:b/>
      <w:sz w:val="30"/>
      <w:szCs w:val="20"/>
    </w:rPr>
  </w:style>
  <w:style w:type="paragraph" w:styleId="3">
    <w:name w:val="heading 2"/>
    <w:basedOn w:val="1"/>
    <w:next w:val="1"/>
    <w:link w:val="39"/>
    <w:qFormat/>
    <w:uiPriority w:val="0"/>
    <w:pPr>
      <w:keepNext/>
      <w:spacing w:line="216" w:lineRule="auto"/>
      <w:outlineLvl w:val="1"/>
    </w:pPr>
    <w:rPr>
      <w:rFonts w:ascii="宋体"/>
      <w:b/>
      <w:sz w:val="28"/>
      <w:szCs w:val="20"/>
    </w:rPr>
  </w:style>
  <w:style w:type="paragraph" w:styleId="4">
    <w:name w:val="heading 3"/>
    <w:basedOn w:val="1"/>
    <w:next w:val="1"/>
    <w:link w:val="40"/>
    <w:qFormat/>
    <w:uiPriority w:val="0"/>
    <w:pPr>
      <w:keepNext/>
      <w:numPr>
        <w:ilvl w:val="0"/>
        <w:numId w:val="1"/>
      </w:numPr>
      <w:spacing w:line="216" w:lineRule="auto"/>
      <w:outlineLvl w:val="2"/>
    </w:pPr>
    <w:rPr>
      <w:rFonts w:ascii="宋体"/>
      <w:b/>
      <w:bCs/>
      <w:sz w:val="28"/>
      <w:szCs w:val="20"/>
    </w:rPr>
  </w:style>
  <w:style w:type="paragraph" w:styleId="5">
    <w:name w:val="heading 4"/>
    <w:basedOn w:val="1"/>
    <w:next w:val="1"/>
    <w:qFormat/>
    <w:uiPriority w:val="0"/>
    <w:pPr>
      <w:keepNext/>
      <w:numPr>
        <w:ilvl w:val="0"/>
        <w:numId w:val="2"/>
      </w:numPr>
      <w:spacing w:line="216" w:lineRule="auto"/>
      <w:outlineLvl w:val="3"/>
    </w:pPr>
    <w:rPr>
      <w:rFonts w:ascii="黑体" w:eastAsia="黑体"/>
      <w:b/>
      <w:sz w:val="24"/>
      <w:szCs w:val="20"/>
    </w:rPr>
  </w:style>
  <w:style w:type="character" w:default="1" w:styleId="34">
    <w:name w:val="Default Paragraph Font"/>
    <w:semiHidden/>
    <w:qFormat/>
    <w:uiPriority w:val="0"/>
  </w:style>
  <w:style w:type="table" w:default="1" w:styleId="32">
    <w:name w:val="Normal Table"/>
    <w:semiHidden/>
    <w:qFormat/>
    <w:uiPriority w:val="0"/>
    <w:tblPr>
      <w:tblCellMar>
        <w:top w:w="0" w:type="dxa"/>
        <w:left w:w="108" w:type="dxa"/>
        <w:bottom w:w="0" w:type="dxa"/>
        <w:right w:w="108" w:type="dxa"/>
      </w:tblCellMar>
    </w:tblPr>
  </w:style>
  <w:style w:type="paragraph" w:styleId="6">
    <w:name w:val="toc 7"/>
    <w:basedOn w:val="1"/>
    <w:next w:val="1"/>
    <w:semiHidden/>
    <w:qFormat/>
    <w:uiPriority w:val="0"/>
    <w:pPr>
      <w:ind w:left="2520" w:leftChars="1200"/>
    </w:pPr>
  </w:style>
  <w:style w:type="paragraph" w:styleId="7">
    <w:name w:val="Normal Indent"/>
    <w:basedOn w:val="1"/>
    <w:qFormat/>
    <w:uiPriority w:val="0"/>
    <w:pPr>
      <w:ind w:firstLine="420"/>
    </w:pPr>
    <w:rPr>
      <w:szCs w:val="20"/>
    </w:rPr>
  </w:style>
  <w:style w:type="paragraph" w:styleId="8">
    <w:name w:val="annotation text"/>
    <w:basedOn w:val="1"/>
    <w:link w:val="41"/>
    <w:qFormat/>
    <w:uiPriority w:val="0"/>
    <w:pPr>
      <w:adjustRightInd w:val="0"/>
      <w:jc w:val="left"/>
    </w:pPr>
  </w:style>
  <w:style w:type="paragraph" w:styleId="9">
    <w:name w:val="Body Text"/>
    <w:basedOn w:val="1"/>
    <w:next w:val="10"/>
    <w:qFormat/>
    <w:uiPriority w:val="0"/>
    <w:pPr>
      <w:autoSpaceDE w:val="0"/>
      <w:autoSpaceDN w:val="0"/>
      <w:adjustRightInd w:val="0"/>
      <w:spacing w:line="360" w:lineRule="auto"/>
    </w:pPr>
    <w:rPr>
      <w:rFonts w:ascii="宋体" w:hAnsi="Arial" w:cs="Arial"/>
      <w:snapToGrid w:val="0"/>
      <w:sz w:val="24"/>
      <w:szCs w:val="21"/>
      <w:lang w:val="zh-CN"/>
    </w:rPr>
  </w:style>
  <w:style w:type="paragraph" w:styleId="10">
    <w:name w:val="Body Text 2"/>
    <w:basedOn w:val="1"/>
    <w:next w:val="9"/>
    <w:qFormat/>
    <w:uiPriority w:val="0"/>
    <w:pPr>
      <w:spacing w:line="480" w:lineRule="auto"/>
    </w:pPr>
  </w:style>
  <w:style w:type="paragraph" w:styleId="11">
    <w:name w:val="Body Text Indent"/>
    <w:basedOn w:val="1"/>
    <w:link w:val="42"/>
    <w:qFormat/>
    <w:uiPriority w:val="0"/>
    <w:pPr>
      <w:spacing w:after="120"/>
      <w:ind w:left="420" w:leftChars="200"/>
    </w:pPr>
  </w:style>
  <w:style w:type="paragraph" w:styleId="12">
    <w:name w:val="toc 5"/>
    <w:basedOn w:val="1"/>
    <w:next w:val="1"/>
    <w:semiHidden/>
    <w:qFormat/>
    <w:uiPriority w:val="0"/>
    <w:pPr>
      <w:ind w:left="1680" w:leftChars="800"/>
    </w:pPr>
  </w:style>
  <w:style w:type="paragraph" w:styleId="13">
    <w:name w:val="toc 3"/>
    <w:basedOn w:val="1"/>
    <w:next w:val="1"/>
    <w:semiHidden/>
    <w:qFormat/>
    <w:uiPriority w:val="0"/>
    <w:pPr>
      <w:ind w:left="840" w:leftChars="400"/>
    </w:pPr>
  </w:style>
  <w:style w:type="paragraph" w:styleId="14">
    <w:name w:val="Plain Text"/>
    <w:basedOn w:val="1"/>
    <w:next w:val="1"/>
    <w:link w:val="43"/>
    <w:qFormat/>
    <w:uiPriority w:val="0"/>
    <w:rPr>
      <w:rFonts w:ascii="宋体" w:hAnsi="Courier New" w:cs="Courier New"/>
      <w:szCs w:val="21"/>
    </w:rPr>
  </w:style>
  <w:style w:type="paragraph" w:styleId="15">
    <w:name w:val="toc 8"/>
    <w:basedOn w:val="1"/>
    <w:next w:val="1"/>
    <w:semiHidden/>
    <w:qFormat/>
    <w:uiPriority w:val="0"/>
    <w:pPr>
      <w:ind w:left="2940" w:leftChars="1400"/>
    </w:pPr>
  </w:style>
  <w:style w:type="paragraph" w:styleId="16">
    <w:name w:val="Date"/>
    <w:basedOn w:val="1"/>
    <w:next w:val="1"/>
    <w:qFormat/>
    <w:uiPriority w:val="0"/>
    <w:pPr>
      <w:ind w:left="100" w:leftChars="2500"/>
    </w:pPr>
    <w:rPr>
      <w:rFonts w:ascii="宋体" w:hAnsi="宋体"/>
      <w:color w:val="000000"/>
      <w:sz w:val="24"/>
    </w:rPr>
  </w:style>
  <w:style w:type="paragraph" w:styleId="17">
    <w:name w:val="Body Text Indent 2"/>
    <w:basedOn w:val="1"/>
    <w:qFormat/>
    <w:uiPriority w:val="0"/>
    <w:pPr>
      <w:spacing w:after="120" w:line="480" w:lineRule="auto"/>
      <w:ind w:left="420" w:leftChars="200"/>
    </w:pPr>
  </w:style>
  <w:style w:type="paragraph" w:styleId="18">
    <w:name w:val="Balloon Text"/>
    <w:basedOn w:val="1"/>
    <w:semiHidden/>
    <w:qFormat/>
    <w:uiPriority w:val="0"/>
    <w:rPr>
      <w:sz w:val="18"/>
      <w:szCs w:val="18"/>
    </w:rPr>
  </w:style>
  <w:style w:type="paragraph" w:styleId="19">
    <w:name w:val="footer"/>
    <w:basedOn w:val="1"/>
    <w:qFormat/>
    <w:uiPriority w:val="0"/>
    <w:pPr>
      <w:tabs>
        <w:tab w:val="center" w:pos="4153"/>
        <w:tab w:val="right" w:pos="8306"/>
      </w:tabs>
      <w:snapToGrid w:val="0"/>
      <w:jc w:val="left"/>
    </w:pPr>
    <w:rPr>
      <w:sz w:val="18"/>
      <w:szCs w:val="18"/>
    </w:rPr>
  </w:style>
  <w:style w:type="paragraph" w:styleId="20">
    <w:name w:val="header"/>
    <w:basedOn w:val="1"/>
    <w:qFormat/>
    <w:uiPriority w:val="0"/>
    <w:pPr>
      <w:pBdr>
        <w:bottom w:val="single" w:color="auto" w:sz="6" w:space="1"/>
      </w:pBdr>
      <w:tabs>
        <w:tab w:val="center" w:pos="4153"/>
        <w:tab w:val="right" w:pos="8306"/>
      </w:tabs>
      <w:adjustRightInd w:val="0"/>
      <w:snapToGrid w:val="0"/>
      <w:spacing w:line="240" w:lineRule="atLeast"/>
      <w:jc w:val="center"/>
      <w:textAlignment w:val="baseline"/>
    </w:pPr>
    <w:rPr>
      <w:rFonts w:ascii="宋体"/>
      <w:kern w:val="0"/>
      <w:sz w:val="18"/>
      <w:szCs w:val="20"/>
    </w:rPr>
  </w:style>
  <w:style w:type="paragraph" w:styleId="21">
    <w:name w:val="toc 1"/>
    <w:basedOn w:val="1"/>
    <w:next w:val="1"/>
    <w:semiHidden/>
    <w:qFormat/>
    <w:uiPriority w:val="0"/>
  </w:style>
  <w:style w:type="paragraph" w:styleId="22">
    <w:name w:val="toc 4"/>
    <w:basedOn w:val="1"/>
    <w:next w:val="1"/>
    <w:semiHidden/>
    <w:qFormat/>
    <w:uiPriority w:val="0"/>
    <w:pPr>
      <w:ind w:left="1260" w:leftChars="600"/>
    </w:pPr>
  </w:style>
  <w:style w:type="paragraph" w:styleId="23">
    <w:name w:val="Subtitle"/>
    <w:basedOn w:val="1"/>
    <w:next w:val="1"/>
    <w:qFormat/>
    <w:uiPriority w:val="0"/>
    <w:pPr>
      <w:spacing w:line="360" w:lineRule="auto"/>
      <w:jc w:val="left"/>
      <w:outlineLvl w:val="2"/>
    </w:pPr>
    <w:rPr>
      <w:rFonts w:ascii="Cambria" w:hAnsi="Cambria"/>
      <w:b/>
      <w:bCs/>
      <w:kern w:val="28"/>
      <w:sz w:val="30"/>
      <w:szCs w:val="32"/>
    </w:rPr>
  </w:style>
  <w:style w:type="paragraph" w:styleId="24">
    <w:name w:val="toc 6"/>
    <w:basedOn w:val="1"/>
    <w:next w:val="1"/>
    <w:semiHidden/>
    <w:qFormat/>
    <w:uiPriority w:val="0"/>
    <w:pPr>
      <w:ind w:left="2100" w:leftChars="1000"/>
    </w:pPr>
  </w:style>
  <w:style w:type="paragraph" w:styleId="25">
    <w:name w:val="Body Text Indent 3"/>
    <w:basedOn w:val="1"/>
    <w:qFormat/>
    <w:uiPriority w:val="0"/>
    <w:pPr>
      <w:spacing w:after="120"/>
      <w:ind w:left="420" w:leftChars="200"/>
    </w:pPr>
    <w:rPr>
      <w:sz w:val="16"/>
      <w:szCs w:val="16"/>
    </w:rPr>
  </w:style>
  <w:style w:type="paragraph" w:styleId="26">
    <w:name w:val="toc 2"/>
    <w:basedOn w:val="1"/>
    <w:next w:val="1"/>
    <w:semiHidden/>
    <w:qFormat/>
    <w:uiPriority w:val="0"/>
    <w:pPr>
      <w:ind w:left="420" w:leftChars="200"/>
    </w:pPr>
  </w:style>
  <w:style w:type="paragraph" w:styleId="27">
    <w:name w:val="toc 9"/>
    <w:basedOn w:val="1"/>
    <w:next w:val="1"/>
    <w:semiHidden/>
    <w:qFormat/>
    <w:uiPriority w:val="0"/>
    <w:pPr>
      <w:ind w:left="3360" w:leftChars="1600"/>
    </w:pPr>
  </w:style>
  <w:style w:type="paragraph" w:styleId="28">
    <w:name w:val="Normal (Web)"/>
    <w:basedOn w:val="1"/>
    <w:qFormat/>
    <w:uiPriority w:val="99"/>
    <w:pPr>
      <w:widowControl/>
      <w:spacing w:before="100" w:beforeAutospacing="1" w:after="100" w:afterAutospacing="1"/>
      <w:jc w:val="left"/>
    </w:pPr>
    <w:rPr>
      <w:rFonts w:ascii="宋体" w:hAnsi="宋体" w:cs="宋体"/>
      <w:kern w:val="0"/>
      <w:sz w:val="24"/>
    </w:rPr>
  </w:style>
  <w:style w:type="paragraph" w:styleId="29">
    <w:name w:val="Title"/>
    <w:basedOn w:val="1"/>
    <w:next w:val="1"/>
    <w:qFormat/>
    <w:uiPriority w:val="0"/>
    <w:pPr>
      <w:widowControl/>
      <w:overflowPunct w:val="0"/>
      <w:autoSpaceDE w:val="0"/>
      <w:autoSpaceDN w:val="0"/>
      <w:adjustRightInd w:val="0"/>
      <w:jc w:val="center"/>
      <w:textAlignment w:val="baseline"/>
    </w:pPr>
    <w:rPr>
      <w:b/>
      <w:kern w:val="0"/>
      <w:sz w:val="24"/>
      <w:szCs w:val="20"/>
      <w:lang w:val="en-GB"/>
    </w:rPr>
  </w:style>
  <w:style w:type="paragraph" w:styleId="30">
    <w:name w:val="Body Text First Indent"/>
    <w:basedOn w:val="9"/>
    <w:next w:val="1"/>
    <w:qFormat/>
    <w:uiPriority w:val="99"/>
    <w:pPr>
      <w:ind w:firstLine="420" w:firstLineChars="100"/>
    </w:pPr>
  </w:style>
  <w:style w:type="paragraph" w:styleId="31">
    <w:name w:val="Body Text First Indent 2"/>
    <w:basedOn w:val="11"/>
    <w:link w:val="44"/>
    <w:qFormat/>
    <w:uiPriority w:val="0"/>
    <w:pPr>
      <w:ind w:firstLine="420" w:firstLineChars="200"/>
    </w:pPr>
  </w:style>
  <w:style w:type="table" w:styleId="33">
    <w:name w:val="Table Grid"/>
    <w:basedOn w:val="32"/>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5">
    <w:name w:val="page number"/>
    <w:basedOn w:val="34"/>
    <w:qFormat/>
    <w:uiPriority w:val="0"/>
  </w:style>
  <w:style w:type="character" w:styleId="36">
    <w:name w:val="FollowedHyperlink"/>
    <w:qFormat/>
    <w:uiPriority w:val="0"/>
    <w:rPr>
      <w:color w:val="800080"/>
      <w:u w:val="single"/>
    </w:rPr>
  </w:style>
  <w:style w:type="character" w:styleId="37">
    <w:name w:val="Hyperlink"/>
    <w:qFormat/>
    <w:uiPriority w:val="0"/>
    <w:rPr>
      <w:color w:val="0000FF"/>
      <w:u w:val="single"/>
    </w:rPr>
  </w:style>
  <w:style w:type="character" w:customStyle="1" w:styleId="38">
    <w:name w:val="标题 1 Char"/>
    <w:basedOn w:val="34"/>
    <w:link w:val="2"/>
    <w:qFormat/>
    <w:uiPriority w:val="0"/>
    <w:rPr>
      <w:rFonts w:ascii="宋体" w:hAnsi="宋体"/>
      <w:b/>
      <w:kern w:val="2"/>
      <w:sz w:val="30"/>
    </w:rPr>
  </w:style>
  <w:style w:type="character" w:customStyle="1" w:styleId="39">
    <w:name w:val="标题 2 Char"/>
    <w:basedOn w:val="34"/>
    <w:link w:val="3"/>
    <w:qFormat/>
    <w:uiPriority w:val="0"/>
    <w:rPr>
      <w:rFonts w:ascii="宋体"/>
      <w:b/>
      <w:kern w:val="2"/>
      <w:sz w:val="28"/>
    </w:rPr>
  </w:style>
  <w:style w:type="character" w:customStyle="1" w:styleId="40">
    <w:name w:val="标题 3 Char"/>
    <w:link w:val="4"/>
    <w:qFormat/>
    <w:uiPriority w:val="0"/>
    <w:rPr>
      <w:rFonts w:ascii="宋体"/>
      <w:b/>
      <w:bCs/>
      <w:sz w:val="28"/>
      <w:szCs w:val="20"/>
    </w:rPr>
  </w:style>
  <w:style w:type="character" w:customStyle="1" w:styleId="41">
    <w:name w:val="批注文字 Char"/>
    <w:link w:val="8"/>
    <w:qFormat/>
    <w:uiPriority w:val="0"/>
    <w:rPr>
      <w:kern w:val="2"/>
      <w:sz w:val="21"/>
      <w:szCs w:val="24"/>
      <w:lang w:bidi="ar-SA"/>
    </w:rPr>
  </w:style>
  <w:style w:type="character" w:customStyle="1" w:styleId="42">
    <w:name w:val="正文文本缩进 Char"/>
    <w:basedOn w:val="34"/>
    <w:link w:val="11"/>
    <w:qFormat/>
    <w:uiPriority w:val="0"/>
    <w:rPr>
      <w:kern w:val="2"/>
      <w:sz w:val="21"/>
      <w:szCs w:val="24"/>
    </w:rPr>
  </w:style>
  <w:style w:type="character" w:customStyle="1" w:styleId="43">
    <w:name w:val="纯文本 Char"/>
    <w:link w:val="14"/>
    <w:qFormat/>
    <w:locked/>
    <w:uiPriority w:val="0"/>
    <w:rPr>
      <w:rFonts w:ascii="宋体" w:hAnsi="Courier New" w:eastAsia="宋体" w:cs="Courier New"/>
      <w:kern w:val="2"/>
      <w:sz w:val="21"/>
      <w:szCs w:val="21"/>
      <w:lang w:val="en-US" w:eastAsia="zh-CN" w:bidi="ar-SA"/>
    </w:rPr>
  </w:style>
  <w:style w:type="character" w:customStyle="1" w:styleId="44">
    <w:name w:val="正文首行缩进 2 Char"/>
    <w:basedOn w:val="42"/>
    <w:link w:val="31"/>
    <w:qFormat/>
    <w:uiPriority w:val="0"/>
  </w:style>
  <w:style w:type="character" w:customStyle="1" w:styleId="45">
    <w:name w:val="font11"/>
    <w:basedOn w:val="34"/>
    <w:qFormat/>
    <w:uiPriority w:val="0"/>
    <w:rPr>
      <w:rFonts w:hint="eastAsia" w:ascii="宋体" w:hAnsi="宋体" w:eastAsia="宋体" w:cs="宋体"/>
      <w:color w:val="000000"/>
      <w:sz w:val="24"/>
      <w:szCs w:val="24"/>
      <w:u w:val="none"/>
    </w:rPr>
  </w:style>
  <w:style w:type="character" w:customStyle="1" w:styleId="46">
    <w:name w:val="Example TEXT Char"/>
    <w:link w:val="47"/>
    <w:qFormat/>
    <w:uiPriority w:val="0"/>
    <w:rPr>
      <w:rFonts w:ascii="宋体" w:hAnsi="宋体"/>
      <w:szCs w:val="21"/>
    </w:rPr>
  </w:style>
  <w:style w:type="paragraph" w:customStyle="1" w:styleId="47">
    <w:name w:val="Example TEXT"/>
    <w:basedOn w:val="48"/>
    <w:link w:val="46"/>
    <w:qFormat/>
    <w:uiPriority w:val="0"/>
    <w:pPr>
      <w:spacing w:line="360" w:lineRule="auto"/>
      <w:ind w:firstLine="0" w:firstLineChars="0"/>
      <w:contextualSpacing/>
      <w:jc w:val="center"/>
    </w:pPr>
    <w:rPr>
      <w:rFonts w:ascii="宋体" w:hAnsi="宋体"/>
      <w:szCs w:val="21"/>
    </w:rPr>
  </w:style>
  <w:style w:type="paragraph" w:styleId="48">
    <w:name w:val="List Paragraph"/>
    <w:basedOn w:val="1"/>
    <w:qFormat/>
    <w:uiPriority w:val="34"/>
    <w:pPr>
      <w:widowControl/>
      <w:spacing w:before="100" w:beforeAutospacing="1" w:after="100" w:afterAutospacing="1"/>
      <w:jc w:val="left"/>
    </w:pPr>
    <w:rPr>
      <w:rFonts w:ascii="黑体" w:hAnsi="黑体" w:eastAsia="黑体" w:cs="宋体"/>
      <w:color w:val="000000"/>
      <w:kern w:val="0"/>
      <w:sz w:val="24"/>
      <w:szCs w:val="24"/>
    </w:rPr>
  </w:style>
  <w:style w:type="character" w:customStyle="1" w:styleId="49">
    <w:name w:val=" Char Char26"/>
    <w:qFormat/>
    <w:uiPriority w:val="0"/>
    <w:rPr>
      <w:rFonts w:ascii="宋体" w:hAnsi="Courier New" w:eastAsia="宋体" w:cs="Arial"/>
      <w:snapToGrid w:val="0"/>
      <w:kern w:val="2"/>
      <w:sz w:val="21"/>
      <w:szCs w:val="21"/>
      <w:lang w:val="en-US" w:eastAsia="zh-CN" w:bidi="ar-SA"/>
    </w:rPr>
  </w:style>
  <w:style w:type="character" w:customStyle="1" w:styleId="50">
    <w:name w:val="正文2 Char Char"/>
    <w:link w:val="51"/>
    <w:qFormat/>
    <w:uiPriority w:val="0"/>
    <w:rPr>
      <w:rFonts w:eastAsia="宋体"/>
      <w:kern w:val="2"/>
      <w:sz w:val="24"/>
      <w:lang w:val="en-US" w:eastAsia="zh-CN" w:bidi="ar-SA"/>
    </w:rPr>
  </w:style>
  <w:style w:type="paragraph" w:customStyle="1" w:styleId="51">
    <w:name w:val="正文2"/>
    <w:basedOn w:val="1"/>
    <w:link w:val="50"/>
    <w:qFormat/>
    <w:uiPriority w:val="0"/>
    <w:pPr>
      <w:adjustRightInd w:val="0"/>
      <w:spacing w:before="156" w:line="360" w:lineRule="auto"/>
      <w:ind w:firstLine="510" w:firstLineChars="200"/>
    </w:pPr>
    <w:rPr>
      <w:sz w:val="24"/>
      <w:szCs w:val="20"/>
    </w:rPr>
  </w:style>
  <w:style w:type="character" w:customStyle="1" w:styleId="52">
    <w:name w:val="NormalCharacter"/>
    <w:semiHidden/>
    <w:qFormat/>
    <w:uiPriority w:val="0"/>
  </w:style>
  <w:style w:type="character" w:customStyle="1" w:styleId="53">
    <w:name w:val="font21"/>
    <w:basedOn w:val="34"/>
    <w:qFormat/>
    <w:uiPriority w:val="0"/>
    <w:rPr>
      <w:rFonts w:hint="eastAsia" w:ascii="宋体" w:hAnsi="宋体" w:eastAsia="宋体" w:cs="宋体"/>
      <w:color w:val="000000"/>
      <w:sz w:val="22"/>
      <w:szCs w:val="22"/>
      <w:u w:val="none"/>
    </w:rPr>
  </w:style>
  <w:style w:type="character" w:customStyle="1" w:styleId="54">
    <w:name w:val="font01"/>
    <w:basedOn w:val="34"/>
    <w:qFormat/>
    <w:uiPriority w:val="0"/>
    <w:rPr>
      <w:rFonts w:hint="eastAsia" w:ascii="宋体" w:hAnsi="宋体" w:eastAsia="宋体" w:cs="宋体"/>
      <w:color w:val="000000"/>
      <w:sz w:val="22"/>
      <w:szCs w:val="22"/>
      <w:u w:val="none"/>
    </w:rPr>
  </w:style>
  <w:style w:type="character" w:customStyle="1" w:styleId="55">
    <w:name w:val="普通文字 Char Char Char1"/>
    <w:qFormat/>
    <w:uiPriority w:val="0"/>
    <w:rPr>
      <w:rFonts w:ascii="宋体" w:hAnsi="Courier New" w:eastAsia="宋体"/>
      <w:kern w:val="2"/>
      <w:sz w:val="21"/>
      <w:lang w:val="en-US" w:eastAsia="zh-CN" w:bidi="ar-SA"/>
    </w:rPr>
  </w:style>
  <w:style w:type="paragraph" w:customStyle="1" w:styleId="56">
    <w:name w:val="列出段落1"/>
    <w:basedOn w:val="1"/>
    <w:unhideWhenUsed/>
    <w:qFormat/>
    <w:uiPriority w:val="99"/>
    <w:pPr>
      <w:ind w:firstLine="420" w:firstLineChars="200"/>
    </w:pPr>
  </w:style>
  <w:style w:type="paragraph" w:customStyle="1" w:styleId="57">
    <w:name w:val="图"/>
    <w:basedOn w:val="1"/>
    <w:next w:val="1"/>
    <w:qFormat/>
    <w:uiPriority w:val="0"/>
    <w:pPr>
      <w:numPr>
        <w:ilvl w:val="0"/>
        <w:numId w:val="3"/>
      </w:numPr>
      <w:wordWrap w:val="0"/>
      <w:adjustRightInd w:val="0"/>
      <w:snapToGrid w:val="0"/>
      <w:jc w:val="left"/>
      <w:outlineLvl w:val="2"/>
    </w:pPr>
    <w:rPr>
      <w:rFonts w:ascii="Times New Roman" w:hAnsi="Times New Roman" w:eastAsia="楷体_GB2312" w:cs="Times New Roman"/>
      <w:b/>
      <w:snapToGrid w:val="0"/>
      <w:sz w:val="24"/>
      <w:szCs w:val="18"/>
    </w:rPr>
  </w:style>
  <w:style w:type="paragraph" w:customStyle="1" w:styleId="58">
    <w:name w:val="正文_0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59">
    <w:name w:val="1"/>
    <w:basedOn w:val="1"/>
    <w:next w:val="1"/>
    <w:qFormat/>
    <w:uiPriority w:val="0"/>
    <w:rPr>
      <w:rFonts w:ascii="Calibri" w:hAnsi="Calibri"/>
      <w:szCs w:val="24"/>
    </w:rPr>
  </w:style>
  <w:style w:type="paragraph" w:customStyle="1" w:styleId="60">
    <w:name w:val="正文_2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61">
    <w:name w:val="正文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62">
    <w:name w:val="正文_0"/>
    <w:basedOn w:val="61"/>
    <w:qFormat/>
    <w:uiPriority w:val="0"/>
    <w:rPr>
      <w:rFonts w:ascii="Calibri" w:hAnsi="Calibri"/>
    </w:rPr>
  </w:style>
  <w:style w:type="paragraph" w:customStyle="1" w:styleId="63">
    <w:name w:val="正文缩进_0"/>
    <w:basedOn w:val="62"/>
    <w:unhideWhenUsed/>
    <w:qFormat/>
    <w:uiPriority w:val="0"/>
    <w:pPr>
      <w:ind w:firstLine="420" w:firstLineChars="200"/>
    </w:pPr>
    <w:rPr>
      <w:rFonts w:ascii="Calibri" w:hAnsi="Calibri"/>
      <w:kern w:val="0"/>
      <w:sz w:val="20"/>
      <w:szCs w:val="20"/>
    </w:rPr>
  </w:style>
  <w:style w:type="paragraph" w:customStyle="1" w:styleId="64">
    <w:name w:val="A 专用1"/>
    <w:basedOn w:val="4"/>
    <w:qFormat/>
    <w:locked/>
    <w:uiPriority w:val="0"/>
    <w:pPr>
      <w:spacing w:before="60" w:after="60" w:line="360" w:lineRule="auto"/>
    </w:pPr>
    <w:rPr>
      <w:sz w:val="28"/>
    </w:rPr>
  </w:style>
  <w:style w:type="paragraph" w:customStyle="1" w:styleId="65">
    <w:name w:val="_Style 1"/>
    <w:qFormat/>
    <w:uiPriority w:val="0"/>
    <w:rPr>
      <w:rFonts w:ascii="Calibri" w:hAnsi="Calibri" w:eastAsia="宋体" w:cs="Times New Roman"/>
      <w:kern w:val="2"/>
      <w:sz w:val="28"/>
      <w:szCs w:val="22"/>
      <w:lang w:val="en-US" w:eastAsia="zh-CN" w:bidi="ar-SA"/>
    </w:rPr>
  </w:style>
  <w:style w:type="paragraph" w:customStyle="1" w:styleId="66">
    <w:name w:val="表"/>
    <w:basedOn w:val="1"/>
    <w:qFormat/>
    <w:uiPriority w:val="0"/>
    <w:pPr>
      <w:wordWrap w:val="0"/>
      <w:adjustRightInd w:val="0"/>
      <w:snapToGrid w:val="0"/>
      <w:spacing w:beforeLines="5" w:afterLines="5"/>
      <w:jc w:val="center"/>
      <w:textAlignment w:val="center"/>
    </w:pPr>
    <w:rPr>
      <w:rFonts w:ascii="Times New Roman" w:hAnsi="Times New Roman" w:eastAsia="宋体" w:cs="Times New Roman"/>
      <w:snapToGrid w:val="0"/>
      <w:kern w:val="0"/>
      <w:sz w:val="22"/>
    </w:rPr>
  </w:style>
  <w:style w:type="paragraph" w:customStyle="1" w:styleId="67">
    <w:name w:val="Char Char Char Char1"/>
    <w:basedOn w:val="1"/>
    <w:qFormat/>
    <w:uiPriority w:val="0"/>
    <w:rPr>
      <w:rFonts w:ascii="Tahoma" w:hAnsi="Tahoma"/>
      <w:sz w:val="24"/>
      <w:szCs w:val="20"/>
    </w:rPr>
  </w:style>
  <w:style w:type="paragraph" w:customStyle="1" w:styleId="68">
    <w:name w:val="Normal"/>
    <w:basedOn w:val="1"/>
    <w:qFormat/>
    <w:uiPriority w:val="0"/>
    <w:rPr>
      <w:rFonts w:ascii="宋体" w:hAnsi="宋体" w:cs="宋体"/>
      <w:szCs w:val="21"/>
    </w:rPr>
  </w:style>
  <w:style w:type="paragraph" w:customStyle="1" w:styleId="69">
    <w:name w:val="正文文本 21"/>
    <w:basedOn w:val="1"/>
    <w:next w:val="9"/>
    <w:qFormat/>
    <w:uiPriority w:val="1624"/>
    <w:pPr>
      <w:spacing w:line="480" w:lineRule="auto"/>
    </w:pPr>
  </w:style>
  <w:style w:type="paragraph" w:customStyle="1" w:styleId="70">
    <w:name w:val="样式 正文（首行缩进两字） + 宋体"/>
    <w:basedOn w:val="63"/>
    <w:qFormat/>
    <w:uiPriority w:val="0"/>
    <w:pPr>
      <w:spacing w:line="460" w:lineRule="exact"/>
      <w:ind w:firstLine="200"/>
    </w:pPr>
    <w:rPr>
      <w:rFonts w:ascii="宋体" w:hAnsi="宋体" w:cs="宋体"/>
      <w:spacing w:val="6"/>
      <w:kern w:val="24"/>
      <w:sz w:val="24"/>
      <w:szCs w:val="24"/>
    </w:rPr>
  </w:style>
  <w:style w:type="paragraph" w:customStyle="1" w:styleId="71">
    <w:name w:val="正文_1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72">
    <w:name w:val="WPSOffice手动目录 1"/>
    <w:qFormat/>
    <w:uiPriority w:val="0"/>
    <w:pPr>
      <w:ind w:leftChars="0"/>
    </w:pPr>
    <w:rPr>
      <w:rFonts w:ascii="Times New Roman" w:hAnsi="Times New Roman" w:eastAsia="宋体" w:cs="Times New Roman"/>
      <w:sz w:val="20"/>
      <w:szCs w:val="20"/>
    </w:rPr>
  </w:style>
  <w:style w:type="paragraph" w:customStyle="1" w:styleId="73">
    <w:name w:val="WPSOffice手动目录 2"/>
    <w:qFormat/>
    <w:uiPriority w:val="0"/>
    <w:pPr>
      <w:ind w:leftChars="200"/>
    </w:pPr>
    <w:rPr>
      <w:rFonts w:ascii="Times New Roman" w:hAnsi="Times New Roman" w:eastAsia="宋体" w:cs="Times New Roman"/>
      <w:sz w:val="20"/>
      <w:szCs w:val="20"/>
    </w:rPr>
  </w:style>
  <w:style w:type="paragraph" w:customStyle="1" w:styleId="74">
    <w:name w:val="内文正文_0"/>
    <w:qFormat/>
    <w:uiPriority w:val="0"/>
    <w:pPr>
      <w:autoSpaceDE w:val="0"/>
      <w:autoSpaceDN w:val="0"/>
      <w:spacing w:line="400" w:lineRule="exact"/>
      <w:ind w:firstLine="200" w:firstLineChars="200"/>
      <w:jc w:val="both"/>
      <w:textAlignment w:val="bottom"/>
    </w:pPr>
    <w:rPr>
      <w:rFonts w:ascii="宋体" w:hAnsi="???|CS?o｡ﾀ?" w:eastAsia="宋体" w:cs="Times New Roman"/>
      <w:sz w:val="21"/>
      <w:szCs w:val="28"/>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header" Target="header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 China</Company>
  <Pages>123</Pages>
  <Words>64547</Words>
  <Characters>68924</Characters>
  <Lines>181</Lines>
  <Paragraphs>51</Paragraphs>
  <TotalTime>0</TotalTime>
  <ScaleCrop>false</ScaleCrop>
  <LinksUpToDate>false</LinksUpToDate>
  <CharactersWithSpaces>71931</CharactersWithSpaces>
  <Application>WPS Office_11.1.0.11636_F1E327BC-269C-435d-A152-05C5408002CA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2019-06-26T14:49:00Z</dcterms:created>
  <dc:creator>wxg</dc:creator>
  <cp:lastModifiedBy>杨光彪</cp:lastModifiedBy>
  <cp:lastPrinted>2022-04-25T05:38:00Z</cp:lastPrinted>
  <dcterms:modified xsi:type="dcterms:W3CDTF">2022-04-29T03:11:58Z</dcterms:modified>
  <dc:title>采购单位：</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2052-11.1.0.11636</vt:lpwstr>
  </property>
  <property fmtid="{D5CDD505-2E9C-101B-9397-08002B2CF9AE}" pid="3" name="ICV">
    <vt:lpwstr>684FA3E4B4D040708A8F3E40F8CF9386</vt:lpwstr>
  </property>
  <property fmtid="{D5CDD505-2E9C-101B-9397-08002B2CF9AE}" pid="4" name="commondata">
    <vt:lpwstr>eyJoZGlkIjoiOTQzNmJmMzBkNDFhNzEwMWYwOTQzODgzMzEzNzI2YmEifQ==</vt:lpwstr>
  </property>
</Properties>
</file>