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rPr>
          <w:rFonts w:ascii="宋体" w:hAnsi="宋体" w:cs="宋体"/>
          <w:b/>
          <w:sz w:val="48"/>
          <w:szCs w:val="48"/>
        </w:rPr>
      </w:pPr>
    </w:p>
    <w:p>
      <w:pPr>
        <w:pStyle w:val="6"/>
      </w:pPr>
    </w:p>
    <w:p>
      <w:pPr>
        <w:adjustRightInd/>
        <w:spacing w:line="360" w:lineRule="auto"/>
        <w:jc w:val="center"/>
        <w:rPr>
          <w:rFonts w:ascii="宋体" w:hAnsi="宋体" w:cs="宋体"/>
          <w:sz w:val="48"/>
          <w:szCs w:val="48"/>
        </w:rPr>
      </w:pPr>
      <w:r>
        <w:rPr>
          <w:rFonts w:hint="eastAsia" w:ascii="宋体" w:hAnsi="宋体" w:cs="宋体"/>
          <w:sz w:val="48"/>
          <w:szCs w:val="48"/>
          <w:lang w:eastAsia="zh-CN"/>
        </w:rPr>
        <w:t>2024年度杭州市余杭区闲林中学创新实验室、录播教室采购项目</w:t>
      </w:r>
      <w:r>
        <w:rPr>
          <w:rFonts w:hint="eastAsia" w:ascii="宋体" w:hAnsi="宋体" w:cs="宋体"/>
          <w:sz w:val="48"/>
          <w:szCs w:val="48"/>
        </w:rPr>
        <w:t xml:space="preserve"> </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ascii="宋体" w:hAnsi="宋体" w:cs="宋体"/>
          <w:sz w:val="24"/>
        </w:rPr>
        <w:t xml:space="preserve"> </w:t>
      </w:r>
      <w:r>
        <w:rPr>
          <w:rFonts w:ascii="宋体" w:hAnsi="宋体" w:cs="宋体"/>
          <w:sz w:val="32"/>
          <w:szCs w:val="32"/>
        </w:rPr>
        <w:t>ZJZDCGYH-2024-00</w:t>
      </w:r>
      <w:r>
        <w:rPr>
          <w:rFonts w:hint="eastAsia" w:ascii="宋体" w:hAnsi="宋体" w:cs="宋体"/>
          <w:sz w:val="32"/>
          <w:szCs w:val="32"/>
          <w:lang w:val="en-US" w:eastAsia="zh-CN"/>
        </w:rPr>
        <w:t>8</w:t>
      </w:r>
    </w:p>
    <w:p>
      <w:pPr>
        <w:adjustRightInd/>
        <w:spacing w:line="360" w:lineRule="auto"/>
        <w:rPr>
          <w:rFonts w:ascii="宋体" w:hAnsi="宋体" w:cs="宋体"/>
          <w:sz w:val="28"/>
          <w:szCs w:val="20"/>
        </w:rPr>
      </w:pPr>
    </w:p>
    <w:p>
      <w:pPr>
        <w:spacing w:line="360" w:lineRule="auto"/>
        <w:jc w:val="center"/>
        <w:rPr>
          <w:rFonts w:hint="eastAsia" w:ascii="宋体" w:hAnsi="宋体" w:cs="宋体"/>
          <w:b/>
          <w:sz w:val="44"/>
          <w:szCs w:val="44"/>
          <w:lang w:val="en-US" w:eastAsia="zh-CN"/>
        </w:rPr>
      </w:pPr>
      <w:r>
        <w:rPr>
          <w:rFonts w:hint="eastAsia" w:ascii="宋体" w:hAnsi="宋体" w:cs="宋体"/>
          <w:b/>
          <w:sz w:val="44"/>
          <w:szCs w:val="44"/>
        </w:rPr>
        <w:t xml:space="preserve"> </w:t>
      </w:r>
      <w:r>
        <w:rPr>
          <w:rFonts w:hint="eastAsia" w:ascii="宋体" w:hAnsi="宋体" w:cs="宋体"/>
          <w:b/>
          <w:sz w:val="44"/>
          <w:szCs w:val="44"/>
          <w:lang w:val="en-US" w:eastAsia="zh-CN"/>
        </w:rPr>
        <w:t xml:space="preserve">   </w:t>
      </w:r>
    </w:p>
    <w:p>
      <w:pPr>
        <w:pStyle w:val="6"/>
        <w:rPr>
          <w:rFonts w:hint="eastAsia" w:ascii="宋体" w:hAnsi="宋体" w:cs="宋体"/>
          <w:b/>
          <w:sz w:val="44"/>
          <w:szCs w:val="44"/>
          <w:lang w:val="en-US" w:eastAsia="zh-CN"/>
        </w:rPr>
      </w:pPr>
    </w:p>
    <w:p>
      <w:pPr>
        <w:rPr>
          <w:rFonts w:hint="eastAsia" w:ascii="宋体" w:hAnsi="宋体" w:cs="宋体"/>
          <w:b/>
          <w:sz w:val="44"/>
          <w:szCs w:val="44"/>
          <w:lang w:val="en-US" w:eastAsia="zh-CN"/>
        </w:rPr>
      </w:pPr>
    </w:p>
    <w:p>
      <w:pPr>
        <w:pStyle w:val="6"/>
        <w:rPr>
          <w:rFonts w:hint="eastAsia" w:ascii="宋体" w:hAnsi="宋体" w:cs="宋体"/>
          <w:b/>
          <w:sz w:val="44"/>
          <w:szCs w:val="44"/>
          <w:lang w:val="en-US" w:eastAsia="zh-CN"/>
        </w:rPr>
      </w:pPr>
    </w:p>
    <w:p>
      <w:pPr>
        <w:rPr>
          <w:rFonts w:hint="eastAsia" w:ascii="宋体" w:hAnsi="宋体" w:cs="宋体"/>
          <w:b/>
          <w:sz w:val="44"/>
          <w:szCs w:val="44"/>
          <w:lang w:val="en-US" w:eastAsia="zh-CN"/>
        </w:rPr>
      </w:pPr>
    </w:p>
    <w:p>
      <w:pPr>
        <w:pStyle w:val="6"/>
        <w:rPr>
          <w:rFonts w:hint="default"/>
          <w:lang w:val="en-US" w:eastAsia="zh-CN"/>
        </w:rPr>
      </w:pPr>
    </w:p>
    <w:p>
      <w:pPr>
        <w:spacing w:line="360" w:lineRule="auto"/>
        <w:jc w:val="center"/>
        <w:rPr>
          <w:rFonts w:ascii="宋体" w:hAnsi="宋体" w:cs="宋体"/>
          <w:sz w:val="24"/>
        </w:rPr>
      </w:pPr>
    </w:p>
    <w:p>
      <w:pPr>
        <w:spacing w:line="360" w:lineRule="auto"/>
        <w:rPr>
          <w:rFonts w:ascii="宋体" w:hAnsi="宋体" w:cs="宋体"/>
          <w:sz w:val="32"/>
          <w:szCs w:val="32"/>
        </w:rPr>
      </w:pPr>
    </w:p>
    <w:p>
      <w:pPr>
        <w:snapToGrid w:val="0"/>
        <w:spacing w:line="360" w:lineRule="auto"/>
        <w:jc w:val="center"/>
        <w:rPr>
          <w:rFonts w:hint="eastAsia" w:ascii="宋体" w:hAnsi="宋体" w:eastAsia="宋体" w:cs="宋体"/>
          <w:sz w:val="32"/>
          <w:szCs w:val="32"/>
          <w:lang w:eastAsia="zh-CN"/>
        </w:rPr>
      </w:pPr>
      <w:r>
        <w:rPr>
          <w:rFonts w:hint="eastAsia" w:ascii="宋体" w:hAnsi="宋体" w:cs="宋体"/>
          <w:sz w:val="32"/>
          <w:szCs w:val="32"/>
          <w:lang w:eastAsia="zh-CN"/>
        </w:rPr>
        <w:t>杭州市余杭区闲林中学</w:t>
      </w:r>
    </w:p>
    <w:p>
      <w:pPr>
        <w:spacing w:line="360" w:lineRule="auto"/>
        <w:jc w:val="center"/>
        <w:rPr>
          <w:rFonts w:ascii="宋体" w:hAnsi="宋体" w:cs="宋体"/>
          <w:bCs/>
          <w:sz w:val="32"/>
          <w:szCs w:val="32"/>
        </w:rPr>
      </w:pPr>
      <w:r>
        <w:rPr>
          <w:rFonts w:hint="eastAsia" w:ascii="宋体" w:hAnsi="宋体" w:cs="宋体"/>
          <w:bCs/>
          <w:sz w:val="32"/>
          <w:szCs w:val="32"/>
        </w:rPr>
        <w:t>浙江中达工程造价事务所有限公司</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二〇二四年五月</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宋体" w:hAnsi="宋体" w:cs="宋体" w:eastAsiaTheme="minorEastAsia"/>
          <w:sz w:val="24"/>
          <w:lang w:eastAsia="zh-CN"/>
        </w:rPr>
        <w:t>2024年度杭州市余杭区闲林中学创新实验室、录播教室采购项目</w:t>
      </w:r>
      <w:r>
        <w:rPr>
          <w:rFonts w:hint="eastAsia" w:ascii="宋体" w:hAnsi="宋体" w:cs="宋体" w:eastAsiaTheme="minorEastAsia"/>
          <w:sz w:val="24"/>
        </w:rPr>
        <w:t xml:space="preserve"> </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"https://www.zcygov.cn/）获取（下载）招标文件，并于2024年5月6日13点30分00秒" </w:instrText>
      </w:r>
      <w:r>
        <w:fldChar w:fldCharType="separate"/>
      </w:r>
      <w:r>
        <w:rPr>
          <w:rStyle w:val="80"/>
          <w:rFonts w:cs="Times New Roman" w:asciiTheme="minorEastAsia" w:hAnsiTheme="minorEastAsia" w:eastAsiaTheme="minorEastAsia"/>
          <w:snapToGrid/>
          <w:kern w:val="2"/>
          <w:sz w:val="24"/>
          <w:szCs w:val="24"/>
        </w:rPr>
        <w:t>https://www.zcygov.cn/）获取（下载）招标文件，并于</w:t>
      </w:r>
      <w:r>
        <w:rPr>
          <w:rStyle w:val="80"/>
          <w:rFonts w:hint="eastAsia" w:cs="Times New Roman" w:asciiTheme="minorEastAsia" w:hAnsiTheme="minorEastAsia" w:eastAsiaTheme="minorEastAsia"/>
          <w:snapToGrid/>
          <w:kern w:val="2"/>
          <w:sz w:val="24"/>
          <w:szCs w:val="24"/>
        </w:rPr>
        <w:t>2024年</w:t>
      </w:r>
      <w:r>
        <w:rPr>
          <w:rStyle w:val="80"/>
          <w:rFonts w:hint="eastAsia" w:cs="Times New Roman" w:asciiTheme="minorEastAsia" w:hAnsiTheme="minorEastAsia" w:eastAsiaTheme="minorEastAsia"/>
          <w:snapToGrid/>
          <w:kern w:val="2"/>
          <w:sz w:val="24"/>
          <w:szCs w:val="24"/>
          <w:highlight w:val="none"/>
          <w:lang w:val="en-US" w:eastAsia="zh-CN"/>
        </w:rPr>
        <w:t>6</w:t>
      </w:r>
      <w:r>
        <w:rPr>
          <w:rStyle w:val="80"/>
          <w:rFonts w:hint="eastAsia" w:cs="Times New Roman" w:asciiTheme="minorEastAsia" w:hAnsiTheme="minorEastAsia" w:eastAsiaTheme="minorEastAsia"/>
          <w:snapToGrid/>
          <w:kern w:val="2"/>
          <w:sz w:val="24"/>
          <w:szCs w:val="24"/>
          <w:highlight w:val="none"/>
        </w:rPr>
        <w:t>月</w:t>
      </w:r>
      <w:r>
        <w:rPr>
          <w:rStyle w:val="80"/>
          <w:rFonts w:hint="eastAsia" w:cs="Times New Roman" w:asciiTheme="minorEastAsia" w:hAnsiTheme="minorEastAsia" w:eastAsiaTheme="minorEastAsia"/>
          <w:snapToGrid/>
          <w:kern w:val="2"/>
          <w:sz w:val="24"/>
          <w:szCs w:val="24"/>
          <w:highlight w:val="none"/>
          <w:lang w:val="en-US" w:eastAsia="zh-CN"/>
        </w:rPr>
        <w:t>13</w:t>
      </w:r>
      <w:r>
        <w:rPr>
          <w:rStyle w:val="80"/>
          <w:rFonts w:hint="eastAsia" w:cs="Times New Roman" w:asciiTheme="minorEastAsia" w:hAnsiTheme="minorEastAsia" w:eastAsiaTheme="minorEastAsia"/>
          <w:snapToGrid/>
          <w:kern w:val="2"/>
          <w:sz w:val="24"/>
          <w:szCs w:val="24"/>
          <w:highlight w:val="none"/>
        </w:rPr>
        <w:t>日</w:t>
      </w:r>
      <w:r>
        <w:rPr>
          <w:rStyle w:val="80"/>
          <w:rFonts w:cs="Times New Roman" w:asciiTheme="minorEastAsia" w:hAnsiTheme="minorEastAsia" w:eastAsiaTheme="minorEastAsia"/>
          <w:snapToGrid/>
          <w:kern w:val="2"/>
          <w:sz w:val="24"/>
          <w:szCs w:val="24"/>
          <w:highlight w:val="none"/>
        </w:rPr>
        <w:t>13</w:t>
      </w:r>
      <w:r>
        <w:rPr>
          <w:rStyle w:val="80"/>
          <w:rFonts w:hint="eastAsia" w:cs="Times New Roman" w:asciiTheme="minorEastAsia" w:hAnsiTheme="minorEastAsia" w:eastAsiaTheme="minorEastAsia"/>
          <w:snapToGrid/>
          <w:kern w:val="2"/>
          <w:sz w:val="24"/>
          <w:szCs w:val="24"/>
          <w:highlight w:val="none"/>
        </w:rPr>
        <w:t>点30分00秒</w:t>
      </w:r>
      <w:r>
        <w:rPr>
          <w:rStyle w:val="80"/>
          <w:rFonts w:hint="eastAsia" w:cs="Times New Roman" w:asciiTheme="minorEastAsia" w:hAnsiTheme="minorEastAsia" w:eastAsiaTheme="minorEastAsia"/>
          <w:snapToGrid/>
          <w:kern w:val="2"/>
          <w:sz w:val="24"/>
          <w:szCs w:val="24"/>
          <w:highlight w:val="yellow"/>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项目编号：</w:t>
      </w:r>
      <w:r>
        <w:rPr>
          <w:rFonts w:ascii="宋体" w:hAnsi="宋体" w:cs="宋体"/>
          <w:sz w:val="24"/>
        </w:rPr>
        <w:t xml:space="preserve"> </w:t>
      </w:r>
      <w:r>
        <w:rPr>
          <w:rFonts w:hint="eastAsia" w:ascii="宋体" w:hAnsi="宋体" w:cs="宋体"/>
          <w:sz w:val="24"/>
          <w:lang w:eastAsia="zh-CN"/>
        </w:rPr>
        <w:t>ZJZDCGYH-2024-008</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lang w:eastAsia="zh-CN"/>
        </w:rPr>
        <w:t>2024年度杭州市余杭区闲林中学创新实验室、录播教室采购项目</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sz w:val="24"/>
        </w:rPr>
        <w:t xml:space="preserve"> </w:t>
      </w:r>
      <w:r>
        <w:rPr>
          <w:rFonts w:hint="eastAsia" w:ascii="宋体" w:hAnsi="宋体" w:cs="宋体"/>
          <w:b/>
          <w:bCs/>
          <w:sz w:val="24"/>
          <w:lang w:val="en-US" w:eastAsia="zh-CN"/>
        </w:rPr>
        <w:t>1200000</w:t>
      </w:r>
      <w:r>
        <w:rPr>
          <w:rFonts w:hint="eastAsia" w:ascii="宋体" w:hAnsi="宋体" w:cs="宋体"/>
          <w:sz w:val="24"/>
        </w:rPr>
        <w:t>元</w:t>
      </w:r>
    </w:p>
    <w:p>
      <w:pPr>
        <w:spacing w:line="360" w:lineRule="auto"/>
        <w:ind w:firstLine="480"/>
        <w:rPr>
          <w:rFonts w:ascii="宋体" w:hAnsi="宋体" w:cs="宋体"/>
          <w:sz w:val="24"/>
        </w:rPr>
      </w:pPr>
      <w:r>
        <w:rPr>
          <w:rFonts w:hint="eastAsia" w:ascii="宋体" w:hAnsi="宋体" w:cs="宋体"/>
          <w:b/>
          <w:sz w:val="24"/>
        </w:rPr>
        <w:t xml:space="preserve">最高限价（元）： </w:t>
      </w:r>
      <w:r>
        <w:rPr>
          <w:rFonts w:hint="eastAsia" w:ascii="宋体" w:hAnsi="宋体" w:cs="宋体"/>
          <w:b/>
          <w:bCs/>
          <w:sz w:val="24"/>
          <w:lang w:val="en-US" w:eastAsia="zh-CN"/>
        </w:rPr>
        <w:t>1200000</w:t>
      </w:r>
      <w:r>
        <w:rPr>
          <w:rFonts w:hint="eastAsia" w:ascii="宋体" w:hAnsi="宋体" w:cs="宋体"/>
          <w:sz w:val="24"/>
        </w:rPr>
        <w:t xml:space="preserve"> 元</w:t>
      </w:r>
    </w:p>
    <w:p>
      <w:pPr>
        <w:pStyle w:val="11"/>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color w:val="auto"/>
          <w:sz w:val="24"/>
          <w:lang w:eastAsia="zh-CN"/>
        </w:rPr>
        <w:t>2024年度杭州市余杭区闲林中学创新实验室、录播教室采购项目</w:t>
      </w:r>
      <w:r>
        <w:rPr>
          <w:rFonts w:hint="eastAsia" w:hAnsi="宋体" w:cs="宋体"/>
          <w:color w:val="auto"/>
          <w:sz w:val="24"/>
        </w:rPr>
        <w:t xml:space="preserve"> 。</w:t>
      </w:r>
      <w:r>
        <w:rPr>
          <w:rFonts w:hint="eastAsia" w:hAnsi="宋体" w:cs="宋体"/>
          <w:bCs/>
          <w:snapToGrid/>
          <w:color w:val="auto"/>
          <w:kern w:val="2"/>
          <w:sz w:val="24"/>
          <w:szCs w:val="24"/>
        </w:rPr>
        <w:t>主要内容：</w:t>
      </w:r>
      <w:r>
        <w:rPr>
          <w:rFonts w:hint="eastAsia" w:hAnsi="宋体" w:cs="宋体"/>
          <w:color w:val="auto"/>
          <w:sz w:val="24"/>
          <w:lang w:eastAsia="zh-CN"/>
        </w:rPr>
        <w:t>2024年度杭州市余杭区闲林中学创新实验室、录播教室采购项目</w:t>
      </w:r>
      <w:r>
        <w:rPr>
          <w:rFonts w:hint="eastAsia" w:hAnsi="宋体" w:cs="宋体"/>
          <w:color w:val="auto"/>
          <w:sz w:val="24"/>
        </w:rPr>
        <w:t xml:space="preserve"> </w:t>
      </w:r>
      <w:r>
        <w:rPr>
          <w:rFonts w:hint="eastAsia" w:hAnsi="宋体" w:cs="宋体"/>
          <w:bCs/>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pPr>
        <w:pStyle w:val="162"/>
        <w:ind w:firstLine="482"/>
        <w:outlineLvl w:val="2"/>
        <w:rPr>
          <w:rFonts w:ascii="宋体" w:hAnsi="宋体" w:cs="宋体"/>
        </w:rPr>
      </w:pPr>
      <w:r>
        <w:rPr>
          <w:rFonts w:hint="eastAsia" w:ascii="宋体" w:hAnsi="宋体" w:cs="宋体"/>
          <w:b/>
        </w:rPr>
        <w:t>合同履约期限： 签订合同后 45 天内完成所有设备的供货、安装、调试等所有工作内容。</w:t>
      </w:r>
    </w:p>
    <w:p>
      <w:pPr>
        <w:pStyle w:val="11"/>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r>
        <w:rPr>
          <w:rFonts w:hint="eastAsia" w:ascii="宋体" w:hAnsi="宋体" w:cs="宋体"/>
          <w:sz w:val="24"/>
        </w:rPr>
        <w:t>；</w:t>
      </w:r>
    </w:p>
    <w:p>
      <w:pPr>
        <w:spacing w:line="360" w:lineRule="auto"/>
        <w:ind w:firstLine="480" w:firstLineChars="200"/>
        <w:rPr>
          <w:rFonts w:ascii="宋体" w:hAnsi="宋体" w:cs="宋体"/>
          <w:sz w:val="24"/>
        </w:rPr>
      </w:pPr>
      <w:sdt>
        <w:sdtPr>
          <w:rPr>
            <w:rFonts w:hint="eastAsia" w:ascii="宋体" w:hAnsi="宋体" w:cs="宋体"/>
            <w:kern w:val="0"/>
            <w:sz w:val="24"/>
          </w:rPr>
          <w:id w:val="-102470430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专</w:t>
      </w:r>
      <w:r>
        <w:rPr>
          <w:rFonts w:hint="eastAsia" w:ascii="宋体" w:hAnsi="宋体" w:cs="宋体"/>
          <w:sz w:val="24"/>
        </w:rPr>
        <w:t>门面向中小企业</w:t>
      </w:r>
    </w:p>
    <w:p>
      <w:pPr>
        <w:spacing w:line="360" w:lineRule="auto"/>
        <w:ind w:firstLine="897" w:firstLineChars="374"/>
        <w:rPr>
          <w:rFonts w:ascii="宋体" w:hAnsi="宋体" w:cs="宋体"/>
          <w:sz w:val="24"/>
          <w:u w:val="single"/>
        </w:rPr>
      </w:pPr>
      <w:sdt>
        <w:sdtPr>
          <w:rPr>
            <w:rFonts w:hint="eastAsia" w:ascii="宋体" w:hAnsi="宋体" w:cs="宋体"/>
            <w:kern w:val="0"/>
            <w:sz w:val="24"/>
          </w:rPr>
          <w:id w:val="-92473058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z w:val="24"/>
        </w:rPr>
        <w:t>货物全部由符合政策要求的中小企业制造，提供中小企业声明函；</w:t>
      </w:r>
    </w:p>
    <w:p>
      <w:pPr>
        <w:spacing w:line="360" w:lineRule="auto"/>
        <w:ind w:firstLine="897" w:firstLineChars="374"/>
        <w:rPr>
          <w:rFonts w:ascii="宋体" w:hAnsi="宋体" w:cs="宋体"/>
          <w:sz w:val="24"/>
        </w:rPr>
      </w:pPr>
      <w:sdt>
        <w:sdtPr>
          <w:rPr>
            <w:rFonts w:hint="eastAsia" w:ascii="宋体" w:hAnsi="宋体" w:cs="宋体"/>
            <w:kern w:val="0"/>
            <w:sz w:val="24"/>
          </w:rPr>
          <w:id w:val="-115260493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z w:val="24"/>
        </w:rPr>
        <w:t>货物全部由符合政策要求的小微企业制造，提供中小企业声明函；</w:t>
      </w:r>
    </w:p>
    <w:p>
      <w:pPr>
        <w:spacing w:line="360" w:lineRule="auto"/>
        <w:ind w:firstLine="480" w:firstLineChars="200"/>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12"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bookmarkEnd w:id="12"/>
    <w:p>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.本项目的特定资格要求：无；</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highlight w:val="none"/>
          <w:u w:val="single"/>
        </w:rPr>
        <w:t>2024年</w:t>
      </w:r>
      <w:r>
        <w:rPr>
          <w:rFonts w:hint="eastAsia" w:ascii="宋体" w:hAnsi="宋体" w:cs="宋体"/>
          <w:sz w:val="24"/>
          <w:highlight w:val="none"/>
          <w:u w:val="single"/>
          <w:lang w:val="en-US" w:eastAsia="zh-CN"/>
        </w:rPr>
        <w:t>6</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13</w:t>
      </w:r>
      <w:r>
        <w:rPr>
          <w:rFonts w:hint="eastAsia" w:ascii="宋体" w:hAnsi="宋体" w:cs="宋体"/>
          <w:sz w:val="24"/>
          <w:highlight w:val="none"/>
          <w:u w:val="single"/>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w:t>
      </w:r>
      <w:r>
        <w:rPr>
          <w:rFonts w:hint="eastAsia" w:ascii="宋体" w:hAnsi="宋体" w:cs="宋体"/>
          <w:sz w:val="24"/>
          <w:highlight w:val="none"/>
          <w:u w:val="single"/>
        </w:rPr>
        <w:t>2024年</w:t>
      </w:r>
      <w:r>
        <w:rPr>
          <w:rFonts w:hint="eastAsia" w:ascii="宋体" w:hAnsi="宋体" w:cs="宋体"/>
          <w:sz w:val="24"/>
          <w:highlight w:val="none"/>
          <w:u w:val="single"/>
          <w:lang w:val="en-US" w:eastAsia="zh-CN"/>
        </w:rPr>
        <w:t>6</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13</w:t>
      </w:r>
      <w:r>
        <w:rPr>
          <w:rFonts w:hint="eastAsia" w:ascii="宋体" w:hAnsi="宋体" w:cs="宋体"/>
          <w:sz w:val="24"/>
          <w:highlight w:val="none"/>
          <w:u w:val="single"/>
        </w:rPr>
        <w:t>日</w:t>
      </w:r>
      <w:r>
        <w:rPr>
          <w:rFonts w:ascii="宋体" w:hAnsi="宋体" w:cs="宋体"/>
          <w:sz w:val="24"/>
          <w:highlight w:val="none"/>
          <w:u w:val="single"/>
        </w:rPr>
        <w:t>13</w:t>
      </w:r>
      <w:r>
        <w:rPr>
          <w:rFonts w:hint="eastAsia" w:ascii="宋体" w:hAnsi="宋体" w:cs="宋体"/>
          <w:sz w:val="24"/>
          <w:highlight w:val="none"/>
          <w:u w:val="single"/>
        </w:rPr>
        <w:t>点30分00秒</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highlight w:val="none"/>
          <w:u w:val="single"/>
        </w:rPr>
        <w:t>2024年</w:t>
      </w:r>
      <w:r>
        <w:rPr>
          <w:rFonts w:hint="eastAsia" w:ascii="宋体" w:hAnsi="宋体" w:cs="宋体"/>
          <w:sz w:val="24"/>
          <w:highlight w:val="none"/>
          <w:u w:val="single"/>
          <w:lang w:val="en-US" w:eastAsia="zh-CN"/>
        </w:rPr>
        <w:t>6</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13</w:t>
      </w:r>
      <w:r>
        <w:rPr>
          <w:rFonts w:hint="eastAsia" w:ascii="宋体" w:hAnsi="宋体" w:cs="宋体"/>
          <w:sz w:val="24"/>
          <w:highlight w:val="none"/>
          <w:u w:val="single"/>
        </w:rPr>
        <w:t>日</w:t>
      </w:r>
      <w:r>
        <w:rPr>
          <w:rFonts w:ascii="宋体" w:hAnsi="宋体" w:cs="宋体"/>
          <w:sz w:val="24"/>
          <w:highlight w:val="none"/>
          <w:u w:val="single"/>
        </w:rPr>
        <w:t>13</w:t>
      </w:r>
      <w:r>
        <w:rPr>
          <w:rFonts w:hint="eastAsia" w:ascii="宋体" w:hAnsi="宋体" w:cs="宋体"/>
          <w:sz w:val="24"/>
          <w:highlight w:val="none"/>
          <w:u w:val="single"/>
        </w:rPr>
        <w:t>点30分00秒</w:t>
      </w:r>
    </w:p>
    <w:p>
      <w:pPr>
        <w:spacing w:line="360" w:lineRule="auto"/>
        <w:ind w:firstLine="482" w:firstLineChars="200"/>
        <w:rPr>
          <w:rFonts w:hint="eastAsia" w:ascii="宋体" w:hAnsi="宋体" w:eastAsia="宋体" w:cs="宋体"/>
          <w:sz w:val="24"/>
          <w:lang w:eastAsia="zh-CN"/>
        </w:rPr>
      </w:pPr>
      <w:r>
        <w:rPr>
          <w:rFonts w:hint="eastAsia" w:ascii="宋体" w:hAnsi="宋体" w:cs="宋体"/>
          <w:b/>
          <w:sz w:val="24"/>
        </w:rPr>
        <w:t>开标地点（网址）：</w:t>
      </w:r>
      <w:r>
        <w:rPr>
          <w:rFonts w:hint="eastAsia" w:ascii="宋体" w:hAnsi="宋体" w:cs="宋体"/>
          <w:sz w:val="24"/>
          <w:lang w:val="en-US" w:eastAsia="zh-CN"/>
        </w:rPr>
        <w:tab/>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ind w:firstLine="480" w:firstLineChars="200"/>
        <w:rPr>
          <w:rFonts w:ascii="宋体" w:hAnsi="宋体" w:cs="宋体"/>
          <w:sz w:val="24"/>
        </w:rPr>
      </w:pPr>
      <w:r>
        <w:rPr>
          <w:rFonts w:hint="eastAsia" w:ascii="宋体" w:hAnsi="宋体" w:cs="宋体"/>
          <w:sz w:val="24"/>
        </w:rPr>
        <w:t>1.采购人信息</w:t>
      </w:r>
    </w:p>
    <w:p>
      <w:pPr>
        <w:spacing w:line="360" w:lineRule="auto"/>
        <w:rPr>
          <w:rFonts w:ascii="宋体" w:hAnsi="宋体" w:cs="宋体"/>
          <w:sz w:val="24"/>
        </w:rPr>
      </w:pPr>
      <w:r>
        <w:rPr>
          <w:rFonts w:hint="eastAsia" w:ascii="宋体" w:hAnsi="宋体" w:cs="宋体"/>
          <w:sz w:val="24"/>
        </w:rPr>
        <w:t xml:space="preserve">    名    称：</w:t>
      </w:r>
      <w:r>
        <w:rPr>
          <w:rFonts w:hint="eastAsia" w:ascii="宋体" w:hAnsi="宋体" w:cs="宋体"/>
          <w:sz w:val="24"/>
          <w:lang w:eastAsia="zh-CN"/>
        </w:rPr>
        <w:t>杭州市余杭区闲林中学</w:t>
      </w:r>
      <w:r>
        <w:rPr>
          <w:rFonts w:hint="eastAsia" w:ascii="宋体" w:hAnsi="宋体" w:cs="宋体"/>
          <w:sz w:val="24"/>
        </w:rPr>
        <w:t xml:space="preserve"> </w:t>
      </w:r>
    </w:p>
    <w:p>
      <w:pPr>
        <w:spacing w:line="360" w:lineRule="auto"/>
        <w:rPr>
          <w:rFonts w:hint="default" w:ascii="宋体" w:hAnsi="宋体" w:eastAsia="宋体" w:cs="宋体"/>
          <w:sz w:val="24"/>
          <w:lang w:val="en-US" w:eastAsia="zh-CN"/>
        </w:rPr>
      </w:pPr>
      <w:r>
        <w:rPr>
          <w:rFonts w:hint="eastAsia" w:ascii="宋体" w:hAnsi="宋体" w:cs="宋体"/>
          <w:sz w:val="24"/>
        </w:rPr>
        <w:t xml:space="preserve">    地    址：</w:t>
      </w:r>
      <w:r>
        <w:rPr>
          <w:rFonts w:hint="eastAsia" w:ascii="宋体" w:hAnsi="宋体" w:cs="宋体"/>
          <w:sz w:val="24"/>
          <w:lang w:val="en-US" w:eastAsia="zh-CN"/>
        </w:rPr>
        <w:t>余杭区文卫路26号</w:t>
      </w:r>
      <w:bookmarkStart w:id="194" w:name="_GoBack"/>
      <w:bookmarkEnd w:id="194"/>
    </w:p>
    <w:p>
      <w:pPr>
        <w:spacing w:line="360" w:lineRule="auto"/>
        <w:ind w:firstLine="480"/>
        <w:rPr>
          <w:rFonts w:ascii="宋体" w:hAnsi="宋体" w:cs="宋体"/>
          <w:sz w:val="24"/>
        </w:rPr>
      </w:pPr>
      <w:r>
        <w:rPr>
          <w:rFonts w:hint="eastAsia" w:ascii="宋体" w:hAnsi="宋体" w:cs="宋体"/>
          <w:sz w:val="24"/>
        </w:rPr>
        <w:t>传    真： /</w:t>
      </w:r>
    </w:p>
    <w:p>
      <w:pPr>
        <w:spacing w:line="360" w:lineRule="auto"/>
        <w:ind w:firstLine="480"/>
        <w:rPr>
          <w:rFonts w:ascii="宋体" w:hAnsi="宋体" w:cs="宋体"/>
          <w:sz w:val="24"/>
        </w:rPr>
      </w:pPr>
      <w:r>
        <w:rPr>
          <w:rFonts w:hint="eastAsia" w:ascii="宋体" w:hAnsi="宋体" w:cs="宋体"/>
          <w:sz w:val="24"/>
        </w:rPr>
        <w:t>项目联系人（询问）：</w:t>
      </w:r>
      <w:r>
        <w:rPr>
          <w:rFonts w:ascii="宋体" w:hAnsi="宋体" w:cs="宋体"/>
          <w:sz w:val="24"/>
        </w:rPr>
        <w:t xml:space="preserve">  </w:t>
      </w:r>
      <w:r>
        <w:rPr>
          <w:rFonts w:hint="eastAsia" w:ascii="宋体" w:hAnsi="宋体" w:cs="宋体"/>
          <w:sz w:val="24"/>
        </w:rPr>
        <w:t xml:space="preserve">姚晓峰 </w:t>
      </w:r>
    </w:p>
    <w:p>
      <w:pPr>
        <w:spacing w:line="360" w:lineRule="auto"/>
        <w:ind w:firstLine="480"/>
        <w:rPr>
          <w:rFonts w:ascii="宋体" w:hAnsi="宋体" w:cs="宋体"/>
          <w:sz w:val="24"/>
        </w:rPr>
      </w:pPr>
      <w:r>
        <w:rPr>
          <w:rFonts w:ascii="宋体" w:hAnsi="宋体" w:cs="宋体"/>
          <w:sz w:val="24"/>
        </w:rPr>
        <w:t>项目联系方式（询问）：</w:t>
      </w:r>
      <w:r>
        <w:rPr>
          <w:rFonts w:hint="eastAsia" w:ascii="宋体" w:hAnsi="宋体" w:cs="宋体"/>
          <w:sz w:val="24"/>
        </w:rPr>
        <w:t xml:space="preserve">18058763015 </w:t>
      </w:r>
      <w:r>
        <w:rPr>
          <w:rFonts w:ascii="宋体" w:hAnsi="宋体" w:cs="宋体"/>
          <w:sz w:val="24"/>
        </w:rPr>
        <w:t xml:space="preserve">    </w:t>
      </w:r>
    </w:p>
    <w:p>
      <w:pPr>
        <w:spacing w:line="360" w:lineRule="auto"/>
        <w:ind w:firstLine="480"/>
        <w:rPr>
          <w:rFonts w:ascii="宋体" w:hAnsi="宋体" w:cs="宋体"/>
          <w:sz w:val="24"/>
          <w:highlight w:val="yellow"/>
        </w:rPr>
      </w:pPr>
      <w:r>
        <w:rPr>
          <w:rFonts w:ascii="宋体" w:hAnsi="宋体" w:cs="宋体"/>
          <w:sz w:val="24"/>
        </w:rPr>
        <w:t xml:space="preserve">质疑联系人：  </w:t>
      </w:r>
      <w:r>
        <w:rPr>
          <w:rFonts w:hint="eastAsia" w:ascii="宋体" w:hAnsi="宋体" w:cs="宋体"/>
          <w:sz w:val="24"/>
        </w:rPr>
        <w:t xml:space="preserve">邱正召 </w:t>
      </w:r>
    </w:p>
    <w:p>
      <w:pPr>
        <w:spacing w:line="360" w:lineRule="auto"/>
        <w:rPr>
          <w:rFonts w:ascii="宋体" w:hAnsi="宋体" w:cs="宋体"/>
          <w:sz w:val="24"/>
        </w:rPr>
      </w:pPr>
      <w:r>
        <w:rPr>
          <w:rFonts w:ascii="宋体" w:hAnsi="宋体" w:cs="宋体"/>
          <w:sz w:val="24"/>
        </w:rPr>
        <w:t xml:space="preserve">    质疑联系方式： </w:t>
      </w:r>
      <w:r>
        <w:rPr>
          <w:rFonts w:hint="eastAsia" w:ascii="宋体" w:hAnsi="宋体" w:cs="宋体"/>
          <w:sz w:val="24"/>
        </w:rPr>
        <w:t>18957188880</w:t>
      </w:r>
    </w:p>
    <w:p>
      <w:pPr>
        <w:spacing w:line="360" w:lineRule="auto"/>
        <w:rPr>
          <w:rFonts w:ascii="宋体" w:hAnsi="宋体" w:cs="宋体"/>
          <w:sz w:val="24"/>
        </w:rPr>
      </w:pPr>
      <w:r>
        <w:rPr>
          <w:rFonts w:hint="eastAsia" w:ascii="宋体" w:hAnsi="宋体" w:cs="宋体"/>
          <w:sz w:val="24"/>
        </w:rPr>
        <w:t xml:space="preserve">    2.</w:t>
      </w:r>
      <w:r>
        <w:rPr>
          <w:rFonts w:hint="eastAsia"/>
        </w:rPr>
        <w:t xml:space="preserve"> </w:t>
      </w:r>
      <w:r>
        <w:rPr>
          <w:rFonts w:hint="eastAsia" w:ascii="宋体" w:hAnsi="宋体" w:cs="宋体"/>
          <w:sz w:val="24"/>
        </w:rPr>
        <w:t xml:space="preserve">采购代理机构信息            </w:t>
      </w:r>
    </w:p>
    <w:p>
      <w:pPr>
        <w:spacing w:line="360" w:lineRule="auto"/>
        <w:ind w:firstLine="424" w:firstLineChars="177"/>
        <w:rPr>
          <w:rFonts w:ascii="宋体" w:hAnsi="宋体" w:cs="宋体"/>
          <w:sz w:val="24"/>
        </w:rPr>
      </w:pPr>
      <w:r>
        <w:rPr>
          <w:rFonts w:hint="eastAsia" w:ascii="宋体" w:hAnsi="宋体" w:cs="宋体"/>
          <w:sz w:val="24"/>
        </w:rPr>
        <w:t>名    称：浙江中达工程造价事务所有限公司</w:t>
      </w:r>
    </w:p>
    <w:p>
      <w:pPr>
        <w:spacing w:line="360" w:lineRule="auto"/>
        <w:ind w:firstLine="424" w:firstLineChars="177"/>
        <w:rPr>
          <w:rFonts w:ascii="宋体" w:hAnsi="宋体" w:cs="宋体"/>
          <w:sz w:val="24"/>
        </w:rPr>
      </w:pPr>
      <w:r>
        <w:rPr>
          <w:rFonts w:hint="eastAsia" w:ascii="宋体" w:hAnsi="宋体" w:cs="宋体"/>
          <w:sz w:val="24"/>
        </w:rPr>
        <w:t>地    址：</w:t>
      </w:r>
      <w:r>
        <w:rPr>
          <w:rFonts w:hint="eastAsia" w:ascii="宋体" w:hAnsi="宋体" w:cs="宋体"/>
          <w:sz w:val="24"/>
          <w:lang w:eastAsia="zh-CN"/>
        </w:rPr>
        <w:t>余杭区瓶窑镇瓶仓大道966号2号楼8层801号</w:t>
      </w:r>
      <w:r>
        <w:rPr>
          <w:rFonts w:hint="eastAsia" w:ascii="宋体" w:hAnsi="宋体" w:cs="宋体"/>
          <w:sz w:val="24"/>
        </w:rPr>
        <w:t xml:space="preserve"> </w:t>
      </w:r>
    </w:p>
    <w:p>
      <w:pPr>
        <w:spacing w:line="360" w:lineRule="auto"/>
        <w:ind w:firstLine="424" w:firstLineChars="177"/>
        <w:rPr>
          <w:rFonts w:ascii="宋体" w:hAnsi="宋体" w:cs="宋体"/>
          <w:sz w:val="24"/>
        </w:rPr>
      </w:pPr>
      <w:r>
        <w:rPr>
          <w:rFonts w:hint="eastAsia" w:ascii="宋体" w:hAnsi="宋体" w:cs="宋体"/>
          <w:sz w:val="24"/>
        </w:rPr>
        <w:t xml:space="preserve">传    真：/             </w:t>
      </w:r>
    </w:p>
    <w:p>
      <w:pPr>
        <w:spacing w:line="360" w:lineRule="auto"/>
        <w:ind w:firstLine="424" w:firstLineChars="177"/>
        <w:rPr>
          <w:rFonts w:ascii="宋体" w:hAnsi="宋体" w:cs="宋体"/>
          <w:sz w:val="24"/>
        </w:rPr>
      </w:pPr>
      <w:r>
        <w:rPr>
          <w:rFonts w:hint="eastAsia" w:ascii="宋体" w:hAnsi="宋体" w:cs="宋体"/>
          <w:sz w:val="24"/>
        </w:rPr>
        <w:t xml:space="preserve">项目联系人（询问）： 吴凯磊      </w:t>
      </w:r>
    </w:p>
    <w:p>
      <w:pPr>
        <w:spacing w:line="360" w:lineRule="auto"/>
        <w:ind w:firstLine="424" w:firstLineChars="177"/>
        <w:rPr>
          <w:rFonts w:ascii="宋体" w:hAnsi="宋体" w:cs="宋体"/>
          <w:sz w:val="24"/>
        </w:rPr>
      </w:pPr>
      <w:r>
        <w:rPr>
          <w:rFonts w:hint="eastAsia" w:ascii="宋体" w:hAnsi="宋体" w:cs="宋体"/>
          <w:sz w:val="24"/>
        </w:rPr>
        <w:t>项目联系方式（询问）：</w:t>
      </w:r>
      <w:r>
        <w:rPr>
          <w:rFonts w:ascii="宋体" w:hAnsi="宋体" w:cs="宋体"/>
          <w:sz w:val="24"/>
        </w:rPr>
        <w:t>13067818579</w:t>
      </w:r>
    </w:p>
    <w:p>
      <w:pPr>
        <w:spacing w:line="360" w:lineRule="auto"/>
        <w:ind w:firstLine="424" w:firstLineChars="177"/>
        <w:rPr>
          <w:rFonts w:ascii="宋体" w:hAnsi="宋体" w:cs="宋体"/>
          <w:sz w:val="24"/>
        </w:rPr>
      </w:pPr>
      <w:r>
        <w:rPr>
          <w:rFonts w:hint="eastAsia" w:ascii="宋体" w:hAnsi="宋体" w:cs="宋体"/>
          <w:sz w:val="24"/>
        </w:rPr>
        <w:t>质疑联系人：</w:t>
      </w:r>
      <w:r>
        <w:rPr>
          <w:rFonts w:hint="eastAsia" w:ascii="宋体" w:hAnsi="宋体" w:cs="宋体"/>
          <w:sz w:val="24"/>
          <w:lang w:val="en-US" w:eastAsia="zh-CN"/>
        </w:rPr>
        <w:t>徐杰洁</w:t>
      </w:r>
      <w:r>
        <w:rPr>
          <w:rFonts w:hint="eastAsia" w:ascii="宋体" w:hAnsi="宋体" w:cs="宋体"/>
          <w:sz w:val="24"/>
        </w:rPr>
        <w:t xml:space="preserve">             </w:t>
      </w:r>
    </w:p>
    <w:p>
      <w:pPr>
        <w:spacing w:line="360" w:lineRule="auto"/>
        <w:ind w:firstLine="424" w:firstLineChars="177"/>
        <w:rPr>
          <w:rFonts w:ascii="宋体" w:hAnsi="宋体" w:cs="宋体"/>
          <w:sz w:val="24"/>
        </w:rPr>
      </w:pPr>
      <w:r>
        <w:rPr>
          <w:rFonts w:hint="eastAsia" w:ascii="宋体" w:hAnsi="宋体" w:cs="宋体"/>
          <w:sz w:val="24"/>
        </w:rPr>
        <w:t>质疑联系方式：</w:t>
      </w:r>
      <w:r>
        <w:rPr>
          <w:rFonts w:ascii="宋体" w:hAnsi="宋体" w:cs="宋体"/>
          <w:sz w:val="24"/>
        </w:rPr>
        <w:t>18668070608</w:t>
      </w:r>
      <w:r>
        <w:rPr>
          <w:rFonts w:hint="eastAsia" w:ascii="宋体" w:hAnsi="宋体" w:cs="宋体"/>
          <w:sz w:val="24"/>
        </w:rPr>
        <w:t xml:space="preserve">     </w:t>
      </w:r>
    </w:p>
    <w:p>
      <w:pPr>
        <w:spacing w:line="360" w:lineRule="auto"/>
        <w:ind w:firstLine="480"/>
        <w:rPr>
          <w:rFonts w:ascii="宋体" w:hAnsi="宋体" w:cs="宋体"/>
          <w:sz w:val="24"/>
        </w:rPr>
      </w:pPr>
      <w:r>
        <w:rPr>
          <w:rFonts w:hint="eastAsia" w:ascii="宋体" w:hAnsi="宋体" w:cs="宋体"/>
          <w:sz w:val="24"/>
        </w:rPr>
        <w:t>3.</w:t>
      </w:r>
      <w:r>
        <w:rPr>
          <w:rFonts w:hint="eastAsia"/>
        </w:rPr>
        <w:t xml:space="preserve"> </w:t>
      </w:r>
      <w:r>
        <w:rPr>
          <w:rFonts w:hint="eastAsia" w:ascii="宋体" w:hAnsi="宋体" w:cs="宋体"/>
          <w:sz w:val="24"/>
        </w:rPr>
        <w:t xml:space="preserve">同级政府采购监督管理部门            </w:t>
      </w:r>
    </w:p>
    <w:p>
      <w:pPr>
        <w:spacing w:line="360" w:lineRule="auto"/>
        <w:ind w:firstLine="424" w:firstLineChars="177"/>
        <w:rPr>
          <w:rFonts w:ascii="宋体" w:hAnsi="宋体" w:cs="宋体"/>
          <w:sz w:val="24"/>
        </w:rPr>
      </w:pPr>
      <w:r>
        <w:rPr>
          <w:rFonts w:hint="eastAsia" w:ascii="宋体" w:hAnsi="宋体" w:cs="宋体"/>
          <w:sz w:val="24"/>
        </w:rPr>
        <w:t xml:space="preserve">名    称：杭州市余杭区财政局、浙江省政府采购行政裁决服务中心（杭州） </w:t>
      </w:r>
    </w:p>
    <w:p>
      <w:pPr>
        <w:spacing w:line="360" w:lineRule="auto"/>
        <w:ind w:firstLine="424" w:firstLineChars="177"/>
        <w:rPr>
          <w:rFonts w:ascii="宋体" w:hAnsi="宋体" w:cs="宋体"/>
          <w:sz w:val="24"/>
        </w:rPr>
      </w:pPr>
      <w:r>
        <w:rPr>
          <w:rFonts w:hint="eastAsia" w:ascii="宋体" w:hAnsi="宋体" w:cs="宋体"/>
          <w:sz w:val="24"/>
        </w:rPr>
        <w:t>地    址：杭州市上城区四季青街道新业路市民之家G03办公室（快递仅限ems或顺丰）</w:t>
      </w:r>
    </w:p>
    <w:p>
      <w:pPr>
        <w:spacing w:line="360" w:lineRule="auto"/>
        <w:ind w:firstLine="424" w:firstLineChars="177"/>
        <w:rPr>
          <w:rFonts w:ascii="宋体" w:hAnsi="宋体" w:cs="宋体"/>
          <w:sz w:val="24"/>
        </w:rPr>
      </w:pPr>
      <w:r>
        <w:rPr>
          <w:rFonts w:hint="eastAsia" w:ascii="宋体" w:hAnsi="宋体" w:cs="宋体"/>
          <w:sz w:val="24"/>
        </w:rPr>
        <w:t>传    真： /</w:t>
      </w:r>
    </w:p>
    <w:p>
      <w:pPr>
        <w:spacing w:line="360" w:lineRule="auto"/>
        <w:ind w:firstLine="424" w:firstLineChars="177"/>
        <w:rPr>
          <w:rFonts w:ascii="宋体" w:hAnsi="宋体" w:cs="宋体"/>
          <w:sz w:val="24"/>
        </w:rPr>
      </w:pPr>
      <w:r>
        <w:rPr>
          <w:rFonts w:hint="eastAsia" w:ascii="宋体" w:hAnsi="宋体" w:cs="宋体"/>
          <w:sz w:val="24"/>
        </w:rPr>
        <w:t xml:space="preserve">联系人 ：朱女士、王女士    </w:t>
      </w:r>
    </w:p>
    <w:p>
      <w:pPr>
        <w:spacing w:line="360" w:lineRule="auto"/>
        <w:ind w:firstLine="424" w:firstLineChars="177"/>
        <w:rPr>
          <w:rFonts w:ascii="宋体" w:hAnsi="宋体" w:cs="宋体"/>
          <w:sz w:val="24"/>
        </w:rPr>
      </w:pPr>
      <w:r>
        <w:rPr>
          <w:rFonts w:hint="eastAsia" w:ascii="宋体" w:hAnsi="宋体" w:cs="宋体"/>
          <w:sz w:val="24"/>
        </w:rPr>
        <w:t>监督投诉电话：</w:t>
      </w:r>
      <w:r>
        <w:rPr>
          <w:rFonts w:ascii="宋体" w:hAnsi="宋体" w:cs="宋体"/>
          <w:sz w:val="24"/>
        </w:rPr>
        <w:t>0571-85252453</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pStyle w:val="3"/>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pPr>
        <w:pStyle w:val="9"/>
        <w:rPr>
          <w:rFonts w:ascii="宋体"/>
          <w:snapToGrid w:val="0"/>
        </w:rPr>
      </w:pPr>
      <w: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（1）标的：</w:t>
            </w:r>
            <w:r>
              <w:rPr>
                <w:rFonts w:hint="eastAsia" w:ascii="宋体" w:hAnsi="宋体" w:cs="宋体"/>
                <w:sz w:val="24"/>
                <w:u w:val="single"/>
                <w:lang w:eastAsia="zh-CN"/>
              </w:rPr>
              <w:t>2024年度杭州市余杭区闲林中学创新实验室、录播教室采购项目</w:t>
            </w:r>
            <w:r>
              <w:rPr>
                <w:rFonts w:hint="eastAsia" w:ascii="宋体" w:hAnsi="宋体" w:cs="宋体"/>
                <w:sz w:val="24"/>
                <w:u w:val="single"/>
              </w:rPr>
              <w:t xml:space="preserve"> </w:t>
            </w:r>
            <w:r>
              <w:rPr>
                <w:rFonts w:hint="eastAsia" w:ascii="宋体" w:hAnsi="宋体" w:cs="宋体"/>
                <w:kern w:val="0"/>
                <w:sz w:val="24"/>
              </w:rPr>
              <w:t>，属于</w:t>
            </w:r>
            <w:r>
              <w:rPr>
                <w:rFonts w:hint="eastAsia" w:ascii="宋体" w:hAnsi="宋体" w:cs="宋体"/>
                <w:kern w:val="0"/>
                <w:sz w:val="24"/>
                <w:u w:val="single"/>
                <w:lang w:val="en-US" w:eastAsia="zh-CN"/>
              </w:rPr>
              <w:t>未列明行业</w:t>
            </w:r>
            <w:r>
              <w:rPr>
                <w:rFonts w:hint="eastAsia" w:ascii="宋体" w:hAnsi="宋体" w:cs="宋体"/>
                <w:kern w:val="0"/>
                <w:sz w:val="24"/>
              </w:rPr>
              <w:t>。详见《中小企业划型标准规定》附件8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w:t>
            </w:r>
            <w:r>
              <w:rPr>
                <w:rFonts w:hint="eastAsia" w:ascii="宋体" w:hAnsi="宋体" w:cs="宋体"/>
                <w:b/>
                <w:sz w:val="24"/>
                <w:lang w:val="en-US" w:eastAsia="zh-CN"/>
              </w:rPr>
              <w:t>进口</w:t>
            </w:r>
            <w:r>
              <w:rPr>
                <w:rFonts w:hint="eastAsia" w:ascii="宋体" w:hAnsi="宋体" w:cs="宋体"/>
                <w:b/>
                <w:sz w:val="24"/>
              </w:rPr>
              <w:t>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w:t>
            </w:r>
            <w:r>
              <w:rPr>
                <w:rFonts w:hint="eastAsia" w:ascii="宋体" w:hAnsi="宋体" w:cs="宋体"/>
                <w:kern w:val="0"/>
                <w:sz w:val="24"/>
                <w:lang w:val="en-US" w:eastAsia="zh-CN"/>
              </w:rPr>
              <w:t>进口</w:t>
            </w:r>
            <w:r>
              <w:rPr>
                <w:rFonts w:hint="eastAsia" w:ascii="宋体" w:hAnsi="宋体" w:cs="宋体"/>
                <w:kern w:val="0"/>
                <w:sz w:val="24"/>
              </w:rPr>
              <w:t>产品。</w:t>
            </w:r>
          </w:p>
          <w:p>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639946486"/>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sdt>
              <w:sdtPr>
                <w:rPr>
                  <w:rFonts w:hint="eastAsia" w:ascii="宋体" w:hAnsi="宋体" w:cs="宋体"/>
                  <w:kern w:val="0"/>
                  <w:sz w:val="24"/>
                </w:rPr>
                <w:id w:val="102683198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B要求提供，</w:t>
            </w:r>
          </w:p>
          <w:p>
            <w:pPr>
              <w:spacing w:line="360" w:lineRule="auto"/>
              <w:rPr>
                <w:rFonts w:hint="default" w:ascii="宋体" w:hAnsi="宋体" w:cs="宋体"/>
                <w:b/>
                <w:sz w:val="24"/>
                <w:lang w:val="en-US" w:eastAsia="zh-CN"/>
              </w:rPr>
            </w:pPr>
            <w:r>
              <w:rPr>
                <w:rFonts w:hint="eastAsia" w:ascii="宋体" w:hAnsi="宋体" w:cs="宋体"/>
                <w:kern w:val="0"/>
                <w:sz w:val="24"/>
              </w:rPr>
              <w:t>（1）</w:t>
            </w:r>
            <w:r>
              <w:rPr>
                <w:rFonts w:hint="eastAsia" w:ascii="宋体" w:hAnsi="宋体" w:cs="宋体"/>
                <w:snapToGrid w:val="0"/>
                <w:kern w:val="28"/>
                <w:sz w:val="24"/>
              </w:rPr>
              <w:t>样品：①</w:t>
            </w:r>
            <w:r>
              <w:rPr>
                <w:rFonts w:hint="eastAsia" w:ascii="宋体" w:hAnsi="宋体" w:cs="宋体"/>
                <w:b/>
                <w:sz w:val="24"/>
              </w:rPr>
              <w:t>清单中序号</w:t>
            </w:r>
            <w:r>
              <w:rPr>
                <w:rFonts w:hint="eastAsia" w:ascii="宋体" w:hAnsi="宋体" w:cs="宋体"/>
                <w:b/>
                <w:sz w:val="24"/>
                <w:lang w:val="en-US" w:eastAsia="zh-CN"/>
              </w:rPr>
              <w:t>17水槽柜②序号2学生智慧实验桌</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详见采购需求</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sz w:val="24"/>
                <w:u w:val="single"/>
                <w:lang w:val="en-US" w:eastAsia="zh-CN"/>
              </w:rPr>
              <w:t>同开标截止时间</w:t>
            </w:r>
            <w:r>
              <w:rPr>
                <w:rFonts w:hint="eastAsia" w:ascii="宋体" w:hAnsi="宋体" w:cs="宋体"/>
                <w:kern w:val="0"/>
                <w:sz w:val="24"/>
              </w:rPr>
              <w:t>；地点：</w:t>
            </w:r>
            <w:r>
              <w:rPr>
                <w:rFonts w:hint="eastAsia" w:ascii="宋体" w:hAnsi="宋体" w:cs="宋体"/>
                <w:sz w:val="24"/>
                <w:u w:val="single"/>
              </w:rPr>
              <w:t>余杭区瓶窑镇瓶仓大道966号2号楼8层801号</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lang w:val="en-US" w:eastAsia="zh-CN"/>
              </w:rPr>
              <w:t>吴凯磊</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lang w:val="en-US" w:eastAsia="zh-CN"/>
              </w:rPr>
              <w:t>13067818579</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5934854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szCs w:val="24"/>
                    <w:lang w:val="en-US" w:eastAsia="zh-CN" w:bidi="ar-SA"/>
                  </w:rPr>
                  <w:t>☐</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ascii="宋体" w:hAnsi="宋体" w:cs="宋体"/>
                <w:kern w:val="0"/>
                <w:sz w:val="24"/>
                <w:u w:val="single"/>
              </w:rPr>
              <w:t>15</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rPr>
              <w:t>人（仅进行PPT等固定图片演示的不得分）。讲解演示结束后按要求解答评标委员会提问。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w:t>
            </w:r>
          </w:p>
          <w:p>
            <w:pPr>
              <w:snapToGrid w:val="0"/>
              <w:spacing w:line="360" w:lineRule="auto"/>
              <w:rPr>
                <w:rFonts w:ascii="宋体" w:hAnsi="宋体" w:cs="宋体"/>
                <w:kern w:val="0"/>
                <w:sz w:val="24"/>
              </w:rPr>
            </w:pPr>
            <w:r>
              <w:rPr>
                <w:rFonts w:hint="eastAsia" w:ascii="宋体" w:hAnsi="宋体" w:cs="宋体"/>
                <w:kern w:val="0"/>
                <w:sz w:val="24"/>
              </w:rPr>
              <w:t>现场讲解演示。现场讲解地点为</w:t>
            </w:r>
            <w:r>
              <w:rPr>
                <w:rFonts w:hint="eastAsia" w:ascii="宋体" w:hAnsi="宋体" w:cs="宋体"/>
                <w:sz w:val="24"/>
                <w:u w:val="single"/>
              </w:rPr>
              <w:t xml:space="preserve">  余杭区瓶窑镇瓶仓大道966号2号楼8层801号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r>
              <w:rPr>
                <w:rFonts w:ascii="宋体" w:hAnsi="宋体" w:cs="宋体"/>
                <w:sz w:val="24"/>
              </w:rPr>
              <w:t xml:space="preserve"> </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sz w:val="24"/>
                <w:szCs w:val="24"/>
                <w:u w:val="single"/>
              </w:rPr>
              <w:t>杭州市临平区星桥街道星桥北路6</w:t>
            </w:r>
            <w:r>
              <w:rPr>
                <w:rFonts w:hAnsi="宋体" w:cs="宋体"/>
                <w:sz w:val="24"/>
                <w:szCs w:val="24"/>
                <w:u w:val="single"/>
              </w:rPr>
              <w:t>4</w:t>
            </w:r>
            <w:r>
              <w:rPr>
                <w:rFonts w:hint="eastAsia" w:hAnsi="宋体" w:cs="宋体"/>
                <w:sz w:val="24"/>
                <w:szCs w:val="24"/>
                <w:u w:val="single"/>
              </w:rPr>
              <w:t>号</w:t>
            </w:r>
            <w:r>
              <w:rPr>
                <w:rFonts w:hAnsi="宋体" w:cs="宋体"/>
                <w:sz w:val="24"/>
                <w:szCs w:val="24"/>
                <w:u w:val="single"/>
              </w:rPr>
              <w:t>1</w:t>
            </w:r>
            <w:r>
              <w:rPr>
                <w:rFonts w:hint="eastAsia" w:hAnsi="宋体" w:cs="宋体"/>
                <w:sz w:val="24"/>
                <w:szCs w:val="24"/>
                <w:u w:val="single"/>
              </w:rPr>
              <w:t>幢1</w:t>
            </w:r>
            <w:r>
              <w:rPr>
                <w:rFonts w:hAnsi="宋体" w:cs="宋体"/>
                <w:sz w:val="24"/>
                <w:szCs w:val="24"/>
                <w:u w:val="single"/>
              </w:rPr>
              <w:t>102-2</w:t>
            </w:r>
            <w:r>
              <w:rPr>
                <w:rFonts w:hint="eastAsia" w:hAnsi="宋体" w:cs="宋体"/>
                <w:sz w:val="24"/>
                <w:szCs w:val="24"/>
                <w:u w:val="single"/>
              </w:rPr>
              <w:t>室</w:t>
            </w:r>
            <w:r>
              <w:rPr>
                <w:rFonts w:hint="eastAsia" w:hAnsi="宋体" w:cs="宋体"/>
                <w:kern w:val="28"/>
                <w:sz w:val="24"/>
                <w:szCs w:val="24"/>
              </w:rPr>
              <w:t>；备份投标文件签收人员联系电话：</w:t>
            </w:r>
            <w:r>
              <w:rPr>
                <w:rFonts w:hint="eastAsia" w:hAnsi="宋体" w:cs="宋体"/>
                <w:sz w:val="24"/>
                <w:szCs w:val="24"/>
                <w:u w:val="single"/>
              </w:rPr>
              <w:t>吴凯磊13067818579</w:t>
            </w:r>
            <w:r>
              <w:rPr>
                <w:rFonts w:hint="eastAsia" w:hAnsi="宋体" w:cs="宋体"/>
                <w:sz w:val="24"/>
                <w:u w:val="single"/>
              </w:rPr>
              <w:t xml:space="preserve"> </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369766551"/>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eastAsia="MS Gothic" w:cs="Arial"/>
                    <w:kern w:val="0"/>
                    <w:sz w:val="24"/>
                  </w:rPr>
                  <w:t>☐</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8" w:space="0"/>
              <w:bottom w:val="single" w:color="auto" w:sz="4" w:space="0"/>
              <w:right w:val="single" w:color="auto" w:sz="4" w:space="0"/>
            </w:tcBorders>
            <w:vAlign w:val="center"/>
          </w:tcPr>
          <w:p>
            <w:pPr>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▲供应商以联合体形式投标的：在按招标文件要求提供联合协议，联合体投标的联合体各方承担连带责任。</w:t>
            </w:r>
          </w:p>
          <w:p>
            <w:pPr>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▲以联合体形式参加政府采购活动的，联合体各方不得再单独参加或者与其他供应商另外组成联合体参加同一合同项下的政府采购活动，否则相关投标均无效。</w:t>
            </w:r>
          </w:p>
          <w:p>
            <w:pPr>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▲联合体中有同类资质的供应商按照联合体分工承担相同工作的，应当按照资质等级较低的供应商确定资质等级。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w:t>
            </w:r>
            <w:r>
              <w:rPr>
                <w:rFonts w:ascii="宋体" w:hAnsi="宋体" w:cs="宋体"/>
                <w:sz w:val="24"/>
              </w:rPr>
              <w:t>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中标服务费</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本次招标代理服务费由中标人支付，招标代理服务费按照国家计委印发的《招标代理服务收费管理暂行办法》计价格[2002]1980号文件，以中标金额为收费基数进行计取。</w:t>
            </w:r>
          </w:p>
          <w:p>
            <w:pPr>
              <w:spacing w:line="360" w:lineRule="auto"/>
              <w:ind w:firstLine="480" w:firstLineChars="200"/>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由中标人在领取中标通知书前支付给招标代理机构，各投标人应在投标报价中予以考虑，不单独列项报价。</w:t>
            </w:r>
          </w:p>
          <w:p>
            <w:pPr>
              <w:pStyle w:val="9"/>
              <w:ind w:left="433" w:leftChars="202" w:hanging="9" w:hangingChars="4"/>
              <w:jc w:val="both"/>
              <w:rPr>
                <w:rFonts w:cs="Arial" w:asciiTheme="minorEastAsia" w:hAnsiTheme="minorEastAsia" w:eastAsiaTheme="minorEastAsia"/>
                <w:b w:val="0"/>
                <w:bCs w:val="0"/>
                <w:kern w:val="0"/>
                <w:sz w:val="24"/>
                <w:szCs w:val="24"/>
                <w:lang w:val="en-US"/>
              </w:rPr>
            </w:pPr>
            <w:r>
              <w:rPr>
                <w:rFonts w:hint="eastAsia" w:cs="Arial" w:asciiTheme="minorEastAsia" w:hAnsiTheme="minorEastAsia" w:eastAsiaTheme="minorEastAsia"/>
                <w:b w:val="0"/>
                <w:bCs w:val="0"/>
                <w:kern w:val="0"/>
                <w:sz w:val="24"/>
                <w:szCs w:val="24"/>
                <w:lang w:val="en-US"/>
              </w:rPr>
              <w:t>中标服务费的交纳方式：以转帐的形式支付；</w:t>
            </w:r>
          </w:p>
          <w:p>
            <w:pPr>
              <w:pStyle w:val="9"/>
              <w:ind w:left="433" w:leftChars="202" w:hanging="9" w:hangingChars="4"/>
              <w:jc w:val="both"/>
              <w:rPr>
                <w:rFonts w:cs="Arial" w:asciiTheme="minorEastAsia" w:hAnsiTheme="minorEastAsia" w:eastAsiaTheme="minorEastAsia"/>
                <w:b w:val="0"/>
                <w:bCs w:val="0"/>
                <w:kern w:val="0"/>
                <w:sz w:val="24"/>
                <w:szCs w:val="24"/>
                <w:lang w:val="en-US"/>
              </w:rPr>
            </w:pPr>
            <w:r>
              <w:rPr>
                <w:rFonts w:hint="eastAsia" w:cs="Arial" w:asciiTheme="minorEastAsia" w:hAnsiTheme="minorEastAsia" w:eastAsiaTheme="minorEastAsia"/>
                <w:b w:val="0"/>
                <w:bCs w:val="0"/>
                <w:kern w:val="0"/>
                <w:sz w:val="24"/>
                <w:szCs w:val="24"/>
                <w:lang w:val="en-US"/>
              </w:rPr>
              <w:t>开户行名称：余杭农商行星桥支行；</w:t>
            </w:r>
          </w:p>
          <w:p>
            <w:pPr>
              <w:pStyle w:val="9"/>
              <w:ind w:left="433" w:leftChars="202" w:hanging="9" w:hangingChars="4"/>
              <w:jc w:val="both"/>
              <w:rPr>
                <w:rFonts w:cs="Arial" w:asciiTheme="minorEastAsia" w:hAnsiTheme="minorEastAsia" w:eastAsiaTheme="minorEastAsia"/>
                <w:b w:val="0"/>
                <w:bCs w:val="0"/>
                <w:kern w:val="0"/>
                <w:sz w:val="24"/>
                <w:szCs w:val="24"/>
                <w:lang w:val="en-US"/>
              </w:rPr>
            </w:pPr>
            <w:r>
              <w:rPr>
                <w:rFonts w:hint="eastAsia" w:cs="Arial" w:asciiTheme="minorEastAsia" w:hAnsiTheme="minorEastAsia" w:eastAsiaTheme="minorEastAsia"/>
                <w:b w:val="0"/>
                <w:bCs w:val="0"/>
                <w:kern w:val="0"/>
                <w:sz w:val="24"/>
                <w:szCs w:val="24"/>
                <w:lang w:val="en-US"/>
              </w:rPr>
              <w:t>帐号：</w:t>
            </w:r>
            <w:r>
              <w:rPr>
                <w:rFonts w:cs="Arial" w:asciiTheme="minorEastAsia" w:hAnsiTheme="minorEastAsia" w:eastAsiaTheme="minorEastAsia"/>
                <w:b w:val="0"/>
                <w:bCs w:val="0"/>
                <w:kern w:val="0"/>
                <w:sz w:val="24"/>
                <w:szCs w:val="24"/>
                <w:lang w:val="en-US"/>
              </w:rPr>
              <w:t>201000262742083</w:t>
            </w:r>
            <w:r>
              <w:rPr>
                <w:rFonts w:hint="eastAsia" w:cs="Arial" w:asciiTheme="minorEastAsia" w:hAnsiTheme="minorEastAsia" w:eastAsiaTheme="minorEastAsia"/>
                <w:b w:val="0"/>
                <w:bCs w:val="0"/>
                <w:kern w:val="0"/>
                <w:sz w:val="24"/>
                <w:szCs w:val="24"/>
                <w:lang w:val="en-US"/>
              </w:rPr>
              <w:t>；</w:t>
            </w:r>
          </w:p>
          <w:p>
            <w:pPr>
              <w:pStyle w:val="9"/>
              <w:ind w:left="433" w:leftChars="202" w:hanging="9" w:hangingChars="4"/>
              <w:jc w:val="both"/>
              <w:rPr>
                <w:rFonts w:cs="Arial" w:asciiTheme="minorEastAsia" w:hAnsiTheme="minorEastAsia" w:eastAsiaTheme="minorEastAsia"/>
                <w:b w:val="0"/>
                <w:bCs w:val="0"/>
                <w:kern w:val="0"/>
                <w:sz w:val="24"/>
                <w:szCs w:val="24"/>
                <w:lang w:val="en-US"/>
              </w:rPr>
            </w:pPr>
            <w:r>
              <w:rPr>
                <w:rFonts w:hint="eastAsia" w:cs="Arial" w:asciiTheme="minorEastAsia" w:hAnsiTheme="minorEastAsia" w:eastAsiaTheme="minorEastAsia"/>
                <w:b w:val="0"/>
                <w:bCs w:val="0"/>
                <w:kern w:val="0"/>
                <w:sz w:val="24"/>
                <w:szCs w:val="24"/>
                <w:lang w:val="en-US"/>
              </w:rPr>
              <w:t>收款单位（账户名称）：浙江中达工程造价事务所有限公司余杭分公司；</w:t>
            </w:r>
          </w:p>
          <w:p>
            <w:pPr>
              <w:pStyle w:val="9"/>
              <w:ind w:left="433" w:leftChars="202" w:hanging="9" w:hangingChars="4"/>
              <w:jc w:val="both"/>
              <w:rPr>
                <w:rFonts w:cs="Arial" w:asciiTheme="minorEastAsia" w:hAnsiTheme="minorEastAsia" w:eastAsiaTheme="minorEastAsia"/>
                <w:b w:val="0"/>
                <w:bCs w:val="0"/>
                <w:kern w:val="0"/>
                <w:sz w:val="24"/>
                <w:szCs w:val="24"/>
                <w:lang w:val="en-US"/>
              </w:rPr>
            </w:pPr>
            <w:r>
              <w:rPr>
                <w:rFonts w:hint="eastAsia" w:cs="Arial" w:asciiTheme="minorEastAsia" w:hAnsiTheme="minorEastAsia" w:eastAsiaTheme="minorEastAsia"/>
                <w:b w:val="0"/>
                <w:bCs w:val="0"/>
                <w:kern w:val="0"/>
                <w:sz w:val="24"/>
                <w:szCs w:val="24"/>
                <w:lang w:val="en-US"/>
              </w:rPr>
              <w:t>中标单位需在领取中标通知书时缴纳中标服务费，缴</w:t>
            </w:r>
          </w:p>
          <w:p>
            <w:pPr>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纳时注明招标编号。</w:t>
            </w:r>
          </w:p>
          <w:p>
            <w:pPr>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b/>
                <w:bCs/>
                <w:kern w:val="0"/>
                <w:sz w:val="24"/>
              </w:rPr>
              <w:drawing>
                <wp:inline distT="0" distB="0" distL="0" distR="0">
                  <wp:extent cx="3604260" cy="2195830"/>
                  <wp:effectExtent l="0" t="0" r="0" b="0"/>
                  <wp:docPr id="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6"/>
                          <pic:cNvPicPr>
                            <a:picLocks noChangeAspect="1"/>
                          </pic:cNvPicPr>
                        </pic:nvPicPr>
                        <pic:blipFill>
                          <a:blip r:embed="rId31">
                            <a:lum/>
                            <a:extLst>
                              <a:ext uri="{28A0092B-C50C-407E-A947-70E740481C1C}">
                                <a14:useLocalDpi xmlns:a14="http://schemas.microsoft.com/office/drawing/2010/main" val="0"/>
                              </a:ext>
                            </a:extLst>
                          </a:blip>
                          <a:stretch>
                            <a:fillRect/>
                          </a:stretch>
                        </pic:blipFill>
                        <pic:spPr>
                          <a:xfrm>
                            <a:off x="0" y="0"/>
                            <a:ext cx="3604260" cy="219583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仿宋" w:hAnsi="仿宋" w:eastAsia="仿宋" w:cs="宋体"/>
                <w:b/>
                <w:sz w:val="24"/>
              </w:rPr>
              <w:t>15</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仿宋_GB2312" w:hAnsi="仿宋" w:eastAsia="仿宋_GB2312"/>
                <w:b/>
                <w:snapToGrid w:val="0"/>
                <w:kern w:val="28"/>
                <w:sz w:val="24"/>
              </w:rPr>
              <w:t>纸质投标文件</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cs="Arial" w:asciiTheme="minorEastAsia" w:hAnsiTheme="minorEastAsia" w:eastAsiaTheme="minorEastAsia"/>
                <w:kern w:val="0"/>
                <w:sz w:val="24"/>
              </w:rPr>
            </w:pPr>
            <w:r>
              <w:rPr>
                <w:rFonts w:hint="eastAsia" w:ascii="仿宋_GB2312" w:hAnsi="仿宋" w:eastAsia="仿宋_GB2312"/>
                <w:snapToGrid w:val="0"/>
                <w:kern w:val="28"/>
                <w:sz w:val="24"/>
              </w:rPr>
              <w:t>中标单位需在领取中标通知书时，提供本项目纸质投标文件（“资格文件”、“报价文件”和“商务技术文件”）三份（正本一份，副本二份）并提供电子投标文件与纸质投标文件内容一致承诺书（附件9）三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仿宋" w:hAnsi="仿宋" w:eastAsia="仿宋" w:cs="宋体"/>
                <w:b/>
                <w:sz w:val="24"/>
              </w:rPr>
              <w:t>16</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仿宋_GB2312" w:hAnsi="仿宋" w:eastAsia="仿宋_GB2312"/>
                <w:b/>
                <w:snapToGrid w:val="0"/>
                <w:kern w:val="28"/>
                <w:sz w:val="24"/>
              </w:rPr>
              <w:t>评标委员会推荐中标候选人的个数</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2" w:firstLineChars="200"/>
              <w:rPr>
                <w:rFonts w:cs="Arial" w:asciiTheme="minorEastAsia" w:hAnsiTheme="minorEastAsia" w:eastAsiaTheme="minorEastAsia"/>
                <w:kern w:val="0"/>
                <w:sz w:val="24"/>
              </w:rPr>
            </w:pPr>
            <w:r>
              <w:rPr>
                <w:rFonts w:hint="eastAsia" w:ascii="仿宋" w:hAnsi="仿宋" w:eastAsia="仿宋" w:cs="仿宋"/>
                <w:b/>
                <w:sz w:val="24"/>
              </w:rPr>
              <w:t>1个。</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3" w:name="第三部分"/>
      <w:bookmarkStart w:id="14" w:name="_Toc164416483"/>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宋体" w:hAnsi="宋体"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Segoe UI Symbol" w:hAnsi="Segoe UI Symbol" w:cs="Segoe UI Symbol"/>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产品。除非采购人采购产品，已经在采购活动开始前向财政部门提出申请并获得财政部门审核同意，且在采购需求中明确规定可以采购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sz w:val="24"/>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w:t>
      </w:r>
      <w:r>
        <w:rPr>
          <w:rFonts w:ascii="宋体" w:hAnsi="宋体" w:cs="宋体"/>
          <w:sz w:val="24"/>
        </w:rPr>
        <w:t>10-20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w:t>
      </w:r>
      <w:r>
        <w:rPr>
          <w:rFonts w:ascii="宋体" w:hAnsi="宋体" w:cs="宋体"/>
          <w:sz w:val="24"/>
        </w:rPr>
        <w:t>4-6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480" w:firstLineChars="200"/>
        <w:rPr>
          <w:rFonts w:ascii="宋体" w:hAnsi="宋体"/>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b/>
        </w:rPr>
        <w:t>4. 询问、质疑、投诉</w:t>
      </w:r>
    </w:p>
    <w:p>
      <w:pPr>
        <w:pStyle w:val="892"/>
        <w:shd w:val="clear" w:color="auto" w:fill="FFFFFF"/>
        <w:snapToGrid w:val="0"/>
        <w:spacing w:after="240" w:afterAutospacing="0" w:line="360" w:lineRule="auto"/>
        <w:ind w:firstLine="400"/>
        <w:contextualSpacing/>
        <w:rPr>
          <w:lang w:val="zh-CN"/>
        </w:rPr>
      </w:pPr>
      <w:r>
        <w:rPr>
          <w:rFonts w:hint="eastAsia"/>
          <w:lang w:val="zh-CN"/>
        </w:rPr>
        <w:t>4.1在线询问、质疑、投诉</w:t>
      </w:r>
    </w:p>
    <w:p>
      <w:pPr>
        <w:pStyle w:val="892"/>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1"/>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92"/>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92"/>
        <w:shd w:val="clear" w:color="auto" w:fill="FFFFFF"/>
        <w:snapToGrid w:val="0"/>
        <w:spacing w:after="240" w:afterAutospacing="0" w:line="360" w:lineRule="auto"/>
        <w:ind w:firstLine="400"/>
        <w:contextualSpacing/>
      </w:pPr>
      <w:r>
        <w:rPr>
          <w:rFonts w:hint="eastAsia"/>
        </w:rPr>
        <w:t>质疑函范本及制作说明详见附件2。</w:t>
      </w:r>
    </w:p>
    <w:p>
      <w:pPr>
        <w:pStyle w:val="892"/>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92"/>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92"/>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92"/>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92"/>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pPr>
        <w:pStyle w:val="892"/>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92"/>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92"/>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pPr>
        <w:pStyle w:val="892"/>
        <w:shd w:val="clear" w:color="auto" w:fill="FFFFFF"/>
        <w:snapToGrid w:val="0"/>
        <w:spacing w:after="240" w:afterAutospacing="0" w:line="360" w:lineRule="auto"/>
        <w:ind w:firstLine="480" w:firstLineChars="200"/>
        <w:contextualSpacing/>
      </w:pPr>
      <w:r>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92"/>
        <w:shd w:val="clear" w:color="auto" w:fill="FFFFFF"/>
        <w:snapToGrid w:val="0"/>
        <w:spacing w:after="240" w:afterAutospacing="0" w:line="360" w:lineRule="auto"/>
        <w:ind w:firstLine="400"/>
        <w:contextualSpacing/>
      </w:pPr>
      <w:r>
        <w:rPr>
          <w:rFonts w:hint="eastAsia"/>
        </w:rPr>
        <w:t>投诉书范本及制作说明详见附件3。</w:t>
      </w:r>
    </w:p>
    <w:p>
      <w:pPr>
        <w:pStyle w:val="162"/>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二、招标文件的构成、澄清、修改</w:t>
      </w:r>
    </w:p>
    <w:p>
      <w:pPr>
        <w:pStyle w:val="3"/>
        <w:spacing w:line="360" w:lineRule="auto"/>
        <w:rPr>
          <w:rFonts w:hAnsi="宋体" w:cs="宋体"/>
          <w:b/>
          <w:sz w:val="24"/>
          <w:szCs w:val="24"/>
        </w:rPr>
      </w:pPr>
      <w:r>
        <w:rPr>
          <w:rFonts w:hint="eastAsia" w:hAnsi="宋体" w:cs="宋体"/>
          <w:b/>
          <w:sz w:val="24"/>
          <w:szCs w:val="24"/>
        </w:rPr>
        <w:t>5．招标文件的构成</w:t>
      </w:r>
    </w:p>
    <w:p>
      <w:pPr>
        <w:pStyle w:val="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
        <w:spacing w:line="360" w:lineRule="auto"/>
        <w:rPr>
          <w:rFonts w:hAnsi="宋体" w:cs="宋体"/>
          <w:b/>
          <w:sz w:val="24"/>
          <w:szCs w:val="24"/>
        </w:rPr>
      </w:pPr>
      <w:r>
        <w:rPr>
          <w:rFonts w:hint="eastAsia" w:hAnsi="宋体" w:cs="宋体"/>
          <w:b/>
          <w:sz w:val="24"/>
          <w:szCs w:val="24"/>
        </w:rPr>
        <w:t>6. 招标文件的澄清、修改</w:t>
      </w:r>
    </w:p>
    <w:p>
      <w:pPr>
        <w:pStyle w:val="162"/>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62"/>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5"/>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
        <w:spacing w:line="360" w:lineRule="auto"/>
        <w:rPr>
          <w:rFonts w:hAnsi="宋体" w:cs="宋体"/>
          <w:b/>
          <w:sz w:val="24"/>
          <w:szCs w:val="24"/>
        </w:rPr>
      </w:pPr>
      <w:r>
        <w:rPr>
          <w:rFonts w:hint="eastAsia" w:hAnsi="宋体" w:cs="宋体"/>
          <w:b/>
          <w:sz w:val="24"/>
          <w:szCs w:val="24"/>
        </w:rPr>
        <w:t>8.开标前答疑会或现场考察</w:t>
      </w:r>
    </w:p>
    <w:p>
      <w:pPr>
        <w:pStyle w:val="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
        <w:spacing w:line="360" w:lineRule="auto"/>
        <w:rPr>
          <w:rFonts w:hAnsi="宋体" w:cs="宋体"/>
          <w:b/>
          <w:szCs w:val="24"/>
        </w:rPr>
      </w:pPr>
      <w:r>
        <w:rPr>
          <w:rFonts w:hint="eastAsia" w:hAnsi="宋体" w:cs="宋体"/>
          <w:b/>
          <w:kern w:val="28"/>
          <w:sz w:val="24"/>
          <w:szCs w:val="24"/>
        </w:rPr>
        <w:t>9.投标保证金</w:t>
      </w:r>
    </w:p>
    <w:p>
      <w:pPr>
        <w:pStyle w:val="11"/>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7" w:name="_Hlk101259339"/>
      <w:r>
        <w:rPr>
          <w:rFonts w:hint="eastAsia" w:ascii="宋体" w:hAnsi="宋体" w:cs="宋体"/>
          <w:snapToGrid w:val="0"/>
          <w:kern w:val="28"/>
          <w:sz w:val="24"/>
          <w:szCs w:val="20"/>
        </w:rPr>
        <w:t>联合协议</w:t>
      </w:r>
      <w:bookmarkEnd w:id="17"/>
      <w:r>
        <w:rPr>
          <w:rFonts w:hint="eastAsia" w:ascii="宋体" w:hAnsi="宋体" w:cs="宋体"/>
          <w:snapToGrid w:val="0"/>
          <w:kern w:val="28"/>
          <w:sz w:val="24"/>
          <w:szCs w:val="20"/>
        </w:rPr>
        <w:t>（如果有)；</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62"/>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62"/>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62"/>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62"/>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62"/>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62"/>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62"/>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62"/>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
        <w:spacing w:line="360" w:lineRule="auto"/>
        <w:rPr>
          <w:rFonts w:hAnsi="宋体" w:cs="宋体"/>
          <w:b/>
          <w:sz w:val="24"/>
          <w:szCs w:val="24"/>
        </w:rPr>
      </w:pPr>
      <w:r>
        <w:rPr>
          <w:rFonts w:hint="eastAsia" w:hAnsi="宋体" w:cs="宋体"/>
          <w:b/>
          <w:sz w:val="24"/>
          <w:szCs w:val="24"/>
        </w:rPr>
        <w:t>15.备份投标文件</w:t>
      </w:r>
    </w:p>
    <w:p>
      <w:pPr>
        <w:pStyle w:val="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pPr>
        <w:pStyle w:val="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62"/>
        <w:spacing w:before="0"/>
        <w:ind w:firstLine="0" w:firstLineChars="0"/>
        <w:rPr>
          <w:rFonts w:ascii="宋体" w:hAnsi="宋体" w:cs="宋体"/>
          <w:b/>
          <w:szCs w:val="24"/>
        </w:rPr>
      </w:pPr>
      <w:r>
        <w:rPr>
          <w:rFonts w:hint="eastAsia" w:ascii="宋体" w:hAnsi="宋体" w:cs="宋体"/>
          <w:b/>
          <w:szCs w:val="24"/>
        </w:rPr>
        <w:t>16.投标文件的无效处理</w:t>
      </w:r>
    </w:p>
    <w:p>
      <w:pPr>
        <w:pStyle w:val="29"/>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pPr>
        <w:pStyle w:val="162"/>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62"/>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62"/>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62"/>
        <w:spacing w:before="0"/>
        <w:ind w:firstLine="643"/>
        <w:rPr>
          <w:rFonts w:ascii="宋体" w:hAnsi="宋体" w:cs="宋体"/>
          <w:b/>
          <w:sz w:val="32"/>
        </w:rPr>
      </w:pPr>
    </w:p>
    <w:p>
      <w:pPr>
        <w:pStyle w:val="162"/>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9"/>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9"/>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59"/>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559"/>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pPr>
        <w:pStyle w:val="162"/>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62"/>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pPr>
        <w:pStyle w:val="162"/>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pStyle w:val="162"/>
        <w:spacing w:before="0"/>
        <w:ind w:firstLine="0" w:firstLineChars="0"/>
        <w:rPr>
          <w:rFonts w:ascii="宋体" w:hAnsi="宋体" w:cs="宋体"/>
          <w:b/>
          <w:szCs w:val="24"/>
        </w:rPr>
      </w:pPr>
      <w:r>
        <w:rPr>
          <w:rFonts w:hint="eastAsia" w:ascii="宋体" w:hAnsi="宋体" w:cs="宋体"/>
          <w:b/>
          <w:szCs w:val="24"/>
        </w:rPr>
        <w:t>20、信用信息查询</w:t>
      </w:r>
    </w:p>
    <w:p>
      <w:pPr>
        <w:pStyle w:val="162"/>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20.1信用信息查询渠道及截止时间：采购代理机构将在资格审查时通过“信用中国”网站(www.creditchina.gov.cn)、中国政府采购网(www.ccgp.gov.cn)渠道查询投标人接受资格审查时的信用记录。</w:t>
      </w:r>
    </w:p>
    <w:p>
      <w:pPr>
        <w:pStyle w:val="162"/>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62"/>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62"/>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62"/>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9"/>
        <w:spacing w:line="360" w:lineRule="auto"/>
        <w:ind w:left="479" w:hanging="479" w:hangingChars="199"/>
        <w:rPr>
          <w:rFonts w:cs="宋体"/>
          <w:b/>
        </w:rPr>
      </w:pPr>
      <w:r>
        <w:rPr>
          <w:rFonts w:hint="eastAsia" w:cs="宋体"/>
          <w:b/>
        </w:rPr>
        <w:t>22. 确定中标供应商</w:t>
      </w:r>
    </w:p>
    <w:p>
      <w:pPr>
        <w:pStyle w:val="162"/>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62"/>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9"/>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9"/>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62"/>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62"/>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62"/>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62"/>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9"/>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9"/>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9"/>
        <w:rPr>
          <w:rFonts w:ascii="宋体" w:hAnsi="宋体" w:eastAsia="宋体"/>
        </w:rPr>
      </w:pPr>
      <w:r>
        <w:rPr>
          <w:rFonts w:ascii="宋体" w:hAnsi="宋体" w:eastAsia="宋体"/>
          <w:sz w:val="24"/>
          <w:lang w:val="en-US"/>
        </w:rPr>
        <w:t>27.预付款</w:t>
      </w:r>
    </w:p>
    <w:p>
      <w:pPr>
        <w:adjustRightInd/>
        <w:spacing w:line="360" w:lineRule="auto"/>
        <w:ind w:firstLine="480" w:firstLineChars="200"/>
        <w:rPr>
          <w:rFonts w:ascii="宋体" w:hAnsi="宋体"/>
        </w:rPr>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pPr>
        <w:rPr>
          <w:rFonts w:ascii="宋体" w:hAnsi="宋体"/>
        </w:rPr>
      </w:pPr>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62"/>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62"/>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62"/>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62"/>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62"/>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62"/>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62"/>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9"/>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1418" w:right="1418" w:bottom="468" w:left="1418" w:header="707" w:footer="992" w:gutter="0"/>
          <w:cols w:space="720" w:num="1"/>
          <w:docGrid w:linePitch="312" w:charSpace="0"/>
        </w:sect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68073093"/>
      <w:bookmarkEnd w:id="19"/>
      <w:bookmarkStart w:id="20" w:name="_Hlt74707468"/>
      <w:bookmarkEnd w:id="20"/>
      <w:bookmarkStart w:id="21" w:name="_Hlt75236101"/>
      <w:bookmarkEnd w:id="21"/>
      <w:bookmarkStart w:id="22" w:name="_Hlt74729768"/>
      <w:bookmarkEnd w:id="22"/>
      <w:bookmarkStart w:id="23" w:name="_Hlt68403820"/>
      <w:bookmarkEnd w:id="23"/>
      <w:bookmarkStart w:id="24" w:name="_Hlt75236011"/>
      <w:bookmarkEnd w:id="24"/>
      <w:bookmarkStart w:id="25" w:name="_Hlt68072990"/>
      <w:bookmarkEnd w:id="25"/>
      <w:bookmarkStart w:id="26" w:name="_Hlt74730295"/>
      <w:bookmarkEnd w:id="26"/>
      <w:bookmarkStart w:id="27" w:name="_Hlt74714665"/>
      <w:bookmarkEnd w:id="27"/>
      <w:bookmarkStart w:id="28" w:name="_Hlt68057669"/>
      <w:bookmarkEnd w:id="28"/>
      <w:bookmarkStart w:id="29" w:name="_Hlt75236290"/>
      <w:bookmarkEnd w:id="29"/>
      <w:bookmarkStart w:id="30" w:name="_Hlt68072998"/>
      <w:bookmarkEnd w:id="30"/>
      <w:r>
        <w:rPr>
          <w:rFonts w:hint="eastAsia" w:ascii="宋体" w:hAnsi="宋体" w:cs="宋体"/>
          <w:kern w:val="0"/>
          <w:sz w:val="24"/>
        </w:rPr>
        <w:t>。</w:t>
      </w:r>
    </w:p>
    <w:p>
      <w:pPr>
        <w:numPr>
          <w:ilvl w:val="0"/>
          <w:numId w:val="1"/>
        </w:numPr>
        <w:spacing w:line="360" w:lineRule="auto"/>
        <w:jc w:val="center"/>
        <w:outlineLvl w:val="0"/>
        <w:rPr>
          <w:rFonts w:ascii="宋体" w:hAnsi="宋体" w:cs="宋体"/>
          <w:b/>
          <w:sz w:val="36"/>
          <w:szCs w:val="36"/>
        </w:rPr>
      </w:pPr>
      <w:r>
        <w:rPr>
          <w:rFonts w:hint="eastAsia" w:ascii="宋体" w:hAnsi="宋体" w:cs="宋体"/>
          <w:b/>
          <w:sz w:val="36"/>
          <w:szCs w:val="36"/>
        </w:rPr>
        <w:t xml:space="preserve">  采购需求</w:t>
      </w:r>
    </w:p>
    <w:p>
      <w:pPr>
        <w:pStyle w:val="280"/>
        <w:numPr>
          <w:ilvl w:val="0"/>
          <w:numId w:val="2"/>
        </w:numPr>
        <w:snapToGrid w:val="0"/>
        <w:ind w:firstLineChars="0"/>
        <w:rPr>
          <w:rFonts w:ascii="宋体" w:hAnsi="宋体" w:eastAsia="宋体" w:cs="仿宋"/>
          <w:b/>
        </w:rPr>
      </w:pPr>
      <w:r>
        <w:rPr>
          <w:rFonts w:hint="eastAsia" w:ascii="宋体" w:hAnsi="宋体" w:eastAsia="宋体" w:cs="仿宋"/>
          <w:b/>
        </w:rPr>
        <w:t>采购清单及技术要求：</w:t>
      </w:r>
    </w:p>
    <w:tbl>
      <w:tblPr>
        <w:tblStyle w:val="65"/>
        <w:tblW w:w="136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9"/>
        <w:gridCol w:w="2584"/>
        <w:gridCol w:w="8375"/>
        <w:gridCol w:w="941"/>
        <w:gridCol w:w="9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3617" w:type="dxa"/>
            <w:gridSpan w:val="5"/>
            <w:tcBorders>
              <w:top w:val="single" w:color="000000" w:sz="4" w:space="0"/>
              <w:left w:val="single" w:color="000000" w:sz="4" w:space="0"/>
              <w:bottom w:val="single" w:color="000000" w:sz="4" w:space="0"/>
              <w:right w:val="single" w:color="000000" w:sz="4" w:space="0"/>
            </w:tcBorders>
            <w:shd w:val="clear" w:color="auto" w:fill="91AAD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闲林中学实验室、录播教室配置清单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584"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w:t>
            </w:r>
          </w:p>
        </w:tc>
        <w:tc>
          <w:tcPr>
            <w:tcW w:w="8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参数</w:t>
            </w:r>
          </w:p>
        </w:tc>
        <w:tc>
          <w:tcPr>
            <w:tcW w:w="941"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948"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84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一、化学创新实验室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教师演示台</w:t>
            </w:r>
          </w:p>
        </w:tc>
        <w:tc>
          <w:tcPr>
            <w:tcW w:w="8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1.规格：2400*700*850mm</w:t>
            </w:r>
            <w:r>
              <w:rPr>
                <w:rFonts w:hint="eastAsia" w:ascii="宋体" w:hAnsi="宋体" w:cs="宋体"/>
                <w:i w:val="0"/>
                <w:iCs w:val="0"/>
                <w:color w:val="000000"/>
                <w:kern w:val="0"/>
                <w:sz w:val="20"/>
                <w:szCs w:val="20"/>
                <w:u w:val="none"/>
                <w:lang w:val="en-US" w:eastAsia="zh-CN" w:bidi="ar"/>
              </w:rPr>
              <w:t>，偏差±5%；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2.台面：采用</w:t>
            </w:r>
            <w:r>
              <w:rPr>
                <w:rFonts w:hint="eastAsia" w:ascii="宋体" w:hAnsi="宋体" w:cs="宋体"/>
                <w:i w:val="0"/>
                <w:iCs w:val="0"/>
                <w:color w:val="000000"/>
                <w:kern w:val="0"/>
                <w:sz w:val="20"/>
                <w:szCs w:val="20"/>
                <w:u w:val="none"/>
                <w:lang w:val="en-US" w:eastAsia="zh-CN" w:bidi="ar"/>
              </w:rPr>
              <w:t>不小于</w:t>
            </w:r>
            <w:r>
              <w:rPr>
                <w:rFonts w:hint="eastAsia" w:ascii="宋体" w:hAnsi="宋体" w:eastAsia="宋体" w:cs="宋体"/>
                <w:i w:val="0"/>
                <w:iCs w:val="0"/>
                <w:color w:val="000000"/>
                <w:kern w:val="0"/>
                <w:sz w:val="20"/>
                <w:szCs w:val="20"/>
                <w:u w:val="none"/>
                <w:lang w:val="en-US" w:eastAsia="zh-CN" w:bidi="ar"/>
              </w:rPr>
              <w:t>12.7mm厚双面理化膜实芯理化板。倒圆边，经机械打磨，表面光滑平整，无缝隙，整体美观大方。具有耐强酸碱、防腐蚀、防静电、耐辐射、耐磨、抗污染、易清洁、耐冲击、耐高温、防水、防火等特点。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柜身：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框架：采用符合国家标准的立柱为双层圆管铝合金，截面直径不小于50mm，外层壁厚不小于1.2㎜。横档1.2mm厚方形铝合金，管外件经细纹加工，美观、大方；型材表面经高压静电喷涂环氧树脂防护层，耐酸碱耐腐蚀处理，其保护层附着力经落物撞击测试合格。连接件采用ABS材料模具成型制作，组装接缝严密，连接牢固，无松动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（2）内衬板：采用三聚氰胺防潮双贴面板，(基板为E1级环保板)；所有截面都采用自动封边机选用PVC封边，粘力强、密封性好、外形美观、经久耐用。组装接缝严密，连接牢固，无松动现象。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滑轨：采用三节静音滑轨；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铰链：采用铰链，开合十万次以上；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连接件：ABS专用连接组装件；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桌脚：采用ABS注塑专用桌垫固定；</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学生智慧实验桌</w:t>
            </w:r>
          </w:p>
        </w:tc>
        <w:tc>
          <w:tcPr>
            <w:tcW w:w="8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 xml:space="preserve">.新型塑铝结构；参考整体尺寸：1268mm*715mm*795mm </w:t>
            </w:r>
            <w:r>
              <w:rPr>
                <w:rFonts w:hint="eastAsia" w:ascii="宋体" w:hAnsi="宋体" w:cs="宋体"/>
                <w:i w:val="0"/>
                <w:iCs w:val="0"/>
                <w:color w:val="000000"/>
                <w:kern w:val="0"/>
                <w:sz w:val="20"/>
                <w:szCs w:val="20"/>
                <w:u w:val="none"/>
                <w:lang w:val="en-US" w:eastAsia="zh-CN" w:bidi="ar"/>
              </w:rPr>
              <w:t>，偏差±5%；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2.台面：采用</w:t>
            </w:r>
            <w:r>
              <w:rPr>
                <w:rFonts w:hint="eastAsia" w:ascii="宋体" w:hAnsi="宋体" w:cs="宋体"/>
                <w:i w:val="0"/>
                <w:iCs w:val="0"/>
                <w:color w:val="000000"/>
                <w:kern w:val="0"/>
                <w:sz w:val="20"/>
                <w:szCs w:val="20"/>
                <w:u w:val="none"/>
                <w:lang w:val="en-US" w:eastAsia="zh-CN" w:bidi="ar"/>
              </w:rPr>
              <w:t>不小于</w:t>
            </w:r>
            <w:r>
              <w:rPr>
                <w:rFonts w:hint="eastAsia" w:ascii="宋体" w:hAnsi="宋体" w:eastAsia="宋体" w:cs="宋体"/>
                <w:i w:val="0"/>
                <w:iCs w:val="0"/>
                <w:color w:val="000000"/>
                <w:kern w:val="0"/>
                <w:sz w:val="20"/>
                <w:szCs w:val="20"/>
                <w:u w:val="none"/>
                <w:lang w:val="en-US" w:eastAsia="zh-CN" w:bidi="ar"/>
              </w:rPr>
              <w:t xml:space="preserve"> 12.7mm 厚双面膜实芯理化板台面，表面具备合理的耐酸碱性能、耐冲击、韧性强等特点；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A.依据通过硫酸（98%）、硝酸（65%）、氢氧化钠（40%）、四氯化碳、松节油、乙腈等不少于125项酸、碱及其它化学试剂的检验结果为无明显变化。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B.通过国家化学建筑材料测试中心等机构检测依据GB/T17657-2013等标准及方法检验进行不少于19项物理性能检测，检测结果为：含水率：≤1.0；表面耐冷热循环性能（80℃）：无裂纹、无鼓泡、无变色、无起皱；漆膜硬度≥8H；漆膜附着力：切割边缘完全平滑，无脱落；表面耐干热性能、表面耐湿热性能、表面耐香烟灼烧性能、耐沸水性能等均为5级无变化；吸水性≤0.1%；表面耐磨性能检验结果不低于568r；耐高温性：表面无裂痕；弯曲强度≥120MPa，抗冲击性能：压痕直径6.0MM表面无破损、耐光色牢度≥4级；表面耐磨性能（磨耗值）≤46mg/100r；表面耐龟裂性：5级，用6倍放大镜观察表面无裂纹、尺寸稳定性横向、纵向均≤0.55%、密度达到1.4g/cm3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C.参照GB/T 2408-2021《塑料燃烧性能的测定 水平法种垂直法》和依据GB 8624-2012《建筑材料及制品燃烧性能分级》作为检测和判定依据进行检测，烟气毒性项目符合t1级要求；水平燃烧符合HB级，垂直燃烧符合V-0级。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D.依据GB/T24128-2018及JC/T 2039-2010等方法检测防霉性能：包含但不局限于：黑曲霉、土曲霉、球毛壳霉、宛氏拟青霉、绳状青霉、出芽短梗霉、长枝木霉等不少于7种的霉菌检测。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3.升降桌脚：采用压铸铝一次成型，前端搭配 ABS 注塑装饰盖。桌脚立柱采用 6mm 厚铝合金拉伸伸缩套管支撑，可将桌面在 160mm 范围内进行升降，方便不同身高学生使用，桌面框架采用 20*40*2mm 矩形管和 1.2mm 钢板焊接而成，结构坚固，升降套管和桌面框架采用螺母连接，外表均采用环氧树脂粉末喷涂高温固化处理。要做到承重性能强和耐酸碱、耐腐蚀。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4.升降围挡：采用按弹阻尼升降结构，屏风整体升降最高高度为出桌面尺寸≥290mm；材料采用磨砂半透明效果，内置于桌角立柱套管内。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5.集成实验电源：学生电源内置于前侧一体升降背板内；学生电源采用 PC 亮光薄膜面板，电容式触摸键盘，显示采用 2 寸 LCD 段码液晶；调节范围为 1.5～24V，分辨率可达 0.1V,额定电流 2A； 最小调节单元可达 1V，具有过载保护智能检测功能；220V 交流输出设置新国标五孔插座，带过载保护。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6.摄像系统：可与教室大屏联动，实时展示演示实验过程；顶视摄像头，侧视摄像头均集成于屏幕升降背板内，各自采用直流电机驱动伸起高于屏幕背板 430MM,达到顶视摄像头工作高度，然后再各自由置于摄像头内部直流电机将摄像头展开 90 度，侧视摄像头再下降 330MM 达到侧视摄像头工作位置；正视摄像头：集成于屏幕升降背板内，与屏幕背板同步升降。</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三联水嘴</w:t>
            </w:r>
          </w:p>
        </w:tc>
        <w:tc>
          <w:tcPr>
            <w:tcW w:w="8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鹅颈式实验室专用化验水嘴：要求防酸碱、防锈、防虹吸、防阻塞，表面环氧树脂喷涂。出水嘴为铜质瓷芯，高头，便于多用途使用，可拆卸清洗阻塞。出水嘴可拆卸，内有成型螺纹，可方便连接循环等特殊用水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实验室水嘴技术性能要求需满足依据GB 25501-2019《水嘴水效限定值及水效等级》，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流量均匀性：流量均匀性应不大于1.0L/min；水嘴水效等级：2级，最大流量：不大于5.0L/min；水嘴节水评价值：2级，最大流量：不大于5.0L/min。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提供由生产厂家送检满足以上技术要求并具有CMA检测机构出具的实验室水嘴检测报告复印件。</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防腐水槽</w:t>
            </w:r>
          </w:p>
        </w:tc>
        <w:tc>
          <w:tcPr>
            <w:tcW w:w="8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规格：550*450*290mm</w:t>
            </w:r>
            <w:r>
              <w:rPr>
                <w:rFonts w:hint="eastAsia" w:ascii="宋体" w:hAnsi="宋体" w:cs="宋体"/>
                <w:i w:val="0"/>
                <w:iCs w:val="0"/>
                <w:color w:val="000000"/>
                <w:kern w:val="0"/>
                <w:sz w:val="20"/>
                <w:szCs w:val="20"/>
                <w:u w:val="none"/>
                <w:lang w:val="en-US" w:eastAsia="zh-CN" w:bidi="ar"/>
              </w:rPr>
              <w:t>，偏差±5%；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采用实验室专用高密度PP一体化成型水槽，易清洁，耐腐蚀，且利于台面残水自然回流，美观实用；具耐酸碱、耐有机溶剂、耐紫外线等特点。</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教师实验电源</w:t>
            </w:r>
          </w:p>
        </w:tc>
        <w:tc>
          <w:tcPr>
            <w:tcW w:w="8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总电源装置在教师桌组合柜内，抽屉式电源盒设计，内装有教师演示电源，主控学生电源装置。内设有漏电过载自动保护总开关，工作指示灯。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（1）输入电源：AC220V±10%、频率50Hz；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（2）工作环境：温度-10℃~+40℃，相对湿度＜85％（25℃）海拔＜4000m；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（3）人身安全保护体系：配备漏电短路保护器做总电源开关，对人身安全和用电设备起到保障作用；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（4）控制面板要求采用7寸液晶屏控制，稳定可靠寿命长。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（5）市电AC220V/10A（两位五孔国标插座），为其它用电器提供电源；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（6）直流稳压电源：液晶显示，数字键盘触屏输入，0-30V/2A，电压调整率可达0.1V；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（7）交流低压电源：液晶显示，数字键盘触屏输入，0-30V/2A，电压调整率为0.1V；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（8）教师测试用交流高压170V、300V输出；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（9）教师测试用9V大电流输出；</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紧急洗眼器</w:t>
            </w:r>
          </w:p>
        </w:tc>
        <w:tc>
          <w:tcPr>
            <w:tcW w:w="8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1.主体： 铜质,高度240mm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2.涂层： 电镀层，耐腐蚀、耐热，防紫外线辐射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3.洗眼头：模注一体成型，软性橡胶并带有缓冲滤网，出水经缓压处理呈泡沫柱状，可持续均匀柔和,去除水中杂质，避免水束冲伤眼睛流量11.4 升/分钟并维持冲洗至少15分钟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4.防尘盖：PP 材质，设置防尘盖,使用时自动被水冲开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5.开关：采用杠杆结构，铜质按压阀通过塑料手柄操作，水流在 1 秒钟内快速启动，启闭方便,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6.控水阀：止逆阀，其阀门可自动关闭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7.软管：供水软管长度 1.4 米，软性 PVC 管外覆不锈钢网,外层包裹PE管，有效防止生锈、磨损、划手</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学生实验桌</w:t>
            </w:r>
          </w:p>
        </w:tc>
        <w:tc>
          <w:tcPr>
            <w:tcW w:w="8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1.规格：1200*600*780mm</w:t>
            </w:r>
            <w:r>
              <w:rPr>
                <w:rFonts w:hint="eastAsia" w:ascii="宋体" w:hAnsi="宋体" w:cs="宋体"/>
                <w:i w:val="0"/>
                <w:iCs w:val="0"/>
                <w:color w:val="000000"/>
                <w:kern w:val="0"/>
                <w:sz w:val="20"/>
                <w:szCs w:val="20"/>
                <w:u w:val="none"/>
                <w:lang w:val="en-US" w:eastAsia="zh-CN" w:bidi="ar"/>
              </w:rPr>
              <w:t>，偏差±5%；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2.台面： 采用</w:t>
            </w:r>
            <w:r>
              <w:rPr>
                <w:rFonts w:hint="eastAsia" w:ascii="宋体" w:hAnsi="宋体" w:cs="宋体"/>
                <w:i w:val="0"/>
                <w:iCs w:val="0"/>
                <w:color w:val="000000"/>
                <w:kern w:val="0"/>
                <w:sz w:val="20"/>
                <w:szCs w:val="20"/>
                <w:u w:val="none"/>
                <w:lang w:val="en-US" w:eastAsia="zh-CN" w:bidi="ar"/>
              </w:rPr>
              <w:t>不小于</w:t>
            </w:r>
            <w:r>
              <w:rPr>
                <w:rFonts w:hint="eastAsia" w:ascii="宋体" w:hAnsi="宋体" w:eastAsia="宋体" w:cs="宋体"/>
                <w:i w:val="0"/>
                <w:iCs w:val="0"/>
                <w:color w:val="000000"/>
                <w:kern w:val="0"/>
                <w:sz w:val="20"/>
                <w:szCs w:val="20"/>
                <w:u w:val="none"/>
                <w:lang w:val="en-US" w:eastAsia="zh-CN" w:bidi="ar"/>
              </w:rPr>
              <w:t>12.7mm厚双面理化膜实芯理化板。台面需倒圆边，经机械打磨，表面光滑平整，需具有耐强酸碱、防腐蚀、防静电、耐辐射、耐磨、抗污染、易清洁、耐冲击、耐高温、防水、防火等特点。理化板台面需满足以下性能指标（需提供满足下述台面性能指标出具的检测报告复印件加盖制造商红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A.依据通过硫酸（98%）、硝酸（65%）、氢氧化钠（40%）、四氯化碳、松节油、乙腈等不少于125项酸、碱及其它化学试剂的检验结果为无明显变化。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B.通过国家化学建筑材料测试中心等机构检测依据GB/T17657-2013等标准及方法检验进行不少于19项物理性能检测，检测结果为：含水率：≤1.0；表面耐冷热循环性能（80℃）：无裂纹、无鼓泡、无变色、无起皱；漆膜硬度≥8H；漆膜附着力：切割边缘完全平滑，无脱落；表面耐干热性能、表面耐湿热性能、表面耐香烟灼烧性能、耐沸水性能等均为5级无变化；吸水性≤0.1%；表面耐磨性能检验结果不低于568r；耐高温性：表面无裂痕；弯曲强度≥120MPa，抗冲击性能：压痕直径6.0MM表面无破损、耐光色牢度≥4级；表面耐磨性能（磨耗值）≤46mg/100r；表面耐龟裂性：5级，用6倍放大镜观察表面无裂纹、尺寸稳定性横向、纵向均≤0.55%、密度达到1.4g/cm3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C.参照GB/T 2408-2021《塑料燃烧性能的测定 水平法种垂直法》和依据GB 8624-2012《建筑材料及制品燃烧性能分级》作为检测和判定依据进行检测，烟气毒性项目符合t1级要求；水平燃烧符合HB级，垂直燃烧符合V-0级。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D.依据GB/T24128-2018及JC/T 2039-2010等方法检测防霉性能：包含但不局限于：黑曲霉、土曲霉、球毛壳霉、宛氏拟青霉、绳状青霉、出芽短梗霉、长枝木霉等不少于7种的霉菌检测。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桌身：立柱采用铝合金拉伸椭圆管设计，铝型材立柱≥90*42*1.0mm，笔直支撑，嵌入上下铸铝脚内；铸铝脚采用压铸成型，上桌脚≥579*57*95*2.5mm，下桌脚≥528*57*95*2.5mm；桌架下端配备加固支撑梁，横档拉梁≥60*30*1.2mm；桌架背部具有≥46*90*1.2mm（含挡水条)档水板、桌架前部具≥30*49*1.2mm支撑条，后端挡水板、前端支撑条采用挤出铝合金型材，各部分连接设置卡位，通过采用高强度螺丝连接，表面经静电喷涂高温固化处理，便于组装及拆卸，易碰撞处全部采用倒圆角，产品款式整体设计美观、合理、安全、牢固、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4.书包斗：采用ABS注塑一体注塑成型，整体尺寸≥400*300*128mm，镂空设计，便于清理，前端设置挂凳卡口，方便教室地面卫生清洁。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5.桌脚：配有可调整底脚，设置专用孔位可与地面固定，配有≥178*50*2.5mm的ABS脚套装饰盖。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操作台柜体及储物柜表面的金属喷漆（塑）图层理化性能：硬度≥H；冲击强度，3.92J无剥落、无裂纹、无皱纹；耐腐蚀 24h乙酸盐雾试验(ASS)不低于7级；附着力不低于2级。</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实验凳</w:t>
            </w:r>
          </w:p>
        </w:tc>
        <w:tc>
          <w:tcPr>
            <w:tcW w:w="8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1、规格：Φ320×450-480mm2、材质：凳面采用工程塑料注塑成型。凳架经过酸洗、磷化、除油、除锈并经过粉末喷涂固化处理，螺旋可调节凳子高度，凳脚采用专用塑料脚钉。</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智能控制柜</w:t>
            </w:r>
          </w:p>
        </w:tc>
        <w:tc>
          <w:tcPr>
            <w:tcW w:w="8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1.规格：500*180*1050mm</w:t>
            </w:r>
            <w:r>
              <w:rPr>
                <w:rFonts w:hint="eastAsia" w:ascii="宋体" w:hAnsi="宋体" w:cs="宋体"/>
                <w:i w:val="0"/>
                <w:iCs w:val="0"/>
                <w:color w:val="000000"/>
                <w:kern w:val="0"/>
                <w:sz w:val="20"/>
                <w:szCs w:val="20"/>
                <w:u w:val="none"/>
                <w:lang w:val="en-US" w:eastAsia="zh-CN" w:bidi="ar"/>
              </w:rPr>
              <w:t>，偏差±5%；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主体采用镀锌钢板，钣金的表面接缝均应满焊，焊接处均应打磨平整以保持为连续的平滑表面。主框架采用镀锌钢板（SPCCT）经CNC机压成形、焊接制作，表面钢制部分采用酸洗、磷化、除油、除锈并经过静电喷塑处理，柜门表面外衬亚克力材质装饰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3.结构：壁挂式设计，柜门内嵌10寸触控屏，柜身内含各种控制系统硬件模块。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4.可通过配套附件实现以下功能：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通风控制：采用风机矢量控制变频器，应用空间电压矢量控制原理，采用模块化设计、是集数字技术、计算机技术、现代自控技术于一体的高科技产品，具有精度高、噪音低、转矩大、性能可靠等特点。主要参数指标为：1.频率指示、异常指示、转速指示、状态指示等；2.输入额定电压：三相380V，±15%；3.输入额定频率：50HZ；4.控制方式：空间电压矢量控制；5.输出频率：1.00~400.0 HZ；6.过载能力：150% 额定电流；7.保护功能：输入缺相、输入欠压、直流过压、过载等。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（2）供水控制：设有总给水控制阀门，教师可以对全室给排水系统进行控制；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（3）照明控制：PLC智能化集中控制，可分组控制灯光，具有过载、短路等保护功能；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（4）电源控制：PLC智能化集中控制，可分组控制220V电源及1-30V低压控制，具有过载、短路等保护功能；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（5）摇臂控制：可以对摇臂进行升降控制，可以进行单选、全选，分组控制；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（6）环境监测：内含温湿度监测传感器，可实时监测教室空气温度、湿度；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（7）急停控制：具有一键急停按钮；</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智能控制平台</w:t>
            </w:r>
          </w:p>
        </w:tc>
        <w:tc>
          <w:tcPr>
            <w:tcW w:w="8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1.通风控制系统：无极变频控制，可精确控制通风风量；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2.供水控制系统：集中控制整个教室的给排水；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3.照明控制系统：集中控制整个舱体照明；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4.电源控制系统：可控制学生端220v电源输出与关闭，也可控制学生端低压电源的锁定与受控，调节范围为1～30V，分辨率可达0.1V,最小调节单元可达1V。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5.摇臂控制系统：可实现摆臂升降功能；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6.可在线注册，注销用户，修改密码；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7.实时监测显示教室空气温度、湿度；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8.实时监测吊装运行状态，故障报警；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9.软件可通过网络升级；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10.系统可同步到其他安装有智能控制平台APP的移动终端，如安卓平板、手机等同时操作；</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学生分组控制系统</w:t>
            </w:r>
          </w:p>
        </w:tc>
        <w:tc>
          <w:tcPr>
            <w:tcW w:w="8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可以对学生端模块的电源控制系统、照明控制系统、给排水控制系统、智能摇臂控制系统进行独立分组控制，实现全选、单选控制功能；</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智能故障警示系统</w:t>
            </w:r>
          </w:p>
        </w:tc>
        <w:tc>
          <w:tcPr>
            <w:tcW w:w="8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采用LED柔性灯带，通过不同颜色显示正常工作，异常，警告等信息，实时监测顶装运行状态，故障报警；</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急停控制系统</w:t>
            </w:r>
          </w:p>
        </w:tc>
        <w:tc>
          <w:tcPr>
            <w:tcW w:w="8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集成化控制系统，出现故障或现场有需要时紧急制动，确保实验操作时的安全性。</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吊装智能摇臂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升降系统</w:t>
            </w:r>
          </w:p>
        </w:tc>
        <w:tc>
          <w:tcPr>
            <w:tcW w:w="8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直流24V推杆电机推动压铸一体成型的曲柄连杆机构，实现摇臂上下90°运动，摆臂升降主管，采用圆形无缝钢管，钢管尺寸≤ф65*640mm，厚度不低于2.0mm，表面经高温粉体烤漆处理，长时间使用也不会产生表面烤漆剥落现象；电源装饰模块采用ABS工程塑料注塑成型，整体尺寸≥210*260*85mm，内部空间可安装电源及屏显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1.摇臂下端设置功能模块：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（1）功能模块采用ABS工程塑料外壳，外形圆润，有亲和力；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（2）功能模块带有4.3寸液晶显示屏；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（3）功能模块可安装新国标220V五孔插座；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（4）功能模块可安装低压直流，交流学生电源模块；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（5）功能模块可选配网络及上下水模块，扩展煤气等模块；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（6）功能模块单独设置一键求助功能按键。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2.系统自带障碍物保护功能，运动过程中遇到障碍物时会自动停止并报警。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3.功能模块单独设置一键求助功能按键，当学生端按举手求组模块，教师控制终端实时定位显示当前学生求助序号。（需提供该功能截图）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★吊装智能摇臂升降系统技术性能需满足GB 8410-2006《汽车内饰材料的燃烧特性》塑料件阻燃（燃烧特性）（mm/min）≤7。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提供由生产厂家送检满足以上技术要求并具有CMA检测机构出具的吊装系统框架外观装饰模块检测报告复印件。</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 </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高压电源模块</w:t>
            </w:r>
          </w:p>
        </w:tc>
        <w:tc>
          <w:tcPr>
            <w:tcW w:w="8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新国标五孔插座，接收教师端220v实验用电。</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 </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低压电源模块</w:t>
            </w:r>
          </w:p>
        </w:tc>
        <w:tc>
          <w:tcPr>
            <w:tcW w:w="8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1.直流DC：0V-30V可调，分辨率可达0.1v；额定电流2A；学生可进行微调，具有过载保护智能检测功能。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2.交流AC：0V-30V可调，分辨率可达0.1v；额定电流2A； 学生可进行微调，具有过载保护智能检测功能。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3.交流、直流均采用数码显示。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4.学生低压电源都可接收主控电源发送的锁定信号，在锁定指示灯点亮后，学生接收老师输送的设定电源电压，教师锁定时,学生自己无法操作，这样可避免学生的误操作。可以分组或独立控制；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5.模块采用耐磨、耐腐蚀、耐高温的PC亮光薄膜面板，学生电源的控制采用按钮式按键，可以随意设置电压，贴片元件生产技术，微电脑控制。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6.功能模块单独设置一键求助功能按键，当学生端按举手求组模块，教师控制终端实时定位显示当前学生求助序号。</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 </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水槽柜</w:t>
            </w:r>
          </w:p>
        </w:tc>
        <w:tc>
          <w:tcPr>
            <w:tcW w:w="8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1.规格：585*450*830mm</w:t>
            </w:r>
            <w:r>
              <w:rPr>
                <w:rFonts w:hint="eastAsia" w:ascii="宋体" w:hAnsi="宋体" w:cs="宋体"/>
                <w:i w:val="0"/>
                <w:iCs w:val="0"/>
                <w:color w:val="000000"/>
                <w:kern w:val="0"/>
                <w:sz w:val="20"/>
                <w:szCs w:val="20"/>
                <w:u w:val="none"/>
                <w:lang w:val="en-US" w:eastAsia="zh-CN" w:bidi="ar"/>
              </w:rPr>
              <w:t>，偏差±5%；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结构：整体采用包围式结构，水槽前端前倾，外形拐角均采用圆弧设计。水槽柜设置检修盖板，维修方便。水槽柜设置前翻门，前翻门≥430*340mm；内设收纳斗≥323*270*135mm，采用1.2mm冷轧钢板，经酸洗磷化后静电喷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水槽柜主体（左右侧板，背板，底板，前面板）均采用高分子复合材料材料模压成型，各部件之间采用对卡及螺丝固定的方式进行连接。拆装方便，牢固，外形美观，有质感；水槽采用高分子复合材料材料模压成型，表面喷涂纳米图层，表面硬度高，耐刮擦，耐酸碱、耐腐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4.过滤功能：设置下水口，下水口内设置三级过滤装置。第一级设置pp过滤盖板，第二级设置不锈钢过滤提网，第三级设置可抛弃型过滤袋，容积2.5L、过滤微粒30μ；三级过滤装置可防止水管堵塞。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★水槽柜技术性能需满足依据GB 24820-2009《实验室家具通用技术条件》，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排水管面理化性能：硬度≥2H；冲击强度符合要求；耐腐蚀≥10级；附着力≤0.1级。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提供由生产厂家送检满足以上技术要求并具有CMA检测机构出具的水槽柜检测报告复印件。</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 </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三联水嘴</w:t>
            </w:r>
          </w:p>
        </w:tc>
        <w:tc>
          <w:tcPr>
            <w:tcW w:w="8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鹅颈式实验室专用化验水嘴：要求防酸碱、防锈、防虹吸、防阻塞，表面环氧树脂喷涂。出水嘴为铜质瓷芯，高头，便于多用途使用，可拆卸清洗阻塞。出水嘴可拆卸，内有成型螺纹，可方便连接循环等特殊用水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实验室水嘴技术性能要求需满足依据GB 25501-2019《水嘴水效限定值及水效等级》，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流量均匀性：流量均匀性应不大于1.0L/min；水嘴水效等级：2级，最大流量：不大于5.0L/min；水嘴节水评价值：2级，最大流量：不大于5.0L/min。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提供由生产厂家送检满足以上技术要求并具有CMA检测机构出具的实验室水嘴检测报告复印件。</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 </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智能给排水系统</w:t>
            </w:r>
          </w:p>
        </w:tc>
        <w:tc>
          <w:tcPr>
            <w:tcW w:w="8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1.设置下水口，下水口内设置三级过滤装置。第一级设置pp过滤盖板，第二级设置不锈钢过滤提网，第三级设置可抛弃型过滤袋，过滤微粒30μ；三级过滤装置可防止水管堵塞。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2.水槽顶部设置进水、排水及电线信号线快速接头。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3.设置储水装置，进水口与水槽出水口相连。储水装置带有抽水泵，液位感应器，电路控制系统;当水位到达液位器高位时，水泵自动启动工作抽水，直至抽到液位感应器低位，水泵停止工作。</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 </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给排水快速接口</w:t>
            </w:r>
          </w:p>
        </w:tc>
        <w:tc>
          <w:tcPr>
            <w:tcW w:w="8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无滴漏快速接头，接口与学生水槽柜采用硅胶软管（具有防酸、防碱、耐腐蚀功能）连接，接口均采用自动锁紧插拔式连接方式（拔掉时没有污水流出），用时接上，不用时可收起；插拔方便，可在给水打开状态下任意插拔，不滴漏。</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 </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智能灯光照明装置</w:t>
            </w:r>
          </w:p>
        </w:tc>
        <w:tc>
          <w:tcPr>
            <w:tcW w:w="8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接收智能控制平台控制，可分组开启和关闭，配置高亮LED灯条，安装磨砂半透均光板，光线柔和不刺眼。</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吊装系统主体框架</w:t>
            </w:r>
          </w:p>
        </w:tc>
        <w:tc>
          <w:tcPr>
            <w:tcW w:w="8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1.标准化模块编组，1200*525*200mm为一组；偏差±5%</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2.材质：主框架采用铝合金拉伸件，表面氧化镀膜处理和铝合金压铸件，表面喷砂喷涂组成。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产品中间外围设置一圈氛围状态警示灯，可实施显示摆臂运行状态形态指示，当摆臂功能运行故障时，设备开启会出现红色线性灯光，当摆臂功能运行正常时，设备开启出现绿色线性灯光；通过2种不同颜色显示正常工作，异常，警告等信息。（投标时需提供该功能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★吊装实验室主体框架技术性能需满足GB/T 9286-1998 《色漆和清漆 划格试验》及GB/T 10125-2021 《人造气氛腐蚀试验 盐雾试验》中性盐雾试验不小于10级，附着力不大于0.1级；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提供由生产厂家送检满足以上技术要求并具有CMA检测机构出具的吊装实验室主体框架检测报告复印件。</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吊装系统框架外观装饰模块</w:t>
            </w:r>
          </w:p>
        </w:tc>
        <w:tc>
          <w:tcPr>
            <w:tcW w:w="8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装饰件均采用高分子复合材料模压成型，具有阻燃性强和耐酸碱、耐腐蚀，光泽度好，美观大方。</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舱体防尘装饰模块</w:t>
            </w:r>
          </w:p>
        </w:tc>
        <w:tc>
          <w:tcPr>
            <w:tcW w:w="8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规格：1090*280*35mm</w:t>
            </w:r>
            <w:r>
              <w:rPr>
                <w:rFonts w:hint="eastAsia" w:ascii="宋体" w:hAnsi="宋体" w:cs="宋体"/>
                <w:i w:val="0"/>
                <w:iCs w:val="0"/>
                <w:color w:val="000000"/>
                <w:kern w:val="0"/>
                <w:sz w:val="20"/>
                <w:szCs w:val="20"/>
                <w:u w:val="none"/>
                <w:lang w:val="en-US" w:eastAsia="zh-CN" w:bidi="ar"/>
              </w:rPr>
              <w:t>，偏差±5%；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材质：采用1.2mm镀锌钢板折弯焊接表面喷塑成型。</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舱底装饰模块</w:t>
            </w:r>
          </w:p>
        </w:tc>
        <w:tc>
          <w:tcPr>
            <w:tcW w:w="8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规格：1280*325*110mm</w:t>
            </w:r>
            <w:r>
              <w:rPr>
                <w:rFonts w:hint="eastAsia" w:ascii="宋体" w:hAnsi="宋体" w:cs="宋体"/>
                <w:i w:val="0"/>
                <w:iCs w:val="0"/>
                <w:color w:val="000000"/>
                <w:kern w:val="0"/>
                <w:sz w:val="20"/>
                <w:szCs w:val="20"/>
                <w:u w:val="none"/>
                <w:lang w:val="en-US" w:eastAsia="zh-CN" w:bidi="ar"/>
              </w:rPr>
              <w:t>，偏差±5%；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材质：采用1.2mm镀锌钢板折弯焊接表面喷塑成型。</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舱体封板装饰模块</w:t>
            </w:r>
          </w:p>
        </w:tc>
        <w:tc>
          <w:tcPr>
            <w:tcW w:w="8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规格：525*200*150mm</w:t>
            </w:r>
            <w:r>
              <w:rPr>
                <w:rFonts w:hint="eastAsia" w:ascii="宋体" w:hAnsi="宋体" w:cs="宋体"/>
                <w:i w:val="0"/>
                <w:iCs w:val="0"/>
                <w:color w:val="000000"/>
                <w:kern w:val="0"/>
                <w:sz w:val="20"/>
                <w:szCs w:val="20"/>
                <w:u w:val="none"/>
                <w:lang w:val="en-US" w:eastAsia="zh-CN" w:bidi="ar"/>
              </w:rPr>
              <w:t>，偏差±5%；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材质：采用阻燃性FRP高分子复合材料，模具一体压铸成型。</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 </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万向吸风罩</w:t>
            </w:r>
          </w:p>
        </w:tc>
        <w:tc>
          <w:tcPr>
            <w:tcW w:w="8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1.规格：主体管径≥60mm,通风罩口直径≥210mm；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2.管材及罩口均采用铝合金材质，表面阳极氧化处理，关节采用高密度PP材质。独特的关节结构使关节调整时极具灵活性，根据实地需求可360°自由旋转调节方向，以便气流经过时降低不必要产生的湍流；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3.关节密封圈：采用高密度橡胶。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4.关节连接杆：304不锈钢材质；关节弹簧装置：304不锈钢材质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5.关节松紧旋钮：高密度PP材质，内嵌304不锈钢推力轴承，与关节连接杆锁合。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6.压力轴承装置防下垂、下滑，避免松动。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★万向吸风罩技术性能需满足GB/T 9286-1998 《色漆和清漆 划格试验》及GB/T 10125-2021 《人造气氛腐蚀试验 盐雾试验》中性盐雾试验不小于10级，附着力不大于0.1级；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提供由生产厂家送检满足以上技术要求并具有CMA检测机构出具的万向吸风罩检测报告复印件。</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 </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变频调速风机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（带变频器及控制线）</w:t>
            </w:r>
          </w:p>
        </w:tc>
        <w:tc>
          <w:tcPr>
            <w:tcW w:w="8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1.外壳采用米灰色聚丙烯PP板，具有抗紫外线、耐老化、耐强酸、强碱与抗腐蚀的特性。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2.电机防雨罩的结构简单，使用检修方便，可有效防止电机被雨水打湿，延长电机使用寿命，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3.自带减震器可减少地面的震动，有效降低风机的动载荷，从而延长风机的使用寿命； 叶轮根据不同性能参数由8～36个后倾的机翼型叶片、曲线型前盖板和平板后盘组成，增强有效排风量。风机功率：5.5KW。转速1450，风量：6800-14530。全压：1150-748。</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紧急冲淋</w:t>
            </w:r>
          </w:p>
        </w:tc>
        <w:tc>
          <w:tcPr>
            <w:tcW w:w="8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1.喷淋水流量：≥ 76 L/min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2.洗脸 / 洗眼水流量：≥ 11.4 L/min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3.洗眼水流量：≥ 1.5 L/min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4.洗眼盆：300mm 直边设计， 聚水集中，防止飞溅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5.防尘盖：主体一体式设计，不易丢失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6.冲淋拉手/拉杆：冲林拉手为ABS一体成型，手握处根据人体工学原理设计为仿手形，使用舒适；便于操作，拉杆为Ø13mm不锈钢管成型加工，钢性设计。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7.洗眼开关推板：大面积ABS模注成型，根据人体工学原理设计，扩大与人体接触面，所处位置适中，紧急情况下便于寻找操作使用。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 xml:space="preserve">、进水口尺寸：1" 英制内螺纹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9</w:t>
            </w:r>
            <w:r>
              <w:rPr>
                <w:rFonts w:hint="eastAsia" w:ascii="宋体" w:hAnsi="宋体" w:eastAsia="宋体" w:cs="宋体"/>
                <w:i w:val="0"/>
                <w:iCs w:val="0"/>
                <w:color w:val="000000"/>
                <w:kern w:val="0"/>
                <w:sz w:val="20"/>
                <w:szCs w:val="20"/>
                <w:u w:val="none"/>
                <w:lang w:val="en-US" w:eastAsia="zh-CN" w:bidi="ar"/>
              </w:rPr>
              <w:t xml:space="preserve">.排水口尺寸：1" 英制内螺纹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0</w:t>
            </w:r>
            <w:r>
              <w:rPr>
                <w:rFonts w:hint="eastAsia" w:ascii="宋体" w:hAnsi="宋体" w:eastAsia="宋体" w:cs="宋体"/>
                <w:i w:val="0"/>
                <w:iCs w:val="0"/>
                <w:color w:val="000000"/>
                <w:kern w:val="0"/>
                <w:sz w:val="20"/>
                <w:szCs w:val="20"/>
                <w:u w:val="none"/>
                <w:lang w:val="en-US" w:eastAsia="zh-CN" w:bidi="ar"/>
              </w:rPr>
              <w:t xml:space="preserve">.进水口高度：1186mm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 xml:space="preserve">.排水口高度：86mm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 xml:space="preserve">.洗眼喷头间距：170mm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 xml:space="preserve">.出水范围：距站立面 1524mm 高度，出水范围直径至少为 510mm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.洗眼管路设有渗水孔以排空洗眼喷头内残留水，利于管路清洁</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84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二、生物创新实验室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教师演示台</w:t>
            </w:r>
          </w:p>
        </w:tc>
        <w:tc>
          <w:tcPr>
            <w:tcW w:w="8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1.规格：2400*700*850mm</w:t>
            </w:r>
            <w:r>
              <w:rPr>
                <w:rFonts w:hint="eastAsia" w:ascii="宋体" w:hAnsi="宋体" w:cs="宋体"/>
                <w:i w:val="0"/>
                <w:iCs w:val="0"/>
                <w:color w:val="000000"/>
                <w:kern w:val="0"/>
                <w:sz w:val="20"/>
                <w:szCs w:val="20"/>
                <w:u w:val="none"/>
                <w:lang w:val="en-US" w:eastAsia="zh-CN" w:bidi="ar"/>
              </w:rPr>
              <w:t>，偏差±5%；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台面：采用12.7mm厚双面理化膜实芯理化板。倒圆边，经机械打磨，表面光滑平整，无缝隙，整体美观大方。具有耐强酸碱、防腐蚀、防静电、耐辐射、耐磨、抗污染、易清洁、耐冲击、耐高温、防水、防火等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柜身：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框架：采用符合国家标准的立柱为双层圆管铝合金，截面直径不小于50mm，外层壁厚不小于1.2㎜。横档1.2mm厚方形铝合金，管外件经细纹加工，美观、大方；型材表面经高压静电喷涂环氧树脂防护层，耐酸碱耐腐蚀处理，其保护层附着力经落物撞击测试合格。连接件采用ABS材料模具成型制作，组装接缝严密，连接牢固，无松动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（2）内衬板：采用三聚氰胺防潮双贴面板，(基板为E1级环保板)；所有截面都采用自动封边机选用PVC封边，粘力强、密封性好、外形美观、经久耐用。组装接缝严密，连接牢固，无松动现象。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滑轨：采用三节静音滑轨；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铰链：采用铰链，开合十万次以上；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连接件：ABS专用连接组装件；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桌脚：采用ABS注塑专用桌垫固定；</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三联水嘴</w:t>
            </w:r>
          </w:p>
        </w:tc>
        <w:tc>
          <w:tcPr>
            <w:tcW w:w="8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鹅颈式实验室专用化验水嘴：要求防酸碱、防锈、防虹吸、防阻塞，表面环氧树脂喷涂。出水嘴为铜质瓷芯，高头，便于多用途使用，可拆卸清洗阻塞。出水嘴可拆卸，内有成型螺纹，可方便连接循环等特殊用水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实验室水嘴技术性能要求需满足依据GB 25501-2019《水嘴水效限定值及水效等级》，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流量均匀性：流量均匀性应不大于1.0L/min；水嘴水效等级：2级，最大流量：不大于5.0L/min；水嘴节水评价值：2级，最大流量：不大于5.0L/min。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提供由生产厂家送检满足以上技术要求并具有CMA检测机构出具的实验室水嘴检测报告复印件。</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防腐水槽</w:t>
            </w:r>
          </w:p>
        </w:tc>
        <w:tc>
          <w:tcPr>
            <w:tcW w:w="8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规格：550*450*290mm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采用实验室专用高密度PP一体化成型水槽，易清洁，耐腐蚀，且利于台面残水自然回流，美观实用；具耐酸碱、耐有机溶剂、耐紫外线等特点。</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教师实验电源</w:t>
            </w:r>
          </w:p>
        </w:tc>
        <w:tc>
          <w:tcPr>
            <w:tcW w:w="8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总电源装置在教师桌组合柜内，抽屉式电源盒设计，内装有教师演示电源，主控学生电源装置。内设有漏电过载自动保护总开关，工作指示灯。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（1）输入电源：AC220V±10%、频率50Hz；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（2）工作环境：温度-10℃~+40℃，相对湿度＜85％（25℃）海拔＜4000m；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（3）人身安全保护体系：配备漏电短路保护器做总电源开关，对人身安全和用电设备起到保障作用；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（4）控制面板要求采用7寸液晶屏控制，稳定可靠寿命长。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（5）市电AC220V/10A（两位五孔国标插座），为其它用电器提供电源；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（6）直流稳压电源：液晶显示，数字键盘触屏输入，0-30V/2A，电压调整率可达0.1V；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（7）交流低压电源：液晶显示，数字键盘触屏输入，0-30V/2A，电压调整率为0.1V；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（8）教师测试用交流高压170V、300V输出；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（9）教师测试用9V大电流输出；</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紧急洗眼器</w:t>
            </w:r>
          </w:p>
        </w:tc>
        <w:tc>
          <w:tcPr>
            <w:tcW w:w="8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1.主体： 铜质,高度240mm</w:t>
            </w:r>
            <w:r>
              <w:rPr>
                <w:rFonts w:hint="eastAsia" w:ascii="宋体" w:hAnsi="宋体" w:cs="宋体"/>
                <w:i w:val="0"/>
                <w:iCs w:val="0"/>
                <w:color w:val="000000"/>
                <w:kern w:val="0"/>
                <w:sz w:val="20"/>
                <w:szCs w:val="20"/>
                <w:u w:val="none"/>
                <w:lang w:val="en-US" w:eastAsia="zh-CN" w:bidi="ar"/>
              </w:rPr>
              <w:t>，偏差±5%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2.涂层： 电镀层，耐腐蚀、耐热，防紫外线辐射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3.洗眼头：模注一体成型，软性橡胶并带有缓冲滤网，出水经缓压处理呈泡沫柱状，可持续均匀柔和,去除水中杂质，避免水束冲伤眼睛流量11.4 升/分钟并维持冲洗至少15分钟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4.防尘盖：PP 材质，设置防尘盖,使用时自动被水冲开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5.开关：采用杠杆结构，铜质按压阀通过塑料手柄操作，水流在 1 秒钟内快速启动，启闭方便,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6.控水阀：止逆阀，其阀门可自动关闭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7.软管：供水软管长度 1.4 米，软性 PVC 管外覆不锈钢网,外层包裹PE管，有效防止生锈、磨损、划手</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学生实验桌</w:t>
            </w:r>
          </w:p>
        </w:tc>
        <w:tc>
          <w:tcPr>
            <w:tcW w:w="8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1.规格：1200*1200*780mm</w:t>
            </w:r>
            <w:r>
              <w:rPr>
                <w:rFonts w:hint="eastAsia" w:ascii="宋体" w:hAnsi="宋体" w:cs="宋体"/>
                <w:i w:val="0"/>
                <w:iCs w:val="0"/>
                <w:color w:val="000000"/>
                <w:kern w:val="0"/>
                <w:sz w:val="20"/>
                <w:szCs w:val="20"/>
                <w:u w:val="none"/>
                <w:lang w:val="en-US" w:eastAsia="zh-CN" w:bidi="ar"/>
              </w:rPr>
              <w:t>，偏差±5%；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2.采用 </w:t>
            </w:r>
            <w:r>
              <w:rPr>
                <w:rFonts w:hint="eastAsia" w:ascii="宋体" w:hAnsi="宋体" w:cs="宋体"/>
                <w:i w:val="0"/>
                <w:iCs w:val="0"/>
                <w:color w:val="000000"/>
                <w:kern w:val="0"/>
                <w:sz w:val="20"/>
                <w:szCs w:val="20"/>
                <w:u w:val="none"/>
                <w:lang w:val="en-US" w:eastAsia="zh-CN" w:bidi="ar"/>
              </w:rPr>
              <w:t>不小于</w:t>
            </w:r>
            <w:r>
              <w:rPr>
                <w:rFonts w:hint="eastAsia" w:ascii="宋体" w:hAnsi="宋体" w:eastAsia="宋体" w:cs="宋体"/>
                <w:i w:val="0"/>
                <w:iCs w:val="0"/>
                <w:color w:val="000000"/>
                <w:kern w:val="0"/>
                <w:sz w:val="20"/>
                <w:szCs w:val="20"/>
                <w:u w:val="none"/>
                <w:lang w:val="en-US" w:eastAsia="zh-CN" w:bidi="ar"/>
              </w:rPr>
              <w:t>12.7mm 厚双面膜实芯理化板台面，表面具备合理的耐酸碱性能、耐冲击、韧性强等特点；需满足以下技术参数：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A.依据通过硫酸（98%）、硝酸（65%）、氢氧化钠（40%）、四氯化碳、松节油、乙腈等不少于125项酸、碱及其它化学试剂的检验结果为无明显变化。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B.通过国家化学建筑材料测试中心等机构检测依据GB/T17657-2013等标准及方法检验进行不少于19项物理性能检测，检测结果为：含水率：≤1.0；表面耐冷热循环性能（80℃）：无裂纹、无鼓泡、无变色、无起皱；漆膜硬度≥8H；漆膜附着力：切割边缘完全平滑，无脱落；表面耐干热性能、表面耐湿热性能、表面耐香烟灼烧性能、耐沸水性能等均为5级无变化；吸水性≤0.1%；表面耐磨性能检验结果不低于568r；耐高温性：表面无裂痕；弯曲强度≥120MPa，抗冲击性能：压痕直径6.0MM表面无破损、耐光色牢度≥4级；表面耐磨性能（磨耗值）≤46mg/100r；表面耐龟裂性：5级，用6倍放大镜观察表面无裂纹、尺寸稳定性横向、纵向均≤0.55%、密度达到1.4g/cm3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C.参照GB/T 2408-2021《塑料燃烧性能的测定 水平法种垂直法》和依据GB 8624-2012《建筑材料及制品燃烧性能分级》作为检测和判定依据进行检测，烟气毒性项目符合t1级要求；水平燃烧符合HB级，垂直燃烧符合V-0级。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D.依据GB/T24128-2018及JC/T 2039-2010等方法检测防霉性能：包含但不局限于：黑曲霉、土曲霉、球毛壳霉、宛氏拟青霉、绳状青霉、出芽短梗霉、长枝木霉等不少于7种的霉菌检测。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桌身：立柱采用铝合金拉伸椭圆管设计，笔直支撑。嵌入上下铸铝脚内，后端配备加固支撑梁，背部档水板、前横梁采用挤出铝合金型材，各部分连接设置卡位，各部分连接用高强度内六角螺丝连接，表面经静电喷涂高温固化处理。便于组装及拆卸，外观圆润简洁美观，易碰撞处全部采用倒圆角，产品款式要求整体设计美观、合理、安全、牢固、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4.书包斗：采用ABS注塑一体注塑成型尺寸440*345*128mm，镂空设计，便于清理，前端设置挂凳卡口，方便教室地面卫生清洁。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5.桌脚配有可调整底脚，设置专用孔位可与地面固定，配有ABS脚套装饰盖。</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走线桶</w:t>
            </w:r>
          </w:p>
        </w:tc>
        <w:tc>
          <w:tcPr>
            <w:tcW w:w="8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1.规格：230*365*730mm</w:t>
            </w:r>
            <w:r>
              <w:rPr>
                <w:rFonts w:hint="eastAsia" w:ascii="宋体" w:hAnsi="宋体" w:cs="宋体"/>
                <w:i w:val="0"/>
                <w:iCs w:val="0"/>
                <w:color w:val="000000"/>
                <w:kern w:val="0"/>
                <w:sz w:val="20"/>
                <w:szCs w:val="20"/>
                <w:u w:val="none"/>
                <w:lang w:val="en-US" w:eastAsia="zh-CN" w:bidi="ar"/>
              </w:rPr>
              <w:t>，偏差±5%；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2.整体采用实验室专用PP材质，外形圆润，前后二块拼接而成，可拆装，内部隐藏实验线管及通风管道，方便检修。</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实验电源（A）</w:t>
            </w:r>
          </w:p>
        </w:tc>
        <w:tc>
          <w:tcPr>
            <w:tcW w:w="8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规格：165*195*350mm</w:t>
            </w:r>
            <w:r>
              <w:rPr>
                <w:rFonts w:hint="eastAsia" w:ascii="宋体" w:hAnsi="宋体" w:cs="宋体"/>
                <w:i w:val="0"/>
                <w:iCs w:val="0"/>
                <w:color w:val="000000"/>
                <w:kern w:val="0"/>
                <w:sz w:val="20"/>
                <w:szCs w:val="20"/>
                <w:u w:val="none"/>
                <w:lang w:val="en-US" w:eastAsia="zh-CN" w:bidi="ar"/>
              </w:rPr>
              <w:t>，偏差±5%；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1.ABS嵌入式电源盒，可放置书包斗中间，安装方便 ；配置2组多功能插座，操作简单，安全可靠。</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生物实验光源</w:t>
            </w:r>
          </w:p>
        </w:tc>
        <w:tc>
          <w:tcPr>
            <w:tcW w:w="8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长度400mm,镜面不锈钢材质，21个5050LED光源；亮度高，有独开关，光照角度可调。</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 </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水槽柜</w:t>
            </w:r>
          </w:p>
        </w:tc>
        <w:tc>
          <w:tcPr>
            <w:tcW w:w="8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1.规格：585*450*840mm</w:t>
            </w:r>
            <w:r>
              <w:rPr>
                <w:rFonts w:hint="eastAsia" w:ascii="宋体" w:hAnsi="宋体" w:cs="宋体"/>
                <w:i w:val="0"/>
                <w:iCs w:val="0"/>
                <w:color w:val="000000"/>
                <w:kern w:val="0"/>
                <w:sz w:val="20"/>
                <w:szCs w:val="20"/>
                <w:u w:val="none"/>
                <w:lang w:val="en-US" w:eastAsia="zh-CN" w:bidi="ar"/>
              </w:rPr>
              <w:t>，偏差±5%；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结构：整体采用包围式结构，水槽前端前倾，外形拐角均采用圆弧设计。水槽柜设置检修盖板，维修方便。水槽柜设置前翻门，前翻门≥430*340mm；内设收纳斗≥323*270*135mm，采用1.2mm冷轧钢板，经酸洗磷化后静电喷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水槽柜主体（左右侧板，背板，底板，前面板）均采用高分子复合材料材料模压成型，各部件之间采用对卡及螺丝固定的方式进行连接。拆装方便，牢固，外形美观，有质感；水槽采用高分子复合材料材料模压成型，表面喷涂纳米图层，表面硬度高，耐刮擦，耐酸碱、耐腐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4.过滤功能：设置下水口，下水口内设置三级过滤装置。第一级设置pp过滤盖板，第二级设置不锈钢过滤提网，第三级设置可抛弃型过滤袋，容积2.5L、过滤微粒30μ；三级过滤装置可防止水管堵塞。</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三联水嘴</w:t>
            </w:r>
          </w:p>
        </w:tc>
        <w:tc>
          <w:tcPr>
            <w:tcW w:w="8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鹅颈式实验室专用化验水嘴：要求防酸碱、防锈、防虹吸、防阻塞，表面环氧树脂喷涂。出水嘴为铜质瓷芯，高头，便于多用途使用，可拆卸清洗阻塞。出水嘴可拆卸，内有成型螺纹，可方便连接循环等特殊用水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实验室水嘴技术性能要求需满足依据GB 25501-2019《水嘴水效限定值及水效等级》，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流量均匀性：流量均匀性应不大于1.0L/min；水嘴水效等级：2级，最大流量：不大于5.0L/min；水嘴节水评价值：2级，最大流量：不大于5.0L/min。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提供由生产厂家送检满足以上技术要求并具有CMA检测机构出具的实验室水嘴检测报告复印件。</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多功能实验下水装置</w:t>
            </w:r>
          </w:p>
        </w:tc>
        <w:tc>
          <w:tcPr>
            <w:tcW w:w="8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采用“S”型防腐蛇形PP管；过滤防堵处理、防止污水及异味倒灌。</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实验凳</w:t>
            </w:r>
          </w:p>
        </w:tc>
        <w:tc>
          <w:tcPr>
            <w:tcW w:w="8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1、规格：Φ320×450-480mm2、材质：凳面采用工程塑料注塑成型。凳架经过酸洗、磷化、除油、除锈并经过粉末喷涂固化处理，螺旋可调节凳子高度，凳脚采用专用塑料脚钉。</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教师端数码生物显微镜</w:t>
            </w:r>
          </w:p>
        </w:tc>
        <w:tc>
          <w:tcPr>
            <w:tcW w:w="8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1.数字内置一体化显微镜：内置一体化数码摄像系统,500万纯物理像素，1/2英寸逐行扫描传感器，高清晰彩色芯片，不得采用双目改造为三目设计。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2.整机结构件：结构件主要材料为金属,镜架上配有粗微调同轴低旋钮，调整工作台面到物镜间的焦距，低重心底座。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物镜：无限远平场消色差物镜，P/b无铅玻璃材质，4X/0.10，成像清晰圆直径≥16.8mm；10X/0.25成像清晰圆直径≥16mm，景深范围内像面的偏摆≤0.01mm；40X/0.65（弹簧），成像清晰圆直径≥16.8mm；100X/1.25（弹簧/油），成像清晰圆直径≥14.8mm，所有物镜均保证齐焦。显微镜物镜放大率准确度≤1.63%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4.齐焦性:物镜10→4倍≤0.02mm，10→40倍≤0.004mm，40→100倍≤0.008mm。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5.转换器：内倾式四孔同心球轴转换器，定位准确，并带有限位装置，转换器定位稳定性≤0.003mm。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载物台：双层机械移动载物台，面积160x140(mm)，移动范围76x50(mm)，最小读数值0.1mm，左右可选低位同轴手轮，载物台工作台面覆硬膜涂层,X、Y轴同轴调节，载物台受5N水平方向作用力最大位移≤0.015mm；不重复性≤0.003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7.用机械使标本在5mm*5mm范围内移动时的离焦量≤0.004mm。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8.微调: 粗微调同轴调节载物台，配有限位打滑装置，微调机构空回≤0.007mm。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9.目镜：带有指针定位的WF 10X/20mm大视场、高眼点视度可调广角目镜，目镜放大率准确度不超过±1.10%。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10.目镜筒：铰链式目镜筒， 360°旋转时目镜焦平面上像中心的位移≤0.15mm，左右两系统放大率差≤0.25%，双目系统左右两像面光谱色一致，明暗差≤8.5%；双目系统左右系统像面方差≤12；双目系统左右视场中心偏差:上下≤0.05mm、左右内侧≤0.03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11.照明：电源调节旋钮和电压开关分开,亮度可调的LED冷光源,灯泡使用寿命在10000小时以上.不产生温度,灯光色泽为无色,且不会产生热度。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12.聚光镜：燕尾不锈钢导槽可垂直升降，NA1.25阿贝聚光镜，聚光镜上升到最高位置，顶端低于载物台表面的距离在0.03－0.2（mm）之间。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提供原产商显微镜产品的样本彩页。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14.提供“国家光学仪器质量监督检验中心”出具的检测报告复印件。要求检测数据符合以上的数据要求。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15.显微镜制造厂商必须同时通过ISO9001/14001/13485质量体系认证，出具博士后科研工作站证明，以保证所投标产品的质量。</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数码液晶显微镜</w:t>
            </w:r>
          </w:p>
        </w:tc>
        <w:tc>
          <w:tcPr>
            <w:tcW w:w="8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1.光学系统: 无限远色差校正光学系统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2.目镜：WF 10×/18mm，补偿平场目镜。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3.物镜：无限远平场消色差物镜4X/0.10;10X/0.25;40X/0.65。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4.镜筒：无限远铰链式头组，30°倾斜，视度可调。具有筒长补偿功能和视度补偿功能。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5.转换器：四孔内定位转换器。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6.调焦机构: 粗微调同轴，凸轮结构调焦，粗调最大行程25mm;微调格值0.01mm;有限位打滑装置，并有内置防滑动离合器，可延长因机械损耗的整机使用寿命。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7.照明：LED电光源，稳定性：10 万小时，光衰为初始的 50[%]。灯的响应时间为纳秒级，供电电压在 6-24V 之间。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8.聚光镜：N.A.1.25阿贝聚光镜，螺旋升降，并配有可变光栏。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9.载物台：组合式多层机械移动载物台，移动范围76×50（mm）最小读数值0.05mm。防腐耐磨涂层。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10.摄像系统：1600万像素摄像系统。WIFI模块：内置在摄像系统内部WIFI，可无线连接各种电脑、智能平板、手机；也可作为客户端组建局域网多媒体数码互动实验室。RJ45和USB接口。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11.智能平板：9.7寸点触式液晶屏.存储容量32GB；处理器四核Kirin 659；系统内存：2GB；处理器速4*2.36GHz+4*1.7GHz；操作系统Android 8.0；屏幕比例16:10。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12.专用Bracket Tablet连接器，可以支持所有平板电脑的物理连接，可以拆卸式，左右旋转不小于270°，上下旋转不小于180°</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显微实验教学无线智能互动系统软件</w:t>
            </w:r>
          </w:p>
        </w:tc>
        <w:tc>
          <w:tcPr>
            <w:tcW w:w="8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1.跨平台解决方案：同时支持Android、IOS、Windows等操作系统，通过手机、平板电脑等智能终端即可实现显微互动教学。学生智能终端不受种类、操作系统、品牌的限制。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2.学生端数码显微镜通过无线的方式与智能终端进行连接成像，学生端通过无线的方式汇聚到教师端控制系统。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3.确保系统在同时满足以下条件的前提下，显微图像能实时传输、互动，无延时。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系统主要功能：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1）系统具备：微观实验、宏观实验、教学示范、师生交流等功能模块。用户可通过系统进行微观实验和宏观实验，并进行实时交流。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2）微观实验和宏观实验可进行实施评价并进行实验等级评定。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3）系统使用及更新：用户可通过外网下载APP， 并实时进行厂商最新程序的更新。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4.学生端具备有多种类型、多种操作系统无线智能终端。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5.监控通道：主界面可以直接显示教师图像（教师显微镜图像）、学生图像。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可以显示所有学生图像观察窗口，用于实时查看学生端显微镜下的图像。学生姓名(包括学生座号)显示在每个学生端图像窗口上方的标题栏上。在任意学生端图像窗口上点击鼠标右键，将弹出学生图像观察窗口快捷菜单。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7.可以显示教师图像观察窗口，用于实时查看本地（教师端）显微镜下的图像。在观察窗口中点击鼠标右键，将弹出教师图像观察窗口快捷菜单。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单击任意学生端图像窗口，则该学生图像就会处于选中状态，此时用户就可以进行相关操作。在任意学生端图像窗口中双击鼠标可以使该学生窗口图像充满窗口，（此时点击学生图像左下角的全屏按钮可以全屏显示学生图像）再次双击鼠标则返回原来图像大小。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9.点击学生屏幕标签将显示学生屏幕观察窗口， 用于实时监控多个学生端电脑屏幕的活动。学生姓名(包括学生座号)显示在每个学生端屏幕窗口上方的标题栏上。在任意学生端屏幕窗口上点击鼠标右键，将弹出学生屏幕观察窗口快捷菜单。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配套数字切片平台：数字切片均为高倍物镜下全片扫描而成，非局部拍摄再进行多图拼接。数字切片提供“教育部教学仪器研究成果鉴定证书(A类)”证书复印件，加盖供应商公章。并提供计算机软件“著作权登记证书”复印件和省级及以上软件评测机构出具的软件“测试报告”复印件，加盖供应商公章。</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学生端图像分析软件</w:t>
            </w:r>
          </w:p>
        </w:tc>
        <w:tc>
          <w:tcPr>
            <w:tcW w:w="8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1）图像采集：可对实时图像进行捕捉、录像；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2）校准与测量：校准尺度后对图像进行直线、矩形、圆、角度、面积和长度等的测量；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3）拍照与录像：可对显微图像进行实施拍照和动态录像</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数码显微镜系统集成</w:t>
            </w:r>
          </w:p>
        </w:tc>
        <w:tc>
          <w:tcPr>
            <w:tcW w:w="8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1.无线路由器1台：适用频段：2.4GHz；5GHz；2.4GHz+5GHz；传输标准：IEEE 802.11n；IEEE 802.11g；IEEE 802.11b；IEEE 802.11.ac；IEEE 802.11.a；IEEE 802.3；IEEE 802.3u；IEEE 802.3ab网络协议：TCP/IP协议传输率：2184Mbps无线协议：802.11ac支持无线桥接，Qos限速，WPS,防蹭网等功能；无外置天线吸顶式AP；POE/DC供电。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2.互动系统安装、调试。</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智慧一体机</w:t>
            </w:r>
          </w:p>
        </w:tc>
        <w:tc>
          <w:tcPr>
            <w:tcW w:w="8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智慧黑板一体机，远程高清视屏，智能白板功能，多点触控，支持多种文档播放，高色域，广视角</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84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三、录播教室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移动讲台</w:t>
            </w:r>
          </w:p>
        </w:tc>
        <w:tc>
          <w:tcPr>
            <w:tcW w:w="8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1.尺寸：1600*400*1000mm</w:t>
            </w:r>
            <w:r>
              <w:rPr>
                <w:rFonts w:hint="eastAsia" w:ascii="宋体" w:hAnsi="宋体" w:cs="宋体"/>
                <w:i w:val="0"/>
                <w:iCs w:val="0"/>
                <w:color w:val="000000"/>
                <w:kern w:val="0"/>
                <w:sz w:val="20"/>
                <w:szCs w:val="20"/>
                <w:u w:val="none"/>
                <w:lang w:val="en-US" w:eastAsia="zh-CN" w:bidi="ar"/>
              </w:rPr>
              <w:t>，偏差±5%；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2.材质：25厚三聚氰胺桌面+18厚三聚氰胺柜体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3.工艺：外露截面用PVC条封边。以上芯板均为E0级芯板；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4.功能：桌面角度可调整，底部配置轮子，方便移动。</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录播桌椅</w:t>
            </w:r>
          </w:p>
        </w:tc>
        <w:tc>
          <w:tcPr>
            <w:tcW w:w="8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课桌规格：600mm*400mm*780mm</w:t>
            </w:r>
            <w:r>
              <w:rPr>
                <w:rFonts w:hint="eastAsia" w:ascii="宋体" w:hAnsi="宋体" w:cs="宋体"/>
                <w:i w:val="0"/>
                <w:iCs w:val="0"/>
                <w:color w:val="000000"/>
                <w:kern w:val="0"/>
                <w:sz w:val="20"/>
                <w:szCs w:val="20"/>
                <w:u w:val="none"/>
                <w:lang w:val="en-US" w:eastAsia="zh-CN" w:bidi="ar"/>
              </w:rPr>
              <w:t>，偏差±5%；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课凳规格：370*270*380-440mm</w:t>
            </w:r>
            <w:r>
              <w:rPr>
                <w:rFonts w:hint="eastAsia" w:ascii="宋体" w:hAnsi="宋体" w:cs="宋体"/>
                <w:i w:val="0"/>
                <w:iCs w:val="0"/>
                <w:color w:val="000000"/>
                <w:kern w:val="0"/>
                <w:sz w:val="20"/>
                <w:szCs w:val="20"/>
                <w:u w:val="none"/>
                <w:lang w:val="en-US" w:eastAsia="zh-CN" w:bidi="ar"/>
              </w:rPr>
              <w:t>，偏差±5%；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一、课桌：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桌面：桌面材质选用EI级环保多层板，桌面四边采用抗老化PP塑料无缝注塑封边，防水性能经水滴试验无渗透。肘部与桌沿具有良好的交互性，按照人体工程学原理进行弧度设计（大鸭嘴边），兼顾美观与牢固，桌面挠曲度≤0.2。桌面上前方设有一笔槽，笔槽必须和桌面包边连为一体防止后期塑料脱落，以方便学生存放工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2桌斗规格:采用厚度≥0.8mm的钢板一次冲压成型，边沿卷有圆形加强筋。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3.桌钢架下半部采用：25mm*54mm*1.2mm扁圆管，采用单弯抽芯液压弯制而成，钢架为“L”型，平脚设计。上半部采用20*40*1.5mm扁圆管，一侧设有书包挂钩。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具体用料及规格设计科学合理，结构牢固，协调美观。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4.桌脚垫：支撑脚脚底前后（即封头）均须设置防滑及防噪音的 pp塑料脚垫。厚度≥3mm，在外拉力 1050N 下不脱落。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二、课凳：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座椅面：材质选用PP塑料一次成型。座板尺寸370*270*30mm。                                               2凳钢架下半部采用：30mm*60mm*1.2mm扁圆管，平脚设计。上半部采用20*40*1.2mm扁圆管。                                                                                3.椅脚垫：支撑脚脚底前后（即封头）均须设置防滑及防噪音的 pp 塑料脚垫。厚度≥3mm，在外拉力 1050N 下不脱落。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三、焊接工艺：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钢架焊接经除油除锈，并符合国家标准；组装桌面板、凳面板、椅面板与钢架组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装后，应牢固、可靠；全部采用安全螺帽，安全防挂；材料、工艺、漆膜理化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性能、力学性能、安全卫生要求都必须符合国家相关标准。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四、涂装工艺：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外观钢材表层处理采用高压静电喷塑。喷涂后的塑面厚度均匀、覆盖完整、光泽明亮；无流挂、气泡等；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钢材经酸洗、磷化、钝化、静电喷塑，高温烘烤， 颜色由甲方选择。</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观摩座椅</w:t>
            </w:r>
          </w:p>
        </w:tc>
        <w:tc>
          <w:tcPr>
            <w:tcW w:w="8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尺寸：600*700*800</w:t>
            </w:r>
            <w:r>
              <w:rPr>
                <w:rFonts w:hint="eastAsia" w:ascii="宋体" w:hAnsi="宋体" w:cs="宋体"/>
                <w:i w:val="0"/>
                <w:iCs w:val="0"/>
                <w:color w:val="000000"/>
                <w:kern w:val="0"/>
                <w:sz w:val="20"/>
                <w:szCs w:val="20"/>
                <w:u w:val="none"/>
                <w:lang w:val="en-US" w:eastAsia="zh-CN" w:bidi="ar"/>
              </w:rPr>
              <w:t>，偏差±5%；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设计理念：符合人体工学；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座板：工程PP+15%玻纤；通过BFM-136KG；拉背测试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底盘：铝合金专用底盘+静电亚光喷涂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椅架：直径28mm*2.0mm圆管；中心套采用3mm无缝钢管；中心轴为旋转呆杆+ABS同色装饰盖；表面出为静电麻纹喷涂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置物托盘：工程PP+15%GF增强；立体皮纹工艺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轮子：60PU静音轮；通过BFM测试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写字板支架：压铸铝合金旋转功能+直径25*2.0mm 钢管；可360°旋转；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写字板面板：E0级MDF单贴面+吸塑皮纹处理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软包：专用内嵌式软包座垫可选配皮革/布料</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4K录播主机</w:t>
            </w:r>
          </w:p>
        </w:tc>
        <w:tc>
          <w:tcPr>
            <w:tcW w:w="8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硬件一体化设计，完成视频录制、教师、学生跟踪拍摄，同时支持直播、点播、导播、存储、切换、视音频编码等功能。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采用国产化嵌入式ARM架构，内置Linux操作系统，功耗不高于20瓦，220V供电，支持7*24小时长时间运行，具备高稳定性和安全性。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视频IO接口：系统具备≥5路HDMI输入，可供教学电脑信号接入，支持720P、1080P、4K等信号输入；系统具备≥4路HDMI 视频输出接口，可输出本地导播界面、导切PGM画面、教电脑环出等画面。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音频接口：支持≥1路音频监听端口，支持 ≥2路Line in线路输入音频接口，和≥2路Line Out线路输出音频接口，满足教室的拾音与混音需求。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控制串口：支持≥2路RS232串口，支持≥2路RS485串口，用于中控等外部设备连接。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USB接口：支持≥4个USB接口，要求其中至少具备 2路USB3.0接口。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 网络接口：支持≥≥1路RJ45 10M/100M/1000M自适应网络接口。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主机存储：提供 ≥2TB硬盘，支持存储H.264/AAC的MP4视频格式。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信息显示屏：具备2.0英寸真彩显示屏，能够实时显示系统版本、设备IP地址、工作状态、音频输出电平等信息。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★应具备国家强制性CCC认证证书。（提供相应证书及符合上述涉及标准相关内容的复印件加盖厂家公章）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★应具备中国节能产品认证证书。（提供相应证书及符合上述涉及标准相关内容的复印件加盖厂家公章）</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6"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录播系统软件</w:t>
            </w:r>
          </w:p>
        </w:tc>
        <w:tc>
          <w:tcPr>
            <w:tcW w:w="8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软件系统运行于Linux的嵌入式录播管理系统内部，出厂即安装于录播主机内；为了便于操作，录播主界面应可以实时显示录制状态、录制时长、剩余可录制时长、CPU、内存、网络占用率等设备状态信息。（需提供国家级检测中心出具检测报告复印件加盖厂家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软件性能：系统须支持 ≥8路高清视频的实时预览显示、直播输出监视。（需提供国家级检测中心出具检测报告复印件加盖厂家公章）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4K接入性能：支持≥5路 3840*2160 4K分辨率视频同时接入并预览，其中≥4路摄像机信号，≥1路教师机信号。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录制模式：系统须同时提供单流单画面的电影模式和多流多画面的资源模式供用户选择，支持保留更多的素材，方便后期编辑使用。（需提供国家级检测中心出具检测报告复印件加盖厂家公章）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本地导播：支持无延迟本地导播界面，支持全输入通道视频监看，集视频监视，视频切换、云台控制，音频调整、直播控制、录制控制、双视窗效果、画中画效果、多视窗效果、AI信息浏览、智能剪辑等功能。（需提供软件界面截图，并加盖厂家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支持网络导播、手机导播等多种导播方式，支持在教师机上安装录播教学助手软件，进行APP导播和文件的下载。（需提供国家级检测中心出具检测报告复印件加盖厂家公章）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B/S架构网络导播：通过谷歌、edge、遨游、360、QQ等主流浏览器，使用网络方式登录主机，进行相关的操作；集视频监视，视频切换、云台控制，音频调整、直播、录制控制、双视窗效果，画中画效果，多视窗效果等功能。（需提供国家级检测中心出具检测报告复印件加盖厂家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手机导播：为了便于用户进行随时随地的导播，支持通过微信扫一扫功能，扫描录播主机专属二维码，进行录播手机端登录，对录播进行导播、点播、删除、上传等操作。（需提供国家级检测中心出具检测报告复印件加盖厂家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视频特技：为了使录制下来的课程具有更多丰富的表现形式，需支持 23 种以上可选布局模式，并支持用户自定义设置；14 种以上转场特效，包含擦除、覆盖、淡进淡出等主流切换特效；支持在线添加及编辑标题字幕、校标角标功能，并可通过鼠标拖动，调整标题字幕、校标角标中图片和文字所在画面中的显示位置。（需提供国家级检测中心出具检测报告复印件加盖厂家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课件自动侦测触发：为降低系统操作复杂度，系统可智能识别课件电脑 “键鼠触发”和“图像变化”，并将画面自动切换到主输出画面，并可自定义信号呈现保留时间及侦测灵敏度。（需提供国家级检测中心出具检测报告复印件加盖厂家公章）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模版编辑：支持在BS客户端界面编辑效果模版，通过鼠标拖动，调整标题字幕、校标角标中图片和文字所在画面中的显示位置，实时预览模版编辑的效果，方便用户直接加载使用模版。（需提供系统软件界面截图，并加盖厂家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内置调音台：内置高保真立体声音频处理算法，具备独立音频交互控制界面，可将录播中多路输入信号进行放大、混合、分配、音质修饰和音响效果加工，并将最终音频进行录制并分别控制输出扩音。输出同时支持含吊麦扩声输出和不含吊麦扩声两种输出信号。（需提供国家级检测中心出具检测报告复印件加盖厂家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音频处理：为保证教室内声音采集效果，需具有良好音频处理功能。保证本地音频采集及远程互动音频效果，具备回声抑制（AEC），自动降噪（ANS），自动增益（AGC）等功能，并可独立配置。（需提供国家级检测中心出具检测报告复印件加盖厂家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 内置导播台：系统内置导播台功能，支持鼠标控制摄像机云台方向调节，支持特技切换、通道切换、摄像机镜头调节等功能。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 特效保持：支持设定好的视频效果，例如校标、特技等内容，在系统重启后，仍然保持样式。（需提供系统软件界面截图，并加盖厂家公章）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 课表功能：系统支持课表录制功能,可根据平台下发课表进行录制、直播，并可支持手动创建课表,自定义课程录制、直播开始及结束时间。（需提供国家级检测中心出具检测报告复印件加盖厂家公章）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 课件侦测：课件自动侦测触发：为降低系统操作复杂度，系统可智能识别课件电脑 “键鼠触发”和“图像变化”，并将画面自动切换到主输出画面，并可自定义信号呈现保留时间及侦测灵敏度。（需提供国家级检测中心出具检测报告复印件加盖厂家公章）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18.直播功能：支持标准RTMP推流协议，支持面向≥8路不同的站点同时直播，每个站点支持用户自定义通道，支持对直播的高标清码率进行调节，以适应不同网络环境下保持直播的流畅性。（需提供系统软件界面截图，并加盖厂家公章）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 USB视频扩展：录播系统支持UVC视频传输功能，可通过与教师机的一线连接，将录制信号与互联网常用视频会议软件互联，将教室内所有导切画面传送到会议终端，进行远程会议或远程授课。（需提供国家级检测中心出具检测报告复印件加盖厂家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 内置互动：系统内置MCU(互动服务器)功能,无须视频会议终端和MCU服务器的情况下即可实现多台录播主机之间的音视频在线互动。（需提供国家级检测中心出具检测报告复印件加盖厂家公章）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 MCU互动模式：录播系统支持标准 SIP 协议，可作为视频会议终端，接入MCU服务器，实现多方、多地、大规模的远程互动应用。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 智能拆条：支持基于教学PPT的教学视频自动拆分功能，根据教师电脑通道的PPT标题，自动拆分条目，并识别成文字并记录时间点，每页PPT的标题文字作为1个知识点，便于后期剪辑和在平台上学习使用。（需提供系统软件界面截图，并加盖厂家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 上传和下载：录播系统支持自动化的上传策略，支持用户自定义多个时间段的上传策略；支持用户网络远程下载课程录像，方便用户不需要进入现场就能导出录播主机内的录像文件。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 后期编辑：为提高后期编辑效率，要求录播系统在录制时能同步记录镜头导切点信息，并生成用于后期剪辑的故事板文件；使用非编进行剪辑时，通过故事板文件将视音频素材一键导入到非编中，并参照这些信息快速完成镜头替换和剪辑。（需提供国家级检测中心出具检测报告复印件加盖厂家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 支持中英文双语版本一键切换，适合不同用户的应用需求。（需提供国家级检测中心出具检测报告复印件加盖厂家公章）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 管理功能：系统支持NTP服务自动校时功能，实现录播主机的时间同步；系统支持可配置硬盘写满策略，支持停止录制或覆盖，配备硬盘格式化工具；系统具备串口通讯功能，支持第三方中控对接；系统具备导播台控制端口，支持受专业导播台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27. 监控功能：支持对任意一路摄像机监控信号每天24小时不间断本地录制；支持自定义视频存储周期，保存时间≥180天；监控功能支持手动开启或开启自启动，并支持用户在网页端读取回放。（需提供系统软件界面截图，并加盖厂家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 系统支持扩展Ai语音分析功能，系统可实时与服务器进行数据交换，同步进行语音识别，并将识别的结果以标准字幕文件进行存储，在后期可以与课程视频同步导入到编辑系统加以利用。（需提供系统软件界面截图，并加盖厂家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29. 系统支持扩展AI语音字幕直播功能，可实现观看直播的同时，将语音字幕展现在直播画面下方。（需提供系统软件界面截图，并加盖厂家公章）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30. 智能剪辑：系统内置在线剪辑软件，支持在录制结束后，立即在导播界面，进行在线编辑，支持裁剪、删除、缩放、导出等功能。（需提供系统软件界面截图，并加盖厂家公章）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 ★提供录播系统软件著作权证书复印件，并加盖厂商公章。</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智能跟踪处理软件</w:t>
            </w:r>
          </w:p>
        </w:tc>
        <w:tc>
          <w:tcPr>
            <w:tcW w:w="8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1.跟踪采用图像分析+人脸跟踪双项技术，可以锁定跟踪单个目标,即使教师长时间完全静止在讲台上，在教师脸部不被完全遮挡的情况下，摄像机仍能一直锁定跟踪教师，不会跟踪其他目标；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2.跟踪平稳，目标小范围走动或者躯体动作不会造成摄像机晃动，且灵敏度可调；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3.具有锁定跟踪、摄像机运动时切换、摄像机运动速度快时切换等多种跟踪模式可选择；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4.具有教师身高自适应技术，始终保持不同身高教师的头部在画面中的合适位置；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5.教师机内置学生机全景、学生机特写、老师机全景、老师机特写、板书特写、电脑屏幕六机位之间的导播切换策略；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6.可通过串口同时控制教师机和学生机；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7.自带最低不少于8个抗干扰屏蔽区域功能，可以屏蔽掉教室内液晶一体机、投影机、反光的黑板、门窗等对跟踪定位的影响，抗干扰能力强。</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3"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4K双目云台摄像机</w:t>
            </w:r>
          </w:p>
        </w:tc>
        <w:tc>
          <w:tcPr>
            <w:tcW w:w="8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 用 1/2.5 英 寸、 最 大 851 万 像 素 的 高 品 质 UHD CMOS 传感器，可实现 4K(3840x2160) 超高分辨率的图像。并且向下兼容 1080P、720P 等多种分辨率。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一体化集成设计，可输出全景和特写多路高清视频。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智能教学跟踪，内置领先的图像识别和跟踪算法，无需任何辅助定位摄像机或跟踪主机即可实现平滑自然的跟踪效果，生产前装配不同的摄像头，从而实现各种场景下跟踪需求。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特写镜头，高品质真 800 万超高解析度的 4K 超广角镜头，12 倍光学变焦，71°广角镜头。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全景镜头，配备48°定焦镜头，镜头视角可可上下调节（-15° ~ +15°），方便工程安装与调试。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支持 H.265 编码的超高清跟踪摄像机，可实现超高清 4K超低带宽传输。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支持多种白平衡模式，包括 自动，室内，室外，一键式，手动，指定色温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 HDMI1.4b 高 清 输 出， 另配备 3G-SDI 接 口，有效 传 输 距 离 最 高 长 达 150 米（1080p30）。HDMI、LAN或3G-SDI、LAN 可同时输出 2路高清数字信号。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内置重力传感器支持图像自动翻转功能，方便工程安装使用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内置麦克风阵列，可全向拾音，拾音距离高达 6 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支持图像冻结。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支持音频LINE IN输入，摄像机可对音频进行编码；支持音频AAC、G711A编码标准；网络音频编码码率最大可支持256Kbps。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提供多种图像风格选项可灵活设置，以适应多种灯光的要求，必须支持LED灯光显示风格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 支持红外透传功能，摄像机除了能够接收专用遥控器信号外，还能够接收用户红外遥控器信号，并通过VISCA IN端口发送到后端设备(例如视频会议终端)，方便后端设备隐藏到机柜中。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 摄像机菜单界面至少支持中英文等多种国家语言。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 支持USB音视频输出，支持操作系统 Windows 7, Windows 8, Windows 10,Mac OS X, Linux, Android；支持YUY2 / H.264 / MJPEG  / H.265等编码格式，USB视频通信协议 UVC1.1-1.5。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 云台转动范围，水平：±170°，垂直： ±30°； 转动速度范围，水平：1.61</w:t>
            </w:r>
            <w:r>
              <w:rPr>
                <w:rFonts w:ascii="Malgun Gothic" w:hAnsi="Malgun Gothic" w:eastAsia="Malgun Gothic" w:cs="Malgun Gothic"/>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~75.56° /s，垂直0.44° ~ 15°/s。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 具有3D降噪算法，降低图像噪声，图像信噪比≥55dB。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 白平衡，自动, 室内, 室外, 一键式, 手动，指定色温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 支持背光补偿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 支持多种曝光模式，自动/光圈优先/快门优先/亮度优先/手动等适应不同亮度环境使用。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 摄像机支持通过配置工具调用OSD菜单，可调节图像参数。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 摄像机通过配置工具进行设置，可设置“跟踪灵敏度”、“水平”、“垂直速度”、“变焦范围”；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 支持网口音视频编码输出，支持H.264/265/MJEPG视频编码标准；支持TCP/IP, HTTP, RTSP, RTMP, Onvif, DHCP, 组播等网络协议。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 全景画面与特写画面必须采用相同图像传感器和图像处理器，确保两者图像输出亮度、颜色、风格等保持一致。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 摄像机可设置不少于255个预置位，预置位精度≤0.1°。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27. 支持web端远程控制修改IP地址控制云台转动等。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 支持web端远程设置调试参数，看相机实时出图画面。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29. 支持老师/板书特写自动跟踪切换。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30. 调试工具可灵活设置教师/板书/学生特写画面保持时间。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 三预置位/跟随模式/双镜模式/混合模式，多种跟踪模式实现不同教学场景跟踪效果。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 支持跟踪灵敏度/特写画面大小调节，适应不同年龄人群应用场景。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33. 摄像机支持VISCA指令来开关跟踪、自动导播/手动导播切换。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34. 可使用RS232、RS485、网络以及USB对摄像机进行控制。支持VISCA、PELCO-D/P多种协议的对摄像机进行控制；支持网络VISCA协议控制。</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4K云台摄像机</w:t>
            </w:r>
          </w:p>
        </w:tc>
        <w:tc>
          <w:tcPr>
            <w:tcW w:w="8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1、图像传感器为不小于1/1.8英寸，最大842万像素的高品质UHD CMOS传感器，可实现4KP60(3840x2160)超高分辨率的图像。并且向下兼容4K@59.94fps, 4K@50fps,4K@30fps, 4K@25fps, 4K@29.97fps, 1080P@60fps, 1080P@50fps, 1080I@60fps,1080I@50fp, 1080P@30fps,1080P@59.94fps,1080I@59.94fps, 1080P@29.97fps, 720P@60fps,720P@59.94fps.等多种分辨率。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2、至少采用4K超高清长焦镜头，水平视场角≥60°，光学变焦≥20倍，数字变焦≥16倍。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3、支持AI算法实现了单目人形跟踪，可实现教育、会议和直播等场景的自动跟踪。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4、支持多种方式控制摄像机，可通过RS232、RS485、网络以及USB对摄像机进行控制，支持VISCA、网络VISCA协议、PELCO-D/P多种协议的对摄像机进行控制。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5、云台转动范围，水平：±170°，垂直：-30° ~ +90°。转动速度范围，水平：1.7° ~ 100°/s，垂直1.7° ~ 69.9°/s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6、支持音频LINE IN输入和音频Line Out输出，摄像机可对音频进行编码；支持音频AAC、G711A编码标准；网络音频编码码率最大可支持128Kbps。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数字音频矩阵</w:t>
            </w:r>
          </w:p>
        </w:tc>
        <w:tc>
          <w:tcPr>
            <w:tcW w:w="8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1、6路平衡式麦克风输入，支持48V幻象供电。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2、4路线路输入，6路线路输出，采用凤凰端子。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3、1个无线麦接口，采用3.5mm标准音频接口。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4、1个监听耳机接口，采用3.5mm标准音频接口。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5、1个USB2.0 A型接口，支持双向音频数据传输，一根USB线实现回声消除和信号传输。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6、1个RS-232串口，可外接控制终端。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7、1个RJ45接口，可外接配置电脑。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8、1个RESET按键，用于恢复默认出厂设置。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9、1个远程调试配对按键。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10、设备支持机壳接地，具有明显的接地标识。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11、支持去混响功能，去混响效果明显；面板具备去混响拨码开关。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12、支持全频带全双工自适应回声消除技术：回音消除尾音长度：≥512ms回声消除幅度：≥70dB 收敛速度：≥65dB/S。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13、全频带动态自适应降噪技术，降噪电平最高达18dB。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14、信号处理延时：&lt;8ms；</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指向性拾音话筒</w:t>
            </w:r>
          </w:p>
        </w:tc>
        <w:tc>
          <w:tcPr>
            <w:tcW w:w="8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麦克风类型 电容式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拾音模式 超心型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频率响应 60Hz-20000Hz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灵敏度 -32±3dB(0dB=1V/Pa@1KHz)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 80dB 具有专业抗底噪及电路噪声的功能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输出阻抗 200Ω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供电要求 24-48V幻象电源供电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输出接口 三芯XLR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低切过滤器 150Hz，能够切除150Hz以下的噪音，例如空调声和车鸣声，录制清晰自然的声音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 129g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配置防风毛，防风棉，拉链包，防震架</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电容式触控面板</w:t>
            </w:r>
          </w:p>
        </w:tc>
        <w:tc>
          <w:tcPr>
            <w:tcW w:w="8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采用电容感应式触摸技术，而非普通的液晶触摸屏；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 防尘、防水，无数次的按键寿命；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 触摸面采用专用亚克力材料，能有效承受硬物的一般碰撞和划伤；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 采用按键密码模式，可以设置和解除开机时设备的联动等；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 160mm（长）、100mm（宽）、12mm（厚），尺寸精巧，安装简单、美观；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 能够控制录播主机的开机和关机；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 能够对录播过程进行控制，包括开启录制、暂停录制、停止录制及直播的开启、停止等；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 可以实现一键开启、结束录播主机的互动课堂功能；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9</w:t>
            </w:r>
            <w:r>
              <w:rPr>
                <w:rFonts w:hint="eastAsia" w:ascii="宋体" w:hAnsi="宋体" w:eastAsia="宋体" w:cs="宋体"/>
                <w:i w:val="0"/>
                <w:iCs w:val="0"/>
                <w:color w:val="000000"/>
                <w:kern w:val="0"/>
                <w:sz w:val="20"/>
                <w:szCs w:val="20"/>
                <w:u w:val="none"/>
                <w:lang w:val="en-US" w:eastAsia="zh-CN" w:bidi="ar"/>
              </w:rPr>
              <w:t>、 按键设置合理，老师操作简单；</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电源管理器</w:t>
            </w:r>
          </w:p>
        </w:tc>
        <w:tc>
          <w:tcPr>
            <w:tcW w:w="8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19”标准机架式结构；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电源电压交流:220V 50HZ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8路通道输出,每组延迟时间1s,每组最大输出电流30A。</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导播控制台</w:t>
            </w:r>
          </w:p>
        </w:tc>
        <w:tc>
          <w:tcPr>
            <w:tcW w:w="8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专业导播控制台：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实现专业的信号切换、调音、摄像机控制（支持多达4x9个预置位）、录制控制、字幕特技等功能。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提供控制接口RS232/RS422/USB；支持VISCA摄像机控制协议；波特率9600bps；8通道摄像机；配备四维变速操纵杆。</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6"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视频资源管理平台</w:t>
            </w:r>
          </w:p>
        </w:tc>
        <w:tc>
          <w:tcPr>
            <w:tcW w:w="8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一．基本要求：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以大规模直播和点播为基础，帮助学校实现教学资源的共享，满足师生的在线学习需求，提供便捷的师生交流通道；以学习者为中心，对资源进行多维度管理，让师生便捷学习；具备丰富的可扩展业务模块，包含督导评价、AI教研、活动、备课、在线剪辑等业务模块，提升教学管理，丰富校园文化与生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二．技术性需求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1.资源平台系统，采用JAVA的BS架构，支持跨平台部署，支持在Windows、Linux多种操作系统平台下部署；为达到高并发用户访问需求，系统采用前后端分离模式结构，前台HTTP服务支持多机集群化部署。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2.资源平台内嵌流媒体服务基础引擎，可支持至少300 用户的在线点播和直播的访问，具备根据实际的访问需求，将来进一步扩展流媒体服务性能的能力。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3.BS页面播放器：支持基于Html5流媒体播视频播放，兼容PC和移动终端BS页面正常播放，用户不需要再额外安装其它播放器，也不需要加载flash插件，播放更流畅。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4.播放模式：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①播放器窗口进行高清、标清视频源切换；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②支持多画面资源模式点播，支持画中画，可支持五分屏画面同步播放，自由切换通道显示位置；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③支持全屏播放。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5.倍速播放：播放器窗口，支持倍速播放，可根据需要选择不同的播放速度。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6.声音控制：多画面播放时，支持用户指定播放任一通道的声音。（需提供软件界面截图）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存储访问：支持挂载多种类型的存储作为数据存储区，支持标准的ftp、nfs、samba、FC-SAN、IP-SAN等共享存储类型；针对多个存储区，可以同时激活使用，具备容量警界线设置，通过灵活的设置策略实现存储负载均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8.存储空间管理：支持文件生命周期管理，支持用户自定义文件删除策略，定期清理空间。可根据水位线删除，也可根据保存时间删除；可定时自动删除，也可手动立即清除。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9.网络支持：出于网络安全性的考虑，系统可支持校园网和互联网双网络服务的支持，通过访问策略的设置，在保证内部网络安全性的前提下，可支持学校在内外网开展课程资源的服务。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三．功能需求：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1.门户管理：支持学校自定义平台名称；支持学校上传自己的logo；支持学校自定义首页轮播图；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2.公告管理：支持添加公告，在公告中可添加附件、插入图片，支持公告置顶、和有效性设置。支持对公告设置可见人员范围。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用户管理：具备完善的用户管理功能，支持初始化导入、用户组管理、用户权限管理，支持多级组织结构的用户权限控制。支持注册和审核功能：支持对老师注册和学生注册独立控制，由用户来控制是否开放注册，以及是否注册后是否需要审核才能成为正式用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4.组织机构管理：支持用户自定义多级组织机构，业务功能可根据组织结构的层级进行单独设置，例如：学校、学院、专业和班级。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课程管理：平台以用户为中心、以课程为主线，能够管理各种类型的课程资源，用于师生的课前课后的点播和直播需求。课程类型包含：课程、教务课程、名师课程多个种类。支持对课程访问权限进行管理，根据用户需求设置课程的资源访问和下载权限。（需提供课程类型包含课程、教务课程、名师课程的软件界面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审核管理：课程和资源发布可增加审核环节，审核管理权限可根据组织结构进行分级控制，例如：学科管理员只管理本学科课程和资源，院系管理员只管理本院系的课程和资源。管理员可关闭审核开关，设置自动审核模式。（需提供审核权限分级控制的软件界面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7.录播教室管理：通过功能化扩展后，可支持与集控化和常态化录播教室无缝对接，对接后可自动化驱动录播教室汇聚课程资源，支持对录播教室的录制、直播等控制功能，并且可以支持教室的巡课和督导。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8.个人中心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1)每个用户都可以通过个人中心进行个人信息修改。个人中心还支持展示用户关注的课程、收藏的资源、预约的直播课程；个人中心还具有常用软件下载功能，支持用户下载周边需要的软件。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作业管理：支持老师创建教学班对学生进行管理，支持创建作业、点评作业和管理作业；点评作业时支持打点点评和整体评价。支持推荐优秀作业。支持设置作业查看权限。支持把作业批量下发给多个班级，支持对作业进行自动编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3)我的督导：支持查看自己的督导记录；支持老师查看被督导的结果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4)我的审核：支持院系审核员添加学科审核员，并分配其所负责的学科；学科审核员在个人中心进行课程和资源的发布审核。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9.课程点播：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与录播教室对接后，系统自动汇聚体系化课程，产生教务课资源目录：教务课根据开课单位、课程名和授课老师自动归类，每门教务课的资源列表根据上课时间自动排序，显示课程名上课时间、上课班级、上课地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课资源：根据开课单位、课程名和授课老师归类。支持自定义课程门户显示栏目，支持添加共同授课的教学团队。支持对参考教材进行管理。支持对课程章节目录进行管理，每个章节支持添加多种资源，如视频、多分屏、音频、文档、图片等。播放窗口根据类型适配播放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资源播放：支持多种多分屏模式：画中画、两分屏、三分屏、四分屏、五分屏等。支持任意通道的全屏播放；支持多通道的全屏播放；多分屏时支持任意切换主窗口播放通道。播放文档类资源时：支持对PDF、Word、Excel、PPT等文档及图片作为资源进行在线预览；支持倍速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4)资源搜索：支持按照老师名或课程名进行搜索，也支持按照学院列表导航树进行筛选。支持根据关键词搜索知识点、微视频；（需提供以上搜素及筛选功能的软件界面截图）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5)资源分享：支持对课程进行关注、收藏和分享，支持对资源进行下载等操作。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6)知识点和微视频功能：支持精彩视频打点，生成知识点或微视频；每个知识点对应一个截图，展现在播放器下方。知识点和播放窗进度条联动。（需提供精彩视频打点并且能够和知识点对应的软件界面截图）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10.课程直播：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1)多种直播模式，支持自动化教室课程直播、支持手动活动的直播、支持转发第三方系统流媒体的直播功能。支持多种直播协议：RTMP、HLS多种协议。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2)多终端看直播：支持通过pc端浏览器、移动端浏览器、和App等多终端观看直播，支持单画面或多画面直播。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3)支持内外网多点推流直播，支持校内外同步直播模式。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直播栏目：在直播栏目中，支持根据组织机构及权限过滤直播，支持根据直播名称关键字检索直播，支持根据未开始、正在进行、已结束和准备中进行分类；自动过滤有问题直播:支持自动过滤已开始但无信号的直播，放入准备中列表。（需提供根据直播名称关键字检索直播的软件界面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直播效果：支持单画面和多画面流畅直播，支持多分屏或画中画观看模式，多画面直播时支持选择直播通道的声音。多码流直播时，支持选择高码或低码画面；支持通道音频独立控制播放，支持全屏播放。（需提供支持单画面和多画面直播软件界面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6)直播分享：支持对直播分享观看链接地址和二维码，支持微信扫码观看。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直播权限：支持为直播设置访问权限,公开直播或私密直播，有权限的人才可以访问；支持为直播设置允许访问人员名单；支持为直播设置观看密码。（需提供直播设置访问权限,公开直播或私密直播的软件界面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8)直播互动：支持直播过程中，同时支持PC和移动端的在线的用户之间进行在线聊天。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直播统计：支持记录观看直播的在线人数；支持记录每个访问用户进入和离开直播间的时间；支持导出访问人员列表。（需提供记录观看直播的在线人数以及记录每个访问用户进入和离开直播间的时间的软件界面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11.统计功能：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1)课程汇总统计：支持统计全校开设的教务课数量、课数量和科目数量；分类的显示：教务课程统计、课程数统计，支持统计各课程数和科目数量并支持数据的导出.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2)资源统计：支持统计每个教务课的资源数量；支持统计每个课资源的点播次数。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3)直播统计：支持自定义组织结构下，直播的数量。支持统计全校开设直播的总数，支持统计公开直播和私密直播的数量。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访问统计：支持各个课程栏目的访问量统计：支持统计课程的访问量，可按访问人次排名和访问人数排名；支持统计教师和学生的课程访问量，统计数据支持：访问次数、访问时长，支持数据导出。（需提供各个课程栏目的访问量统计：支持统计课程的访问量，可按访问人次排名和访问人数排名的软件界面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12.APP：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1)支持安卓移动端APP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2)支持课程查看，显示课程的基本信息，支持根据章节列表点播资源，支持多分屏查看，支持查看查看知识点和微视频。支持下载微视频。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3)支持查看教务课程的资源，根据上课列表选择资源进行观看学习；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4)支持搜索名师，并查看名师的课程。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5)支持观看直播，支持多分屏播放。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6)支持修改个人信息，并查看我下载的资源。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7)支持通过平台网页下载app。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13.其他要求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1)提供计算机软件著作权登记证书。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2）提供软件产品登记测试报告。</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音箱</w:t>
            </w:r>
          </w:p>
        </w:tc>
        <w:tc>
          <w:tcPr>
            <w:tcW w:w="8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1、音箱采用特制扬声器单元。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2、音箱采用两分频设计，重放效果清晰、饱满、柔和，能够很好地表现音乐和还原人声。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3、箱体采用中密度纤维板，表面采用白色撒点喷漆，美观且经久耐用。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4、音箱外形小巧、简洁美观、箱体线条流畅、具有现代感、安装方便。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5、网罩采用0.8mm至1.0mm厚的钢网。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6、音箱自带专用壁挂件，可根据使用要求灵活调整水平、垂直角度。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额定/峰值功率：        60W / 240 W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额定阻抗：             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特性灵敏度：           89dB/W/m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输出声压级：           107dB/W/m(Continues)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113dB/W/m(Peak)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额定频率范围:           90~ 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扬声器单元：           LF:  6.5英寸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HF:  3 英寸纸盆高音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箱体材料：             15mm中密度纤维板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输入接口：             接线盒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吊挂点：               专用壁挂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箱体尺寸(mm)：         372(H) ×228.6(W)×209(D)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重量(kg)：               4.7</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功放</w:t>
            </w:r>
          </w:p>
        </w:tc>
        <w:tc>
          <w:tcPr>
            <w:tcW w:w="8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1、合并式功率放大器采用双声道高保真全分离件、全频带功率放大系统；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2、二路有线话筒输入，一路无线话筒输入，一路USB型2.4G无线话筒输入；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3、三组线路输入，一路定压广播信号输入；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4、一组线路输出，一组录音输出，A+B组功率输出；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5、话筒、线路的音量可独立调节，话筒高低音2段均衡；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6、具有环保麦克风插口带+48V幻像电源；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7、带有RS232接口，可实现电脑联机或中控控制；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8、带有定压广播信号优先播放功能；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9、保护功能：过流、过载、超温、DC保护等；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10、具有高保真、高清晰、性能稳定可靠等特点；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额定功率：  2×110W/8Ω  2×165W/4Ω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输出功率：  2×220W/8Ω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峰值功率：  2×300W/8Ω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输入灵敏度：线路300mV±30mV ；话筒15mV±2mV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频率响应：  20Hz～20KHz  -3dB，+1dB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话筒均衡提衰量：10dB  ±2db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幻像电源： +48V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失真度：≤0.5%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信噪比：功放部分≥100dB  话筒部分≥82dB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录音输出：≥0dB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整机净尺寸：430×380×105（mm）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净重：9.0KG</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POE交换机</w:t>
            </w:r>
          </w:p>
        </w:tc>
        <w:tc>
          <w:tcPr>
            <w:tcW w:w="8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网络标准 IEEE 802.3、IEEE 802.3u、IEEE 802.3x、IEEE 802.af、IEEE 802.at; 端口:5 个 10/100Mbps RJ45 端口，其中 1-4 端口支持 PoE 功能</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导播监视器</w:t>
            </w:r>
          </w:p>
        </w:tc>
        <w:tc>
          <w:tcPr>
            <w:tcW w:w="8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23寸高清显示器带HDMI接口</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无线键鼠</w:t>
            </w:r>
          </w:p>
        </w:tc>
        <w:tc>
          <w:tcPr>
            <w:tcW w:w="8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通用无线套装键盘、鼠标</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设备操作台</w:t>
            </w:r>
          </w:p>
        </w:tc>
        <w:tc>
          <w:tcPr>
            <w:tcW w:w="8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1.钢木结合材料一体成型；桌体采用1.5mm冷轧钢板；附锁钥匙。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2.桌面采用深色耐划木质材料；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3.长宽高（CM），关闭：180* 90* 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4.隐藏式滑轨抽屉，可容纳键盘、鼠标；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5.操作台左右两侧带机架柜，钢板厚度≥1.5MM，足够容纳全部录播及服务器等设备；</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bl>
    <w:p>
      <w:pPr>
        <w:snapToGrid w:val="0"/>
        <w:ind w:left="354"/>
        <w:rPr>
          <w:rFonts w:ascii="宋体" w:hAnsi="宋体" w:cs="仿宋"/>
          <w:b/>
        </w:rPr>
      </w:pPr>
    </w:p>
    <w:p>
      <w:pPr>
        <w:pStyle w:val="64"/>
        <w:rPr>
          <w:rFonts w:ascii="宋体" w:hAnsi="宋体" w:cs="仿宋"/>
          <w:b/>
        </w:rPr>
        <w:sectPr>
          <w:headerReference r:id="rId9" w:type="first"/>
          <w:footerReference r:id="rId12" w:type="first"/>
          <w:headerReference r:id="rId8" w:type="default"/>
          <w:footerReference r:id="rId10" w:type="default"/>
          <w:footerReference r:id="rId11" w:type="even"/>
          <w:pgSz w:w="16838" w:h="11906" w:orient="landscape"/>
          <w:pgMar w:top="1418" w:right="1560" w:bottom="1418" w:left="468" w:header="851" w:footer="992" w:gutter="0"/>
          <w:cols w:space="720" w:num="1"/>
          <w:docGrid w:linePitch="312" w:charSpace="0"/>
        </w:sectPr>
      </w:pPr>
    </w:p>
    <w:p/>
    <w:p>
      <w:pPr>
        <w:snapToGrid w:val="0"/>
        <w:spacing w:line="360" w:lineRule="auto"/>
        <w:ind w:firstLine="482" w:firstLineChars="200"/>
        <w:rPr>
          <w:rFonts w:ascii="宋体" w:hAnsi="宋体" w:cs="仿宋"/>
          <w:b/>
          <w:sz w:val="24"/>
        </w:rPr>
      </w:pPr>
      <w:r>
        <w:rPr>
          <w:rFonts w:hint="eastAsia" w:ascii="宋体" w:hAnsi="宋体" w:cs="仿宋"/>
          <w:b/>
          <w:sz w:val="24"/>
        </w:rPr>
        <w:t>二、供货要求：</w:t>
      </w:r>
    </w:p>
    <w:p>
      <w:pPr>
        <w:snapToGrid w:val="0"/>
        <w:spacing w:line="360" w:lineRule="auto"/>
        <w:ind w:firstLine="352" w:firstLineChars="147"/>
        <w:rPr>
          <w:rFonts w:ascii="宋体" w:hAnsi="宋体" w:cs="仿宋"/>
          <w:bCs/>
          <w:sz w:val="24"/>
        </w:rPr>
      </w:pPr>
      <w:r>
        <w:rPr>
          <w:rFonts w:hint="eastAsia" w:ascii="宋体" w:hAnsi="宋体" w:cs="仿宋"/>
          <w:bCs/>
          <w:sz w:val="24"/>
        </w:rPr>
        <w:t>1、投标人投标提供的设备必须是厂商原装的、全新的，配置与装箱单相符；数量、质量及性能不低于本标书中提出的要求；应准确无误地表明设备型号、规格、制造厂商；</w:t>
      </w:r>
    </w:p>
    <w:p>
      <w:pPr>
        <w:snapToGrid w:val="0"/>
        <w:spacing w:line="360" w:lineRule="auto"/>
        <w:ind w:firstLine="352" w:firstLineChars="147"/>
        <w:rPr>
          <w:rFonts w:ascii="宋体" w:hAnsi="宋体" w:cs="仿宋"/>
          <w:bCs/>
          <w:sz w:val="24"/>
        </w:rPr>
      </w:pPr>
      <w:r>
        <w:rPr>
          <w:rFonts w:hint="eastAsia" w:ascii="宋体" w:hAnsi="宋体" w:cs="仿宋"/>
          <w:bCs/>
          <w:sz w:val="24"/>
        </w:rPr>
        <w:t>2、中标后</w:t>
      </w:r>
      <w:r>
        <w:rPr>
          <w:rFonts w:ascii="宋体" w:hAnsi="宋体" w:cs="仿宋"/>
          <w:bCs/>
          <w:sz w:val="24"/>
        </w:rPr>
        <w:t>10</w:t>
      </w:r>
      <w:r>
        <w:rPr>
          <w:rFonts w:hint="eastAsia" w:ascii="宋体" w:hAnsi="宋体" w:cs="仿宋"/>
          <w:bCs/>
          <w:sz w:val="24"/>
        </w:rPr>
        <w:t>日内签订合同。</w:t>
      </w:r>
    </w:p>
    <w:p>
      <w:pPr>
        <w:snapToGrid w:val="0"/>
        <w:spacing w:line="360" w:lineRule="auto"/>
        <w:ind w:firstLine="352" w:firstLineChars="147"/>
        <w:rPr>
          <w:rFonts w:ascii="宋体" w:hAnsi="宋体" w:cs="仿宋"/>
          <w:bCs/>
          <w:sz w:val="24"/>
        </w:rPr>
      </w:pPr>
      <w:r>
        <w:rPr>
          <w:rFonts w:hint="eastAsia" w:ascii="宋体" w:hAnsi="宋体" w:cs="仿宋"/>
          <w:bCs/>
          <w:sz w:val="24"/>
        </w:rPr>
        <w:t>3、所供货物不会侵犯任何第三方知识产权；</w:t>
      </w:r>
    </w:p>
    <w:p>
      <w:pPr>
        <w:snapToGrid w:val="0"/>
        <w:spacing w:line="360" w:lineRule="auto"/>
        <w:ind w:firstLine="352" w:firstLineChars="147"/>
        <w:rPr>
          <w:rFonts w:ascii="宋体" w:hAnsi="宋体" w:cs="仿宋"/>
          <w:bCs/>
          <w:sz w:val="24"/>
        </w:rPr>
      </w:pPr>
      <w:r>
        <w:rPr>
          <w:rFonts w:hint="eastAsia" w:ascii="宋体" w:hAnsi="宋体" w:cs="仿宋"/>
          <w:bCs/>
          <w:sz w:val="24"/>
        </w:rPr>
        <w:t>4、送货地址：业主指定地点。</w:t>
      </w:r>
    </w:p>
    <w:p>
      <w:pPr>
        <w:snapToGrid w:val="0"/>
        <w:spacing w:line="360" w:lineRule="auto"/>
        <w:ind w:firstLine="482" w:firstLineChars="200"/>
        <w:rPr>
          <w:rFonts w:ascii="宋体" w:hAnsi="宋体" w:cs="仿宋"/>
          <w:b/>
          <w:sz w:val="24"/>
        </w:rPr>
      </w:pPr>
      <w:r>
        <w:rPr>
          <w:rFonts w:hint="eastAsia" w:ascii="宋体" w:hAnsi="宋体" w:cs="仿宋"/>
          <w:b/>
          <w:sz w:val="24"/>
        </w:rPr>
        <w:t>三、售后服务要求：</w:t>
      </w:r>
    </w:p>
    <w:p>
      <w:pPr>
        <w:snapToGrid w:val="0"/>
        <w:spacing w:line="360" w:lineRule="auto"/>
        <w:ind w:firstLine="352" w:firstLineChars="147"/>
        <w:rPr>
          <w:rFonts w:ascii="宋体" w:hAnsi="宋体" w:cs="仿宋"/>
          <w:bCs/>
          <w:sz w:val="24"/>
        </w:rPr>
      </w:pPr>
      <w:r>
        <w:rPr>
          <w:rFonts w:hint="eastAsia" w:ascii="宋体" w:hAnsi="宋体" w:cs="仿宋"/>
          <w:bCs/>
          <w:sz w:val="24"/>
        </w:rPr>
        <w:t>1、质保期要求：五年。</w:t>
      </w:r>
    </w:p>
    <w:p>
      <w:pPr>
        <w:snapToGrid w:val="0"/>
        <w:spacing w:line="360" w:lineRule="auto"/>
        <w:ind w:firstLine="352" w:firstLineChars="147"/>
        <w:rPr>
          <w:rFonts w:ascii="宋体" w:hAnsi="宋体" w:cs="仿宋"/>
          <w:bCs/>
          <w:sz w:val="24"/>
        </w:rPr>
        <w:sectPr>
          <w:pgSz w:w="11906" w:h="16838"/>
          <w:pgMar w:top="1560" w:right="1418" w:bottom="468" w:left="1418" w:header="851" w:footer="992" w:gutter="0"/>
          <w:cols w:space="720" w:num="1"/>
          <w:docGrid w:linePitch="312" w:charSpace="0"/>
        </w:sectPr>
      </w:pPr>
      <w:r>
        <w:rPr>
          <w:rFonts w:hint="eastAsia" w:ascii="宋体" w:hAnsi="宋体" w:cs="仿宋"/>
          <w:bCs/>
          <w:sz w:val="24"/>
        </w:rPr>
        <w:t>2、技术支持要求：质保期内出现问题，2小时内响应，4小时内到位消障，7*24小时电话支持，若因特殊情况不能立即排除故障时，中标人应负责采取应急措施，采用备用设备等方式，确保买方基本使用不受影响。</w:t>
      </w:r>
    </w:p>
    <w:p>
      <w:pPr>
        <w:pStyle w:val="6"/>
      </w:pPr>
    </w:p>
    <w:p>
      <w:pPr>
        <w:snapToGrid w:val="0"/>
        <w:spacing w:line="360" w:lineRule="auto"/>
        <w:ind w:firstLine="352" w:firstLineChars="147"/>
        <w:rPr>
          <w:rFonts w:ascii="宋体" w:hAnsi="宋体" w:cs="仿宋"/>
          <w:bCs/>
          <w:sz w:val="24"/>
        </w:rPr>
      </w:pPr>
      <w:r>
        <w:rPr>
          <w:rFonts w:hint="eastAsia" w:ascii="宋体" w:hAnsi="宋体" w:cs="仿宋"/>
          <w:bCs/>
          <w:sz w:val="24"/>
        </w:rPr>
        <w:t>3、要求中标人提供易耗件的备件和日常保养维护的专用工具；中标人应于验收后向用户提供技术文档，并提供完整的软、硬件技术资料。</w:t>
      </w:r>
    </w:p>
    <w:p>
      <w:pPr>
        <w:snapToGrid w:val="0"/>
        <w:spacing w:line="360" w:lineRule="auto"/>
        <w:ind w:firstLine="352" w:firstLineChars="147"/>
        <w:rPr>
          <w:rFonts w:ascii="宋体" w:hAnsi="宋体" w:cs="仿宋"/>
          <w:bCs/>
          <w:sz w:val="24"/>
        </w:rPr>
      </w:pPr>
      <w:r>
        <w:rPr>
          <w:rFonts w:hint="eastAsia" w:ascii="宋体" w:hAnsi="宋体" w:cs="仿宋"/>
          <w:bCs/>
          <w:sz w:val="24"/>
        </w:rPr>
        <w:t>4、在使用的所有时间范围内，提供多种方式的技术支持。提供免费上门维护、升级服务，在接到电话后1小时内响应，2小时以内到现场处理，3小时内解决问题。</w:t>
      </w:r>
    </w:p>
    <w:p>
      <w:pPr>
        <w:snapToGrid w:val="0"/>
        <w:spacing w:line="360" w:lineRule="auto"/>
        <w:ind w:firstLine="352" w:firstLineChars="147"/>
        <w:rPr>
          <w:rFonts w:ascii="宋体" w:hAnsi="宋体" w:cs="仿宋"/>
          <w:bCs/>
          <w:sz w:val="24"/>
        </w:rPr>
      </w:pPr>
      <w:r>
        <w:rPr>
          <w:rFonts w:hint="eastAsia" w:ascii="宋体" w:hAnsi="宋体" w:cs="仿宋"/>
          <w:bCs/>
          <w:sz w:val="24"/>
        </w:rPr>
        <w:t>5、质保期内的维修费用（包括配件）全部由中标单位负责，质保修期后的维修酌情以成本价收费。</w:t>
      </w:r>
    </w:p>
    <w:p>
      <w:pPr>
        <w:snapToGrid w:val="0"/>
        <w:spacing w:line="360" w:lineRule="auto"/>
        <w:ind w:firstLine="482" w:firstLineChars="200"/>
        <w:rPr>
          <w:rFonts w:ascii="宋体" w:hAnsi="宋体" w:cs="仿宋"/>
          <w:b/>
          <w:sz w:val="24"/>
        </w:rPr>
      </w:pPr>
      <w:r>
        <w:rPr>
          <w:rFonts w:hint="eastAsia" w:ascii="宋体" w:hAnsi="宋体" w:cs="仿宋"/>
          <w:b/>
          <w:sz w:val="24"/>
        </w:rPr>
        <w:t>五、工期要求：</w:t>
      </w:r>
    </w:p>
    <w:p>
      <w:pPr>
        <w:snapToGrid w:val="0"/>
        <w:spacing w:line="360" w:lineRule="auto"/>
        <w:ind w:firstLine="352" w:firstLineChars="147"/>
        <w:rPr>
          <w:rFonts w:ascii="宋体" w:hAnsi="宋体" w:cs="仿宋"/>
          <w:bCs/>
          <w:sz w:val="24"/>
        </w:rPr>
      </w:pPr>
      <w:r>
        <w:rPr>
          <w:rFonts w:hint="eastAsia" w:ascii="宋体" w:hAnsi="宋体" w:cs="仿宋"/>
          <w:bCs/>
          <w:sz w:val="24"/>
        </w:rPr>
        <w:t>签订合同后45天内完成所有设备的供货、安装、调试等所有工作内容。</w:t>
      </w:r>
    </w:p>
    <w:p>
      <w:pPr>
        <w:snapToGrid w:val="0"/>
        <w:spacing w:line="360" w:lineRule="auto"/>
        <w:ind w:firstLine="482" w:firstLineChars="200"/>
        <w:rPr>
          <w:rFonts w:ascii="宋体" w:hAnsi="宋体" w:cs="仿宋"/>
          <w:b/>
          <w:sz w:val="24"/>
        </w:rPr>
      </w:pPr>
      <w:r>
        <w:rPr>
          <w:rFonts w:hint="eastAsia" w:ascii="宋体" w:hAnsi="宋体" w:cs="仿宋"/>
          <w:b/>
          <w:sz w:val="24"/>
        </w:rPr>
        <w:t>六、验收要求：</w:t>
      </w:r>
    </w:p>
    <w:p>
      <w:pPr>
        <w:snapToGrid w:val="0"/>
        <w:spacing w:line="360" w:lineRule="auto"/>
        <w:ind w:firstLine="352" w:firstLineChars="147"/>
        <w:rPr>
          <w:rFonts w:ascii="宋体" w:hAnsi="宋体" w:cs="仿宋"/>
          <w:bCs/>
          <w:sz w:val="24"/>
        </w:rPr>
      </w:pPr>
      <w:r>
        <w:rPr>
          <w:rFonts w:hint="eastAsia" w:ascii="宋体" w:hAnsi="宋体" w:cs="仿宋"/>
          <w:bCs/>
          <w:sz w:val="24"/>
        </w:rPr>
        <w:t>根据临财采〔2021〕6号《关于转发&lt;杭州市政府采购履约验收暂行办法&gt;的通知》要求，采购合同签订并备案之后，采购人通过杭州市政府采购监管平台向采购代理机构发出验收启动通知，受委托的采购代理机构制定项目验收方案。验收方案应当包括项目基本情况、验收组织主体、验收小组组建方式、验收方法、验收流程、验收指标和标准等要素。受委托的采购代理机构应当按照采购文件确定的技术指标或者服务要求确定验收指标和标准</w:t>
      </w:r>
    </w:p>
    <w:p>
      <w:pPr>
        <w:snapToGrid w:val="0"/>
        <w:spacing w:line="360" w:lineRule="auto"/>
        <w:ind w:firstLine="482" w:firstLineChars="200"/>
        <w:rPr>
          <w:rFonts w:ascii="宋体" w:hAnsi="宋体" w:cs="仿宋"/>
          <w:b/>
          <w:sz w:val="24"/>
        </w:rPr>
      </w:pPr>
      <w:r>
        <w:rPr>
          <w:rFonts w:hint="eastAsia" w:ascii="宋体" w:hAnsi="宋体" w:cs="仿宋"/>
          <w:b/>
          <w:sz w:val="24"/>
        </w:rPr>
        <w:t>七、付款方式：</w:t>
      </w:r>
    </w:p>
    <w:p>
      <w:pPr>
        <w:snapToGrid w:val="0"/>
        <w:spacing w:line="360" w:lineRule="auto"/>
        <w:ind w:firstLine="480" w:firstLineChars="200"/>
        <w:rPr>
          <w:rFonts w:ascii="宋体" w:hAnsi="宋体" w:cs="仿宋"/>
          <w:bCs/>
          <w:sz w:val="24"/>
        </w:rPr>
      </w:pPr>
      <w:r>
        <w:rPr>
          <w:rFonts w:hint="eastAsia" w:ascii="宋体" w:hAnsi="宋体" w:cs="仿宋"/>
          <w:bCs/>
          <w:sz w:val="24"/>
          <w:highlight w:val="none"/>
          <w:lang w:val="en-US" w:eastAsia="zh-CN"/>
        </w:rPr>
        <w:t>财政局下达资金支付指标后先支付50%，验收合格后再支付50%</w:t>
      </w:r>
      <w:r>
        <w:rPr>
          <w:rFonts w:hint="eastAsia" w:ascii="宋体" w:hAnsi="宋体" w:cs="仿宋"/>
          <w:bCs/>
          <w:sz w:val="24"/>
          <w:highlight w:val="none"/>
        </w:rPr>
        <w:t>。</w:t>
      </w:r>
    </w:p>
    <w:p>
      <w:pPr>
        <w:snapToGrid w:val="0"/>
        <w:spacing w:line="360" w:lineRule="auto"/>
        <w:ind w:firstLine="482" w:firstLineChars="200"/>
        <w:rPr>
          <w:rFonts w:ascii="宋体" w:hAnsi="宋体" w:cs="仿宋"/>
          <w:b/>
          <w:sz w:val="24"/>
        </w:rPr>
      </w:pPr>
      <w:r>
        <w:rPr>
          <w:rFonts w:hint="eastAsia" w:ascii="宋体" w:hAnsi="宋体" w:cs="仿宋"/>
          <w:b/>
          <w:sz w:val="24"/>
        </w:rPr>
        <w:t xml:space="preserve">八、履约保证金 </w:t>
      </w:r>
    </w:p>
    <w:p>
      <w:pPr>
        <w:pStyle w:val="6"/>
        <w:rPr>
          <w:rFonts w:hAnsi="宋体"/>
          <w:lang w:val="en-US"/>
        </w:rPr>
      </w:pPr>
      <w:r>
        <w:rPr>
          <w:rFonts w:hint="eastAsia" w:hAnsi="宋体" w:cs="仿宋"/>
          <w:bCs/>
          <w:szCs w:val="24"/>
          <w:highlight w:val="none"/>
          <w:lang w:val="en-US"/>
        </w:rPr>
        <w:t>本项目无需缴纳履约保证金。</w:t>
      </w:r>
    </w:p>
    <w:p>
      <w:pPr>
        <w:pStyle w:val="9"/>
        <w:rPr>
          <w:rFonts w:ascii="宋体" w:hAnsi="宋体" w:eastAsia="宋体"/>
        </w:rPr>
        <w:sectPr>
          <w:pgSz w:w="11906" w:h="16838"/>
          <w:pgMar w:top="1560" w:right="1418" w:bottom="468" w:left="1418" w:header="851" w:footer="992" w:gutter="0"/>
          <w:cols w:space="720" w:num="1"/>
          <w:docGrid w:linePitch="312" w:charSpace="0"/>
        </w:sectPr>
      </w:pPr>
    </w:p>
    <w:p>
      <w:pPr>
        <w:spacing w:line="360" w:lineRule="auto"/>
        <w:jc w:val="center"/>
        <w:outlineLvl w:val="0"/>
        <w:rPr>
          <w:rFonts w:ascii="宋体" w:hAnsi="宋体" w:cs="宋体"/>
          <w:b/>
          <w:sz w:val="36"/>
          <w:szCs w:val="36"/>
        </w:rPr>
      </w:pPr>
      <w:r>
        <w:rPr>
          <w:rFonts w:hint="eastAsia" w:ascii="宋体" w:hAnsi="宋体" w:cs="宋体"/>
          <w:b/>
          <w:sz w:val="36"/>
          <w:szCs w:val="36"/>
        </w:rPr>
        <w:t>第四部分   评标办法</w:t>
      </w:r>
      <w:r>
        <w:rPr>
          <w:rFonts w:ascii="宋体" w:hAnsi="宋体" w:cs="宋体"/>
          <w:b/>
          <w:sz w:val="36"/>
          <w:szCs w:val="36"/>
        </w:rPr>
        <w:tab/>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p>
      <w:pPr>
        <w:pStyle w:val="162"/>
        <w:snapToGrid w:val="0"/>
        <w:spacing w:before="0" w:line="440" w:lineRule="exact"/>
        <w:ind w:firstLine="602" w:firstLineChars="250"/>
        <w:rPr>
          <w:rFonts w:ascii="宋体" w:hAnsi="宋体" w:cs="宋体"/>
          <w:b/>
        </w:rPr>
      </w:pPr>
      <w:r>
        <w:rPr>
          <w:rFonts w:hint="eastAsia" w:ascii="宋体" w:hAnsi="宋体" w:cs="宋体"/>
          <w:b/>
        </w:rPr>
        <w:t>（1）技术、商务分的计算：</w:t>
      </w:r>
    </w:p>
    <w:p>
      <w:pPr>
        <w:pStyle w:val="162"/>
        <w:snapToGrid w:val="0"/>
        <w:spacing w:before="0" w:line="440" w:lineRule="exact"/>
        <w:ind w:firstLine="600" w:firstLineChars="250"/>
        <w:rPr>
          <w:rFonts w:ascii="宋体" w:hAnsi="宋体" w:cs="宋体"/>
        </w:rPr>
      </w:pPr>
      <w:r>
        <w:rPr>
          <w:rFonts w:hint="eastAsia" w:ascii="宋体" w:hAnsi="宋体" w:cs="宋体"/>
        </w:rPr>
        <w:t>技术、商务分按照评标委员会成员的独立评分结果汇总数的算术平均分计算，计算公式为：</w:t>
      </w:r>
    </w:p>
    <w:p>
      <w:pPr>
        <w:pStyle w:val="162"/>
        <w:snapToGrid w:val="0"/>
        <w:spacing w:before="0" w:line="440" w:lineRule="exact"/>
        <w:ind w:firstLine="600" w:firstLineChars="250"/>
        <w:rPr>
          <w:rFonts w:ascii="宋体" w:hAnsi="宋体" w:cs="宋体"/>
        </w:rPr>
      </w:pPr>
      <w:r>
        <w:rPr>
          <w:rFonts w:hint="eastAsia" w:ascii="宋体" w:hAnsi="宋体" w:cs="宋体"/>
        </w:rPr>
        <w:t>技术、商务分=评标委员会所有成员评分合计数/评标委员会组成人员数</w:t>
      </w:r>
    </w:p>
    <w:p>
      <w:pPr>
        <w:pStyle w:val="162"/>
        <w:numPr>
          <w:ilvl w:val="0"/>
          <w:numId w:val="3"/>
        </w:numPr>
        <w:snapToGrid w:val="0"/>
        <w:spacing w:before="0" w:line="440" w:lineRule="exact"/>
        <w:ind w:firstLine="602" w:firstLineChars="0"/>
        <w:rPr>
          <w:rFonts w:ascii="宋体" w:hAnsi="宋体" w:cs="宋体"/>
          <w:b/>
        </w:rPr>
      </w:pPr>
      <w:r>
        <w:rPr>
          <w:rFonts w:hint="eastAsia" w:ascii="宋体" w:hAnsi="宋体" w:cs="宋体"/>
          <w:b/>
        </w:rPr>
        <w:t>、评分细则如下：合计70分</w:t>
      </w:r>
    </w:p>
    <w:tbl>
      <w:tblPr>
        <w:tblStyle w:val="66"/>
        <w:tblW w:w="9244"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7568"/>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pPr>
              <w:autoSpaceDE w:val="0"/>
              <w:autoSpaceDN w:val="0"/>
              <w:spacing w:line="480"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序号</w:t>
            </w:r>
          </w:p>
        </w:tc>
        <w:tc>
          <w:tcPr>
            <w:tcW w:w="7568" w:type="dxa"/>
            <w:noWrap w:val="0"/>
            <w:vAlign w:val="center"/>
          </w:tcPr>
          <w:p>
            <w:pPr>
              <w:autoSpaceDE w:val="0"/>
              <w:autoSpaceDN w:val="0"/>
              <w:spacing w:line="480"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评分细则</w:t>
            </w:r>
          </w:p>
        </w:tc>
        <w:tc>
          <w:tcPr>
            <w:tcW w:w="821" w:type="dxa"/>
            <w:noWrap w:val="0"/>
            <w:vAlign w:val="center"/>
          </w:tcPr>
          <w:p>
            <w:pPr>
              <w:autoSpaceDE w:val="0"/>
              <w:autoSpaceDN w:val="0"/>
              <w:spacing w:line="480"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pPr>
              <w:adjustRightInd w:val="0"/>
              <w:snapToGrid w:val="0"/>
              <w:spacing w:line="48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rPr>
              <w:t>1</w:t>
            </w:r>
          </w:p>
        </w:tc>
        <w:tc>
          <w:tcPr>
            <w:tcW w:w="7568" w:type="dxa"/>
            <w:noWrap w:val="0"/>
            <w:vAlign w:val="top"/>
          </w:tcPr>
          <w:p>
            <w:pPr>
              <w:autoSpaceDE w:val="0"/>
              <w:autoSpaceDN w:val="0"/>
              <w:spacing w:line="360" w:lineRule="auto"/>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方案设计：投标人对本项目建设的优化方案的全面性性、合理性评价。投标人根据自身经验，对本项目的建设方案提出优化，评委根据优化方案的全面性、合理性进行评价打分。好的得12分，一般得7分，差的得3分，不符合或未提供不得分。</w:t>
            </w:r>
          </w:p>
        </w:tc>
        <w:tc>
          <w:tcPr>
            <w:tcW w:w="821" w:type="dxa"/>
            <w:noWrap w:val="0"/>
            <w:vAlign w:val="center"/>
          </w:tcPr>
          <w:p>
            <w:pPr>
              <w:autoSpaceDE w:val="0"/>
              <w:autoSpaceDN w:val="0"/>
              <w:spacing w:line="480" w:lineRule="auto"/>
              <w:jc w:val="center"/>
              <w:rPr>
                <w:rFonts w:hint="default"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55" w:type="dxa"/>
            <w:noWrap w:val="0"/>
            <w:vAlign w:val="center"/>
          </w:tcPr>
          <w:p>
            <w:pPr>
              <w:adjustRightInd w:val="0"/>
              <w:snapToGrid w:val="0"/>
              <w:spacing w:line="48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lang w:val="en-US" w:eastAsia="zh-CN"/>
              </w:rPr>
              <w:t>2</w:t>
            </w:r>
          </w:p>
        </w:tc>
        <w:tc>
          <w:tcPr>
            <w:tcW w:w="7568" w:type="dxa"/>
            <w:noWrap w:val="0"/>
            <w:vAlign w:val="top"/>
          </w:tcPr>
          <w:p>
            <w:pPr>
              <w:autoSpaceDE w:val="0"/>
              <w:autoSpaceDN w:val="0"/>
              <w:spacing w:line="360" w:lineRule="auto"/>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技术性能：投标产品的技术指标与需求的吻合程度和偏差情况，采购清单中打“★”的技术指标每负偏离（或未响应）一项扣0.5分，本项扣完为止，完全满足得5分；</w:t>
            </w:r>
          </w:p>
        </w:tc>
        <w:tc>
          <w:tcPr>
            <w:tcW w:w="821" w:type="dxa"/>
            <w:noWrap w:val="0"/>
            <w:vAlign w:val="center"/>
          </w:tcPr>
          <w:p>
            <w:pPr>
              <w:autoSpaceDE w:val="0"/>
              <w:autoSpaceDN w:val="0"/>
              <w:spacing w:line="480" w:lineRule="auto"/>
              <w:jc w:val="center"/>
              <w:rPr>
                <w:rFonts w:hint="default" w:ascii="宋体" w:hAnsi="宋体" w:eastAsia="宋体" w:cs="宋体"/>
                <w:b w:val="0"/>
                <w:bCs w:val="0"/>
                <w:kern w:val="2"/>
                <w:sz w:val="21"/>
                <w:szCs w:val="21"/>
                <w:highlight w:val="none"/>
                <w:lang w:val="en-US" w:eastAsia="zh-CN" w:bidi="ar-SA"/>
              </w:rPr>
            </w:pPr>
            <w:r>
              <w:rPr>
                <w:rFonts w:hint="eastAsia" w:ascii="宋体" w:hAnsi="宋体" w:cs="宋体"/>
                <w:b w:val="0"/>
                <w:bCs w:val="0"/>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pPr>
              <w:adjustRightInd w:val="0"/>
              <w:snapToGrid w:val="0"/>
              <w:spacing w:line="48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w:t>
            </w:r>
          </w:p>
        </w:tc>
        <w:tc>
          <w:tcPr>
            <w:tcW w:w="7568" w:type="dxa"/>
            <w:noWrap w:val="0"/>
            <w:vAlign w:val="top"/>
          </w:tcPr>
          <w:p>
            <w:pPr>
              <w:autoSpaceDE w:val="0"/>
              <w:autoSpaceDN w:val="0"/>
              <w:spacing w:line="360" w:lineRule="auto"/>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一、需提交样品1《采购需求》采购清单中</w:t>
            </w:r>
            <w:r>
              <w:rPr>
                <w:rFonts w:hint="eastAsia" w:ascii="宋体" w:hAnsi="宋体" w:cs="宋体"/>
                <w:b/>
                <w:bCs/>
                <w:color w:val="auto"/>
                <w:sz w:val="21"/>
                <w:szCs w:val="21"/>
                <w:highlight w:val="none"/>
                <w:lang w:val="en-US" w:eastAsia="zh-CN"/>
              </w:rPr>
              <w:t>序号17水槽柜</w:t>
            </w:r>
            <w:r>
              <w:rPr>
                <w:rFonts w:hint="eastAsia" w:ascii="宋体" w:hAnsi="宋体" w:cs="宋体"/>
                <w:b w:val="0"/>
                <w:bCs w:val="0"/>
                <w:color w:val="auto"/>
                <w:sz w:val="21"/>
                <w:szCs w:val="21"/>
                <w:highlight w:val="none"/>
                <w:lang w:val="en-US" w:eastAsia="zh-CN"/>
              </w:rPr>
              <w:t>：</w:t>
            </w:r>
          </w:p>
          <w:p>
            <w:pPr>
              <w:pStyle w:val="280"/>
              <w:wordWrap w:val="0"/>
              <w:topLinePunct/>
              <w:spacing w:line="440" w:lineRule="exact"/>
              <w:ind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1、产品的制作质量（0.5分）、工艺水平（0.5分）、主要材料（0.5分）、辅助材料及配件（0.5分）；</w:t>
            </w:r>
          </w:p>
          <w:p>
            <w:pPr>
              <w:pStyle w:val="280"/>
              <w:wordWrap w:val="0"/>
              <w:topLinePunct/>
              <w:spacing w:line="440" w:lineRule="exact"/>
              <w:ind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2、款式性能与招标文件的要求，外观式样，美观情况（</w:t>
            </w:r>
            <w:r>
              <w:rPr>
                <w:rFonts w:hint="eastAsia" w:ascii="宋体" w:hAnsi="宋体" w:cs="宋体"/>
                <w:kern w:val="2"/>
                <w:sz w:val="21"/>
                <w:szCs w:val="21"/>
                <w:lang w:val="en-US" w:eastAsia="zh-CN" w:bidi="ar-SA"/>
              </w:rPr>
              <w:t>2分</w:t>
            </w:r>
            <w:r>
              <w:rPr>
                <w:rFonts w:hint="eastAsia" w:ascii="宋体" w:hAnsi="宋体" w:eastAsia="宋体" w:cs="宋体"/>
                <w:kern w:val="2"/>
                <w:sz w:val="21"/>
                <w:szCs w:val="21"/>
                <w:lang w:val="en-US" w:eastAsia="zh-CN" w:bidi="ar-SA"/>
              </w:rPr>
              <w:t>）；</w:t>
            </w:r>
          </w:p>
          <w:p>
            <w:pPr>
              <w:pStyle w:val="280"/>
              <w:wordWrap w:val="0"/>
              <w:topLinePunct/>
              <w:spacing w:line="440" w:lineRule="exact"/>
              <w:ind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3、样品“水槽柜”过滤功能性对比，是否具有三级过滤装置（1分）、过滤装置的便捷性（1分）、过滤装置材质符合度（1分）；</w:t>
            </w:r>
          </w:p>
          <w:p>
            <w:pPr>
              <w:autoSpaceDE w:val="0"/>
              <w:autoSpaceDN w:val="0"/>
              <w:spacing w:line="360" w:lineRule="auto"/>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二、需提交样品2《采购需求》采购清单中</w:t>
            </w:r>
            <w:r>
              <w:rPr>
                <w:rFonts w:hint="eastAsia" w:ascii="宋体" w:hAnsi="宋体" w:cs="宋体"/>
                <w:b/>
                <w:bCs/>
                <w:color w:val="auto"/>
                <w:sz w:val="21"/>
                <w:szCs w:val="21"/>
                <w:highlight w:val="none"/>
                <w:lang w:val="en-US" w:eastAsia="zh-CN"/>
              </w:rPr>
              <w:t>序号2学生智慧实验桌</w:t>
            </w:r>
            <w:r>
              <w:rPr>
                <w:rFonts w:hint="eastAsia" w:ascii="宋体" w:hAnsi="宋体" w:cs="宋体"/>
                <w:b w:val="0"/>
                <w:bCs w:val="0"/>
                <w:color w:val="auto"/>
                <w:sz w:val="21"/>
                <w:szCs w:val="21"/>
                <w:highlight w:val="none"/>
                <w:lang w:val="en-US" w:eastAsia="zh-CN"/>
              </w:rPr>
              <w:t>：</w:t>
            </w:r>
          </w:p>
          <w:p>
            <w:pPr>
              <w:autoSpaceDE w:val="0"/>
              <w:autoSpaceDN w:val="0"/>
              <w:spacing w:line="360" w:lineRule="auto"/>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1、产品的制作质量</w:t>
            </w:r>
            <w:r>
              <w:rPr>
                <w:rFonts w:hint="eastAsia" w:ascii="宋体" w:hAnsi="宋体" w:eastAsia="宋体" w:cs="宋体"/>
                <w:kern w:val="2"/>
                <w:sz w:val="21"/>
                <w:szCs w:val="21"/>
                <w:lang w:val="en-US" w:eastAsia="zh-CN" w:bidi="ar-SA"/>
              </w:rPr>
              <w:t>（1分）</w:t>
            </w:r>
            <w:r>
              <w:rPr>
                <w:rFonts w:hint="eastAsia" w:ascii="宋体" w:hAnsi="宋体" w:cs="宋体"/>
                <w:b w:val="0"/>
                <w:bCs w:val="0"/>
                <w:color w:val="auto"/>
                <w:sz w:val="21"/>
                <w:szCs w:val="21"/>
                <w:highlight w:val="none"/>
                <w:lang w:val="en-US" w:eastAsia="zh-CN"/>
              </w:rPr>
              <w:t>、工艺水平工艺及质量</w:t>
            </w:r>
            <w:r>
              <w:rPr>
                <w:rFonts w:hint="eastAsia" w:ascii="宋体" w:hAnsi="宋体" w:eastAsia="宋体" w:cs="宋体"/>
                <w:kern w:val="2"/>
                <w:sz w:val="21"/>
                <w:szCs w:val="21"/>
                <w:lang w:val="en-US" w:eastAsia="zh-CN" w:bidi="ar-SA"/>
              </w:rPr>
              <w:t>（1分）</w:t>
            </w:r>
            <w:r>
              <w:rPr>
                <w:rFonts w:hint="eastAsia" w:ascii="宋体" w:hAnsi="宋体" w:cs="宋体"/>
                <w:b w:val="0"/>
                <w:bCs w:val="0"/>
                <w:color w:val="auto"/>
                <w:sz w:val="21"/>
                <w:szCs w:val="21"/>
                <w:highlight w:val="none"/>
                <w:lang w:val="en-US" w:eastAsia="zh-CN"/>
              </w:rPr>
              <w:t>；</w:t>
            </w:r>
          </w:p>
          <w:p>
            <w:pPr>
              <w:autoSpaceDE w:val="0"/>
              <w:autoSpaceDN w:val="0"/>
              <w:spacing w:line="360" w:lineRule="auto"/>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2、款式功能是否符合招标文件的要求</w:t>
            </w:r>
            <w:r>
              <w:rPr>
                <w:rFonts w:hint="eastAsia" w:ascii="宋体" w:hAnsi="宋体" w:eastAsia="宋体" w:cs="宋体"/>
                <w:kern w:val="2"/>
                <w:sz w:val="21"/>
                <w:szCs w:val="21"/>
                <w:lang w:val="en-US" w:eastAsia="zh-CN" w:bidi="ar-SA"/>
              </w:rPr>
              <w:t>（1分）</w:t>
            </w:r>
            <w:r>
              <w:rPr>
                <w:rFonts w:hint="eastAsia" w:ascii="宋体" w:hAnsi="宋体" w:cs="宋体"/>
                <w:b w:val="0"/>
                <w:bCs w:val="0"/>
                <w:color w:val="auto"/>
                <w:sz w:val="21"/>
                <w:szCs w:val="21"/>
                <w:highlight w:val="none"/>
                <w:lang w:val="en-US" w:eastAsia="zh-CN"/>
              </w:rPr>
              <w:t>，外观式样</w:t>
            </w:r>
            <w:r>
              <w:rPr>
                <w:rFonts w:hint="eastAsia" w:ascii="宋体" w:hAnsi="宋体" w:eastAsia="宋体" w:cs="宋体"/>
                <w:kern w:val="2"/>
                <w:sz w:val="21"/>
                <w:szCs w:val="21"/>
                <w:lang w:val="en-US" w:eastAsia="zh-CN" w:bidi="ar-SA"/>
              </w:rPr>
              <w:t>（1分）</w:t>
            </w:r>
            <w:r>
              <w:rPr>
                <w:rFonts w:hint="eastAsia" w:ascii="宋体" w:hAnsi="宋体" w:cs="宋体"/>
                <w:b w:val="0"/>
                <w:bCs w:val="0"/>
                <w:color w:val="auto"/>
                <w:sz w:val="21"/>
                <w:szCs w:val="21"/>
                <w:highlight w:val="none"/>
                <w:lang w:val="en-US" w:eastAsia="zh-CN"/>
              </w:rPr>
              <w:t>，美观情况</w:t>
            </w:r>
            <w:r>
              <w:rPr>
                <w:rFonts w:hint="eastAsia" w:ascii="宋体" w:hAnsi="宋体" w:eastAsia="宋体" w:cs="宋体"/>
                <w:kern w:val="2"/>
                <w:sz w:val="21"/>
                <w:szCs w:val="21"/>
                <w:lang w:val="en-US" w:eastAsia="zh-CN" w:bidi="ar-SA"/>
              </w:rPr>
              <w:t>（1分）</w:t>
            </w:r>
            <w:r>
              <w:rPr>
                <w:rFonts w:hint="eastAsia" w:ascii="宋体" w:hAnsi="宋体" w:cs="宋体"/>
                <w:b w:val="0"/>
                <w:bCs w:val="0"/>
                <w:color w:val="auto"/>
                <w:sz w:val="21"/>
                <w:szCs w:val="21"/>
                <w:highlight w:val="none"/>
                <w:lang w:val="en-US" w:eastAsia="zh-CN"/>
              </w:rPr>
              <w:t>；</w:t>
            </w:r>
          </w:p>
          <w:p>
            <w:pPr>
              <w:autoSpaceDE w:val="0"/>
              <w:autoSpaceDN w:val="0"/>
              <w:spacing w:line="360" w:lineRule="auto"/>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3、样品功能性情况：是否具有桌脚升降功能</w:t>
            </w:r>
            <w:r>
              <w:rPr>
                <w:rFonts w:hint="eastAsia" w:ascii="宋体" w:hAnsi="宋体" w:eastAsia="宋体" w:cs="宋体"/>
                <w:kern w:val="2"/>
                <w:sz w:val="21"/>
                <w:szCs w:val="21"/>
                <w:lang w:val="en-US" w:eastAsia="zh-CN" w:bidi="ar-SA"/>
              </w:rPr>
              <w:t>（1分）</w:t>
            </w:r>
            <w:r>
              <w:rPr>
                <w:rFonts w:hint="eastAsia" w:ascii="宋体" w:hAnsi="宋体" w:cs="宋体"/>
                <w:b w:val="0"/>
                <w:bCs w:val="0"/>
                <w:color w:val="auto"/>
                <w:sz w:val="21"/>
                <w:szCs w:val="21"/>
                <w:highlight w:val="none"/>
                <w:lang w:val="en-US" w:eastAsia="zh-CN"/>
              </w:rPr>
              <w:t>、实验升降围挡</w:t>
            </w:r>
            <w:r>
              <w:rPr>
                <w:rFonts w:hint="eastAsia" w:ascii="宋体" w:hAnsi="宋体" w:eastAsia="宋体" w:cs="宋体"/>
                <w:kern w:val="2"/>
                <w:sz w:val="21"/>
                <w:szCs w:val="21"/>
                <w:lang w:val="en-US" w:eastAsia="zh-CN" w:bidi="ar-SA"/>
              </w:rPr>
              <w:t>（1分）</w:t>
            </w:r>
            <w:r>
              <w:rPr>
                <w:rFonts w:hint="eastAsia" w:ascii="宋体" w:hAnsi="宋体" w:cs="宋体"/>
                <w:b w:val="0"/>
                <w:bCs w:val="0"/>
                <w:color w:val="auto"/>
                <w:sz w:val="21"/>
                <w:szCs w:val="21"/>
                <w:highlight w:val="none"/>
                <w:lang w:val="en-US" w:eastAsia="zh-CN"/>
              </w:rPr>
              <w:t>、智能联动升降平台等符合招标文件情况</w:t>
            </w:r>
            <w:r>
              <w:rPr>
                <w:rFonts w:hint="eastAsia" w:ascii="宋体" w:hAnsi="宋体" w:eastAsia="宋体" w:cs="宋体"/>
                <w:kern w:val="2"/>
                <w:sz w:val="21"/>
                <w:szCs w:val="21"/>
                <w:lang w:val="en-US" w:eastAsia="zh-CN" w:bidi="ar-SA"/>
              </w:rPr>
              <w:t>（1分）</w:t>
            </w:r>
            <w:r>
              <w:rPr>
                <w:rFonts w:hint="eastAsia" w:ascii="宋体" w:hAnsi="宋体" w:cs="宋体"/>
                <w:b w:val="0"/>
                <w:bCs w:val="0"/>
                <w:color w:val="auto"/>
                <w:sz w:val="21"/>
                <w:szCs w:val="21"/>
                <w:highlight w:val="none"/>
                <w:lang w:val="en-US" w:eastAsia="zh-CN"/>
              </w:rPr>
              <w:t>；</w:t>
            </w:r>
          </w:p>
          <w:p>
            <w:pPr>
              <w:autoSpaceDE w:val="0"/>
              <w:autoSpaceDN w:val="0"/>
              <w:spacing w:line="360" w:lineRule="auto"/>
              <w:jc w:val="left"/>
              <w:rPr>
                <w:rFonts w:hint="eastAsia" w:ascii="宋体" w:hAnsi="宋体" w:cs="宋体"/>
                <w:b w:val="0"/>
                <w:bCs w:val="0"/>
                <w:color w:val="auto"/>
                <w:sz w:val="21"/>
                <w:szCs w:val="21"/>
                <w:highlight w:val="none"/>
                <w:lang w:val="en-US" w:eastAsia="zh-CN"/>
              </w:rPr>
            </w:pPr>
            <w:r>
              <w:rPr>
                <w:rFonts w:hint="eastAsia" w:ascii="宋体" w:hAnsi="宋体" w:eastAsia="宋体" w:cs="宋体"/>
                <w:b/>
                <w:bCs/>
                <w:kern w:val="2"/>
                <w:sz w:val="21"/>
                <w:szCs w:val="21"/>
                <w:lang w:val="en-US" w:eastAsia="zh-CN" w:bidi="ar-SA"/>
              </w:rPr>
              <w:t>（投标人不提供样品则视其</w:t>
            </w:r>
            <w:r>
              <w:rPr>
                <w:rFonts w:hint="eastAsia" w:ascii="宋体" w:hAnsi="宋体" w:cs="宋体"/>
                <w:b/>
                <w:bCs/>
                <w:kern w:val="2"/>
                <w:sz w:val="21"/>
                <w:szCs w:val="21"/>
                <w:lang w:val="en-US" w:eastAsia="zh-CN" w:bidi="ar-SA"/>
              </w:rPr>
              <w:t>样品0分</w:t>
            </w:r>
            <w:r>
              <w:rPr>
                <w:rFonts w:hint="eastAsia" w:ascii="宋体" w:hAnsi="宋体" w:eastAsia="宋体" w:cs="宋体"/>
                <w:b/>
                <w:bCs/>
                <w:kern w:val="2"/>
                <w:sz w:val="21"/>
                <w:szCs w:val="21"/>
                <w:lang w:val="en-US" w:eastAsia="zh-CN" w:bidi="ar-SA"/>
              </w:rPr>
              <w:t>，样品提供不全、外观尺寸</w:t>
            </w:r>
            <w:r>
              <w:rPr>
                <w:rFonts w:hint="eastAsia" w:ascii="宋体" w:hAnsi="宋体" w:cs="宋体"/>
                <w:b/>
                <w:bCs/>
                <w:color w:val="auto"/>
                <w:sz w:val="21"/>
                <w:szCs w:val="21"/>
                <w:highlight w:val="none"/>
                <w:lang w:val="en-US" w:eastAsia="zh-CN"/>
              </w:rPr>
              <w:t>不符合要求、或技术参数明显不符合招标文件要求的则样品分为0分。）</w:t>
            </w:r>
          </w:p>
        </w:tc>
        <w:tc>
          <w:tcPr>
            <w:tcW w:w="821" w:type="dxa"/>
            <w:noWrap w:val="0"/>
            <w:vAlign w:val="center"/>
          </w:tcPr>
          <w:p>
            <w:pPr>
              <w:autoSpaceDE w:val="0"/>
              <w:autoSpaceDN w:val="0"/>
              <w:spacing w:line="480" w:lineRule="auto"/>
              <w:jc w:val="center"/>
              <w:rPr>
                <w:rFonts w:hint="default"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55" w:type="dxa"/>
            <w:noWrap w:val="0"/>
            <w:vAlign w:val="center"/>
          </w:tcPr>
          <w:p>
            <w:pPr>
              <w:adjustRightInd w:val="0"/>
              <w:snapToGrid w:val="0"/>
              <w:spacing w:line="48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w:t>
            </w:r>
          </w:p>
        </w:tc>
        <w:tc>
          <w:tcPr>
            <w:tcW w:w="7568" w:type="dxa"/>
            <w:noWrap w:val="0"/>
            <w:vAlign w:val="center"/>
          </w:tcPr>
          <w:p>
            <w:pPr>
              <w:autoSpaceDE w:val="0"/>
              <w:autoSpaceDN w:val="0"/>
              <w:spacing w:line="480" w:lineRule="auto"/>
              <w:jc w:val="both"/>
              <w:rPr>
                <w:rFonts w:hint="eastAsia" w:ascii="宋体" w:hAnsi="宋体" w:eastAsia="宋体" w:cs="宋体"/>
                <w:b w:val="0"/>
                <w:bCs w:val="0"/>
                <w:sz w:val="21"/>
                <w:szCs w:val="21"/>
                <w:highlight w:val="none"/>
                <w:lang w:val="en-US" w:eastAsia="zh-CN"/>
              </w:rPr>
            </w:pPr>
            <w:r>
              <w:rPr>
                <w:rFonts w:hint="eastAsia" w:ascii="宋体" w:hAnsi="宋体" w:eastAsia="宋体" w:cs="宋体"/>
                <w:sz w:val="21"/>
                <w:szCs w:val="21"/>
              </w:rPr>
              <w:t>培训方案：针对本项目情况，投标单位需提供相关售后服务方案、培训方案</w:t>
            </w:r>
            <w:r>
              <w:rPr>
                <w:rFonts w:hint="eastAsia" w:ascii="宋体" w:hAnsi="宋体" w:eastAsia="宋体" w:cs="宋体"/>
                <w:sz w:val="21"/>
                <w:szCs w:val="21"/>
                <w:lang w:eastAsia="zh-CN"/>
              </w:rPr>
              <w:t>；</w:t>
            </w:r>
            <w:r>
              <w:rPr>
                <w:rFonts w:hint="eastAsia" w:ascii="宋体" w:hAnsi="宋体" w:eastAsia="宋体" w:cs="宋体"/>
                <w:b w:val="0"/>
                <w:bCs w:val="0"/>
                <w:sz w:val="21"/>
                <w:szCs w:val="21"/>
                <w:highlight w:val="none"/>
                <w:lang w:val="en-US" w:eastAsia="zh-CN"/>
              </w:rPr>
              <w:t>好的得</w:t>
            </w:r>
            <w:r>
              <w:rPr>
                <w:rFonts w:hint="eastAsia" w:ascii="宋体" w:hAnsi="宋体" w:cs="宋体"/>
                <w:b w:val="0"/>
                <w:bCs w:val="0"/>
                <w:sz w:val="21"/>
                <w:szCs w:val="21"/>
                <w:highlight w:val="none"/>
                <w:lang w:val="en-US" w:eastAsia="zh-CN"/>
              </w:rPr>
              <w:t>5</w:t>
            </w:r>
            <w:r>
              <w:rPr>
                <w:rFonts w:hint="eastAsia" w:ascii="宋体" w:hAnsi="宋体" w:eastAsia="宋体" w:cs="宋体"/>
                <w:b w:val="0"/>
                <w:bCs w:val="0"/>
                <w:sz w:val="21"/>
                <w:szCs w:val="21"/>
                <w:highlight w:val="none"/>
                <w:lang w:val="en-US" w:eastAsia="zh-CN"/>
              </w:rPr>
              <w:t>分，一般得</w:t>
            </w:r>
            <w:r>
              <w:rPr>
                <w:rFonts w:hint="eastAsia" w:ascii="宋体" w:hAnsi="宋体" w:cs="宋体"/>
                <w:b w:val="0"/>
                <w:bCs w:val="0"/>
                <w:sz w:val="21"/>
                <w:szCs w:val="21"/>
                <w:highlight w:val="none"/>
                <w:lang w:val="en-US" w:eastAsia="zh-CN"/>
              </w:rPr>
              <w:t>3</w:t>
            </w:r>
            <w:r>
              <w:rPr>
                <w:rFonts w:hint="eastAsia" w:ascii="宋体" w:hAnsi="宋体" w:eastAsia="宋体" w:cs="宋体"/>
                <w:b w:val="0"/>
                <w:bCs w:val="0"/>
                <w:sz w:val="21"/>
                <w:szCs w:val="21"/>
                <w:highlight w:val="none"/>
                <w:lang w:val="en-US" w:eastAsia="zh-CN"/>
              </w:rPr>
              <w:t>分，差的得1分，不符合或未提供不得分。</w:t>
            </w:r>
          </w:p>
        </w:tc>
        <w:tc>
          <w:tcPr>
            <w:tcW w:w="821" w:type="dxa"/>
            <w:noWrap w:val="0"/>
            <w:vAlign w:val="center"/>
          </w:tcPr>
          <w:p>
            <w:pPr>
              <w:autoSpaceDE w:val="0"/>
              <w:autoSpaceDN w:val="0"/>
              <w:spacing w:line="48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855" w:type="dxa"/>
            <w:noWrap w:val="0"/>
            <w:vAlign w:val="center"/>
          </w:tcPr>
          <w:p>
            <w:pPr>
              <w:adjustRightInd w:val="0"/>
              <w:snapToGrid w:val="0"/>
              <w:spacing w:line="480" w:lineRule="auto"/>
              <w:jc w:val="center"/>
              <w:rPr>
                <w:rFonts w:hint="default"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5</w:t>
            </w:r>
          </w:p>
        </w:tc>
        <w:tc>
          <w:tcPr>
            <w:tcW w:w="7568" w:type="dxa"/>
            <w:noWrap w:val="0"/>
            <w:vAlign w:val="center"/>
          </w:tcPr>
          <w:p>
            <w:pPr>
              <w:autoSpaceDE w:val="0"/>
              <w:autoSpaceDN w:val="0"/>
              <w:spacing w:line="480" w:lineRule="auto"/>
              <w:jc w:val="both"/>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根据各投标人针对本项目突发情况的相关应急预案（包括采购单位报修通知后赶到现场的响应时间）的全面性、可行性等情况进行打分，好的得</w:t>
            </w:r>
            <w:r>
              <w:rPr>
                <w:rFonts w:hint="eastAsia" w:ascii="宋体" w:hAnsi="宋体" w:cs="宋体"/>
                <w:b w:val="0"/>
                <w:bCs w:val="0"/>
                <w:sz w:val="21"/>
                <w:szCs w:val="21"/>
                <w:highlight w:val="none"/>
                <w:lang w:val="en-US" w:eastAsia="zh-CN"/>
              </w:rPr>
              <w:t>5</w:t>
            </w:r>
            <w:r>
              <w:rPr>
                <w:rFonts w:hint="eastAsia" w:ascii="宋体" w:hAnsi="宋体" w:eastAsia="宋体" w:cs="宋体"/>
                <w:b w:val="0"/>
                <w:bCs w:val="0"/>
                <w:sz w:val="21"/>
                <w:szCs w:val="21"/>
                <w:highlight w:val="none"/>
                <w:lang w:val="en-US" w:eastAsia="zh-CN"/>
              </w:rPr>
              <w:t>分，一般得</w:t>
            </w:r>
            <w:r>
              <w:rPr>
                <w:rFonts w:hint="eastAsia" w:ascii="宋体" w:hAnsi="宋体" w:cs="宋体"/>
                <w:b w:val="0"/>
                <w:bCs w:val="0"/>
                <w:sz w:val="21"/>
                <w:szCs w:val="21"/>
                <w:highlight w:val="none"/>
                <w:lang w:val="en-US" w:eastAsia="zh-CN"/>
              </w:rPr>
              <w:t>3</w:t>
            </w:r>
            <w:r>
              <w:rPr>
                <w:rFonts w:hint="eastAsia" w:ascii="宋体" w:hAnsi="宋体" w:eastAsia="宋体" w:cs="宋体"/>
                <w:b w:val="0"/>
                <w:bCs w:val="0"/>
                <w:sz w:val="21"/>
                <w:szCs w:val="21"/>
                <w:highlight w:val="none"/>
                <w:lang w:val="en-US" w:eastAsia="zh-CN"/>
              </w:rPr>
              <w:t>分，差的得1分，不符合或未提供不得分。</w:t>
            </w:r>
          </w:p>
        </w:tc>
        <w:tc>
          <w:tcPr>
            <w:tcW w:w="821" w:type="dxa"/>
            <w:noWrap w:val="0"/>
            <w:vAlign w:val="center"/>
          </w:tcPr>
          <w:p>
            <w:pPr>
              <w:autoSpaceDE w:val="0"/>
              <w:autoSpaceDN w:val="0"/>
              <w:spacing w:line="480" w:lineRule="auto"/>
              <w:jc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pPr>
              <w:adjustRightInd w:val="0"/>
              <w:snapToGrid w:val="0"/>
              <w:spacing w:line="480" w:lineRule="auto"/>
              <w:jc w:val="center"/>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6</w:t>
            </w:r>
          </w:p>
        </w:tc>
        <w:tc>
          <w:tcPr>
            <w:tcW w:w="7568" w:type="dxa"/>
            <w:noWrap w:val="0"/>
            <w:vAlign w:val="center"/>
          </w:tcPr>
          <w:p>
            <w:pPr>
              <w:autoSpaceDE w:val="0"/>
              <w:autoSpaceDN w:val="0"/>
              <w:spacing w:line="480" w:lineRule="auto"/>
              <w:jc w:val="both"/>
              <w:rPr>
                <w:rFonts w:hint="eastAsia" w:ascii="宋体" w:hAnsi="宋体" w:eastAsia="宋体" w:cs="宋体"/>
                <w:sz w:val="21"/>
                <w:szCs w:val="21"/>
              </w:rPr>
            </w:pPr>
            <w:r>
              <w:rPr>
                <w:rFonts w:hint="eastAsia" w:ascii="宋体" w:hAnsi="宋体" w:eastAsia="宋体" w:cs="宋体"/>
                <w:sz w:val="21"/>
                <w:szCs w:val="21"/>
              </w:rPr>
              <w:t>安全及质量保证体系和安全及质量保证措施</w:t>
            </w:r>
            <w:r>
              <w:rPr>
                <w:rFonts w:hint="eastAsia" w:ascii="宋体" w:hAnsi="宋体" w:cs="宋体"/>
                <w:sz w:val="21"/>
                <w:szCs w:val="21"/>
                <w:lang w:val="en-US" w:eastAsia="zh-CN"/>
              </w:rPr>
              <w:t>:好的得4分，一般得2分，差的得1分，不符合或未提供不得分。</w:t>
            </w:r>
          </w:p>
        </w:tc>
        <w:tc>
          <w:tcPr>
            <w:tcW w:w="821" w:type="dxa"/>
            <w:noWrap w:val="0"/>
            <w:vAlign w:val="center"/>
          </w:tcPr>
          <w:p>
            <w:pPr>
              <w:autoSpaceDE w:val="0"/>
              <w:autoSpaceDN w:val="0"/>
              <w:spacing w:line="480" w:lineRule="auto"/>
              <w:jc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pPr>
              <w:adjustRightInd w:val="0"/>
              <w:snapToGrid w:val="0"/>
              <w:spacing w:line="480" w:lineRule="auto"/>
              <w:jc w:val="center"/>
              <w:rPr>
                <w:rFonts w:hint="eastAsia"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7</w:t>
            </w:r>
          </w:p>
        </w:tc>
        <w:tc>
          <w:tcPr>
            <w:tcW w:w="7568" w:type="dxa"/>
            <w:noWrap w:val="0"/>
            <w:vAlign w:val="center"/>
          </w:tcPr>
          <w:p>
            <w:pPr>
              <w:autoSpaceDE w:val="0"/>
              <w:autoSpaceDN w:val="0"/>
              <w:spacing w:line="480" w:lineRule="auto"/>
              <w:jc w:val="both"/>
              <w:rPr>
                <w:rFonts w:hint="eastAsia" w:ascii="宋体" w:hAnsi="宋体" w:eastAsia="宋体" w:cs="宋体"/>
                <w:b w:val="0"/>
                <w:bCs w:val="0"/>
                <w:sz w:val="21"/>
                <w:szCs w:val="21"/>
                <w:highlight w:val="none"/>
                <w:lang w:val="en-US" w:eastAsia="zh-CN"/>
              </w:rPr>
            </w:pPr>
            <w:r>
              <w:rPr>
                <w:rFonts w:hint="eastAsia" w:ascii="宋体" w:hAnsi="宋体" w:eastAsia="宋体" w:cs="宋体"/>
                <w:sz w:val="21"/>
                <w:szCs w:val="21"/>
              </w:rPr>
              <w:t>实施方案：投标单位的实施部署及进度安装表，</w:t>
            </w:r>
            <w:r>
              <w:rPr>
                <w:rFonts w:hint="eastAsia" w:ascii="宋体" w:hAnsi="宋体" w:cs="宋体"/>
                <w:sz w:val="21"/>
                <w:szCs w:val="21"/>
                <w:lang w:val="en-US" w:eastAsia="zh-CN"/>
              </w:rPr>
              <w:t>好的得4分，一般得2分，差的得1分，不符合或未提供不得分。</w:t>
            </w:r>
          </w:p>
        </w:tc>
        <w:tc>
          <w:tcPr>
            <w:tcW w:w="821" w:type="dxa"/>
            <w:noWrap w:val="0"/>
            <w:vAlign w:val="center"/>
          </w:tcPr>
          <w:p>
            <w:pPr>
              <w:autoSpaceDE w:val="0"/>
              <w:autoSpaceDN w:val="0"/>
              <w:spacing w:line="480" w:lineRule="auto"/>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pPr>
              <w:adjustRightInd w:val="0"/>
              <w:snapToGrid w:val="0"/>
              <w:spacing w:line="480" w:lineRule="auto"/>
              <w:jc w:val="center"/>
              <w:rPr>
                <w:rFonts w:hint="eastAsia"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8</w:t>
            </w:r>
          </w:p>
        </w:tc>
        <w:tc>
          <w:tcPr>
            <w:tcW w:w="7568" w:type="dxa"/>
            <w:noWrap w:val="0"/>
            <w:vAlign w:val="top"/>
          </w:tcPr>
          <w:p>
            <w:pPr>
              <w:autoSpaceDE w:val="0"/>
              <w:autoSpaceDN w:val="0"/>
              <w:spacing w:line="360" w:lineRule="auto"/>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现场演示要求：</w:t>
            </w:r>
          </w:p>
          <w:p>
            <w:pPr>
              <w:autoSpaceDE w:val="0"/>
              <w:autoSpaceDN w:val="0"/>
              <w:spacing w:line="360" w:lineRule="auto"/>
              <w:jc w:val="left"/>
              <w:rPr>
                <w:rFonts w:hint="eastAsia"/>
                <w:b w:val="0"/>
                <w:bCs w:val="0"/>
                <w:lang w:eastAsia="zh-CN"/>
              </w:rPr>
            </w:pPr>
            <w:r>
              <w:rPr>
                <w:rFonts w:hint="eastAsia"/>
                <w:b w:val="0"/>
                <w:bCs w:val="0"/>
              </w:rPr>
              <w:t>演示1“4K录播主机</w:t>
            </w:r>
            <w:r>
              <w:rPr>
                <w:rFonts w:hint="eastAsia" w:ascii="宋体" w:hAnsi="宋体" w:cs="宋体"/>
                <w:b w:val="0"/>
                <w:bCs w:val="0"/>
                <w:sz w:val="21"/>
                <w:szCs w:val="21"/>
                <w:highlight w:val="none"/>
                <w:lang w:val="en-US" w:eastAsia="zh-CN"/>
              </w:rPr>
              <w:t>”</w:t>
            </w:r>
            <w:r>
              <w:rPr>
                <w:rFonts w:hint="eastAsia"/>
                <w:b w:val="0"/>
                <w:bCs w:val="0"/>
                <w:lang w:val="zh-CN" w:eastAsia="zh-CN"/>
              </w:rPr>
              <w:t>：</w:t>
            </w:r>
            <w:r>
              <w:rPr>
                <w:rFonts w:hint="eastAsia"/>
                <w:b w:val="0"/>
                <w:bCs w:val="0"/>
                <w:lang w:eastAsia="zh-CN"/>
              </w:rPr>
              <w:t>（</w:t>
            </w:r>
            <w:r>
              <w:rPr>
                <w:rFonts w:hint="eastAsia"/>
                <w:b w:val="0"/>
                <w:bCs w:val="0"/>
                <w:lang w:val="en-US" w:eastAsia="zh-CN"/>
              </w:rPr>
              <w:t>3分</w:t>
            </w:r>
            <w:r>
              <w:rPr>
                <w:rFonts w:hint="eastAsia"/>
                <w:b w:val="0"/>
                <w:bCs w:val="0"/>
                <w:lang w:eastAsia="zh-CN"/>
              </w:rPr>
              <w:t>）</w:t>
            </w:r>
          </w:p>
          <w:p>
            <w:pPr>
              <w:spacing w:line="360" w:lineRule="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1、演示录播主机的接口，包含5路HDMI输入接口，4路HDMI输出接口；</w:t>
            </w:r>
          </w:p>
          <w:p>
            <w:pPr>
              <w:spacing w:line="360" w:lineRule="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2、演示课堂AI分析功能，包括教师活动轨迹、教学行为分析时序图、授课类型和ST曲线、课堂活动分析；课堂参与度、课堂活跃度、课堂专注度、课堂疑惑度等；</w:t>
            </w:r>
          </w:p>
          <w:p>
            <w:pPr>
              <w:spacing w:line="360" w:lineRule="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3、演示手机导播：为了便于用户进行随时随地的导播，要求具备移动导播 APP，支持通过如手机进行控制。支持输出画面预览、通道景别切换、录制、暂停、停止、手动与自动切换等常用操作；</w:t>
            </w:r>
          </w:p>
          <w:p>
            <w:pPr>
              <w:spacing w:line="360" w:lineRule="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4、直播功能：支持标准RTMP推流协议，支持面向≥3不同的站点同时直播，每个站点支持用户自定义≥3路可选通道，支持对直播的高标清码率进行调节，以适应不同网络环境下保持直播的流畅性；</w:t>
            </w:r>
          </w:p>
          <w:p>
            <w:pPr>
              <w:spacing w:line="360" w:lineRule="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5、演示课表录课功能：在录播本机上（非其他关联平台），通过手动创建录课时间表,按照手动创建的课表时间，实现自定义时间的课程录制、课程直播的开始及结束时间；</w:t>
            </w:r>
          </w:p>
          <w:p>
            <w:pPr>
              <w:spacing w:line="360" w:lineRule="auto"/>
              <w:rPr>
                <w:rFonts w:hint="eastAsia" w:ascii="宋体" w:hAnsi="宋体" w:eastAsia="宋体" w:cs="宋体"/>
                <w:b w:val="0"/>
                <w:bCs w:val="0"/>
                <w:sz w:val="21"/>
                <w:szCs w:val="21"/>
                <w:highlight w:val="none"/>
                <w:lang w:val="en-US" w:eastAsia="zh-CN"/>
              </w:rPr>
            </w:pPr>
            <w:r>
              <w:rPr>
                <w:rFonts w:hint="eastAsia"/>
                <w:b/>
                <w:bCs/>
                <w:lang w:val="en-US" w:eastAsia="zh-CN"/>
              </w:rPr>
              <w:t>以上演示完全满足得3分，否则不得分</w:t>
            </w:r>
            <w:r>
              <w:rPr>
                <w:rFonts w:hint="eastAsia"/>
                <w:b w:val="0"/>
                <w:bCs w:val="0"/>
                <w:lang w:val="en-US" w:eastAsia="zh-CN"/>
              </w:rPr>
              <w:t>。</w:t>
            </w:r>
          </w:p>
          <w:p>
            <w:pPr>
              <w:autoSpaceDE w:val="0"/>
              <w:autoSpaceDN w:val="0"/>
              <w:spacing w:line="360" w:lineRule="auto"/>
              <w:jc w:val="left"/>
              <w:rPr>
                <w:rFonts w:hint="eastAsia" w:ascii="宋体" w:hAnsi="宋体" w:cs="宋体"/>
                <w:b w:val="0"/>
                <w:bCs w:val="0"/>
                <w:sz w:val="21"/>
                <w:szCs w:val="21"/>
                <w:highlight w:val="none"/>
                <w:lang w:val="en-US" w:eastAsia="zh-CN"/>
              </w:rPr>
            </w:pPr>
            <w:r>
              <w:rPr>
                <w:rFonts w:hint="eastAsia"/>
                <w:b w:val="0"/>
                <w:bCs w:val="0"/>
              </w:rPr>
              <w:t>演示</w:t>
            </w:r>
            <w:r>
              <w:rPr>
                <w:rFonts w:hint="eastAsia"/>
                <w:b w:val="0"/>
                <w:bCs w:val="0"/>
                <w:lang w:val="en-US" w:eastAsia="zh-CN"/>
              </w:rPr>
              <w:t>2</w:t>
            </w:r>
            <w:r>
              <w:rPr>
                <w:rFonts w:hint="eastAsia"/>
                <w:b w:val="0"/>
                <w:bCs w:val="0"/>
                <w:highlight w:val="none"/>
              </w:rPr>
              <w:t>“</w:t>
            </w:r>
            <w:r>
              <w:rPr>
                <w:rFonts w:hint="eastAsia" w:ascii="宋体" w:hAnsi="宋体" w:eastAsia="宋体" w:cs="宋体"/>
                <w:b w:val="0"/>
                <w:bCs w:val="0"/>
                <w:sz w:val="21"/>
                <w:szCs w:val="21"/>
                <w:highlight w:val="none"/>
                <w:lang w:val="en-US" w:eastAsia="zh-CN"/>
              </w:rPr>
              <w:t>视频资源管理平台</w:t>
            </w:r>
            <w:r>
              <w:rPr>
                <w:rFonts w:hint="eastAsia" w:ascii="宋体" w:hAnsi="宋体" w:cs="宋体"/>
                <w:b w:val="0"/>
                <w:bCs w:val="0"/>
                <w:sz w:val="21"/>
                <w:szCs w:val="21"/>
                <w:highlight w:val="none"/>
                <w:lang w:val="en-US" w:eastAsia="zh-CN"/>
              </w:rPr>
              <w:t>”</w:t>
            </w:r>
            <w:r>
              <w:rPr>
                <w:rFonts w:hint="eastAsia"/>
                <w:b w:val="0"/>
                <w:bCs w:val="0"/>
                <w:lang w:val="zh-CN" w:eastAsia="zh-CN"/>
              </w:rPr>
              <w:t>：</w:t>
            </w:r>
            <w:r>
              <w:rPr>
                <w:rFonts w:hint="eastAsia"/>
                <w:b w:val="0"/>
                <w:bCs w:val="0"/>
                <w:lang w:eastAsia="zh-CN"/>
              </w:rPr>
              <w:t>（</w:t>
            </w:r>
            <w:r>
              <w:rPr>
                <w:rFonts w:hint="eastAsia"/>
                <w:b w:val="0"/>
                <w:bCs w:val="0"/>
                <w:lang w:val="en-US" w:eastAsia="zh-CN"/>
              </w:rPr>
              <w:t>4分</w:t>
            </w:r>
            <w:r>
              <w:rPr>
                <w:rFonts w:hint="eastAsia"/>
                <w:b w:val="0"/>
                <w:bCs w:val="0"/>
                <w:lang w:eastAsia="zh-CN"/>
              </w:rPr>
              <w:t>）</w:t>
            </w:r>
          </w:p>
          <w:p>
            <w:pPr>
              <w:autoSpaceDE w:val="0"/>
              <w:autoSpaceDN w:val="0"/>
              <w:spacing w:line="360" w:lineRule="auto"/>
              <w:jc w:val="left"/>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1、演示平台可管理各种类型的课程资源，课程类型包含：课程、教务课程、名师课程多个种类。并支持对课程访问权限进行管理，根据用户需求设置课程的资源访问和下载权限。</w:t>
            </w:r>
          </w:p>
          <w:p>
            <w:pPr>
              <w:autoSpaceDE w:val="0"/>
              <w:autoSpaceDN w:val="0"/>
              <w:spacing w:line="360" w:lineRule="auto"/>
              <w:jc w:val="left"/>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2、演示平台可根据开课单位、课程名和授课老师自动归类，每门课的资源列表根据上课时间自动排序，显示课程名上课时间、上课班级、上课地点。</w:t>
            </w:r>
          </w:p>
          <w:p>
            <w:pPr>
              <w:autoSpaceDE w:val="0"/>
              <w:autoSpaceDN w:val="0"/>
              <w:spacing w:line="360" w:lineRule="auto"/>
              <w:jc w:val="left"/>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3、演示平台可统计全校开设的公开课（教务课）数量、课数量和科目数量；支持统计每个课资源的点播次数。</w:t>
            </w:r>
          </w:p>
          <w:p>
            <w:pPr>
              <w:autoSpaceDE w:val="0"/>
              <w:autoSpaceDN w:val="0"/>
              <w:spacing w:line="360" w:lineRule="auto"/>
              <w:jc w:val="left"/>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4、演示平台资源播放：支持多种多分屏模式：画中画、两分屏、三分屏、四分屏、五分屏等。支持任意通道的全屏播放；支持多通道的全屏播放；多分屏时支持任意切换主窗口播放通道。播放文档类资源时：支持对PDF、Word、Excel、PPT等文档及图片作为资源进行在线预览；支持倍速播放。</w:t>
            </w:r>
          </w:p>
          <w:p>
            <w:pPr>
              <w:autoSpaceDE w:val="0"/>
              <w:autoSpaceDN w:val="0"/>
              <w:spacing w:line="360" w:lineRule="auto"/>
              <w:jc w:val="left"/>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5、演示平台的访问统计功能，支持各个课程栏目的访问量统计：支持统计课程的访问量，可按访问人次排名和访问人数排名；支持统计教师和学生的课程访问量，统计数据支持：访问次数、访问时长，支持数据导出。</w:t>
            </w:r>
          </w:p>
          <w:p>
            <w:pPr>
              <w:spacing w:line="360" w:lineRule="auto"/>
              <w:rPr>
                <w:rFonts w:hint="eastAsia" w:ascii="宋体" w:hAnsi="宋体" w:cs="宋体"/>
                <w:b w:val="0"/>
                <w:bCs w:val="0"/>
                <w:sz w:val="21"/>
                <w:szCs w:val="21"/>
                <w:highlight w:val="none"/>
                <w:lang w:val="en-US" w:eastAsia="zh-CN"/>
              </w:rPr>
            </w:pPr>
            <w:r>
              <w:rPr>
                <w:rFonts w:hint="eastAsia"/>
                <w:b/>
                <w:bCs/>
                <w:lang w:val="en-US" w:eastAsia="zh-CN"/>
              </w:rPr>
              <w:t>以上演示完全满足得4分，否则不得分</w:t>
            </w:r>
            <w:r>
              <w:rPr>
                <w:rFonts w:hint="eastAsia"/>
                <w:b w:val="0"/>
                <w:bCs w:val="0"/>
                <w:lang w:val="en-US" w:eastAsia="zh-CN"/>
              </w:rPr>
              <w:t>。</w:t>
            </w:r>
          </w:p>
          <w:p>
            <w:pPr>
              <w:spacing w:line="360" w:lineRule="auto"/>
              <w:rPr>
                <w:rFonts w:hint="eastAsia" w:eastAsia="宋体"/>
                <w:b w:val="0"/>
                <w:bCs w:val="0"/>
                <w:lang w:eastAsia="zh-CN"/>
              </w:rPr>
            </w:pPr>
            <w:r>
              <w:rPr>
                <w:rFonts w:hint="eastAsia"/>
                <w:b w:val="0"/>
                <w:bCs w:val="0"/>
              </w:rPr>
              <w:t>演示</w:t>
            </w:r>
            <w:r>
              <w:rPr>
                <w:rFonts w:hint="eastAsia"/>
                <w:b w:val="0"/>
                <w:bCs w:val="0"/>
                <w:lang w:val="en-US" w:eastAsia="zh-CN"/>
              </w:rPr>
              <w:t>3</w:t>
            </w:r>
            <w:r>
              <w:rPr>
                <w:rFonts w:hint="eastAsia"/>
                <w:b w:val="0"/>
                <w:bCs w:val="0"/>
              </w:rPr>
              <w:t>“学生智慧实验桌”：</w:t>
            </w:r>
            <w:r>
              <w:rPr>
                <w:rFonts w:hint="eastAsia"/>
                <w:b w:val="0"/>
                <w:bCs w:val="0"/>
                <w:lang w:eastAsia="zh-CN"/>
              </w:rPr>
              <w:t>（</w:t>
            </w:r>
            <w:r>
              <w:rPr>
                <w:rFonts w:hint="eastAsia"/>
                <w:b w:val="0"/>
                <w:bCs w:val="0"/>
                <w:lang w:val="en-US" w:eastAsia="zh-CN"/>
              </w:rPr>
              <w:t>4分</w:t>
            </w:r>
            <w:r>
              <w:rPr>
                <w:rFonts w:hint="eastAsia"/>
                <w:b w:val="0"/>
                <w:bCs w:val="0"/>
                <w:lang w:eastAsia="zh-CN"/>
              </w:rPr>
              <w:t>）</w:t>
            </w:r>
          </w:p>
          <w:p>
            <w:pPr>
              <w:spacing w:line="360" w:lineRule="auto"/>
              <w:rPr>
                <w:rFonts w:hint="eastAsia"/>
                <w:b w:val="0"/>
                <w:bCs w:val="0"/>
              </w:rPr>
            </w:pPr>
            <w:r>
              <w:rPr>
                <w:rFonts w:hint="eastAsia"/>
                <w:b w:val="0"/>
                <w:bCs w:val="0"/>
                <w:lang w:val="zh-CN" w:eastAsia="zh-CN"/>
              </w:rPr>
              <w:t>1、</w:t>
            </w:r>
            <w:r>
              <w:rPr>
                <w:rFonts w:hint="eastAsia"/>
                <w:b w:val="0"/>
                <w:bCs w:val="0"/>
              </w:rPr>
              <w:t>桌脚升降功能：可根据教师不同升高，智能调节所需演示实验台高度，升降范围不少于120mm；</w:t>
            </w:r>
          </w:p>
          <w:p>
            <w:pPr>
              <w:spacing w:line="360" w:lineRule="auto"/>
              <w:rPr>
                <w:rFonts w:hint="eastAsia"/>
                <w:b w:val="0"/>
                <w:bCs w:val="0"/>
              </w:rPr>
            </w:pPr>
            <w:r>
              <w:rPr>
                <w:rFonts w:hint="eastAsia"/>
                <w:b w:val="0"/>
                <w:bCs w:val="0"/>
                <w:lang w:val="en-US" w:eastAsia="zh-CN"/>
              </w:rPr>
              <w:t>2</w:t>
            </w:r>
            <w:r>
              <w:rPr>
                <w:rFonts w:hint="eastAsia"/>
                <w:b w:val="0"/>
                <w:bCs w:val="0"/>
                <w:lang w:val="zh-CN" w:eastAsia="zh-CN"/>
              </w:rPr>
              <w:t>、</w:t>
            </w:r>
            <w:r>
              <w:rPr>
                <w:rFonts w:hint="eastAsia"/>
                <w:b w:val="0"/>
                <w:bCs w:val="0"/>
              </w:rPr>
              <w:t>实验升降围挡：采用按弹阻尼升降结构，屏风整体升降最高高度为出桌面尺寸不低于230mm；</w:t>
            </w:r>
          </w:p>
          <w:p>
            <w:pPr>
              <w:spacing w:line="360" w:lineRule="auto"/>
              <w:rPr>
                <w:rFonts w:hint="eastAsia"/>
                <w:b w:val="0"/>
                <w:bCs w:val="0"/>
              </w:rPr>
            </w:pPr>
            <w:r>
              <w:rPr>
                <w:rFonts w:hint="eastAsia"/>
                <w:b w:val="0"/>
                <w:bCs w:val="0"/>
                <w:lang w:val="en-US" w:eastAsia="zh-CN"/>
              </w:rPr>
              <w:t>3</w:t>
            </w:r>
            <w:r>
              <w:rPr>
                <w:rFonts w:hint="eastAsia"/>
                <w:b w:val="0"/>
                <w:bCs w:val="0"/>
                <w:lang w:val="zh-CN" w:eastAsia="zh-CN"/>
              </w:rPr>
              <w:t>、</w:t>
            </w:r>
            <w:r>
              <w:rPr>
                <w:rFonts w:hint="eastAsia"/>
                <w:b w:val="0"/>
                <w:bCs w:val="0"/>
              </w:rPr>
              <w:t>智能联动升降平台：包含自动升降实验显示器、自动升降集成电源模块、可自动升降展开及自动升降、自动闭合摄像系统功能。</w:t>
            </w:r>
          </w:p>
          <w:p>
            <w:pPr>
              <w:spacing w:line="360" w:lineRule="auto"/>
              <w:rPr>
                <w:rFonts w:hint="eastAsia"/>
                <w:b w:val="0"/>
                <w:bCs w:val="0"/>
                <w:highlight w:val="none"/>
              </w:rPr>
            </w:pPr>
            <w:r>
              <w:rPr>
                <w:rFonts w:hint="eastAsia"/>
                <w:b/>
                <w:bCs/>
                <w:highlight w:val="none"/>
                <w:lang w:val="en-US" w:eastAsia="zh-CN"/>
              </w:rPr>
              <w:t>以上演示完全满足得4分，否则不得分</w:t>
            </w:r>
            <w:r>
              <w:rPr>
                <w:rFonts w:hint="eastAsia"/>
                <w:b w:val="0"/>
                <w:bCs w:val="0"/>
                <w:highlight w:val="none"/>
                <w:lang w:val="en-US" w:eastAsia="zh-CN"/>
              </w:rPr>
              <w:t>。</w:t>
            </w:r>
          </w:p>
          <w:p>
            <w:pPr>
              <w:spacing w:line="360" w:lineRule="auto"/>
              <w:rPr>
                <w:rFonts w:hint="eastAsia"/>
                <w:b w:val="0"/>
                <w:bCs w:val="0"/>
                <w:highlight w:val="none"/>
                <w:lang w:eastAsia="zh-CN"/>
              </w:rPr>
            </w:pPr>
            <w:r>
              <w:rPr>
                <w:rFonts w:hint="eastAsia"/>
                <w:b w:val="0"/>
                <w:bCs w:val="0"/>
                <w:highlight w:val="none"/>
                <w:lang w:val="en-US" w:eastAsia="zh-CN"/>
              </w:rPr>
              <w:t>演示4</w:t>
            </w:r>
            <w:r>
              <w:rPr>
                <w:rFonts w:hint="eastAsia" w:ascii="Times New Roman" w:hAnsi="Times New Roman" w:eastAsia="宋体" w:cs="Times New Roman"/>
                <w:b w:val="0"/>
                <w:bCs w:val="0"/>
                <w:lang w:val="en-US" w:eastAsia="zh-CN"/>
              </w:rPr>
              <w:t>“吊装系统主体框架</w:t>
            </w:r>
            <w:r>
              <w:rPr>
                <w:rFonts w:hint="eastAsia"/>
                <w:b w:val="0"/>
                <w:bCs w:val="0"/>
                <w:highlight w:val="none"/>
                <w:lang w:val="en-US" w:eastAsia="zh-CN"/>
              </w:rPr>
              <w:t>”</w:t>
            </w:r>
            <w:r>
              <w:rPr>
                <w:rFonts w:hint="eastAsia"/>
                <w:b w:val="0"/>
                <w:bCs w:val="0"/>
                <w:highlight w:val="none"/>
                <w:lang w:val="zh-CN" w:eastAsia="zh-CN"/>
              </w:rPr>
              <w:t>：</w:t>
            </w:r>
            <w:r>
              <w:rPr>
                <w:rFonts w:hint="eastAsia"/>
                <w:b w:val="0"/>
                <w:bCs w:val="0"/>
                <w:highlight w:val="none"/>
                <w:lang w:eastAsia="zh-CN"/>
              </w:rPr>
              <w:t>（</w:t>
            </w:r>
            <w:r>
              <w:rPr>
                <w:rFonts w:hint="eastAsia"/>
                <w:b w:val="0"/>
                <w:bCs w:val="0"/>
                <w:highlight w:val="none"/>
                <w:lang w:val="en-US" w:eastAsia="zh-CN"/>
              </w:rPr>
              <w:t>2分</w:t>
            </w:r>
            <w:r>
              <w:rPr>
                <w:rFonts w:hint="eastAsia"/>
                <w:b w:val="0"/>
                <w:bCs w:val="0"/>
                <w:highlight w:val="none"/>
                <w:lang w:eastAsia="zh-CN"/>
              </w:rPr>
              <w:t>）</w:t>
            </w:r>
          </w:p>
          <w:p>
            <w:pPr>
              <w:spacing w:line="360" w:lineRule="auto"/>
              <w:rPr>
                <w:rFonts w:hint="eastAsia" w:ascii="Times New Roman" w:hAnsi="Times New Roman" w:eastAsia="宋体" w:cs="Times New Roman"/>
                <w:b w:val="0"/>
                <w:bCs w:val="0"/>
                <w:lang w:val="zh-CN" w:eastAsia="zh-CN"/>
              </w:rPr>
            </w:pPr>
            <w:r>
              <w:rPr>
                <w:rFonts w:hint="eastAsia"/>
                <w:b w:val="0"/>
                <w:bCs w:val="0"/>
                <w:lang w:val="en-US" w:eastAsia="zh-CN"/>
              </w:rPr>
              <w:t>1</w:t>
            </w:r>
            <w:r>
              <w:rPr>
                <w:rFonts w:hint="eastAsia"/>
                <w:b w:val="0"/>
                <w:bCs w:val="0"/>
                <w:lang w:val="zh-CN" w:eastAsia="zh-CN"/>
              </w:rPr>
              <w:t>、</w:t>
            </w:r>
            <w:r>
              <w:rPr>
                <w:rFonts w:hint="eastAsia" w:ascii="Times New Roman" w:hAnsi="Times New Roman" w:eastAsia="宋体" w:cs="Times New Roman"/>
                <w:b w:val="0"/>
                <w:bCs w:val="0"/>
                <w:lang w:val="zh-CN" w:eastAsia="zh-CN"/>
              </w:rPr>
              <w:t>智能摇臂及实验电源系统：对学生电源0-30V输出控制及锁定。学生端按举手键求助模块，教师控制终端实时定位显示当前学生求助座位号等功能进行演示。</w:t>
            </w:r>
          </w:p>
          <w:p>
            <w:pPr>
              <w:spacing w:line="360" w:lineRule="auto"/>
              <w:rPr>
                <w:rFonts w:hint="eastAsia" w:ascii="Times New Roman" w:hAnsi="Times New Roman" w:eastAsia="宋体" w:cs="Times New Roman"/>
                <w:b w:val="0"/>
                <w:bCs w:val="0"/>
                <w:lang w:val="zh-CN" w:eastAsia="zh-CN"/>
              </w:rPr>
            </w:pPr>
            <w:r>
              <w:rPr>
                <w:rFonts w:hint="eastAsia"/>
                <w:b w:val="0"/>
                <w:bCs w:val="0"/>
                <w:lang w:val="en-US" w:eastAsia="zh-CN"/>
              </w:rPr>
              <w:t>2</w:t>
            </w:r>
            <w:r>
              <w:rPr>
                <w:rFonts w:hint="eastAsia"/>
                <w:b w:val="0"/>
                <w:bCs w:val="0"/>
                <w:lang w:val="zh-CN" w:eastAsia="zh-CN"/>
              </w:rPr>
              <w:t>、</w:t>
            </w:r>
            <w:r>
              <w:rPr>
                <w:rFonts w:hint="eastAsia" w:ascii="Times New Roman" w:hAnsi="Times New Roman" w:eastAsia="宋体" w:cs="Times New Roman"/>
                <w:b w:val="0"/>
                <w:bCs w:val="0"/>
                <w:lang w:val="zh-CN" w:eastAsia="zh-CN"/>
              </w:rPr>
              <w:t>吊装舱体集成系统：可实时显示摇臂运行状态指示，当摆臂功能运行故障时，设备开启会出现红色线性灯光；当摆臂功能运行正常时，设备开启出现绿色线性灯光；通过2种不同颜色显示设备是否正常运行。</w:t>
            </w:r>
          </w:p>
          <w:p>
            <w:pPr>
              <w:spacing w:line="360" w:lineRule="auto"/>
              <w:rPr>
                <w:rFonts w:hint="default" w:ascii="Times New Roman" w:hAnsi="Times New Roman" w:eastAsia="宋体" w:cs="Times New Roman"/>
                <w:b w:val="0"/>
                <w:bCs w:val="0"/>
                <w:lang w:val="en-US" w:eastAsia="zh-CN"/>
              </w:rPr>
            </w:pPr>
            <w:r>
              <w:rPr>
                <w:rFonts w:hint="eastAsia" w:ascii="Times New Roman" w:hAnsi="Times New Roman" w:eastAsia="宋体" w:cs="Times New Roman"/>
                <w:b/>
                <w:bCs/>
                <w:lang w:val="en-US" w:eastAsia="zh-CN"/>
              </w:rPr>
              <w:t>以上演示完全满足得</w:t>
            </w:r>
            <w:r>
              <w:rPr>
                <w:rFonts w:hint="eastAsia" w:cs="Times New Roman"/>
                <w:b/>
                <w:bCs/>
                <w:lang w:val="en-US" w:eastAsia="zh-CN"/>
              </w:rPr>
              <w:t>2</w:t>
            </w:r>
            <w:r>
              <w:rPr>
                <w:rFonts w:hint="eastAsia" w:ascii="Times New Roman" w:hAnsi="Times New Roman" w:eastAsia="宋体" w:cs="Times New Roman"/>
                <w:b/>
                <w:bCs/>
                <w:lang w:val="en-US" w:eastAsia="zh-CN"/>
              </w:rPr>
              <w:t>分，否则不得分</w:t>
            </w:r>
            <w:r>
              <w:rPr>
                <w:rFonts w:hint="eastAsia" w:ascii="Times New Roman" w:hAnsi="Times New Roman" w:eastAsia="宋体" w:cs="Times New Roman"/>
                <w:b w:val="0"/>
                <w:bCs w:val="0"/>
                <w:lang w:val="en-US" w:eastAsia="zh-CN"/>
              </w:rPr>
              <w:t>。</w:t>
            </w:r>
          </w:p>
          <w:p>
            <w:pPr>
              <w:spacing w:line="360" w:lineRule="auto"/>
              <w:rPr>
                <w:rFonts w:hint="eastAsia" w:ascii="Times New Roman" w:hAnsi="Times New Roman" w:eastAsia="宋体" w:cs="Times New Roman"/>
                <w:b w:val="0"/>
                <w:bCs w:val="0"/>
                <w:lang w:val="zh-CN" w:eastAsia="zh-CN"/>
              </w:rPr>
            </w:pPr>
            <w:r>
              <w:rPr>
                <w:rFonts w:hint="eastAsia" w:ascii="Times New Roman" w:hAnsi="Times New Roman" w:eastAsia="宋体" w:cs="Times New Roman"/>
                <w:b w:val="0"/>
                <w:bCs w:val="0"/>
                <w:lang w:val="en-US" w:eastAsia="zh-CN"/>
              </w:rPr>
              <w:t>演示5“教师端数码生物显微镜 ”</w:t>
            </w:r>
            <w:r>
              <w:rPr>
                <w:rFonts w:hint="eastAsia" w:ascii="Times New Roman" w:hAnsi="Times New Roman" w:eastAsia="宋体" w:cs="Times New Roman"/>
                <w:b w:val="0"/>
                <w:bCs w:val="0"/>
                <w:lang w:val="zh-CN" w:eastAsia="zh-CN"/>
              </w:rPr>
              <w:t>：（</w:t>
            </w:r>
            <w:r>
              <w:rPr>
                <w:rFonts w:hint="eastAsia" w:cs="Times New Roman"/>
                <w:b w:val="0"/>
                <w:bCs w:val="0"/>
                <w:lang w:val="en-US" w:eastAsia="zh-CN"/>
              </w:rPr>
              <w:t>2分</w:t>
            </w:r>
            <w:r>
              <w:rPr>
                <w:rFonts w:hint="eastAsia" w:ascii="Times New Roman" w:hAnsi="Times New Roman" w:eastAsia="宋体" w:cs="Times New Roman"/>
                <w:b w:val="0"/>
                <w:bCs w:val="0"/>
                <w:lang w:val="zh-CN" w:eastAsia="zh-CN"/>
              </w:rPr>
              <w:t>）</w:t>
            </w:r>
          </w:p>
          <w:p>
            <w:pPr>
              <w:spacing w:line="360" w:lineRule="auto"/>
              <w:rPr>
                <w:rFonts w:hint="eastAsia" w:ascii="Times New Roman" w:hAnsi="Times New Roman" w:eastAsia="宋体" w:cs="Times New Roman"/>
                <w:b w:val="0"/>
                <w:bCs w:val="0"/>
                <w:lang w:val="zh-CN" w:eastAsia="zh-CN"/>
              </w:rPr>
            </w:pPr>
            <w:r>
              <w:rPr>
                <w:rFonts w:hint="default" w:ascii="Times New Roman" w:hAnsi="Times New Roman" w:eastAsia="宋体" w:cs="Times New Roman"/>
                <w:b w:val="0"/>
                <w:bCs w:val="0"/>
                <w:lang w:val="en-US" w:eastAsia="zh-CN"/>
              </w:rPr>
              <w:t>1</w:t>
            </w:r>
            <w:r>
              <w:rPr>
                <w:rFonts w:hint="eastAsia" w:ascii="Times New Roman" w:hAnsi="Times New Roman" w:eastAsia="宋体" w:cs="Times New Roman"/>
                <w:b w:val="0"/>
                <w:bCs w:val="0"/>
                <w:lang w:val="zh-CN" w:eastAsia="zh-CN"/>
              </w:rPr>
              <w:t>、教师端数码生物显微镜具有LED环形指示灯，能够记录显微镜当前状态。工作、休眠和光源亮度三种模式，分别演示这三种模式。</w:t>
            </w:r>
          </w:p>
          <w:p>
            <w:pPr>
              <w:spacing w:line="360" w:lineRule="auto"/>
              <w:rPr>
                <w:rFonts w:hint="eastAsia" w:ascii="Times New Roman" w:hAnsi="Times New Roman" w:eastAsia="宋体" w:cs="Times New Roman"/>
                <w:b w:val="0"/>
                <w:bCs w:val="0"/>
                <w:lang w:val="zh-CN" w:eastAsia="zh-CN"/>
              </w:rPr>
            </w:pPr>
            <w:r>
              <w:rPr>
                <w:rFonts w:hint="default" w:ascii="Times New Roman" w:hAnsi="Times New Roman" w:eastAsia="宋体" w:cs="Times New Roman"/>
                <w:b w:val="0"/>
                <w:bCs w:val="0"/>
                <w:lang w:val="en-US" w:eastAsia="zh-CN"/>
              </w:rPr>
              <w:t>2</w:t>
            </w:r>
            <w:r>
              <w:rPr>
                <w:rFonts w:hint="eastAsia" w:ascii="Times New Roman" w:hAnsi="Times New Roman" w:eastAsia="宋体" w:cs="Times New Roman"/>
                <w:b w:val="0"/>
                <w:bCs w:val="0"/>
                <w:lang w:val="zh-CN" w:eastAsia="zh-CN"/>
              </w:rPr>
              <w:t>、教师端数码生物显微镜多功能操作旋钮可实现调节照明亮度和休眠功能（双击休眠，单击返回工作状态）。</w:t>
            </w:r>
          </w:p>
          <w:p>
            <w:pPr>
              <w:spacing w:line="360" w:lineRule="auto"/>
              <w:rPr>
                <w:rFonts w:hint="eastAsia" w:ascii="Times New Roman" w:hAnsi="Times New Roman" w:eastAsia="宋体" w:cs="Times New Roman"/>
                <w:b w:val="0"/>
                <w:bCs w:val="0"/>
                <w:lang w:val="zh-CN" w:eastAsia="zh-CN"/>
              </w:rPr>
            </w:pPr>
            <w:r>
              <w:rPr>
                <w:rFonts w:hint="default" w:ascii="Times New Roman" w:hAnsi="Times New Roman" w:eastAsia="宋体" w:cs="Times New Roman"/>
                <w:b w:val="0"/>
                <w:bCs w:val="0"/>
                <w:lang w:val="en-US" w:eastAsia="zh-CN"/>
              </w:rPr>
              <w:t>3</w:t>
            </w:r>
            <w:r>
              <w:rPr>
                <w:rFonts w:hint="eastAsia" w:ascii="Times New Roman" w:hAnsi="Times New Roman" w:eastAsia="宋体" w:cs="Times New Roman"/>
                <w:b w:val="0"/>
                <w:bCs w:val="0"/>
                <w:lang w:val="zh-CN" w:eastAsia="zh-CN"/>
              </w:rPr>
              <w:t>、教师端数码生物显微镜采用抽屉式光源更换盒，LED光源模组和卤素灯光源模组可以在不断电的状态下更换。</w:t>
            </w:r>
          </w:p>
          <w:p>
            <w:pPr>
              <w:spacing w:line="360" w:lineRule="auto"/>
              <w:rPr>
                <w:rFonts w:hint="eastAsia" w:ascii="Times New Roman" w:hAnsi="Times New Roman" w:eastAsia="宋体" w:cs="Times New Roman"/>
                <w:b w:val="0"/>
                <w:bCs w:val="0"/>
                <w:lang w:val="zh-CN" w:eastAsia="zh-CN"/>
              </w:rPr>
            </w:pPr>
            <w:r>
              <w:rPr>
                <w:rFonts w:hint="default" w:ascii="Times New Roman" w:hAnsi="Times New Roman" w:eastAsia="宋体" w:cs="Times New Roman"/>
                <w:b w:val="0"/>
                <w:bCs w:val="0"/>
                <w:lang w:val="en-US" w:eastAsia="zh-CN"/>
              </w:rPr>
              <w:t>4</w:t>
            </w:r>
            <w:r>
              <w:rPr>
                <w:rFonts w:hint="eastAsia" w:ascii="Times New Roman" w:hAnsi="Times New Roman" w:eastAsia="宋体" w:cs="Times New Roman"/>
                <w:b w:val="0"/>
                <w:bCs w:val="0"/>
                <w:lang w:val="zh-CN" w:eastAsia="zh-CN"/>
              </w:rPr>
              <w:t>、教师端数码生物显微镜照明记忆功能：各物镜定义的光线强度会被自动记忆并在下次使用该物镜时自动调出，免除再次手动调整的繁琐。</w:t>
            </w:r>
          </w:p>
          <w:p>
            <w:pPr>
              <w:spacing w:line="360" w:lineRule="auto"/>
              <w:rPr>
                <w:rFonts w:hint="eastAsia" w:ascii="Times New Roman" w:hAnsi="Times New Roman" w:eastAsia="宋体" w:cs="Times New Roman"/>
                <w:b w:val="0"/>
                <w:bCs w:val="0"/>
                <w:lang w:val="zh-CN" w:eastAsia="zh-CN"/>
              </w:rPr>
            </w:pPr>
            <w:r>
              <w:rPr>
                <w:rFonts w:hint="default" w:ascii="Times New Roman" w:hAnsi="Times New Roman" w:eastAsia="宋体" w:cs="Times New Roman"/>
                <w:b w:val="0"/>
                <w:bCs w:val="0"/>
                <w:lang w:val="en-US" w:eastAsia="zh-CN"/>
              </w:rPr>
              <w:t>5</w:t>
            </w:r>
            <w:r>
              <w:rPr>
                <w:rFonts w:hint="eastAsia" w:ascii="Times New Roman" w:hAnsi="Times New Roman" w:eastAsia="宋体" w:cs="Times New Roman"/>
                <w:b w:val="0"/>
                <w:bCs w:val="0"/>
                <w:lang w:val="zh-CN" w:eastAsia="zh-CN"/>
              </w:rPr>
              <w:t>、教师端数码生物显微镜机身自带二维码，可以扫描下载软件。</w:t>
            </w:r>
          </w:p>
          <w:p>
            <w:pPr>
              <w:spacing w:line="360" w:lineRule="auto"/>
              <w:rPr>
                <w:rFonts w:hint="eastAsia" w:ascii="Times New Roman" w:hAnsi="Times New Roman" w:eastAsia="宋体" w:cs="Times New Roman"/>
                <w:b w:val="0"/>
                <w:bCs w:val="0"/>
                <w:lang w:val="zh-CN" w:eastAsia="zh-CN"/>
              </w:rPr>
            </w:pPr>
            <w:r>
              <w:rPr>
                <w:rFonts w:hint="eastAsia" w:ascii="Times New Roman" w:hAnsi="Times New Roman" w:eastAsia="宋体" w:cs="Times New Roman"/>
                <w:b/>
                <w:bCs/>
                <w:lang w:val="en-US" w:eastAsia="zh-CN"/>
              </w:rPr>
              <w:t>以上演示完全满足得</w:t>
            </w:r>
            <w:r>
              <w:rPr>
                <w:rFonts w:hint="eastAsia" w:cs="Times New Roman"/>
                <w:b/>
                <w:bCs/>
                <w:lang w:val="en-US" w:eastAsia="zh-CN"/>
              </w:rPr>
              <w:t>2</w:t>
            </w:r>
            <w:r>
              <w:rPr>
                <w:rFonts w:hint="eastAsia" w:ascii="Times New Roman" w:hAnsi="Times New Roman" w:eastAsia="宋体" w:cs="Times New Roman"/>
                <w:b/>
                <w:bCs/>
                <w:lang w:val="en-US" w:eastAsia="zh-CN"/>
              </w:rPr>
              <w:t>分，否则不得分</w:t>
            </w:r>
            <w:r>
              <w:rPr>
                <w:rFonts w:hint="eastAsia" w:ascii="Times New Roman" w:hAnsi="Times New Roman" w:eastAsia="宋体" w:cs="Times New Roman"/>
                <w:b w:val="0"/>
                <w:bCs w:val="0"/>
                <w:lang w:val="en-US" w:eastAsia="zh-CN"/>
              </w:rPr>
              <w:t>。</w:t>
            </w:r>
          </w:p>
          <w:p>
            <w:pPr>
              <w:pStyle w:val="64"/>
              <w:spacing w:line="360" w:lineRule="auto"/>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bCs/>
                <w:color w:val="auto"/>
                <w:sz w:val="21"/>
                <w:szCs w:val="21"/>
                <w:highlight w:val="none"/>
                <w:lang w:val="en-US" w:eastAsia="zh-CN"/>
              </w:rPr>
              <w:t>注</w:t>
            </w:r>
            <w:r>
              <w:rPr>
                <w:rFonts w:hint="eastAsia" w:ascii="宋体" w:hAnsi="宋体" w:eastAsia="宋体" w:cs="宋体"/>
                <w:b/>
                <w:bCs/>
                <w:sz w:val="21"/>
                <w:szCs w:val="21"/>
                <w:highlight w:val="none"/>
                <w:lang w:val="en-US" w:eastAsia="zh-CN"/>
              </w:rPr>
              <w:t>：</w:t>
            </w:r>
            <w:r>
              <w:rPr>
                <w:rFonts w:hint="eastAsia" w:ascii="宋体" w:hAnsi="宋体" w:eastAsia="宋体" w:cs="宋体"/>
                <w:b/>
                <w:bCs/>
                <w:color w:val="auto"/>
                <w:sz w:val="21"/>
                <w:szCs w:val="21"/>
                <w:highlight w:val="none"/>
                <w:lang w:val="en-US" w:eastAsia="zh-CN"/>
              </w:rPr>
              <w:t>每家单位演示时间不超过</w:t>
            </w:r>
            <w:r>
              <w:rPr>
                <w:rFonts w:hint="eastAsia" w:cs="宋体"/>
                <w:b/>
                <w:bCs/>
                <w:color w:val="auto"/>
                <w:sz w:val="21"/>
                <w:szCs w:val="21"/>
                <w:highlight w:val="none"/>
                <w:lang w:val="en-US" w:eastAsia="zh-CN"/>
              </w:rPr>
              <w:t>15</w:t>
            </w:r>
            <w:r>
              <w:rPr>
                <w:rFonts w:hint="eastAsia" w:ascii="宋体" w:hAnsi="宋体" w:eastAsia="宋体" w:cs="宋体"/>
                <w:b/>
                <w:bCs/>
                <w:color w:val="auto"/>
                <w:sz w:val="21"/>
                <w:szCs w:val="21"/>
                <w:highlight w:val="none"/>
                <w:lang w:val="en-US" w:eastAsia="zh-CN"/>
              </w:rPr>
              <w:t>分钟；不提供现场演示或提供PPT等视频演示不得分，演示内容</w:t>
            </w:r>
            <w:r>
              <w:rPr>
                <w:rFonts w:hint="eastAsia" w:cs="宋体"/>
                <w:b/>
                <w:bCs/>
                <w:color w:val="auto"/>
                <w:sz w:val="21"/>
                <w:szCs w:val="21"/>
                <w:highlight w:val="none"/>
                <w:lang w:val="en-US" w:eastAsia="zh-CN"/>
              </w:rPr>
              <w:t>三</w:t>
            </w:r>
            <w:r>
              <w:rPr>
                <w:rFonts w:hint="eastAsia" w:ascii="宋体" w:hAnsi="宋体" w:eastAsia="宋体" w:cs="宋体"/>
                <w:b/>
                <w:bCs/>
                <w:color w:val="auto"/>
                <w:sz w:val="21"/>
                <w:szCs w:val="21"/>
                <w:highlight w:val="none"/>
                <w:lang w:val="en-US" w:eastAsia="zh-CN"/>
              </w:rPr>
              <w:t>大类以上不满足则演示分得0分。</w:t>
            </w:r>
          </w:p>
        </w:tc>
        <w:tc>
          <w:tcPr>
            <w:tcW w:w="821" w:type="dxa"/>
            <w:noWrap w:val="0"/>
            <w:vAlign w:val="center"/>
          </w:tcPr>
          <w:p>
            <w:pPr>
              <w:autoSpaceDE w:val="0"/>
              <w:autoSpaceDN w:val="0"/>
              <w:spacing w:line="480" w:lineRule="auto"/>
              <w:jc w:val="center"/>
              <w:rPr>
                <w:rFonts w:hint="default"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55" w:type="dxa"/>
            <w:noWrap w:val="0"/>
            <w:vAlign w:val="center"/>
          </w:tcPr>
          <w:p>
            <w:pPr>
              <w:adjustRightInd w:val="0"/>
              <w:snapToGrid w:val="0"/>
              <w:spacing w:line="480" w:lineRule="auto"/>
              <w:jc w:val="center"/>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9</w:t>
            </w:r>
          </w:p>
        </w:tc>
        <w:tc>
          <w:tcPr>
            <w:tcW w:w="7568" w:type="dxa"/>
            <w:noWrap w:val="0"/>
            <w:vAlign w:val="top"/>
          </w:tcPr>
          <w:p>
            <w:pPr>
              <w:autoSpaceDE w:val="0"/>
              <w:autoSpaceDN w:val="0"/>
              <w:spacing w:line="360" w:lineRule="auto"/>
              <w:jc w:val="left"/>
              <w:rPr>
                <w:rFonts w:hint="eastAsia"/>
                <w:highlight w:val="yellow"/>
                <w:u w:val="none"/>
              </w:rPr>
            </w:pPr>
            <w:r>
              <w:rPr>
                <w:rFonts w:hint="eastAsia"/>
                <w:highlight w:val="none"/>
                <w:u w:val="none"/>
              </w:rPr>
              <w:t>所投产品的相关</w:t>
            </w:r>
            <w:r>
              <w:rPr>
                <w:rFonts w:hint="eastAsia"/>
                <w:highlight w:val="none"/>
                <w:u w:val="none"/>
                <w:lang w:val="en-US" w:eastAsia="zh-CN"/>
              </w:rPr>
              <w:t>检测报告</w:t>
            </w:r>
            <w:r>
              <w:rPr>
                <w:rFonts w:hint="eastAsia"/>
                <w:highlight w:val="none"/>
                <w:u w:val="none"/>
              </w:rPr>
              <w:t>：</w:t>
            </w:r>
          </w:p>
          <w:p>
            <w:pPr>
              <w:pStyle w:val="2"/>
              <w:keepNext w:val="0"/>
              <w:keepLines w:val="0"/>
              <w:pageBreakBefore w:val="0"/>
              <w:widowControl w:val="0"/>
              <w:numPr>
                <w:ilvl w:val="0"/>
                <w:numId w:val="4"/>
              </w:numPr>
              <w:kinsoku/>
              <w:wordWrap/>
              <w:overflowPunct/>
              <w:topLinePunct w:val="0"/>
              <w:autoSpaceDE/>
              <w:autoSpaceDN/>
              <w:bidi w:val="0"/>
              <w:snapToGrid/>
              <w:spacing w:line="360" w:lineRule="auto"/>
              <w:ind w:leftChars="0" w:right="0" w:rightChars="0"/>
              <w:outlineLvl w:val="9"/>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“学生智慧实验桌”需提供学生智慧实验桌技术性能需满足GB 24820-2009《实验室家具通用技术条件条件》，力学性能：操作台垂直静载荷实验，主桌面加力2000N，加载10次，应符合结果评定要求；桌面持续垂直静载荷试验，垂直荷重1.25kg/dm²,24h应符合结果判定要求；理化性能：操作台柜体及储物柜表面的金属喷漆《塑)图层，硬度H，冲击强度3.92J无剥落、无裂纹、无皱纹，耐腐蚀: 24h酸盐雾试验(ASS) 不低于7级;附着力不低于2级，提供由厂家送检满足以上技术要求并具有CMA认证检测机构出具的检测报告；完全满足得1分，否则不得分。</w:t>
            </w:r>
          </w:p>
          <w:p>
            <w:pPr>
              <w:pStyle w:val="2"/>
              <w:keepNext w:val="0"/>
              <w:keepLines w:val="0"/>
              <w:pageBreakBefore w:val="0"/>
              <w:widowControl w:val="0"/>
              <w:numPr>
                <w:ilvl w:val="0"/>
                <w:numId w:val="4"/>
              </w:numPr>
              <w:kinsoku/>
              <w:wordWrap/>
              <w:overflowPunct/>
              <w:topLinePunct w:val="0"/>
              <w:autoSpaceDE/>
              <w:autoSpaceDN/>
              <w:bidi w:val="0"/>
              <w:snapToGrid/>
              <w:spacing w:line="360" w:lineRule="auto"/>
              <w:ind w:leftChars="0" w:right="0" w:rightChars="0"/>
              <w:outlineLvl w:val="9"/>
              <w:rPr>
                <w:rFonts w:hint="eastAsia" w:ascii="Times New Roman" w:hAnsi="Times New Roman" w:eastAsia="宋体" w:cs="Times New Roman"/>
                <w:sz w:val="20"/>
                <w:szCs w:val="20"/>
                <w:lang w:val="en-US" w:eastAsia="zh-Hans"/>
              </w:rPr>
            </w:pPr>
            <w:r>
              <w:rPr>
                <w:rFonts w:hint="eastAsia" w:ascii="宋体" w:hAnsi="宋体" w:cs="宋体"/>
                <w:b w:val="0"/>
                <w:bCs w:val="0"/>
                <w:sz w:val="21"/>
                <w:szCs w:val="21"/>
                <w:highlight w:val="none"/>
                <w:lang w:val="en-US" w:eastAsia="zh-CN"/>
              </w:rPr>
              <w:t>“学生智慧实验桌”需提供学生智慧实验桌技术性能需满足GB/T 9286-2021 《色漆和清漆 划格试验》及GB/T 10125-2021 《人造气氛腐蚀试验 盐雾试验》，中性盐雾试验不小于10级，附着力不大于0.1级，提供由厂家送检满足以上技术要求并具有CMA认证检测机构出具的检测报告；完全满足得1分，否则不得分。</w:t>
            </w:r>
          </w:p>
          <w:p>
            <w:pPr>
              <w:pStyle w:val="2"/>
              <w:keepNext w:val="0"/>
              <w:keepLines w:val="0"/>
              <w:pageBreakBefore w:val="0"/>
              <w:widowControl w:val="0"/>
              <w:numPr>
                <w:ilvl w:val="0"/>
                <w:numId w:val="4"/>
              </w:numPr>
              <w:kinsoku/>
              <w:wordWrap/>
              <w:overflowPunct/>
              <w:topLinePunct w:val="0"/>
              <w:autoSpaceDE/>
              <w:autoSpaceDN/>
              <w:bidi w:val="0"/>
              <w:snapToGrid/>
              <w:spacing w:line="360" w:lineRule="auto"/>
              <w:ind w:leftChars="0" w:right="0" w:rightChars="0"/>
              <w:outlineLvl w:val="9"/>
              <w:rPr>
                <w:rFonts w:hint="eastAsia" w:ascii="Times New Roman" w:hAnsi="Times New Roman" w:eastAsia="宋体" w:cs="Times New Roman"/>
                <w:sz w:val="20"/>
                <w:szCs w:val="20"/>
                <w:lang w:val="en-US" w:eastAsia="zh-Hans"/>
              </w:rPr>
            </w:pPr>
            <w:r>
              <w:rPr>
                <w:rFonts w:hint="eastAsia" w:ascii="宋体" w:hAnsi="宋体" w:cs="宋体"/>
                <w:b w:val="0"/>
                <w:bCs w:val="0"/>
                <w:sz w:val="21"/>
                <w:szCs w:val="21"/>
                <w:highlight w:val="none"/>
                <w:lang w:val="en-US" w:eastAsia="zh-CN"/>
              </w:rPr>
              <w:t>“学生智慧实验桌”需提供学生智慧实验桌技术性能需满足 GB/T 3325-2017《金属家具通用技术条件》，金属喷涂(塑)涂层:硬度&gt;H;冲击强度应无裂纹、无皱纹及无剥落;耐腐蚀:100h内，观察在溶剂中试件上划道两侧 3mm 以外，应无气泡产生，100h 后，检查划道两侧 3mm 以外，应无锈迹、无剥落、无起皱、无变色和无失光现象。提供由厂家送检满足以上技术要求并具有CMA认证检测机构出具的检测报告。完全满足得1分，否则不得分。</w:t>
            </w:r>
          </w:p>
          <w:p>
            <w:pPr>
              <w:numPr>
                <w:ilvl w:val="0"/>
                <w:numId w:val="4"/>
              </w:numPr>
              <w:spacing w:line="360" w:lineRule="auto"/>
              <w:ind w:left="0" w:leftChars="0" w:firstLine="0" w:firstLineChars="0"/>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“吊装系统框架外观装饰模块”需提供吊装实验室系统框架外观装饰模块技术性能需满足GB/T 9286-1998 《色漆和清漆 漆膜的划格试验》及GB/T 10125-2021 《人造气氛腐蚀试验 盐雾试验》中性盐雾试验不低于10级，附着力不低于2级。完全满足得</w:t>
            </w:r>
            <w:r>
              <w:rPr>
                <w:rFonts w:hint="eastAsia" w:cs="Times New Roman"/>
                <w:b w:val="0"/>
                <w:bCs w:val="0"/>
                <w:lang w:val="en-US" w:eastAsia="zh-CN"/>
              </w:rPr>
              <w:t>1</w:t>
            </w:r>
            <w:r>
              <w:rPr>
                <w:rFonts w:hint="eastAsia" w:ascii="Times New Roman" w:hAnsi="Times New Roman" w:eastAsia="宋体" w:cs="Times New Roman"/>
                <w:b w:val="0"/>
                <w:bCs w:val="0"/>
                <w:lang w:val="en-US" w:eastAsia="zh-CN"/>
              </w:rPr>
              <w:t>分，否则不得分。</w:t>
            </w:r>
          </w:p>
          <w:p>
            <w:pPr>
              <w:pStyle w:val="2"/>
              <w:numPr>
                <w:ilvl w:val="0"/>
                <w:numId w:val="4"/>
              </w:numPr>
              <w:ind w:left="0" w:leftChars="0" w:firstLine="0" w:firstLineChars="0"/>
              <w:rPr>
                <w:rFonts w:hint="eastAsia"/>
                <w:lang w:val="en-US" w:eastAsia="zh-CN"/>
              </w:rPr>
            </w:pPr>
            <w:r>
              <w:rPr>
                <w:rFonts w:hint="eastAsia"/>
                <w:lang w:val="en-US" w:eastAsia="zh-CN"/>
              </w:rPr>
              <w:t>教师演示台技术性能要求需满足GB/T 9286-2021 《色漆和清漆 划格试验》及GB/T 10125-2021 《人造气氛腐蚀试验 盐雾试验》，中性盐雾试验不低于10级，附着力不低于2级。提供由厂家送检满足以上技术要求并具有CMA认证检测机构出具的检测报告复印件并盖厂家公章。</w:t>
            </w:r>
            <w:r>
              <w:rPr>
                <w:rFonts w:hint="eastAsia" w:ascii="Times New Roman" w:hAnsi="Times New Roman" w:eastAsia="宋体" w:cs="Times New Roman"/>
                <w:b w:val="0"/>
                <w:bCs w:val="0"/>
                <w:lang w:val="en-US" w:eastAsia="zh-CN"/>
              </w:rPr>
              <w:t>完全满足得</w:t>
            </w:r>
            <w:r>
              <w:rPr>
                <w:rFonts w:hint="eastAsia" w:cs="Times New Roman"/>
                <w:b w:val="0"/>
                <w:bCs w:val="0"/>
                <w:lang w:val="en-US" w:eastAsia="zh-CN"/>
              </w:rPr>
              <w:t>1</w:t>
            </w:r>
            <w:r>
              <w:rPr>
                <w:rFonts w:hint="eastAsia" w:ascii="Times New Roman" w:hAnsi="Times New Roman" w:eastAsia="宋体" w:cs="Times New Roman"/>
                <w:b w:val="0"/>
                <w:bCs w:val="0"/>
                <w:lang w:val="en-US" w:eastAsia="zh-CN"/>
              </w:rPr>
              <w:t>分，否则不得分。</w:t>
            </w:r>
          </w:p>
          <w:p>
            <w:pPr>
              <w:pStyle w:val="29"/>
              <w:numPr>
                <w:ilvl w:val="0"/>
                <w:numId w:val="0"/>
              </w:numPr>
              <w:spacing w:line="360" w:lineRule="auto"/>
              <w:ind w:leftChars="0"/>
              <w:rPr>
                <w:rFonts w:hint="default"/>
                <w:lang w:val="en-US" w:eastAsia="zh-CN"/>
              </w:rPr>
            </w:pPr>
            <w:r>
              <w:rPr>
                <w:rFonts w:hint="eastAsia" w:ascii="宋体" w:hAnsi="宋体" w:eastAsia="宋体" w:cs="宋体"/>
                <w:b/>
                <w:bCs/>
                <w:color w:val="auto"/>
                <w:sz w:val="21"/>
                <w:szCs w:val="21"/>
                <w:highlight w:val="none"/>
                <w:lang w:val="en-US" w:eastAsia="zh-CN"/>
              </w:rPr>
              <w:t>注</w:t>
            </w:r>
            <w:r>
              <w:rPr>
                <w:rFonts w:hint="eastAsia" w:ascii="宋体" w:hAnsi="宋体" w:eastAsia="宋体" w:cs="宋体"/>
                <w:b/>
                <w:bCs/>
                <w:sz w:val="21"/>
                <w:szCs w:val="21"/>
                <w:highlight w:val="none"/>
                <w:lang w:val="en-US" w:eastAsia="zh-CN"/>
              </w:rPr>
              <w:t>：</w:t>
            </w:r>
            <w:r>
              <w:rPr>
                <w:rFonts w:hint="eastAsia" w:cs="宋体"/>
                <w:b/>
                <w:bCs/>
                <w:color w:val="auto"/>
                <w:sz w:val="21"/>
                <w:szCs w:val="21"/>
                <w:highlight w:val="none"/>
                <w:lang w:val="en-US" w:eastAsia="zh-CN"/>
              </w:rPr>
              <w:t>以上相关证书需提供复印件加盖厂商公章，以及原厂项目授权证书加盖厂商公章，否则得0分，必要时原件备查；</w:t>
            </w:r>
          </w:p>
        </w:tc>
        <w:tc>
          <w:tcPr>
            <w:tcW w:w="821" w:type="dxa"/>
            <w:noWrap w:val="0"/>
            <w:vAlign w:val="center"/>
          </w:tcPr>
          <w:p>
            <w:pPr>
              <w:autoSpaceDE w:val="0"/>
              <w:autoSpaceDN w:val="0"/>
              <w:spacing w:line="480" w:lineRule="auto"/>
              <w:jc w:val="center"/>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pPr>
              <w:autoSpaceDE w:val="0"/>
              <w:autoSpaceDN w:val="0"/>
              <w:spacing w:line="480" w:lineRule="auto"/>
              <w:jc w:val="center"/>
              <w:rPr>
                <w:rFonts w:hint="default" w:ascii="宋体" w:hAnsi="宋体" w:eastAsia="宋体" w:cs="宋体"/>
                <w:b w:val="0"/>
                <w:bCs w:val="0"/>
                <w:kern w:val="2"/>
                <w:sz w:val="21"/>
                <w:szCs w:val="21"/>
                <w:vertAlign w:val="baseline"/>
                <w:lang w:val="en-US" w:eastAsia="zh-CN" w:bidi="ar-SA"/>
              </w:rPr>
            </w:pPr>
            <w:r>
              <w:rPr>
                <w:rFonts w:hint="eastAsia" w:ascii="宋体" w:hAnsi="宋体" w:cs="宋体"/>
                <w:b w:val="0"/>
                <w:bCs w:val="0"/>
                <w:color w:val="000000"/>
                <w:kern w:val="0"/>
                <w:sz w:val="21"/>
                <w:szCs w:val="21"/>
                <w:lang w:val="en-US" w:eastAsia="zh-CN"/>
              </w:rPr>
              <w:t>10</w:t>
            </w:r>
          </w:p>
        </w:tc>
        <w:tc>
          <w:tcPr>
            <w:tcW w:w="7568" w:type="dxa"/>
            <w:noWrap w:val="0"/>
            <w:vAlign w:val="center"/>
          </w:tcPr>
          <w:p>
            <w:pPr>
              <w:autoSpaceDE w:val="0"/>
              <w:autoSpaceDN w:val="0"/>
              <w:spacing w:line="480" w:lineRule="auto"/>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有效投标报价的最低价作为评标基准价，其最低报价为满分；按［投标报价得分=（评标基准价/投标报价）*30］的计算公式计算。</w:t>
            </w:r>
          </w:p>
          <w:p>
            <w:pPr>
              <w:autoSpaceDE w:val="0"/>
              <w:autoSpaceDN w:val="0"/>
              <w:spacing w:line="480" w:lineRule="auto"/>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评标过程中，不得去掉报价中的最高报价和最低报价。</w:t>
            </w:r>
          </w:p>
          <w:p>
            <w:pPr>
              <w:autoSpaceDE w:val="0"/>
              <w:autoSpaceDN w:val="0"/>
              <w:spacing w:line="480" w:lineRule="auto"/>
              <w:jc w:val="left"/>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因落实政府采购政策需要进行价格调整的，以调整后的价格计算评标基准价和投标报价。</w:t>
            </w:r>
          </w:p>
        </w:tc>
        <w:tc>
          <w:tcPr>
            <w:tcW w:w="821" w:type="dxa"/>
            <w:noWrap w:val="0"/>
            <w:vAlign w:val="center"/>
          </w:tcPr>
          <w:p>
            <w:pPr>
              <w:autoSpaceDE w:val="0"/>
              <w:autoSpaceDN w:val="0"/>
              <w:spacing w:line="48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color w:val="000000"/>
                <w:kern w:val="0"/>
                <w:sz w:val="21"/>
                <w:szCs w:val="21"/>
              </w:rPr>
              <w:t>3</w:t>
            </w:r>
            <w:r>
              <w:rPr>
                <w:rFonts w:hint="eastAsia" w:ascii="宋体" w:hAnsi="宋体" w:cs="宋体"/>
                <w:b w:val="0"/>
                <w:bCs w:val="0"/>
                <w:color w:val="000000"/>
                <w:kern w:val="0"/>
                <w:sz w:val="21"/>
                <w:szCs w:val="21"/>
                <w:lang w:val="en-US" w:eastAsia="zh-CN"/>
              </w:rPr>
              <w:t>0</w:t>
            </w:r>
          </w:p>
        </w:tc>
      </w:tr>
    </w:tbl>
    <w:p>
      <w:pPr>
        <w:snapToGrid w:val="0"/>
        <w:spacing w:line="360" w:lineRule="auto"/>
        <w:rPr>
          <w:rFonts w:ascii="宋体" w:hAnsi="宋体" w:cs="宋体"/>
          <w:b/>
          <w:sz w:val="24"/>
        </w:rPr>
      </w:pP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pStyle w:val="162"/>
        <w:snapToGrid w:val="0"/>
        <w:spacing w:before="0" w:line="440" w:lineRule="exact"/>
        <w:ind w:firstLine="0" w:firstLineChars="0"/>
        <w:rPr>
          <w:rFonts w:ascii="宋体" w:hAnsi="宋体" w:cs="宋体"/>
        </w:rPr>
      </w:pPr>
    </w:p>
    <w:p>
      <w:pPr>
        <w:pStyle w:val="162"/>
        <w:snapToGrid w:val="0"/>
        <w:spacing w:before="0" w:line="440" w:lineRule="exact"/>
        <w:ind w:firstLine="600" w:firstLineChars="250"/>
        <w:rPr>
          <w:rFonts w:ascii="宋体" w:hAnsi="宋体" w:cs="宋体"/>
        </w:rPr>
      </w:pPr>
    </w:p>
    <w:p>
      <w:pPr>
        <w:rPr>
          <w:rFonts w:ascii="宋体" w:hAnsi="宋体"/>
        </w:rPr>
        <w:sectPr>
          <w:pgSz w:w="11906" w:h="16838"/>
          <w:pgMar w:top="680" w:right="1418" w:bottom="468" w:left="1418" w:header="851" w:footer="992" w:gutter="0"/>
          <w:cols w:space="720" w:num="1"/>
          <w:docGrid w:linePitch="312" w:charSpace="0"/>
        </w:sectPr>
      </w:pPr>
    </w:p>
    <w:bookmarkEnd w:id="13"/>
    <w:bookmarkEnd w:id="14"/>
    <w:p>
      <w:pPr>
        <w:snapToGrid w:val="0"/>
        <w:spacing w:line="360" w:lineRule="auto"/>
        <w:rPr>
          <w:rFonts w:ascii="宋体" w:hAnsi="宋体" w:cs="宋体"/>
          <w:b/>
          <w:sz w:val="28"/>
          <w:szCs w:val="28"/>
        </w:rPr>
      </w:pPr>
      <w:bookmarkStart w:id="31" w:name="第四部分"/>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62"/>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62"/>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62"/>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62"/>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62"/>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62"/>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62"/>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62"/>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产品（单一产品采购项目中的该产品或者非单一产品采购项目的核心产品）且通过资格审查、符合性审查的不同投标人参加同一合同项下投标的，按一家投标人计算，评审后得分最高的同投标人获得中标人推荐资格；评审得分相同的，采取随机抽取方式确定，其他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62"/>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9"/>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9"/>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9"/>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9"/>
        <w:snapToGrid w:val="0"/>
        <w:spacing w:line="360" w:lineRule="auto"/>
        <w:rPr>
          <w:rFonts w:cs="宋体"/>
        </w:rPr>
      </w:pPr>
      <w:r>
        <w:rPr>
          <w:rFonts w:hint="eastAsia" w:cs="宋体"/>
        </w:rPr>
        <w:t>5.1符合专业条件的供应商或者对招标文件作实质响应的供应商不足3家的；</w:t>
      </w:r>
    </w:p>
    <w:p>
      <w:pPr>
        <w:pStyle w:val="29"/>
        <w:snapToGrid w:val="0"/>
        <w:spacing w:line="360" w:lineRule="auto"/>
        <w:rPr>
          <w:rFonts w:cs="宋体"/>
        </w:rPr>
      </w:pPr>
      <w:r>
        <w:rPr>
          <w:rFonts w:hint="eastAsia" w:cs="宋体"/>
        </w:rPr>
        <w:t>5.2出现影响采购公正的违法、违规行为的；</w:t>
      </w:r>
    </w:p>
    <w:p>
      <w:pPr>
        <w:pStyle w:val="29"/>
        <w:snapToGrid w:val="0"/>
        <w:spacing w:line="360" w:lineRule="auto"/>
        <w:rPr>
          <w:rFonts w:cs="宋体"/>
        </w:rPr>
      </w:pPr>
      <w:r>
        <w:rPr>
          <w:rFonts w:hint="eastAsia" w:cs="宋体"/>
        </w:rPr>
        <w:t>5.3投标人的报价均超过了采购预算，采购人不能支付的；</w:t>
      </w:r>
    </w:p>
    <w:p>
      <w:pPr>
        <w:pStyle w:val="29"/>
        <w:snapToGrid w:val="0"/>
        <w:spacing w:line="360" w:lineRule="auto"/>
        <w:rPr>
          <w:rFonts w:cs="宋体"/>
        </w:rPr>
      </w:pPr>
      <w:r>
        <w:rPr>
          <w:rFonts w:hint="eastAsia" w:cs="宋体"/>
        </w:rPr>
        <w:t>5.4因重大变故，采购任务取消的。</w:t>
      </w:r>
    </w:p>
    <w:p>
      <w:pPr>
        <w:pStyle w:val="29"/>
        <w:snapToGrid w:val="0"/>
        <w:spacing w:line="360" w:lineRule="auto"/>
        <w:rPr>
          <w:rFonts w:cs="宋体"/>
        </w:rPr>
      </w:pPr>
      <w:r>
        <w:rPr>
          <w:rFonts w:hint="eastAsia" w:cs="宋体"/>
        </w:rPr>
        <w:t>废标后，采购代理机构应当将废标理由通知所有投标人。</w:t>
      </w:r>
    </w:p>
    <w:p>
      <w:pPr>
        <w:pStyle w:val="29"/>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9"/>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9"/>
        <w:snapToGrid w:val="0"/>
        <w:spacing w:line="360" w:lineRule="auto"/>
        <w:rPr>
          <w:rFonts w:cs="宋体"/>
        </w:rPr>
      </w:pPr>
      <w:r>
        <w:rPr>
          <w:rFonts w:hint="eastAsia" w:cs="宋体"/>
        </w:rPr>
        <w:t>7.1未确定中标供应商的，终止本次政府采购活动，重新开展政府采购活动。</w:t>
      </w:r>
    </w:p>
    <w:p>
      <w:pPr>
        <w:pStyle w:val="29"/>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9"/>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9"/>
        <w:snapToGrid w:val="0"/>
        <w:spacing w:line="360" w:lineRule="auto"/>
        <w:rPr>
          <w:rFonts w:cs="宋体"/>
        </w:rPr>
      </w:pPr>
      <w:r>
        <w:rPr>
          <w:rFonts w:hint="eastAsia" w:cs="宋体"/>
        </w:rPr>
        <w:t>7.4政府采购合同已经履行，给采购人、供应商造成损失的，由责任人承担赔偿责任。</w:t>
      </w:r>
    </w:p>
    <w:p>
      <w:pPr>
        <w:pStyle w:val="29"/>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9"/>
        <w:snapToGrid w:val="0"/>
        <w:spacing w:line="360" w:lineRule="auto"/>
        <w:ind w:firstLine="0" w:firstLineChars="0"/>
        <w:rPr>
          <w:rFonts w:cs="宋体"/>
        </w:rPr>
      </w:pPr>
    </w:p>
    <w:bookmarkEnd w:id="31"/>
    <w:p>
      <w:pPr>
        <w:pStyle w:val="119"/>
      </w:pPr>
      <w:bookmarkStart w:id="32" w:name="第五部分"/>
      <w:bookmarkStart w:id="33" w:name="_Toc86217003"/>
    </w:p>
    <w:p>
      <w:pPr>
        <w:pStyle w:val="119"/>
      </w:pPr>
      <w:r>
        <w:rPr>
          <w:rFonts w:hint="eastAsia"/>
        </w:rPr>
        <w:t xml:space="preserve">    </w:t>
      </w:r>
    </w:p>
    <w:p>
      <w:pPr>
        <w:pStyle w:val="119"/>
      </w:pPr>
    </w:p>
    <w:p>
      <w:pPr>
        <w:widowControl/>
        <w:adjustRightInd/>
        <w:jc w:val="left"/>
        <w:rPr>
          <w:rFonts w:ascii="宋体" w:hAnsi="宋体" w:cs="宋体"/>
          <w:b/>
          <w:sz w:val="36"/>
          <w:szCs w:val="36"/>
        </w:rPr>
      </w:pPr>
      <w:r>
        <w:rPr>
          <w:rFonts w:ascii="宋体" w:hAnsi="宋体" w:cs="宋体"/>
          <w:b/>
          <w:sz w:val="36"/>
          <w:szCs w:val="36"/>
        </w:rPr>
        <w:br w:type="page"/>
      </w: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705"/>
        <w:rPr>
          <w:rFonts w:ascii="宋体" w:hAnsi="宋体" w:cs="宋体"/>
          <w:szCs w:val="24"/>
        </w:rPr>
      </w:pPr>
    </w:p>
    <w:p>
      <w:pPr>
        <w:pStyle w:val="705"/>
        <w:rPr>
          <w:rFonts w:ascii="宋体" w:hAnsi="宋体" w:cs="宋体"/>
          <w:szCs w:val="24"/>
        </w:rPr>
      </w:pPr>
    </w:p>
    <w:p>
      <w:pPr>
        <w:pStyle w:val="705"/>
        <w:jc w:val="center"/>
        <w:rPr>
          <w:rFonts w:ascii="宋体" w:hAnsi="宋体" w:cs="宋体"/>
          <w:szCs w:val="24"/>
        </w:rPr>
      </w:pPr>
    </w:p>
    <w:p>
      <w:pPr>
        <w:pStyle w:val="705"/>
        <w:ind w:firstLine="2843" w:firstLineChars="1180"/>
        <w:rPr>
          <w:rFonts w:ascii="宋体" w:hAnsi="宋体" w:cs="宋体"/>
          <w:b/>
          <w:szCs w:val="24"/>
        </w:rPr>
      </w:pPr>
      <w:r>
        <w:rPr>
          <w:rFonts w:hint="eastAsia" w:ascii="宋体" w:hAnsi="宋体" w:cs="宋体"/>
          <w:b/>
          <w:szCs w:val="24"/>
        </w:rPr>
        <w:t>第一部分 合同书</w:t>
      </w:r>
    </w:p>
    <w:p>
      <w:pPr>
        <w:pStyle w:val="705"/>
        <w:rPr>
          <w:rFonts w:ascii="宋体" w:hAnsi="宋体" w:cs="宋体"/>
          <w:szCs w:val="24"/>
        </w:rPr>
      </w:pPr>
    </w:p>
    <w:p>
      <w:pPr>
        <w:pStyle w:val="705"/>
        <w:rPr>
          <w:rFonts w:ascii="宋体" w:hAnsi="宋体" w:cs="宋体"/>
          <w:szCs w:val="24"/>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601"/>
        <w:spacing w:before="120" w:line="22" w:lineRule="atLeast"/>
        <w:rPr>
          <w:rFonts w:ascii="宋体" w:hAnsi="宋体" w:eastAsia="宋体" w:cs="宋体"/>
          <w:szCs w:val="24"/>
        </w:rPr>
      </w:pPr>
    </w:p>
    <w:p>
      <w:pPr>
        <w:pStyle w:val="601"/>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（采购人）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（项目名称、编号）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为该项目中标或者成交供应商。现于中标或者成交通知书发出之日起10个工作日内，按照采购文件等确定的事项签订本合同。</w:t>
      </w:r>
    </w:p>
    <w:p>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560" w:lineRule="exact"/>
        <w:ind w:firstLine="482" w:firstLineChars="200"/>
        <w:outlineLvl w:val="0"/>
        <w:rPr>
          <w:rFonts w:ascii="宋体" w:hAnsi="宋体" w:cs="宋体"/>
          <w:b/>
          <w:sz w:val="24"/>
        </w:rPr>
      </w:pPr>
      <w:bookmarkStart w:id="34" w:name="_Toc24059"/>
      <w:bookmarkStart w:id="35" w:name="_Toc2232"/>
      <w:bookmarkStart w:id="36" w:name="_Toc3029"/>
      <w:r>
        <w:rPr>
          <w:rFonts w:hint="eastAsia" w:ascii="宋体" w:hAnsi="宋体" w:cs="宋体"/>
          <w:b/>
          <w:sz w:val="24"/>
        </w:rPr>
        <w:t>1.1 合同组成部分</w:t>
      </w:r>
      <w:bookmarkEnd w:id="34"/>
      <w:bookmarkEnd w:id="35"/>
      <w:bookmarkEnd w:id="36"/>
    </w:p>
    <w:p>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pPr>
        <w:spacing w:line="560" w:lineRule="exact"/>
        <w:ind w:firstLine="480" w:firstLineChars="200"/>
        <w:rPr>
          <w:rFonts w:ascii="宋体" w:hAnsi="宋体" w:cs="宋体"/>
          <w:sz w:val="24"/>
        </w:rPr>
      </w:pPr>
      <w:r>
        <w:rPr>
          <w:rFonts w:hint="eastAsia" w:ascii="宋体" w:hAnsi="宋体" w:cs="宋体"/>
          <w:sz w:val="24"/>
        </w:rPr>
        <w:t>1.1.2 中标或者成交通知书；</w:t>
      </w:r>
    </w:p>
    <w:p>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pPr>
        <w:spacing w:line="560" w:lineRule="exact"/>
        <w:ind w:firstLine="480" w:firstLineChars="200"/>
        <w:rPr>
          <w:rFonts w:ascii="宋体" w:hAnsi="宋体" w:cs="宋体"/>
          <w:sz w:val="24"/>
        </w:rPr>
      </w:pPr>
      <w:r>
        <w:rPr>
          <w:rFonts w:hint="eastAsia" w:ascii="宋体" w:hAnsi="宋体" w:cs="宋体"/>
          <w:sz w:val="24"/>
        </w:rPr>
        <w:t>1.1.5 其他相关采购文件。</w:t>
      </w:r>
    </w:p>
    <w:p>
      <w:pPr>
        <w:spacing w:line="560" w:lineRule="exact"/>
        <w:ind w:firstLine="482" w:firstLineChars="200"/>
        <w:outlineLvl w:val="0"/>
        <w:rPr>
          <w:rFonts w:ascii="宋体" w:hAnsi="宋体" w:cs="宋体"/>
          <w:b/>
          <w:sz w:val="24"/>
        </w:rPr>
      </w:pPr>
      <w:bookmarkStart w:id="37" w:name="_Toc27126"/>
      <w:bookmarkStart w:id="38" w:name="_Toc21295"/>
      <w:bookmarkStart w:id="39" w:name="_Toc24300"/>
      <w:r>
        <w:rPr>
          <w:rFonts w:hint="eastAsia" w:ascii="宋体" w:hAnsi="宋体" w:cs="宋体"/>
          <w:b/>
          <w:sz w:val="24"/>
        </w:rPr>
        <w:t>1.2 货物</w:t>
      </w:r>
      <w:bookmarkEnd w:id="37"/>
      <w:bookmarkEnd w:id="38"/>
      <w:bookmarkEnd w:id="39"/>
    </w:p>
    <w:p>
      <w:pPr>
        <w:spacing w:line="560" w:lineRule="exact"/>
        <w:ind w:firstLine="480" w:firstLineChars="200"/>
        <w:rPr>
          <w:rFonts w:ascii="宋体" w:hAnsi="宋体" w:cs="宋体"/>
          <w:sz w:val="24"/>
          <w:u w:val="single"/>
        </w:rPr>
      </w:pPr>
      <w:r>
        <w:rPr>
          <w:rFonts w:hint="eastAsia" w:ascii="宋体" w:hAnsi="宋体" w:cs="宋体"/>
          <w:sz w:val="24"/>
        </w:rPr>
        <w:t>1.2.1 货物名称、、规格型号、花色：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pPr>
        <w:spacing w:line="560" w:lineRule="exact"/>
        <w:ind w:firstLine="482" w:firstLineChars="200"/>
        <w:outlineLvl w:val="0"/>
        <w:rPr>
          <w:rFonts w:ascii="宋体" w:hAnsi="宋体" w:cs="宋体"/>
          <w:b/>
          <w:sz w:val="24"/>
        </w:rPr>
      </w:pPr>
      <w:bookmarkStart w:id="40" w:name="_Toc21551"/>
      <w:bookmarkStart w:id="41" w:name="_Toc21631"/>
      <w:bookmarkStart w:id="42" w:name="_Toc23292"/>
      <w:r>
        <w:rPr>
          <w:rFonts w:hint="eastAsia" w:ascii="宋体" w:hAnsi="宋体" w:cs="宋体"/>
          <w:b/>
          <w:sz w:val="24"/>
        </w:rPr>
        <w:t>1.3 价款</w:t>
      </w:r>
      <w:bookmarkEnd w:id="40"/>
      <w:bookmarkEnd w:id="41"/>
      <w:bookmarkEnd w:id="42"/>
    </w:p>
    <w:p>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33"/>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33"/>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33"/>
              <w:spacing w:line="560" w:lineRule="exact"/>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33"/>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33"/>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33"/>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33"/>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33"/>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33"/>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33"/>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33"/>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33"/>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33"/>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33"/>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33"/>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33"/>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33"/>
              <w:spacing w:line="560" w:lineRule="exact"/>
              <w:ind w:firstLine="200"/>
              <w:jc w:val="center"/>
              <w:rPr>
                <w:rFonts w:hAnsi="宋体" w:cs="宋体"/>
                <w:sz w:val="24"/>
                <w:szCs w:val="24"/>
              </w:rPr>
            </w:pPr>
          </w:p>
        </w:tc>
      </w:tr>
    </w:tbl>
    <w:p>
      <w:pPr>
        <w:pStyle w:val="961"/>
        <w:spacing w:before="0" w:beforeAutospacing="0" w:after="0" w:afterAutospacing="0" w:line="360" w:lineRule="auto"/>
        <w:ind w:firstLine="480"/>
        <w:rPr>
          <w:b/>
        </w:rPr>
      </w:pPr>
      <w:bookmarkStart w:id="43" w:name="_Toc22618"/>
      <w:bookmarkStart w:id="44" w:name="_Toc1814"/>
      <w:bookmarkStart w:id="45" w:name="_Toc10340"/>
      <w:r>
        <w:rPr>
          <w:rFonts w:hint="eastAsia"/>
          <w:b/>
        </w:rPr>
        <w:t>1.4履约保证金</w:t>
      </w:r>
    </w:p>
    <w:p>
      <w:pPr>
        <w:pStyle w:val="961"/>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cs="仿宋"/>
        </w:rPr>
        <w:t>/</w:t>
      </w:r>
      <w:r>
        <w:rPr>
          <w:rFonts w:hint="eastAsia"/>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9"/>
        <w:tabs>
          <w:tab w:val="left" w:pos="0"/>
          <w:tab w:val="clear" w:pos="432"/>
        </w:tabs>
        <w:spacing w:line="560" w:lineRule="exact"/>
        <w:ind w:left="0" w:firstLine="480" w:firstLineChars="200"/>
        <w:rPr>
          <w:rFonts w:ascii="宋体" w:hAnsi="宋体"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rPr>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3"/>
      <w:bookmarkEnd w:id="44"/>
      <w:bookmarkEnd w:id="45"/>
      <w:r>
        <w:rPr>
          <w:rFonts w:hint="eastAsia" w:ascii="宋体" w:hAnsi="宋体" w:cs="宋体"/>
          <w:b/>
          <w:sz w:val="24"/>
        </w:rPr>
        <w:t>预付款</w:t>
      </w:r>
    </w:p>
    <w:p>
      <w:pPr>
        <w:pStyle w:val="961"/>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961"/>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61"/>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61"/>
        <w:spacing w:before="0" w:beforeAutospacing="0" w:after="0" w:afterAutospacing="0" w:line="360" w:lineRule="auto"/>
        <w:ind w:firstLine="480"/>
        <w:rPr>
          <w:b/>
          <w:bCs/>
        </w:rPr>
      </w:pPr>
      <w:r>
        <w:rPr>
          <w:rFonts w:hint="eastAsia"/>
          <w:b/>
          <w:bCs/>
        </w:rPr>
        <w:t>1.6资金支付</w:t>
      </w:r>
    </w:p>
    <w:p>
      <w:pPr>
        <w:pStyle w:val="961"/>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6" w:name="_Toc19304"/>
      <w:bookmarkStart w:id="47" w:name="_Toc32071"/>
      <w:bookmarkStart w:id="48" w:name="_Toc2846"/>
      <w:r>
        <w:rPr>
          <w:rFonts w:hint="eastAsia" w:ascii="宋体" w:hAnsi="宋体" w:cs="宋体"/>
          <w:b/>
          <w:sz w:val="24"/>
        </w:rPr>
        <w:t>1.7货物交付期限、地点和方式</w:t>
      </w:r>
      <w:bookmarkEnd w:id="46"/>
      <w:bookmarkEnd w:id="47"/>
      <w:bookmarkEnd w:id="48"/>
    </w:p>
    <w:p>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9" w:name="_Toc19554"/>
      <w:bookmarkStart w:id="50" w:name="_Toc27250"/>
      <w:bookmarkStart w:id="51" w:name="_Toc21423"/>
      <w:r>
        <w:rPr>
          <w:rFonts w:hint="eastAsia" w:ascii="宋体" w:hAnsi="宋体" w:cs="宋体"/>
          <w:b/>
          <w:sz w:val="24"/>
        </w:rPr>
        <w:t>1.8违约责任</w:t>
      </w:r>
      <w:bookmarkEnd w:id="49"/>
      <w:bookmarkEnd w:id="50"/>
      <w:bookmarkEnd w:id="51"/>
    </w:p>
    <w:p>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pPr>
        <w:spacing w:line="560" w:lineRule="exact"/>
        <w:ind w:firstLine="482" w:firstLineChars="200"/>
        <w:outlineLvl w:val="0"/>
        <w:rPr>
          <w:rFonts w:ascii="宋体" w:hAnsi="宋体" w:cs="宋体"/>
          <w:b/>
          <w:sz w:val="24"/>
        </w:rPr>
      </w:pPr>
      <w:bookmarkStart w:id="52" w:name="_Toc15583"/>
      <w:bookmarkStart w:id="53" w:name="_Toc16021"/>
      <w:bookmarkStart w:id="54" w:name="_Toc28375"/>
      <w:r>
        <w:rPr>
          <w:rFonts w:hint="eastAsia" w:ascii="宋体" w:hAnsi="宋体" w:cs="宋体"/>
          <w:b/>
          <w:sz w:val="24"/>
        </w:rPr>
        <w:t>1.9合同争议的解决</w:t>
      </w:r>
      <w:bookmarkEnd w:id="52"/>
      <w:bookmarkEnd w:id="53"/>
      <w:bookmarkEnd w:id="54"/>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55" w:name="_Toc15322"/>
      <w:bookmarkStart w:id="56" w:name="_Toc7245"/>
      <w:bookmarkStart w:id="57" w:name="_Toc11173"/>
      <w:r>
        <w:rPr>
          <w:rFonts w:hint="eastAsia" w:ascii="宋体" w:hAnsi="宋体" w:cs="宋体"/>
          <w:b/>
          <w:sz w:val="24"/>
        </w:rPr>
        <w:t>2.0 合同生效</w:t>
      </w:r>
      <w:bookmarkEnd w:id="55"/>
      <w:bookmarkEnd w:id="56"/>
      <w:bookmarkEnd w:id="57"/>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pStyle w:val="705"/>
        <w:spacing w:line="560" w:lineRule="exact"/>
        <w:ind w:firstLine="482"/>
        <w:jc w:val="center"/>
        <w:rPr>
          <w:rFonts w:ascii="宋体" w:hAnsi="宋体" w:cs="宋体"/>
          <w:b/>
          <w:szCs w:val="24"/>
        </w:rPr>
      </w:pPr>
      <w:r>
        <w:rPr>
          <w:rFonts w:hint="eastAsia" w:ascii="宋体" w:hAnsi="宋体" w:cs="宋体"/>
          <w:b/>
          <w:szCs w:val="24"/>
        </w:rPr>
        <w:t>第二部分 合同一般条款</w:t>
      </w:r>
    </w:p>
    <w:p>
      <w:pPr>
        <w:spacing w:line="560" w:lineRule="exact"/>
        <w:ind w:firstLine="482" w:firstLineChars="200"/>
        <w:outlineLvl w:val="0"/>
        <w:rPr>
          <w:rFonts w:ascii="宋体" w:hAnsi="宋体" w:cs="宋体"/>
          <w:b/>
          <w:sz w:val="24"/>
        </w:rPr>
      </w:pPr>
      <w:bookmarkStart w:id="58" w:name="_Ref467379214"/>
      <w:bookmarkStart w:id="59" w:name="_Ref467379094"/>
      <w:bookmarkStart w:id="60" w:name="_Ref467379109"/>
      <w:bookmarkStart w:id="61" w:name="_Toc19614"/>
      <w:bookmarkStart w:id="62" w:name="_Ref467379101"/>
      <w:bookmarkStart w:id="63" w:name="_Ref467379205"/>
      <w:bookmarkStart w:id="64" w:name="_Ref467379225"/>
      <w:bookmarkStart w:id="65" w:name="_Toc279701240"/>
      <w:bookmarkStart w:id="66" w:name="_Toc259093669"/>
      <w:bookmarkStart w:id="67" w:name="_Ref467379195"/>
      <w:bookmarkStart w:id="68" w:name="_Ref467378499"/>
      <w:bookmarkStart w:id="69" w:name="_Ref467378404"/>
      <w:bookmarkStart w:id="70" w:name="_Ref467378463"/>
      <w:bookmarkStart w:id="71" w:name="_Toc16917"/>
      <w:bookmarkStart w:id="72" w:name="_Toc28763"/>
      <w:bookmarkStart w:id="73" w:name="_Toc487900349"/>
      <w:r>
        <w:rPr>
          <w:rFonts w:hint="eastAsia" w:ascii="宋体" w:hAnsi="宋体" w:cs="宋体"/>
          <w:b/>
          <w:sz w:val="24"/>
        </w:rPr>
        <w:t>2.1 定义</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sz w:val="24"/>
        </w:rPr>
      </w:pPr>
      <w:bookmarkStart w:id="74" w:name="_Ref467378840"/>
      <w:r>
        <w:rPr>
          <w:rFonts w:hint="eastAsia" w:ascii="宋体" w:hAnsi="宋体" w:cs="宋体"/>
          <w:sz w:val="24"/>
        </w:rPr>
        <w:t>2.1.4 “甲方”系指与中标或成交供应商签署合同的采购人</w:t>
      </w:r>
      <w:bookmarkEnd w:id="74"/>
      <w:r>
        <w:rPr>
          <w:rFonts w:hint="eastAsia" w:ascii="宋体" w:hAnsi="宋体" w:cs="宋体"/>
          <w:sz w:val="24"/>
        </w:rPr>
        <w:t>；采购人委托采购代理机构代表其与乙方签订合同的，采购人的授权委托书作为合同附件。</w:t>
      </w:r>
    </w:p>
    <w:p>
      <w:pPr>
        <w:spacing w:line="560" w:lineRule="exact"/>
        <w:ind w:firstLine="480" w:firstLineChars="200"/>
        <w:rPr>
          <w:rFonts w:ascii="宋体" w:hAnsi="宋体" w:cs="宋体"/>
          <w:sz w:val="24"/>
        </w:rPr>
      </w:pPr>
      <w:bookmarkStart w:id="75" w:name="_Ref467379400"/>
      <w:r>
        <w:rPr>
          <w:rFonts w:hint="eastAsia" w:ascii="宋体" w:hAnsi="宋体" w:cs="宋体"/>
          <w:sz w:val="24"/>
        </w:rPr>
        <w:t>2.1.5 “乙方”系指根据合同约定交付货物的中标或成交供应商</w:t>
      </w:r>
      <w:bookmarkEnd w:id="75"/>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sz w:val="24"/>
        </w:rPr>
      </w:pPr>
      <w:bookmarkStart w:id="76" w:name="_Ref467379436"/>
      <w:r>
        <w:rPr>
          <w:rFonts w:hint="eastAsia" w:ascii="宋体" w:hAnsi="宋体" w:cs="宋体"/>
          <w:sz w:val="24"/>
        </w:rPr>
        <w:t>2.1.6 “现场”系指合同约定货物将要运至或者安装的地点。</w:t>
      </w:r>
      <w:bookmarkEnd w:id="76"/>
    </w:p>
    <w:p>
      <w:pPr>
        <w:spacing w:line="560" w:lineRule="exact"/>
        <w:ind w:firstLine="482" w:firstLineChars="200"/>
        <w:outlineLvl w:val="0"/>
        <w:rPr>
          <w:rFonts w:ascii="宋体" w:hAnsi="宋体" w:cs="宋体"/>
          <w:b/>
          <w:sz w:val="24"/>
        </w:rPr>
      </w:pPr>
      <w:bookmarkStart w:id="77" w:name="_Toc259093670"/>
      <w:bookmarkStart w:id="78" w:name="_Toc279701241"/>
      <w:bookmarkStart w:id="79" w:name="_Toc32504"/>
      <w:bookmarkStart w:id="80" w:name="_Toc13336"/>
      <w:bookmarkStart w:id="81" w:name="_Toc27635"/>
      <w:bookmarkStart w:id="82" w:name="_Toc487900350"/>
      <w:r>
        <w:rPr>
          <w:rFonts w:hint="eastAsia" w:ascii="宋体" w:hAnsi="宋体" w:cs="宋体"/>
          <w:b/>
          <w:sz w:val="24"/>
        </w:rPr>
        <w:t>2.2 技术规范</w:t>
      </w:r>
      <w:bookmarkEnd w:id="77"/>
      <w:bookmarkEnd w:id="78"/>
      <w:bookmarkEnd w:id="79"/>
      <w:bookmarkEnd w:id="80"/>
      <w:bookmarkEnd w:id="81"/>
      <w:bookmarkEnd w:id="82"/>
    </w:p>
    <w:p>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sz w:val="24"/>
        </w:rPr>
      </w:pPr>
      <w:bookmarkStart w:id="83" w:name="_Toc31634"/>
      <w:bookmarkStart w:id="84" w:name="_Toc259093671"/>
      <w:bookmarkStart w:id="85" w:name="_Toc487900351"/>
      <w:bookmarkStart w:id="86" w:name="_Toc279701242"/>
      <w:bookmarkStart w:id="87" w:name="_Toc9829"/>
      <w:bookmarkStart w:id="88" w:name="_Toc27853"/>
      <w:r>
        <w:rPr>
          <w:rFonts w:hint="eastAsia" w:ascii="宋体" w:hAnsi="宋体" w:cs="宋体"/>
          <w:b/>
          <w:sz w:val="24"/>
        </w:rPr>
        <w:t>2.3 知识产权</w:t>
      </w:r>
      <w:bookmarkEnd w:id="83"/>
      <w:bookmarkEnd w:id="84"/>
      <w:bookmarkEnd w:id="85"/>
      <w:bookmarkEnd w:id="86"/>
      <w:bookmarkEnd w:id="87"/>
      <w:bookmarkEnd w:id="88"/>
    </w:p>
    <w:p>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89" w:name="_Toc29149"/>
      <w:bookmarkStart w:id="90" w:name="_Toc11932"/>
      <w:bookmarkStart w:id="91" w:name="_Toc4194"/>
      <w:r>
        <w:rPr>
          <w:rFonts w:hint="eastAsia" w:ascii="宋体" w:hAnsi="宋体" w:cs="宋体"/>
          <w:b/>
          <w:sz w:val="24"/>
        </w:rPr>
        <w:t>2.4 包装和装运</w:t>
      </w:r>
      <w:bookmarkEnd w:id="89"/>
      <w:bookmarkEnd w:id="90"/>
      <w:bookmarkEnd w:id="91"/>
    </w:p>
    <w:p>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92" w:name="_Toc259093674"/>
      <w:bookmarkStart w:id="93" w:name="_Ref467379542"/>
      <w:bookmarkStart w:id="94" w:name="_Toc487900354"/>
      <w:bookmarkStart w:id="95" w:name="_Ref467378591"/>
      <w:bookmarkStart w:id="96" w:name="_Ref467379536"/>
      <w:bookmarkStart w:id="97" w:name="_Ref467379527"/>
      <w:bookmarkStart w:id="98" w:name="_Toc279701245"/>
      <w:bookmarkStart w:id="99" w:name="_Ref467378541"/>
      <w:bookmarkStart w:id="100" w:name="_Toc30272"/>
      <w:bookmarkStart w:id="101" w:name="_Toc26182"/>
      <w:bookmarkStart w:id="102" w:name="_Toc19074"/>
      <w:r>
        <w:rPr>
          <w:rFonts w:hint="eastAsia" w:ascii="宋体" w:hAnsi="宋体" w:cs="宋体"/>
          <w:b/>
          <w:sz w:val="24"/>
        </w:rPr>
        <w:t>2.</w:t>
      </w:r>
      <w:bookmarkEnd w:id="92"/>
      <w:bookmarkEnd w:id="93"/>
      <w:bookmarkEnd w:id="94"/>
      <w:bookmarkEnd w:id="95"/>
      <w:bookmarkEnd w:id="96"/>
      <w:bookmarkEnd w:id="97"/>
      <w:bookmarkEnd w:id="98"/>
      <w:bookmarkEnd w:id="99"/>
      <w:r>
        <w:rPr>
          <w:rFonts w:hint="eastAsia" w:ascii="宋体" w:hAnsi="宋体" w:cs="宋体"/>
          <w:b/>
          <w:sz w:val="24"/>
        </w:rPr>
        <w:t>5 履约检查和问题反馈</w:t>
      </w:r>
      <w:bookmarkEnd w:id="100"/>
      <w:bookmarkEnd w:id="101"/>
      <w:bookmarkEnd w:id="102"/>
    </w:p>
    <w:p>
      <w:pPr>
        <w:spacing w:line="560" w:lineRule="exact"/>
        <w:ind w:firstLine="480" w:firstLineChars="200"/>
        <w:rPr>
          <w:rFonts w:ascii="宋体" w:hAnsi="宋体" w:cs="宋体"/>
          <w:sz w:val="24"/>
        </w:rPr>
      </w:pPr>
      <w:bookmarkStart w:id="103" w:name="_Ref467379657"/>
      <w:r>
        <w:rPr>
          <w:rFonts w:hint="eastAsia" w:ascii="宋体" w:hAnsi="宋体" w:cs="宋体"/>
          <w:sz w:val="24"/>
        </w:rPr>
        <w:t>2.5.1</w:t>
      </w:r>
      <w:bookmarkEnd w:id="103"/>
      <w:bookmarkStart w:id="104" w:name="_Toc186431854"/>
      <w:bookmarkStart w:id="105" w:name="_Ref467379807"/>
      <w:bookmarkStart w:id="106" w:name="_Toc487900357"/>
      <w:bookmarkStart w:id="107" w:name="_Toc259093676"/>
      <w:bookmarkStart w:id="108" w:name="_Toc279701247"/>
      <w:bookmarkStart w:id="109" w:name="_Ref467379793"/>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104"/>
      <w:bookmarkStart w:id="110" w:name="_Toc186431855"/>
      <w:r>
        <w:rPr>
          <w:rFonts w:hint="eastAsia" w:ascii="宋体" w:hAnsi="宋体" w:cs="宋体"/>
          <w:sz w:val="24"/>
        </w:rPr>
        <w:t>。</w:t>
      </w:r>
    </w:p>
    <w:bookmarkEnd w:id="105"/>
    <w:bookmarkEnd w:id="106"/>
    <w:bookmarkEnd w:id="107"/>
    <w:bookmarkEnd w:id="108"/>
    <w:bookmarkEnd w:id="109"/>
    <w:bookmarkEnd w:id="110"/>
    <w:p>
      <w:pPr>
        <w:spacing w:line="560" w:lineRule="exact"/>
        <w:ind w:firstLine="482" w:firstLineChars="200"/>
        <w:outlineLvl w:val="0"/>
        <w:rPr>
          <w:rFonts w:ascii="宋体" w:hAnsi="宋体" w:cs="宋体"/>
          <w:b/>
          <w:sz w:val="24"/>
        </w:rPr>
      </w:pPr>
      <w:bookmarkStart w:id="111" w:name="_Toc487900358"/>
      <w:bookmarkStart w:id="112" w:name="_Ref467379863"/>
      <w:bookmarkStart w:id="113" w:name="_Ref467379852"/>
      <w:bookmarkStart w:id="114" w:name="_Toc259093677"/>
      <w:bookmarkStart w:id="115" w:name="_Ref467379923"/>
      <w:bookmarkStart w:id="116" w:name="_Toc279701248"/>
      <w:bookmarkStart w:id="117" w:name="_Toc16110"/>
      <w:bookmarkStart w:id="118" w:name="_Toc3225"/>
      <w:bookmarkStart w:id="119" w:name="_Toc774"/>
      <w:r>
        <w:rPr>
          <w:rFonts w:hint="eastAsia" w:ascii="宋体" w:hAnsi="宋体" w:cs="宋体"/>
          <w:b/>
          <w:sz w:val="24"/>
        </w:rPr>
        <w:t>2.6 技术资料</w:t>
      </w:r>
      <w:bookmarkEnd w:id="111"/>
      <w:bookmarkEnd w:id="112"/>
      <w:bookmarkEnd w:id="113"/>
      <w:bookmarkEnd w:id="114"/>
      <w:bookmarkEnd w:id="115"/>
      <w:bookmarkEnd w:id="116"/>
      <w:r>
        <w:rPr>
          <w:rFonts w:hint="eastAsia" w:ascii="宋体" w:hAnsi="宋体" w:cs="宋体"/>
          <w:b/>
          <w:sz w:val="24"/>
        </w:rPr>
        <w:t>和保密义务</w:t>
      </w:r>
      <w:bookmarkEnd w:id="117"/>
      <w:bookmarkEnd w:id="118"/>
      <w:bookmarkEnd w:id="119"/>
    </w:p>
    <w:p>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sz w:val="24"/>
        </w:rPr>
      </w:pPr>
      <w:bookmarkStart w:id="120" w:name="_Toc7860"/>
      <w:r>
        <w:rPr>
          <w:rFonts w:hint="eastAsia" w:ascii="宋体" w:hAnsi="宋体" w:cs="宋体"/>
          <w:b/>
          <w:sz w:val="24"/>
        </w:rPr>
        <w:t>2.7 质量保证</w:t>
      </w:r>
      <w:bookmarkEnd w:id="120"/>
    </w:p>
    <w:p>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sz w:val="24"/>
        </w:rPr>
      </w:pPr>
      <w:bookmarkStart w:id="121" w:name="_Toc17244"/>
      <w:bookmarkStart w:id="122" w:name="_Toc259093681"/>
      <w:bookmarkStart w:id="123" w:name="_Toc279701252"/>
      <w:bookmarkStart w:id="124" w:name="_Toc487900362"/>
      <w:r>
        <w:rPr>
          <w:rFonts w:hint="eastAsia" w:ascii="宋体" w:hAnsi="宋体" w:cs="宋体"/>
          <w:b/>
          <w:sz w:val="24"/>
        </w:rPr>
        <w:t>2.8 货物的风险负担</w:t>
      </w:r>
      <w:bookmarkEnd w:id="121"/>
    </w:p>
    <w:p>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125" w:name="_Toc14055"/>
      <w:r>
        <w:rPr>
          <w:rFonts w:hint="eastAsia" w:ascii="宋体" w:hAnsi="宋体" w:cs="宋体"/>
          <w:b/>
          <w:sz w:val="24"/>
        </w:rPr>
        <w:t>2.9 延迟交货</w:t>
      </w:r>
      <w:bookmarkEnd w:id="122"/>
      <w:bookmarkEnd w:id="123"/>
      <w:bookmarkEnd w:id="124"/>
      <w:bookmarkEnd w:id="125"/>
    </w:p>
    <w:p>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sz w:val="24"/>
        </w:rPr>
      </w:pPr>
      <w:bookmarkStart w:id="126" w:name="_Toc7502"/>
      <w:bookmarkStart w:id="127" w:name="_Ref467378121"/>
      <w:bookmarkStart w:id="128" w:name="_Toc259093683"/>
      <w:bookmarkStart w:id="129" w:name="_Toc487900364"/>
      <w:bookmarkStart w:id="130" w:name="_Toc279701254"/>
      <w:r>
        <w:rPr>
          <w:rFonts w:hint="eastAsia" w:ascii="宋体" w:hAnsi="宋体" w:cs="宋体"/>
          <w:b/>
          <w:sz w:val="24"/>
        </w:rPr>
        <w:t>2.10 合同变更</w:t>
      </w:r>
      <w:bookmarkEnd w:id="126"/>
    </w:p>
    <w:p>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131" w:name="_Toc279701259"/>
      <w:bookmarkStart w:id="132" w:name="_Toc487900369"/>
      <w:bookmarkStart w:id="133" w:name="_Toc259093688"/>
    </w:p>
    <w:p>
      <w:pPr>
        <w:spacing w:line="560" w:lineRule="exact"/>
        <w:ind w:firstLine="482" w:firstLineChars="200"/>
        <w:outlineLvl w:val="0"/>
        <w:rPr>
          <w:rFonts w:ascii="宋体" w:hAnsi="宋体" w:cs="宋体"/>
          <w:b/>
          <w:sz w:val="24"/>
        </w:rPr>
      </w:pPr>
      <w:bookmarkStart w:id="134" w:name="_Toc10366"/>
      <w:bookmarkStart w:id="135" w:name="_Toc15237"/>
      <w:bookmarkStart w:id="136" w:name="_Toc22955"/>
      <w:r>
        <w:rPr>
          <w:rFonts w:hint="eastAsia" w:ascii="宋体" w:hAnsi="宋体" w:cs="宋体"/>
          <w:b/>
          <w:sz w:val="24"/>
        </w:rPr>
        <w:t>2.11 合同转让</w:t>
      </w:r>
      <w:bookmarkEnd w:id="131"/>
      <w:bookmarkEnd w:id="132"/>
      <w:bookmarkEnd w:id="133"/>
      <w:r>
        <w:rPr>
          <w:rFonts w:hint="eastAsia" w:ascii="宋体" w:hAnsi="宋体" w:cs="宋体"/>
          <w:b/>
          <w:sz w:val="24"/>
        </w:rPr>
        <w:t>和分包</w:t>
      </w:r>
      <w:bookmarkEnd w:id="134"/>
      <w:bookmarkEnd w:id="135"/>
      <w:bookmarkEnd w:id="136"/>
    </w:p>
    <w:p>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pPr>
        <w:spacing w:line="560" w:lineRule="exact"/>
        <w:ind w:firstLine="482" w:firstLineChars="200"/>
        <w:outlineLvl w:val="0"/>
        <w:rPr>
          <w:rFonts w:ascii="宋体" w:hAnsi="宋体" w:cs="宋体"/>
          <w:b/>
          <w:sz w:val="24"/>
        </w:rPr>
      </w:pPr>
      <w:bookmarkStart w:id="137" w:name="_Toc16508"/>
      <w:bookmarkStart w:id="138" w:name="_Toc14066"/>
      <w:bookmarkStart w:id="139" w:name="_Toc13566"/>
      <w:r>
        <w:rPr>
          <w:rFonts w:hint="eastAsia" w:ascii="宋体" w:hAnsi="宋体" w:cs="宋体"/>
          <w:b/>
          <w:sz w:val="24"/>
        </w:rPr>
        <w:t>2.12 不可抗力</w:t>
      </w:r>
      <w:bookmarkEnd w:id="137"/>
      <w:bookmarkEnd w:id="138"/>
      <w:bookmarkEnd w:id="139"/>
    </w:p>
    <w:p>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pPr>
        <w:spacing w:line="560" w:lineRule="exact"/>
        <w:ind w:firstLine="482" w:firstLineChars="200"/>
        <w:outlineLvl w:val="0"/>
        <w:rPr>
          <w:rFonts w:ascii="宋体" w:hAnsi="宋体" w:cs="宋体"/>
          <w:b/>
          <w:sz w:val="24"/>
        </w:rPr>
      </w:pPr>
      <w:bookmarkStart w:id="140" w:name="_Toc279701255"/>
      <w:bookmarkStart w:id="141" w:name="_Toc259093684"/>
      <w:bookmarkStart w:id="142" w:name="_Toc487900365"/>
      <w:bookmarkStart w:id="143" w:name="_Toc689"/>
      <w:bookmarkStart w:id="144" w:name="_Toc6969"/>
      <w:bookmarkStart w:id="145" w:name="_Toc30676"/>
      <w:r>
        <w:rPr>
          <w:rFonts w:hint="eastAsia" w:ascii="宋体" w:hAnsi="宋体" w:cs="宋体"/>
          <w:b/>
          <w:sz w:val="24"/>
        </w:rPr>
        <w:t>2.13 税费</w:t>
      </w:r>
      <w:bookmarkEnd w:id="140"/>
      <w:bookmarkEnd w:id="141"/>
      <w:bookmarkEnd w:id="142"/>
      <w:bookmarkEnd w:id="143"/>
      <w:bookmarkEnd w:id="144"/>
      <w:bookmarkEnd w:id="145"/>
    </w:p>
    <w:p>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560" w:lineRule="exact"/>
        <w:ind w:firstLine="482" w:firstLineChars="200"/>
        <w:outlineLvl w:val="0"/>
        <w:rPr>
          <w:rFonts w:ascii="宋体" w:hAnsi="宋体" w:cs="宋体"/>
          <w:b/>
          <w:sz w:val="24"/>
        </w:rPr>
      </w:pPr>
      <w:bookmarkStart w:id="146" w:name="_Toc487900368"/>
      <w:bookmarkStart w:id="147" w:name="_Toc16959"/>
      <w:bookmarkStart w:id="148" w:name="_Toc279701258"/>
      <w:bookmarkStart w:id="149" w:name="_Toc8298"/>
      <w:bookmarkStart w:id="150" w:name="_Toc7102"/>
      <w:bookmarkStart w:id="151" w:name="_Toc259093687"/>
      <w:r>
        <w:rPr>
          <w:rFonts w:hint="eastAsia" w:ascii="宋体" w:hAnsi="宋体" w:cs="宋体"/>
          <w:b/>
          <w:sz w:val="24"/>
        </w:rPr>
        <w:t>2.14乙方破产</w:t>
      </w:r>
      <w:bookmarkEnd w:id="146"/>
      <w:bookmarkEnd w:id="147"/>
      <w:bookmarkEnd w:id="148"/>
      <w:bookmarkEnd w:id="149"/>
      <w:bookmarkEnd w:id="150"/>
      <w:bookmarkEnd w:id="151"/>
    </w:p>
    <w:p>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sz w:val="24"/>
        </w:rPr>
      </w:pPr>
      <w:bookmarkStart w:id="152" w:name="_Toc6134"/>
      <w:bookmarkStart w:id="153" w:name="_Toc29333"/>
      <w:bookmarkStart w:id="154" w:name="_Toc15387"/>
      <w:r>
        <w:rPr>
          <w:rFonts w:hint="eastAsia" w:ascii="宋体" w:hAnsi="宋体" w:cs="宋体"/>
          <w:b/>
          <w:sz w:val="24"/>
        </w:rPr>
        <w:t>2.15 合同中止、终止</w:t>
      </w:r>
      <w:bookmarkEnd w:id="152"/>
      <w:bookmarkEnd w:id="153"/>
      <w:bookmarkEnd w:id="154"/>
    </w:p>
    <w:p>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sz w:val="24"/>
        </w:rPr>
      </w:pPr>
      <w:bookmarkStart w:id="155" w:name="_Toc6596"/>
      <w:bookmarkStart w:id="156" w:name="_Toc14563"/>
      <w:bookmarkStart w:id="157" w:name="_Toc1125"/>
      <w:r>
        <w:rPr>
          <w:rFonts w:hint="eastAsia" w:ascii="宋体" w:hAnsi="宋体" w:cs="宋体"/>
          <w:b/>
          <w:sz w:val="24"/>
        </w:rPr>
        <w:t>2.16检验和验收</w:t>
      </w:r>
      <w:bookmarkEnd w:id="155"/>
      <w:bookmarkEnd w:id="156"/>
      <w:bookmarkEnd w:id="157"/>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127"/>
    <w:bookmarkEnd w:id="128"/>
    <w:bookmarkEnd w:id="129"/>
    <w:bookmarkEnd w:id="130"/>
    <w:p>
      <w:pPr>
        <w:spacing w:line="560" w:lineRule="exact"/>
        <w:ind w:firstLine="482" w:firstLineChars="200"/>
        <w:outlineLvl w:val="0"/>
        <w:rPr>
          <w:rFonts w:ascii="宋体" w:hAnsi="宋体" w:cs="宋体"/>
          <w:b/>
          <w:sz w:val="24"/>
        </w:rPr>
      </w:pPr>
      <w:bookmarkStart w:id="158" w:name="_Toc259093690"/>
      <w:bookmarkStart w:id="159" w:name="_Toc279701261"/>
      <w:bookmarkStart w:id="160" w:name="_Toc487900371"/>
      <w:bookmarkStart w:id="161" w:name="_Toc11284"/>
      <w:bookmarkStart w:id="162" w:name="_Toc25182"/>
      <w:bookmarkStart w:id="163" w:name="_Toc19604"/>
      <w:r>
        <w:rPr>
          <w:rFonts w:hint="eastAsia" w:ascii="宋体" w:hAnsi="宋体" w:cs="宋体"/>
          <w:b/>
          <w:sz w:val="24"/>
        </w:rPr>
        <w:t>2.17 通知</w:t>
      </w:r>
      <w:bookmarkEnd w:id="158"/>
      <w:bookmarkEnd w:id="159"/>
      <w:bookmarkEnd w:id="160"/>
      <w:r>
        <w:rPr>
          <w:rFonts w:hint="eastAsia" w:ascii="宋体" w:hAnsi="宋体" w:cs="宋体"/>
          <w:b/>
          <w:sz w:val="24"/>
        </w:rPr>
        <w:t>和送达</w:t>
      </w:r>
      <w:bookmarkEnd w:id="161"/>
      <w:bookmarkEnd w:id="162"/>
      <w:bookmarkEnd w:id="163"/>
    </w:p>
    <w:p>
      <w:pPr>
        <w:spacing w:line="560" w:lineRule="exact"/>
        <w:ind w:firstLine="480" w:firstLineChars="200"/>
        <w:rPr>
          <w:rFonts w:ascii="宋体" w:hAnsi="宋体" w:cs="宋体"/>
          <w:sz w:val="24"/>
        </w:rPr>
      </w:pPr>
      <w:bookmarkStart w:id="164" w:name="_Toc6698"/>
      <w:bookmarkStart w:id="165" w:name="_Toc3135"/>
      <w:bookmarkStart w:id="166" w:name="_Toc487900372"/>
      <w:bookmarkStart w:id="167" w:name="_Toc279701262"/>
      <w:bookmarkStart w:id="168" w:name="_Toc259093691"/>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164"/>
      <w:bookmarkEnd w:id="165"/>
    </w:p>
    <w:p>
      <w:pPr>
        <w:spacing w:line="560" w:lineRule="exact"/>
        <w:ind w:firstLine="480" w:firstLineChars="200"/>
        <w:rPr>
          <w:rFonts w:ascii="宋体" w:hAnsi="宋体" w:cs="宋体"/>
          <w:sz w:val="24"/>
        </w:rPr>
      </w:pPr>
      <w:bookmarkStart w:id="169" w:name="_Toc23128"/>
      <w:bookmarkStart w:id="170" w:name="_Toc23294"/>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69"/>
      <w:bookmarkEnd w:id="170"/>
    </w:p>
    <w:p>
      <w:pPr>
        <w:spacing w:line="560" w:lineRule="exact"/>
        <w:ind w:firstLine="482" w:firstLineChars="200"/>
        <w:outlineLvl w:val="0"/>
        <w:rPr>
          <w:rFonts w:ascii="宋体" w:hAnsi="宋体" w:cs="宋体"/>
          <w:b/>
          <w:sz w:val="24"/>
        </w:rPr>
      </w:pPr>
      <w:bookmarkStart w:id="171" w:name="_Toc30599"/>
      <w:bookmarkStart w:id="172" w:name="_Toc4355"/>
      <w:bookmarkStart w:id="173" w:name="_Toc18540"/>
      <w:r>
        <w:rPr>
          <w:rFonts w:hint="eastAsia" w:ascii="宋体" w:hAnsi="宋体" w:cs="宋体"/>
          <w:b/>
          <w:sz w:val="24"/>
        </w:rPr>
        <w:t>2.18 计量单位</w:t>
      </w:r>
      <w:bookmarkEnd w:id="166"/>
      <w:bookmarkEnd w:id="167"/>
      <w:bookmarkEnd w:id="168"/>
      <w:bookmarkEnd w:id="171"/>
      <w:bookmarkEnd w:id="172"/>
      <w:bookmarkEnd w:id="173"/>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outlineLvl w:val="0"/>
        <w:rPr>
          <w:rFonts w:ascii="宋体" w:hAnsi="宋体" w:cs="宋体"/>
          <w:b/>
          <w:sz w:val="24"/>
        </w:rPr>
      </w:pPr>
      <w:bookmarkStart w:id="174" w:name="_Toc18567"/>
      <w:bookmarkStart w:id="175" w:name="_Toc487900373"/>
      <w:bookmarkStart w:id="176" w:name="_Toc10330"/>
      <w:bookmarkStart w:id="177" w:name="_Toc12773"/>
      <w:bookmarkStart w:id="178" w:name="_Toc259093692"/>
      <w:bookmarkStart w:id="179" w:name="_Toc279701263"/>
      <w:r>
        <w:rPr>
          <w:rFonts w:hint="eastAsia" w:ascii="宋体" w:hAnsi="宋体" w:cs="宋体"/>
          <w:b/>
          <w:sz w:val="24"/>
        </w:rPr>
        <w:t>2.19 合同使用的文字和适用的法律</w:t>
      </w:r>
      <w:bookmarkEnd w:id="174"/>
      <w:bookmarkEnd w:id="175"/>
      <w:bookmarkEnd w:id="176"/>
      <w:bookmarkEnd w:id="177"/>
      <w:bookmarkEnd w:id="178"/>
      <w:bookmarkEnd w:id="179"/>
    </w:p>
    <w:p>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pPr>
        <w:spacing w:line="560" w:lineRule="exact"/>
        <w:ind w:firstLine="482" w:firstLineChars="200"/>
        <w:outlineLvl w:val="0"/>
        <w:rPr>
          <w:rFonts w:ascii="宋体" w:hAnsi="宋体" w:cs="宋体"/>
          <w:b/>
          <w:sz w:val="24"/>
        </w:rPr>
      </w:pPr>
      <w:bookmarkStart w:id="180" w:name="_Toc14001"/>
      <w:bookmarkStart w:id="181" w:name="_Toc6885"/>
      <w:bookmarkStart w:id="182" w:name="_Toc19890"/>
      <w:r>
        <w:rPr>
          <w:rFonts w:hint="eastAsia" w:ascii="宋体" w:hAnsi="宋体" w:cs="宋体"/>
          <w:b/>
          <w:sz w:val="24"/>
        </w:rPr>
        <w:t>2.20 合同份数</w:t>
      </w:r>
      <w:bookmarkEnd w:id="180"/>
      <w:bookmarkEnd w:id="181"/>
      <w:bookmarkEnd w:id="182"/>
    </w:p>
    <w:p>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5"/>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534"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1.5.1</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1.5.2 </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1.8.6</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53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2.4.1</w:t>
            </w:r>
          </w:p>
        </w:tc>
        <w:tc>
          <w:tcPr>
            <w:tcW w:w="453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pPr>
              <w:spacing w:line="360" w:lineRule="auto"/>
              <w:rPr>
                <w:rFonts w:ascii="宋体" w:hAnsi="宋体" w:cs="宋体"/>
                <w:sz w:val="24"/>
              </w:rPr>
            </w:pPr>
            <w:r>
              <w:rPr>
                <w:rFonts w:hint="eastAsia" w:ascii="宋体" w:hAnsi="宋体" w:cs="宋体"/>
                <w:sz w:val="24"/>
              </w:rPr>
              <w:t xml:space="preserve">2.8 </w:t>
            </w:r>
          </w:p>
        </w:tc>
        <w:tc>
          <w:tcPr>
            <w:tcW w:w="4534" w:type="pct"/>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2.12.4</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2.16.1</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4534" w:type="pct"/>
            <w:vAlign w:val="center"/>
          </w:tcPr>
          <w:p>
            <w:pPr>
              <w:spacing w:line="360" w:lineRule="auto"/>
              <w:rPr>
                <w:rFonts w:ascii="宋体" w:hAnsi="宋体" w:cs="宋体"/>
                <w:sz w:val="24"/>
              </w:rPr>
            </w:pP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rPr>
          <w:rFonts w:ascii="宋体" w:hAnsi="宋体" w:cs="宋体"/>
          <w:sz w:val="24"/>
        </w:rPr>
      </w:pPr>
    </w:p>
    <w:p>
      <w:pPr>
        <w:snapToGrid w:val="0"/>
        <w:spacing w:line="360" w:lineRule="auto"/>
        <w:jc w:val="center"/>
        <w:rPr>
          <w:rFonts w:ascii="宋体" w:hAnsi="宋体"/>
        </w:rPr>
      </w:pPr>
    </w:p>
    <w:p>
      <w:pPr>
        <w:rPr>
          <w:rFonts w:ascii="宋体" w:hAnsi="宋体"/>
        </w:rPr>
      </w:pPr>
    </w:p>
    <w:p>
      <w:pPr>
        <w:widowControl/>
        <w:adjustRightInd/>
        <w:jc w:val="left"/>
        <w:rPr>
          <w:rFonts w:ascii="宋体" w:hAnsi="宋体" w:cs="宋体"/>
          <w:b/>
          <w:sz w:val="36"/>
          <w:szCs w:val="20"/>
        </w:rPr>
      </w:pPr>
      <w:r>
        <w:rPr>
          <w:rFonts w:ascii="宋体" w:hAnsi="宋体" w:cs="宋体"/>
          <w:b/>
          <w:sz w:val="36"/>
          <w:szCs w:val="20"/>
        </w:rPr>
        <w:br w:type="page"/>
      </w:r>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2"/>
      <w:r>
        <w:rPr>
          <w:rFonts w:hint="eastAsia" w:ascii="宋体" w:hAnsi="宋体" w:cs="宋体"/>
          <w:b/>
          <w:sz w:val="36"/>
          <w:szCs w:val="20"/>
        </w:rPr>
        <w:t xml:space="preserve"> </w:t>
      </w:r>
      <w:bookmarkEnd w:id="33"/>
      <w:r>
        <w:rPr>
          <w:rFonts w:hint="eastAsia" w:ascii="宋体" w:hAnsi="宋体" w:cs="宋体"/>
          <w:b/>
          <w:sz w:val="36"/>
          <w:szCs w:val="20"/>
        </w:rPr>
        <w:t>应提交的有关格式范例</w:t>
      </w:r>
    </w:p>
    <w:p>
      <w:pPr>
        <w:snapToGrid w:val="0"/>
        <w:spacing w:line="360" w:lineRule="auto"/>
        <w:jc w:val="center"/>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napToGrid w:val="0"/>
        <w:spacing w:line="360" w:lineRule="auto"/>
        <w:jc w:val="center"/>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78"/>
        <w:spacing w:line="360" w:lineRule="auto"/>
        <w:rPr>
          <w:rFonts w:hAnsi="宋体" w:cs="宋体"/>
          <w:bCs/>
          <w:sz w:val="24"/>
        </w:rPr>
      </w:pPr>
      <w:r>
        <w:rPr>
          <w:rFonts w:hint="eastAsia" w:hAnsi="宋体" w:cs="宋体"/>
          <w:bCs/>
          <w:sz w:val="24"/>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78"/>
              <w:adjustRightInd w:val="0"/>
              <w:spacing w:line="360" w:lineRule="auto"/>
              <w:rPr>
                <w:rFonts w:hAnsi="宋体" w:cs="宋体"/>
                <w:bCs/>
                <w:sz w:val="24"/>
              </w:rPr>
            </w:pPr>
            <w:r>
              <w:rPr>
                <w:rFonts w:hint="eastAsia" w:hAnsi="宋体" w:cs="宋体"/>
                <w:bCs/>
                <w:sz w:val="24"/>
              </w:rPr>
              <w:t>正面：                                 反面：</w:t>
            </w:r>
          </w:p>
          <w:p>
            <w:pPr>
              <w:pStyle w:val="178"/>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14" w:type="first"/>
          <w:footerReference r:id="rId16" w:type="first"/>
          <w:headerReference r:id="rId13" w:type="default"/>
          <w:footerReference r:id="rId15" w:type="default"/>
          <w:pgSz w:w="11906" w:h="16838"/>
          <w:pgMar w:top="1418" w:right="1418" w:bottom="1247" w:left="1418" w:header="851" w:footer="992" w:gutter="0"/>
          <w:cols w:space="720" w:num="1"/>
          <w:docGrid w:linePitch="312" w:charSpace="0"/>
        </w:sectPr>
      </w:pPr>
    </w:p>
    <w:p>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pPr>
        <w:widowControl/>
        <w:spacing w:line="360" w:lineRule="auto"/>
        <w:ind w:firstLine="120" w:firstLineChars="50"/>
        <w:jc w:val="left"/>
        <w:rPr>
          <w:rFonts w:ascii="宋体" w:hAnsi="宋体" w:cs="宋体"/>
          <w:sz w:val="24"/>
        </w:rPr>
      </w:pPr>
      <w:bookmarkStart w:id="183"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183"/>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5"/>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5"/>
        <w:tblW w:w="9464" w:type="dxa"/>
        <w:tblInd w:w="0" w:type="dxa"/>
        <w:tblLayout w:type="autofit"/>
        <w:tblCellMar>
          <w:top w:w="0" w:type="dxa"/>
          <w:left w:w="108" w:type="dxa"/>
          <w:bottom w:w="0" w:type="dxa"/>
          <w:right w:w="108" w:type="dxa"/>
        </w:tblCellMar>
      </w:tblPr>
      <w:tblGrid>
        <w:gridCol w:w="959"/>
        <w:gridCol w:w="3683"/>
        <w:gridCol w:w="3546"/>
        <w:gridCol w:w="1276"/>
      </w:tblGrid>
      <w:tr>
        <w:tblPrEx>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napToGrid w:val="0"/>
        <w:spacing w:line="360" w:lineRule="auto"/>
        <w:jc w:val="center"/>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6"/>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22" w:type="first"/>
          <w:footerReference r:id="rId24" w:type="first"/>
          <w:headerReference r:id="rId21" w:type="default"/>
          <w:footerReference r:id="rId23" w:type="default"/>
          <w:pgSz w:w="11906" w:h="16838"/>
          <w:pgMar w:top="1276" w:right="1418" w:bottom="1247" w:left="1418" w:header="851" w:footer="992" w:gutter="0"/>
          <w:cols w:space="720" w:num="1"/>
          <w:docGrid w:linePitch="312" w:charSpace="0"/>
        </w:sectPr>
      </w:pPr>
    </w:p>
    <w:p>
      <w:pPr>
        <w:pStyle w:val="696"/>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pPr>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（如果有）</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ind w:left="480"/>
        <w:rPr>
          <w:rFonts w:ascii="宋体" w:hAnsi="宋体" w:cs="宋体"/>
          <w:b/>
          <w:kern w:val="0"/>
          <w:sz w:val="24"/>
          <w:lang w:val="zh-CN"/>
        </w:rPr>
      </w:pPr>
      <w:r>
        <w:rPr>
          <w:rFonts w:hint="eastAsia" w:ascii="宋体" w:hAnsi="宋体" w:cs="宋体"/>
          <w:b/>
          <w:kern w:val="0"/>
          <w:sz w:val="24"/>
          <w:lang w:val="zh-CN"/>
        </w:rPr>
        <w:t>注：</w:t>
      </w:r>
    </w:p>
    <w:p>
      <w:pPr>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pPr>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3、特别提示：采购代理机构将对项目名称和项目编号，中标供应商名称、地址和中标金额，主要中标标的名称、（如果有）、规格型号、数量、单价等予以公示。</w:t>
      </w:r>
    </w:p>
    <w:p>
      <w:pPr>
        <w:snapToGrid w:val="0"/>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6"/>
        <w:keepNext w:val="0"/>
        <w:pageBreakBefore w:val="0"/>
        <w:tabs>
          <w:tab w:val="clear" w:pos="720"/>
        </w:tabs>
        <w:snapToGrid w:val="0"/>
        <w:spacing w:before="120" w:after="120"/>
        <w:jc w:val="both"/>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6"/>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bookmarkStart w:id="184" w:name="_Hlk101259491"/>
      <w:r>
        <w:rPr>
          <w:rFonts w:hint="eastAsia" w:ascii="宋体" w:hAnsi="宋体" w:eastAsia="宋体" w:cs="宋体"/>
          <w:sz w:val="32"/>
          <w:szCs w:val="32"/>
        </w:rPr>
        <w:t>（如果有）</w:t>
      </w:r>
      <w:bookmarkEnd w:id="184"/>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pPr>
        <w:pStyle w:val="696"/>
        <w:keepNext w:val="0"/>
        <w:pageBreakBefore w:val="0"/>
        <w:tabs>
          <w:tab w:val="left" w:pos="6093"/>
          <w:tab w:val="clear" w:pos="720"/>
        </w:tabs>
        <w:snapToGrid w:val="0"/>
        <w:spacing w:before="120" w:after="120"/>
        <w:ind w:firstLine="643"/>
        <w:jc w:val="left"/>
        <w:outlineLvl w:val="9"/>
        <w:rPr>
          <w:rFonts w:ascii="宋体" w:hAnsi="宋体" w:eastAsia="宋体" w:cs="宋体"/>
          <w:b w:val="0"/>
          <w:sz w:val="32"/>
          <w:szCs w:val="32"/>
        </w:rPr>
      </w:pPr>
      <w:r>
        <w:rPr>
          <w:rFonts w:ascii="宋体" w:hAnsi="宋体" w:eastAsia="宋体" w:cs="宋体"/>
          <w:b w:val="0"/>
          <w:sz w:val="32"/>
          <w:szCs w:val="32"/>
        </w:rPr>
        <w:tab/>
      </w: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8"/>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185" w:name="_Toc465665161"/>
      <w:r>
        <w:rPr>
          <w:rFonts w:hint="eastAsia" w:ascii="宋体" w:hAnsi="宋体" w:cs="宋体"/>
        </w:rPr>
        <w:t>附件</w:t>
      </w:r>
      <w:bookmarkEnd w:id="185"/>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186" w:name="OLE_LINK14"/>
      <w:bookmarkStart w:id="187" w:name="OLE_LINK13"/>
      <w:r>
        <w:rPr>
          <w:rFonts w:hint="eastAsia" w:ascii="宋体" w:hAnsi="宋体" w:cs="宋体"/>
          <w:b/>
          <w:spacing w:val="6"/>
          <w:sz w:val="32"/>
          <w:szCs w:val="32"/>
        </w:rPr>
        <w:t>残疾人福利性单位声明函</w:t>
      </w:r>
    </w:p>
    <w:bookmarkEnd w:id="186"/>
    <w:bookmarkEnd w:id="187"/>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pStyle w:val="487"/>
        <w:rPr>
          <w:rFonts w:ascii="宋体" w:hAnsi="宋体"/>
          <w:lang w:eastAsia="zh-CN"/>
        </w:rPr>
      </w:pPr>
      <w:r>
        <w:rPr>
          <w:rFonts w:hint="eastAsia" w:ascii="宋体" w:hAnsi="宋体"/>
          <w:lang w:eastAsia="zh-CN"/>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u w:val="single"/>
        </w:rPr>
        <w:t>（采购人）、（采购代理机构）：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bookmarkStart w:id="188"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188"/>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9"/>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189"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189"/>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 xml:space="preserve">的 </w:t>
      </w:r>
      <w:r>
        <w:rPr>
          <w:rFonts w:hint="eastAsia" w:ascii="宋体" w:hAnsi="宋体" w:cs="宋体"/>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p>
      <w:pPr>
        <w:widowControl/>
        <w:adjustRightInd/>
        <w:jc w:val="left"/>
        <w:rPr>
          <w:rFonts w:ascii="宋体" w:hAnsi="宋体" w:cs="宋体"/>
          <w:b/>
          <w:sz w:val="32"/>
          <w:szCs w:val="32"/>
        </w:rPr>
      </w:pPr>
      <w:r>
        <w:rPr>
          <w:rFonts w:ascii="宋体" w:hAnsi="宋体" w:cs="宋体"/>
          <w:b/>
          <w:sz w:val="32"/>
          <w:szCs w:val="32"/>
        </w:rPr>
        <w:br w:type="page"/>
      </w:r>
    </w:p>
    <w:p>
      <w:pPr>
        <w:pStyle w:val="6"/>
        <w:ind w:firstLine="361"/>
        <w:rPr>
          <w:rFonts w:hAnsi="宋体" w:cs="宋体"/>
          <w:b/>
          <w:sz w:val="36"/>
          <w:lang w:val="en-US"/>
        </w:rPr>
      </w:pPr>
      <w:r>
        <w:rPr>
          <w:rFonts w:hint="eastAsia" w:hAnsi="宋体" w:cs="宋体"/>
          <w:b/>
          <w:sz w:val="36"/>
          <w:lang w:val="en-US"/>
        </w:rPr>
        <w:t>附件8：</w:t>
      </w:r>
    </w:p>
    <w:p>
      <w:pPr>
        <w:pStyle w:val="6"/>
        <w:ind w:firstLine="361"/>
        <w:jc w:val="center"/>
        <w:rPr>
          <w:rFonts w:hAnsi="宋体" w:cs="宋体"/>
          <w:szCs w:val="24"/>
          <w:lang w:val="en-US"/>
        </w:rPr>
      </w:pPr>
      <w:r>
        <w:rPr>
          <w:rFonts w:hint="eastAsia" w:hAnsi="宋体" w:cs="宋体"/>
          <w:szCs w:val="24"/>
          <w:lang w:val="en-US"/>
        </w:rPr>
        <w:t>中小企业划型标准规定</w:t>
      </w:r>
    </w:p>
    <w:p>
      <w:pPr>
        <w:pStyle w:val="967"/>
        <w:spacing w:line="360" w:lineRule="auto"/>
        <w:rPr>
          <w:rFonts w:ascii="宋体" w:hAnsi="宋体" w:eastAsia="宋体" w:cs="宋体"/>
          <w:sz w:val="24"/>
          <w:szCs w:val="24"/>
        </w:rPr>
      </w:pPr>
      <w:r>
        <w:rPr>
          <w:rFonts w:hint="eastAsia" w:ascii="宋体" w:hAnsi="宋体" w:eastAsia="宋体" w:cs="宋体"/>
          <w:sz w:val="24"/>
          <w:szCs w:val="24"/>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967"/>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一、根据《中华人民共和国中小企业促进法》和《</w:t>
      </w:r>
      <w:r>
        <w:fldChar w:fldCharType="begin"/>
      </w:r>
      <w:r>
        <w:instrText xml:space="preserve"> HYPERLINK "https://www.shui5.cn/article/47/26142.html" </w:instrText>
      </w:r>
      <w:r>
        <w:fldChar w:fldCharType="separate"/>
      </w:r>
      <w:r>
        <w:rPr>
          <w:rFonts w:hint="eastAsia" w:ascii="宋体" w:hAnsi="宋体" w:eastAsia="宋体"/>
          <w:snapToGrid w:val="0"/>
          <w:sz w:val="24"/>
          <w:szCs w:val="24"/>
        </w:rPr>
        <w:t>国务院关于进一步促进中小企业发展的若干意见</w:t>
      </w:r>
      <w:r>
        <w:rPr>
          <w:rFonts w:hint="eastAsia" w:ascii="宋体" w:hAnsi="宋体" w:eastAsia="宋体"/>
          <w:snapToGrid w:val="0"/>
          <w:sz w:val="24"/>
          <w:szCs w:val="24"/>
        </w:rPr>
        <w:fldChar w:fldCharType="end"/>
      </w:r>
      <w:r>
        <w:rPr>
          <w:rFonts w:hint="eastAsia" w:ascii="宋体" w:hAnsi="宋体" w:eastAsia="宋体" w:cs="宋体"/>
          <w:sz w:val="24"/>
          <w:szCs w:val="24"/>
        </w:rPr>
        <w:t>》（</w:t>
      </w:r>
      <w:r>
        <w:fldChar w:fldCharType="begin"/>
      </w:r>
      <w:r>
        <w:instrText xml:space="preserve"> HYPERLINK "https://www.shui5.cn/article/47/26142.html" </w:instrText>
      </w:r>
      <w:r>
        <w:fldChar w:fldCharType="separate"/>
      </w:r>
      <w:r>
        <w:rPr>
          <w:rFonts w:hint="eastAsia" w:ascii="宋体" w:hAnsi="宋体" w:eastAsia="宋体"/>
          <w:snapToGrid w:val="0"/>
          <w:sz w:val="24"/>
          <w:szCs w:val="24"/>
        </w:rPr>
        <w:t>国发〔2009〕36号</w:t>
      </w:r>
      <w:r>
        <w:rPr>
          <w:rFonts w:hint="eastAsia" w:ascii="宋体" w:hAnsi="宋体" w:eastAsia="宋体"/>
          <w:snapToGrid w:val="0"/>
          <w:sz w:val="24"/>
          <w:szCs w:val="24"/>
        </w:rPr>
        <w:fldChar w:fldCharType="end"/>
      </w:r>
      <w:r>
        <w:rPr>
          <w:rFonts w:hint="eastAsia" w:ascii="宋体" w:hAnsi="宋体" w:eastAsia="宋体" w:cs="宋体"/>
          <w:sz w:val="24"/>
          <w:szCs w:val="24"/>
        </w:rPr>
        <w:t>)，制定本规定。</w:t>
      </w:r>
    </w:p>
    <w:p>
      <w:pPr>
        <w:pStyle w:val="967"/>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二、中小企业划分为中型、小型、微型三种类型，具体标准根据企业从业人员、营业收入、资产总额等指标，结合行业特点制定。</w:t>
      </w:r>
    </w:p>
    <w:p>
      <w:pPr>
        <w:pStyle w:val="967"/>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967"/>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四、各行业划型标准为：</w:t>
      </w:r>
    </w:p>
    <w:p>
      <w:pPr>
        <w:pStyle w:val="967"/>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　　（一）农、林、牧、渔业。营业收入20000万元以下的为中小微型企业。其中，营业收入500万元及以上的为中型企业，营业收入50万元及以上的为小型企业，营业收入50万元以下的为微型企业。</w:t>
      </w:r>
    </w:p>
    <w:p>
      <w:pPr>
        <w:pStyle w:val="967"/>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967"/>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967"/>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967"/>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967"/>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967"/>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967"/>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967"/>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67"/>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67"/>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6"/>
        <w:ind w:firstLine="222"/>
        <w:rPr>
          <w:rFonts w:hAnsi="宋体" w:cs="宋体"/>
          <w:szCs w:val="24"/>
          <w:lang w:val="en-US"/>
        </w:rPr>
      </w:pPr>
      <w:r>
        <w:rPr>
          <w:rFonts w:hint="eastAsia" w:hAnsi="宋体" w:cs="宋体"/>
          <w:szCs w:val="24"/>
          <w:lang w:val="en-US"/>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967"/>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967"/>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967"/>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967"/>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（十六）其他未列明行业。从业人员300人以下的为中小微型企业。其中，从业人员100人及以上的为中型企业；从业人员10人及以上的为小型企业；从业人员10人以下的为微型企业。</w:t>
      </w:r>
    </w:p>
    <w:p>
      <w:pPr>
        <w:pStyle w:val="967"/>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五、企业类型的划分以统计部门的统计数据为依据。</w:t>
      </w:r>
    </w:p>
    <w:p>
      <w:pPr>
        <w:pStyle w:val="967"/>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六、本规定适用于在中华人民共和国境内依法设立的各类所有制和各种组织形式的企业。个体工商户和本规定以外的行业，参照本规定进行划型。</w:t>
      </w:r>
    </w:p>
    <w:p>
      <w:pPr>
        <w:pStyle w:val="967"/>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967"/>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八、本规定由工业和信息化部、国家统计局会同有关部门根据《国民经济行业分类》修订情况和企业发展变化情况适时修订。</w:t>
      </w:r>
    </w:p>
    <w:p>
      <w:pPr>
        <w:pStyle w:val="967"/>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九、本规定由工业和信息化部、国家统计局会同有关部门负责解释。</w:t>
      </w:r>
    </w:p>
    <w:p>
      <w:pPr>
        <w:pStyle w:val="967"/>
        <w:adjustRightInd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十、本规定自发布之日起执行，原国家经贸委、原国家计委、财政部和国家统计局2003年颁布的《</w:t>
      </w:r>
      <w:r>
        <w:fldChar w:fldCharType="begin"/>
      </w:r>
      <w:r>
        <w:instrText xml:space="preserve"> HYPERLINK "https://www.shui5.cn/article/df/24263.html" </w:instrText>
      </w:r>
      <w:r>
        <w:fldChar w:fldCharType="separate"/>
      </w:r>
      <w:r>
        <w:rPr>
          <w:rFonts w:hint="eastAsia" w:ascii="宋体" w:hAnsi="宋体" w:eastAsia="宋体"/>
          <w:snapToGrid w:val="0"/>
          <w:sz w:val="24"/>
          <w:szCs w:val="24"/>
        </w:rPr>
        <w:t>中小企业标准暂行规定</w:t>
      </w:r>
      <w:r>
        <w:rPr>
          <w:rFonts w:hint="eastAsia" w:ascii="宋体" w:hAnsi="宋体" w:eastAsia="宋体"/>
          <w:snapToGrid w:val="0"/>
          <w:sz w:val="24"/>
          <w:szCs w:val="24"/>
        </w:rPr>
        <w:fldChar w:fldCharType="end"/>
      </w:r>
      <w:r>
        <w:rPr>
          <w:rFonts w:hint="eastAsia" w:ascii="宋体" w:hAnsi="宋体" w:eastAsia="宋体" w:cs="宋体"/>
          <w:sz w:val="24"/>
          <w:szCs w:val="24"/>
        </w:rPr>
        <w:t>》</w:t>
      </w:r>
      <w:r>
        <w:fldChar w:fldCharType="begin"/>
      </w:r>
      <w:r>
        <w:instrText xml:space="preserve"> HYPERLINK "https://www.shui5.cn/article/df/24263.html" </w:instrText>
      </w:r>
      <w:r>
        <w:fldChar w:fldCharType="separate"/>
      </w:r>
      <w:r>
        <w:rPr>
          <w:rFonts w:hint="eastAsia" w:ascii="宋体" w:hAnsi="宋体" w:eastAsia="宋体"/>
          <w:snapToGrid w:val="0"/>
          <w:sz w:val="24"/>
          <w:szCs w:val="24"/>
        </w:rPr>
        <w:t>国经贸中小企[2003]143号</w:t>
      </w:r>
      <w:r>
        <w:rPr>
          <w:rFonts w:hint="eastAsia" w:ascii="宋体" w:hAnsi="宋体" w:eastAsia="宋体"/>
          <w:snapToGrid w:val="0"/>
          <w:sz w:val="24"/>
          <w:szCs w:val="24"/>
        </w:rPr>
        <w:fldChar w:fldCharType="end"/>
      </w:r>
      <w:r>
        <w:rPr>
          <w:rFonts w:hint="eastAsia" w:ascii="宋体" w:hAnsi="宋体" w:eastAsia="宋体" w:cs="宋体"/>
          <w:sz w:val="24"/>
          <w:szCs w:val="24"/>
        </w:rPr>
        <w:t>同时废止。</w:t>
      </w:r>
    </w:p>
    <w:p>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9</w:t>
      </w:r>
      <w:r>
        <w:rPr>
          <w:rFonts w:hint="eastAsia" w:ascii="宋体" w:hAnsi="宋体" w:cs="宋体"/>
          <w:b/>
          <w:sz w:val="36"/>
          <w:szCs w:val="20"/>
        </w:rPr>
        <w:t>：（中标后提供）</w:t>
      </w:r>
    </w:p>
    <w:p>
      <w:pPr>
        <w:spacing w:line="360" w:lineRule="auto"/>
        <w:ind w:right="420"/>
        <w:rPr>
          <w:rFonts w:ascii="宋体" w:hAnsi="宋体" w:cs="宋体"/>
        </w:rPr>
      </w:pPr>
    </w:p>
    <w:p>
      <w:pPr>
        <w:jc w:val="center"/>
        <w:rPr>
          <w:rFonts w:ascii="仿宋" w:hAnsi="仿宋" w:eastAsia="仿宋" w:cs="仿宋"/>
          <w:b/>
          <w:sz w:val="30"/>
          <w:szCs w:val="30"/>
        </w:rPr>
      </w:pPr>
      <w:r>
        <w:rPr>
          <w:rFonts w:hint="eastAsia" w:ascii="仿宋" w:hAnsi="仿宋" w:eastAsia="仿宋" w:cs="仿宋"/>
          <w:b/>
          <w:sz w:val="30"/>
          <w:szCs w:val="30"/>
        </w:rPr>
        <w:t>承 诺 书</w:t>
      </w:r>
    </w:p>
    <w:p>
      <w:pPr>
        <w:rPr>
          <w:rFonts w:ascii="仿宋" w:hAnsi="仿宋" w:eastAsia="仿宋" w:cs="仿宋"/>
          <w:sz w:val="30"/>
          <w:szCs w:val="30"/>
        </w:rPr>
      </w:pPr>
    </w:p>
    <w:p>
      <w:pPr>
        <w:rPr>
          <w:rFonts w:ascii="仿宋" w:hAnsi="仿宋" w:eastAsia="仿宋" w:cs="仿宋"/>
          <w:sz w:val="30"/>
          <w:szCs w:val="30"/>
        </w:rPr>
      </w:pPr>
      <w:r>
        <w:rPr>
          <w:rFonts w:hint="eastAsia" w:ascii="仿宋" w:hAnsi="仿宋" w:eastAsia="仿宋" w:cs="仿宋"/>
          <w:sz w:val="30"/>
          <w:szCs w:val="30"/>
          <w:u w:val="single"/>
        </w:rPr>
        <w:t xml:space="preserve">浙江中达工程造价事务所有限公司 </w:t>
      </w:r>
      <w:r>
        <w:rPr>
          <w:rFonts w:hint="eastAsia" w:ascii="仿宋" w:hAnsi="仿宋" w:eastAsia="仿宋" w:cs="仿宋"/>
          <w:sz w:val="30"/>
          <w:szCs w:val="30"/>
        </w:rPr>
        <w:t>：</w:t>
      </w:r>
    </w:p>
    <w:p>
      <w:pPr>
        <w:spacing w:line="780" w:lineRule="exact"/>
        <w:ind w:firstLine="600" w:firstLineChars="200"/>
        <w:rPr>
          <w:rFonts w:ascii="仿宋" w:hAnsi="仿宋" w:eastAsia="仿宋" w:cs="仿宋"/>
          <w:sz w:val="30"/>
          <w:szCs w:val="30"/>
        </w:rPr>
      </w:pPr>
      <w:r>
        <w:rPr>
          <w:rFonts w:hint="eastAsia" w:ascii="仿宋" w:hAnsi="仿宋" w:eastAsia="仿宋" w:cs="仿宋"/>
          <w:sz w:val="30"/>
          <w:szCs w:val="30"/>
        </w:rPr>
        <w:t>我单位参与投标的</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 xml:space="preserve">   </w:t>
      </w:r>
      <w:r>
        <w:rPr>
          <w:rFonts w:hint="eastAsia" w:ascii="仿宋" w:hAnsi="仿宋" w:eastAsia="仿宋" w:cs="仿宋"/>
          <w:sz w:val="30"/>
          <w:szCs w:val="30"/>
        </w:rPr>
        <w:t>有幸中标，考虑本项目备案事宜，故由我单位再提供加盖公章的纸质版投标文件一式三份（正本一份，副本二份）递交给招标代理机构备案。</w:t>
      </w:r>
    </w:p>
    <w:p>
      <w:pPr>
        <w:spacing w:line="780" w:lineRule="exact"/>
        <w:ind w:firstLine="600" w:firstLineChars="200"/>
        <w:rPr>
          <w:rFonts w:ascii="仿宋" w:hAnsi="仿宋" w:eastAsia="仿宋" w:cs="仿宋"/>
          <w:sz w:val="30"/>
          <w:szCs w:val="30"/>
        </w:rPr>
      </w:pPr>
      <w:r>
        <w:rPr>
          <w:rFonts w:hint="eastAsia" w:ascii="仿宋" w:hAnsi="仿宋" w:eastAsia="仿宋" w:cs="仿宋"/>
          <w:sz w:val="30"/>
          <w:szCs w:val="30"/>
        </w:rPr>
        <w:t>本公司承诺：</w:t>
      </w:r>
    </w:p>
    <w:p>
      <w:pPr>
        <w:spacing w:line="780" w:lineRule="exact"/>
        <w:ind w:firstLine="600" w:firstLineChars="200"/>
        <w:rPr>
          <w:rFonts w:ascii="仿宋" w:hAnsi="仿宋" w:eastAsia="仿宋" w:cs="仿宋"/>
          <w:sz w:val="30"/>
          <w:szCs w:val="30"/>
        </w:rPr>
      </w:pPr>
      <w:r>
        <w:rPr>
          <w:rFonts w:hint="eastAsia" w:ascii="仿宋" w:hAnsi="仿宋" w:eastAsia="仿宋" w:cs="仿宋"/>
          <w:sz w:val="30"/>
          <w:szCs w:val="30"/>
        </w:rPr>
        <w:t>本单位提交给招标代理机构备案的</w:t>
      </w:r>
      <w:r>
        <w:rPr>
          <w:rFonts w:hint="eastAsia" w:ascii="仿宋" w:hAnsi="仿宋" w:eastAsia="仿宋" w:cs="仿宋"/>
          <w:sz w:val="30"/>
          <w:szCs w:val="30"/>
          <w:u w:val="single"/>
        </w:rPr>
        <w:t>纸质版投标文件</w:t>
      </w:r>
      <w:r>
        <w:rPr>
          <w:rFonts w:hint="eastAsia" w:ascii="仿宋" w:hAnsi="仿宋" w:eastAsia="仿宋" w:cs="仿宋"/>
          <w:sz w:val="30"/>
          <w:szCs w:val="30"/>
        </w:rPr>
        <w:t>与</w:t>
      </w:r>
      <w:r>
        <w:rPr>
          <w:rFonts w:hint="eastAsia" w:ascii="仿宋" w:hAnsi="仿宋" w:eastAsia="仿宋" w:cs="仿宋"/>
          <w:sz w:val="30"/>
          <w:szCs w:val="30"/>
          <w:u w:val="single"/>
        </w:rPr>
        <w:t>电子投标文件</w:t>
      </w:r>
      <w:r>
        <w:rPr>
          <w:rFonts w:hint="eastAsia" w:ascii="仿宋" w:hAnsi="仿宋" w:eastAsia="仿宋" w:cs="仿宋"/>
          <w:sz w:val="30"/>
          <w:szCs w:val="30"/>
        </w:rPr>
        <w:t>内容均一致，如不一致导致的任何法律责任自负。特此承诺！</w:t>
      </w:r>
    </w:p>
    <w:p>
      <w:pPr>
        <w:spacing w:line="780" w:lineRule="exact"/>
        <w:ind w:firstLine="450" w:firstLineChars="150"/>
        <w:rPr>
          <w:rFonts w:ascii="仿宋" w:hAnsi="仿宋" w:eastAsia="仿宋" w:cs="仿宋"/>
          <w:sz w:val="30"/>
          <w:szCs w:val="30"/>
        </w:rPr>
      </w:pPr>
    </w:p>
    <w:p>
      <w:pPr>
        <w:spacing w:line="780" w:lineRule="exact"/>
        <w:rPr>
          <w:rFonts w:ascii="仿宋" w:hAnsi="仿宋" w:eastAsia="仿宋" w:cs="仿宋"/>
          <w:sz w:val="30"/>
          <w:szCs w:val="30"/>
        </w:rPr>
      </w:pPr>
    </w:p>
    <w:p>
      <w:pPr>
        <w:spacing w:line="780" w:lineRule="exact"/>
        <w:rPr>
          <w:rFonts w:ascii="仿宋" w:hAnsi="仿宋" w:eastAsia="仿宋" w:cs="仿宋"/>
          <w:sz w:val="30"/>
          <w:szCs w:val="30"/>
        </w:rPr>
      </w:pPr>
    </w:p>
    <w:p>
      <w:pPr>
        <w:spacing w:line="780" w:lineRule="exact"/>
        <w:rPr>
          <w:rFonts w:ascii="仿宋" w:hAnsi="仿宋" w:eastAsia="仿宋" w:cs="仿宋"/>
          <w:sz w:val="30"/>
          <w:szCs w:val="30"/>
        </w:rPr>
      </w:pPr>
      <w:r>
        <w:rPr>
          <w:rFonts w:hint="eastAsia" w:ascii="仿宋" w:hAnsi="仿宋" w:eastAsia="仿宋" w:cs="仿宋"/>
          <w:sz w:val="30"/>
          <w:szCs w:val="30"/>
        </w:rPr>
        <w:t>投标人名称（盖公章）：</w:t>
      </w:r>
    </w:p>
    <w:p>
      <w:pPr>
        <w:spacing w:line="780" w:lineRule="exact"/>
        <w:ind w:firstLine="5850" w:firstLineChars="1950"/>
        <w:rPr>
          <w:rFonts w:ascii="仿宋" w:hAnsi="仿宋" w:eastAsia="仿宋" w:cs="仿宋"/>
          <w:sz w:val="30"/>
          <w:szCs w:val="30"/>
        </w:rPr>
      </w:pPr>
      <w:r>
        <w:rPr>
          <w:rFonts w:hint="eastAsia" w:ascii="仿宋" w:hAnsi="仿宋" w:eastAsia="仿宋" w:cs="仿宋"/>
          <w:sz w:val="30"/>
          <w:szCs w:val="30"/>
        </w:rPr>
        <w:t>202</w:t>
      </w:r>
      <w:r>
        <w:rPr>
          <w:rFonts w:ascii="仿宋" w:hAnsi="仿宋" w:eastAsia="仿宋" w:cs="仿宋"/>
          <w:sz w:val="30"/>
          <w:szCs w:val="30"/>
        </w:rPr>
        <w:t xml:space="preserve"> </w:t>
      </w:r>
      <w:r>
        <w:rPr>
          <w:rFonts w:hint="eastAsia" w:ascii="仿宋" w:hAnsi="仿宋" w:eastAsia="仿宋" w:cs="仿宋"/>
          <w:sz w:val="30"/>
          <w:szCs w:val="30"/>
        </w:rPr>
        <w:t>年   月   日</w:t>
      </w:r>
    </w:p>
    <w:p>
      <w:pPr>
        <w:spacing w:line="360" w:lineRule="auto"/>
        <w:rPr>
          <w:rFonts w:ascii="宋体" w:hAnsi="宋体" w:cs="宋体"/>
          <w:bCs/>
          <w:sz w:val="24"/>
        </w:rPr>
      </w:pPr>
    </w:p>
    <w:p>
      <w:pPr>
        <w:pStyle w:val="967"/>
        <w:adjustRightInd w:val="0"/>
        <w:spacing w:line="360" w:lineRule="auto"/>
        <w:ind w:firstLine="480" w:firstLineChars="200"/>
        <w:jc w:val="both"/>
        <w:rPr>
          <w:rFonts w:ascii="宋体" w:hAnsi="宋体" w:eastAsia="宋体" w:cs="宋体"/>
          <w:sz w:val="24"/>
          <w:szCs w:val="24"/>
        </w:rPr>
      </w:pPr>
    </w:p>
    <w:sectPr>
      <w:headerReference r:id="rId26" w:type="first"/>
      <w:footerReference r:id="rId29" w:type="first"/>
      <w:headerReference r:id="rId25" w:type="default"/>
      <w:footerReference r:id="rId27" w:type="default"/>
      <w:footerReference r:id="rId28" w:type="even"/>
      <w:pgSz w:w="11906" w:h="16838"/>
      <w:pgMar w:top="1418" w:right="1418" w:bottom="1247"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auto"/>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7F" w:usb3="00000000" w:csb0="003F01FF" w:csb1="00000000"/>
  </w:font>
  <w:font w:name="Helvetica">
    <w:altName w:val="Arial"/>
    <w:panose1 w:val="020B0604020202020204"/>
    <w:charset w:val="00"/>
    <w:family w:val="auto"/>
    <w:pitch w:val="default"/>
    <w:sig w:usb0="00000000" w:usb1="00000000" w:usb2="00000000" w:usb3="00000000" w:csb0="0000019F"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5"/>
      </w:rPr>
    </w:pPr>
    <w:r>
      <w:fldChar w:fldCharType="begin"/>
    </w:r>
    <w:r>
      <w:rPr>
        <w:rStyle w:val="75"/>
      </w:rPr>
      <w:instrText xml:space="preserve">PAGE  </w:instrText>
    </w:r>
    <w:r>
      <w:fldChar w:fldCharType="end"/>
    </w:r>
  </w:p>
  <w:p>
    <w:pPr>
      <w:pStyle w:val="43"/>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bookmarkStart w:id="190" w:name="_Toc131845147"/>
    <w:bookmarkStart w:id="191" w:name="_Toc91899912"/>
    <w:bookmarkStart w:id="192" w:name="_Toc36110187"/>
    <w:bookmarkStart w:id="193" w:name="_Toc164085800"/>
    <w:r>
      <w:rPr>
        <w:rFonts w:hint="eastAsia" w:ascii="仿宋_GB2312" w:eastAsia="仿宋_GB2312"/>
        <w:kern w:val="0"/>
        <w:szCs w:val="21"/>
      </w:rPr>
      <w:t xml:space="preserve"> 页</w:t>
    </w:r>
    <w:bookmarkEnd w:id="190"/>
    <w:bookmarkEnd w:id="191"/>
    <w:bookmarkEnd w:id="192"/>
    <w:bookmarkEnd w:id="19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5"/>
      </w:rPr>
    </w:pPr>
    <w:r>
      <w:fldChar w:fldCharType="begin"/>
    </w:r>
    <w:r>
      <w:rPr>
        <w:rStyle w:val="75"/>
      </w:rPr>
      <w:instrText xml:space="preserve">PAGE  </w:instrText>
    </w:r>
    <w:r>
      <w:fldChar w:fldCharType="end"/>
    </w:r>
  </w:p>
  <w:p>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5"/>
      </w:rPr>
    </w:pPr>
    <w:r>
      <w:fldChar w:fldCharType="begin"/>
    </w:r>
    <w:r>
      <w:rPr>
        <w:rStyle w:val="75"/>
      </w:rPr>
      <w:instrText xml:space="preserve">PAGE  </w:instrText>
    </w:r>
    <w:r>
      <w:fldChar w:fldCharType="end"/>
    </w:r>
  </w:p>
  <w:p>
    <w:pPr>
      <w:pStyle w:val="4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0"/>
      </w:pBdr>
      <w:tabs>
        <w:tab w:val="center" w:pos="4535"/>
        <w:tab w:val="right" w:pos="9070"/>
        <w:tab w:val="clear" w:pos="4153"/>
        <w:tab w:val="clear" w:pos="8306"/>
      </w:tabs>
      <w:jc w:val="right"/>
    </w:pPr>
    <w:r>
      <w:rPr>
        <w:lang w:val="zh-CN"/>
      </w:rPr>
      <w:t>杭州市政府采购公开招标文件</w:t>
    </w:r>
  </w:p>
  <w:p>
    <w:pPr>
      <w:pStyle w:val="45"/>
      <w:rPr>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0"/>
      </w:pBdr>
      <w:tabs>
        <w:tab w:val="center" w:pos="4535"/>
        <w:tab w:val="right" w:pos="9070"/>
        <w:tab w:val="clear" w:pos="4153"/>
        <w:tab w:val="clear" w:pos="8306"/>
      </w:tabs>
      <w:jc w:val="right"/>
    </w:pPr>
    <w:r>
      <w:rPr>
        <w:lang w:val="zh-CN"/>
      </w:rPr>
      <w:t>杭州市政府采购公开招标文件</w:t>
    </w:r>
  </w:p>
  <w:p>
    <w:pPr>
      <w:pStyle w:val="62"/>
      <w:tabs>
        <w:tab w:val="center" w:pos="4535"/>
        <w:tab w:val="right" w:pos="9070"/>
      </w:tabs>
      <w:ind w:firstLine="180" w:firstLineChars="100"/>
      <w:jc w:val="right"/>
      <w:rPr>
        <w:rFonts w:ascii="宋体" w:hAnsi="宋体"/>
        <w:b w:val="0"/>
        <w:sz w:val="18"/>
        <w:lang w:val="en-US"/>
      </w:rPr>
    </w:pPr>
  </w:p>
  <w:p>
    <w:pPr>
      <w:pStyle w:val="45"/>
      <w:pBdr>
        <w:bottom w:val="none" w:color="auto" w:sz="0" w:space="0"/>
      </w:pBdr>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0"/>
      </w:pBdr>
      <w:tabs>
        <w:tab w:val="center" w:pos="4535"/>
        <w:tab w:val="right" w:pos="9070"/>
        <w:tab w:val="clear" w:pos="4153"/>
        <w:tab w:val="clear" w:pos="8306"/>
      </w:tabs>
      <w:jc w:val="right"/>
    </w:pPr>
    <w:r>
      <w:rPr>
        <w:lang w:val="zh-CN"/>
      </w:rPr>
      <w:t>杭州市政府采购公开招标文件</w:t>
    </w:r>
  </w:p>
  <w:p>
    <w:pPr>
      <w:pStyle w:val="45"/>
      <w:pBdr>
        <w:bottom w:val="none" w:color="auto" w:sz="0" w:space="0"/>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w:t>
    </w:r>
    <w:r>
      <w:rPr>
        <w:rFonts w:hint="eastAsia"/>
      </w:rPr>
      <w:t xml:space="preserve">                               浙江中达工程造价事务所有限公司</w:t>
    </w:r>
    <w: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浙江中达工程造价事务所有限公司</w:t>
    </w:r>
    <w:r>
      <w:rPr>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0"/>
      </w:pBdr>
      <w:tabs>
        <w:tab w:val="center" w:pos="4535"/>
        <w:tab w:val="right" w:pos="9070"/>
        <w:tab w:val="clear" w:pos="4153"/>
        <w:tab w:val="clear" w:pos="8306"/>
      </w:tabs>
      <w:jc w:val="right"/>
    </w:pPr>
    <w:r>
      <w:rPr>
        <w:lang w:val="zh-CN"/>
      </w:rPr>
      <w:t>杭州市政府采购公开招标文件</w:t>
    </w:r>
  </w:p>
  <w:p>
    <w:pPr>
      <w:pStyle w:val="62"/>
      <w:tabs>
        <w:tab w:val="center" w:pos="4535"/>
        <w:tab w:val="left" w:pos="7230"/>
        <w:tab w:val="right" w:pos="9070"/>
      </w:tabs>
      <w:ind w:right="-652" w:firstLine="5400" w:firstLineChars="3000"/>
      <w:jc w:val="both"/>
      <w:rPr>
        <w:rFonts w:ascii="宋体" w:hAnsi="宋体"/>
        <w:b w:val="0"/>
        <w:sz w:val="18"/>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浙江中达工程造价事务所有限公司</w:t>
    </w:r>
    <w:r>
      <w:rPr>
        <w:lang w:val="zh-CN"/>
      </w:rP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0"/>
      </w:pBdr>
      <w:tabs>
        <w:tab w:val="center" w:pos="4535"/>
        <w:tab w:val="right" w:pos="9070"/>
        <w:tab w:val="clear" w:pos="4153"/>
        <w:tab w:val="clear" w:pos="8306"/>
      </w:tabs>
      <w:jc w:val="right"/>
    </w:pPr>
    <w:r>
      <w:rPr>
        <w:lang w:val="zh-CN"/>
      </w:rPr>
      <w:t>杭州市政府采购公开招标文件</w:t>
    </w:r>
  </w:p>
  <w:p>
    <w:pPr>
      <w:pStyle w:val="45"/>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tabs>
        <w:tab w:val="right" w:pos="8364"/>
        <w:tab w:val="clear" w:pos="8306"/>
      </w:tabs>
      <w:jc w:val="right"/>
    </w:pPr>
    <w:r>
      <w:t></w:t>
    </w:r>
    <w:r>
      <w:rPr>
        <w:rFonts w:hint="eastAsia"/>
      </w:rPr>
      <w:t>浙江中达工程造价事务所有限公司</w:t>
    </w:r>
    <w: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0"/>
      </w:pBdr>
      <w:tabs>
        <w:tab w:val="center" w:pos="4535"/>
        <w:tab w:val="right" w:pos="9070"/>
        <w:tab w:val="clear" w:pos="4153"/>
        <w:tab w:val="clear" w:pos="8306"/>
      </w:tabs>
      <w:jc w:val="right"/>
    </w:pPr>
    <w:r>
      <w:rPr>
        <w:lang w:val="zh-CN"/>
      </w:rP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pPr>
    <w:r>
      <w:rPr>
        <w:i/>
        <w:sz w:val="15"/>
      </w:rPr>
      <w:drawing>
        <wp:anchor distT="0" distB="0" distL="114300" distR="114300" simplePos="0" relativeHeight="251661312" behindDoc="0" locked="0" layoutInCell="1" allowOverlap="1">
          <wp:simplePos x="0" y="0"/>
          <wp:positionH relativeFrom="column">
            <wp:posOffset>-47625</wp:posOffset>
          </wp:positionH>
          <wp:positionV relativeFrom="paragraph">
            <wp:posOffset>-28575</wp:posOffset>
          </wp:positionV>
          <wp:extent cx="1336040" cy="270510"/>
          <wp:effectExtent l="0" t="0" r="0" b="0"/>
          <wp:wrapNone/>
          <wp:docPr id="1632915197" name="图片 1632915197" descr="yyyyyyyyyyyy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915197" name="图片 1632915197" descr="yyyyyyyyyyyy 拷贝"/>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336040" cy="270510"/>
                  </a:xfrm>
                  <a:prstGeom prst="rect">
                    <a:avLst/>
                  </a:prstGeom>
                  <a:noFill/>
                  <a:ln>
                    <a:noFill/>
                  </a:ln>
                  <a:effectLst/>
                </pic:spPr>
              </pic:pic>
            </a:graphicData>
          </a:graphic>
        </wp:anchor>
      </w:drawing>
    </w:r>
    <w:r>
      <w:t></w:t>
    </w: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tabs>
        <w:tab w:val="center" w:pos="4535"/>
        <w:tab w:val="left" w:pos="7230"/>
        <w:tab w:val="right" w:pos="9070"/>
      </w:tabs>
      <w:ind w:right="-652" w:firstLine="6300" w:firstLineChars="3000"/>
      <w:jc w:val="both"/>
      <w:rPr>
        <w:rFonts w:ascii="宋体" w:hAnsi="宋体"/>
        <w:b w:val="0"/>
        <w:sz w:val="18"/>
        <w:lang w:val="en-US"/>
      </w:rPr>
    </w:pPr>
    <w:r>
      <w:rPr>
        <w:rFonts w:hint="eastAsia" w:ascii="宋体" w:hAnsi="宋体"/>
        <w:b w:val="0"/>
        <w:color w:val="00B0F0"/>
        <w:sz w:val="21"/>
        <w:lang w:val="en-US"/>
      </w:rPr>
      <w:t>政府采购招标文件</w:t>
    </w:r>
  </w:p>
  <w:p>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1179DD"/>
    <w:multiLevelType w:val="singleLevel"/>
    <w:tmpl w:val="E01179DD"/>
    <w:lvl w:ilvl="0" w:tentative="0">
      <w:start w:val="2"/>
      <w:numFmt w:val="decimal"/>
      <w:suff w:val="nothing"/>
      <w:lvlText w:val="（%1）"/>
      <w:lvlJc w:val="left"/>
    </w:lvl>
  </w:abstractNum>
  <w:abstractNum w:abstractNumId="1">
    <w:nsid w:val="06D9307D"/>
    <w:multiLevelType w:val="singleLevel"/>
    <w:tmpl w:val="06D9307D"/>
    <w:lvl w:ilvl="0" w:tentative="0">
      <w:start w:val="3"/>
      <w:numFmt w:val="chineseCounting"/>
      <w:suff w:val="space"/>
      <w:lvlText w:val="第%1部分"/>
      <w:lvlJc w:val="left"/>
      <w:rPr>
        <w:rFonts w:hint="eastAsia"/>
      </w:rPr>
    </w:lvl>
  </w:abstractNum>
  <w:abstractNum w:abstractNumId="2">
    <w:nsid w:val="187A48D8"/>
    <w:multiLevelType w:val="singleLevel"/>
    <w:tmpl w:val="187A48D8"/>
    <w:lvl w:ilvl="0" w:tentative="0">
      <w:start w:val="1"/>
      <w:numFmt w:val="decimal"/>
      <w:lvlText w:val="%1."/>
      <w:lvlJc w:val="left"/>
      <w:pPr>
        <w:tabs>
          <w:tab w:val="left" w:pos="312"/>
        </w:tabs>
      </w:pPr>
    </w:lvl>
  </w:abstractNum>
  <w:abstractNum w:abstractNumId="3">
    <w:nsid w:val="7BE3086C"/>
    <w:multiLevelType w:val="multilevel"/>
    <w:tmpl w:val="7BE3086C"/>
    <w:lvl w:ilvl="0" w:tentative="0">
      <w:start w:val="1"/>
      <w:numFmt w:val="japaneseCounting"/>
      <w:lvlText w:val="%1、"/>
      <w:lvlJc w:val="left"/>
      <w:pPr>
        <w:ind w:left="864" w:hanging="510"/>
      </w:pPr>
      <w:rPr>
        <w:rFonts w:hint="default"/>
      </w:rPr>
    </w:lvl>
    <w:lvl w:ilvl="1" w:tentative="0">
      <w:start w:val="1"/>
      <w:numFmt w:val="lowerLetter"/>
      <w:lvlText w:val="%2)"/>
      <w:lvlJc w:val="left"/>
      <w:pPr>
        <w:ind w:left="1234" w:hanging="440"/>
      </w:pPr>
    </w:lvl>
    <w:lvl w:ilvl="2" w:tentative="0">
      <w:start w:val="1"/>
      <w:numFmt w:val="lowerRoman"/>
      <w:lvlText w:val="%3."/>
      <w:lvlJc w:val="right"/>
      <w:pPr>
        <w:ind w:left="1674" w:hanging="440"/>
      </w:pPr>
    </w:lvl>
    <w:lvl w:ilvl="3" w:tentative="0">
      <w:start w:val="1"/>
      <w:numFmt w:val="decimal"/>
      <w:lvlText w:val="%4."/>
      <w:lvlJc w:val="left"/>
      <w:pPr>
        <w:ind w:left="2114" w:hanging="440"/>
      </w:pPr>
    </w:lvl>
    <w:lvl w:ilvl="4" w:tentative="0">
      <w:start w:val="1"/>
      <w:numFmt w:val="lowerLetter"/>
      <w:lvlText w:val="%5)"/>
      <w:lvlJc w:val="left"/>
      <w:pPr>
        <w:ind w:left="2554" w:hanging="440"/>
      </w:pPr>
    </w:lvl>
    <w:lvl w:ilvl="5" w:tentative="0">
      <w:start w:val="1"/>
      <w:numFmt w:val="lowerRoman"/>
      <w:lvlText w:val="%6."/>
      <w:lvlJc w:val="right"/>
      <w:pPr>
        <w:ind w:left="2994" w:hanging="440"/>
      </w:pPr>
    </w:lvl>
    <w:lvl w:ilvl="6" w:tentative="0">
      <w:start w:val="1"/>
      <w:numFmt w:val="decimal"/>
      <w:lvlText w:val="%7."/>
      <w:lvlJc w:val="left"/>
      <w:pPr>
        <w:ind w:left="3434" w:hanging="440"/>
      </w:pPr>
    </w:lvl>
    <w:lvl w:ilvl="7" w:tentative="0">
      <w:start w:val="1"/>
      <w:numFmt w:val="lowerLetter"/>
      <w:lvlText w:val="%8)"/>
      <w:lvlJc w:val="left"/>
      <w:pPr>
        <w:ind w:left="3874" w:hanging="440"/>
      </w:pPr>
    </w:lvl>
    <w:lvl w:ilvl="8" w:tentative="0">
      <w:start w:val="1"/>
      <w:numFmt w:val="lowerRoman"/>
      <w:lvlText w:val="%9."/>
      <w:lvlJc w:val="right"/>
      <w:pPr>
        <w:ind w:left="4314" w:hanging="44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ViNGRjNzFjNWE1NmVhNmMwOTk3MjZlYThkN2I5Zj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01"/>
    <w:rsid w:val="00056868"/>
    <w:rsid w:val="00056876"/>
    <w:rsid w:val="000568DF"/>
    <w:rsid w:val="000576F6"/>
    <w:rsid w:val="000578A3"/>
    <w:rsid w:val="00057BF3"/>
    <w:rsid w:val="00057D4C"/>
    <w:rsid w:val="00060C48"/>
    <w:rsid w:val="000612C2"/>
    <w:rsid w:val="00061A3C"/>
    <w:rsid w:val="00061C48"/>
    <w:rsid w:val="00064278"/>
    <w:rsid w:val="000646CA"/>
    <w:rsid w:val="00066454"/>
    <w:rsid w:val="000665C4"/>
    <w:rsid w:val="00067821"/>
    <w:rsid w:val="0006785E"/>
    <w:rsid w:val="00067F92"/>
    <w:rsid w:val="00067FA7"/>
    <w:rsid w:val="0007038E"/>
    <w:rsid w:val="0007077C"/>
    <w:rsid w:val="00070825"/>
    <w:rsid w:val="00071152"/>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8B0"/>
    <w:rsid w:val="00082AD4"/>
    <w:rsid w:val="00083E07"/>
    <w:rsid w:val="00084519"/>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66"/>
    <w:rsid w:val="00092FE9"/>
    <w:rsid w:val="000936BF"/>
    <w:rsid w:val="0009382F"/>
    <w:rsid w:val="00093A30"/>
    <w:rsid w:val="00094342"/>
    <w:rsid w:val="000945BA"/>
    <w:rsid w:val="00094833"/>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0E1D"/>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5B9"/>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4D4"/>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0DB"/>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9F3"/>
    <w:rsid w:val="00186EB0"/>
    <w:rsid w:val="00187121"/>
    <w:rsid w:val="00187243"/>
    <w:rsid w:val="00187C29"/>
    <w:rsid w:val="00190782"/>
    <w:rsid w:val="00190863"/>
    <w:rsid w:val="00190942"/>
    <w:rsid w:val="001909A7"/>
    <w:rsid w:val="001909C3"/>
    <w:rsid w:val="00191459"/>
    <w:rsid w:val="00191603"/>
    <w:rsid w:val="0019173E"/>
    <w:rsid w:val="0019174E"/>
    <w:rsid w:val="0019196B"/>
    <w:rsid w:val="00192193"/>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DF"/>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509"/>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879"/>
    <w:rsid w:val="00203C85"/>
    <w:rsid w:val="0020449A"/>
    <w:rsid w:val="00204E9B"/>
    <w:rsid w:val="00205298"/>
    <w:rsid w:val="002055C0"/>
    <w:rsid w:val="0020569E"/>
    <w:rsid w:val="00206698"/>
    <w:rsid w:val="00206736"/>
    <w:rsid w:val="00206C88"/>
    <w:rsid w:val="00210B9C"/>
    <w:rsid w:val="00211185"/>
    <w:rsid w:val="00211A94"/>
    <w:rsid w:val="00211E96"/>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760"/>
    <w:rsid w:val="00224D2A"/>
    <w:rsid w:val="00224D8D"/>
    <w:rsid w:val="0022555A"/>
    <w:rsid w:val="00227214"/>
    <w:rsid w:val="00227DDC"/>
    <w:rsid w:val="0023079F"/>
    <w:rsid w:val="0023111A"/>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ED1"/>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67F56"/>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40E2"/>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7CD"/>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66B"/>
    <w:rsid w:val="002F39D4"/>
    <w:rsid w:val="002F4BA9"/>
    <w:rsid w:val="002F541B"/>
    <w:rsid w:val="002F5AA8"/>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975"/>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365"/>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1493"/>
    <w:rsid w:val="003B1FC7"/>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5B70"/>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6D7"/>
    <w:rsid w:val="003D3D83"/>
    <w:rsid w:val="003D4685"/>
    <w:rsid w:val="003D4A41"/>
    <w:rsid w:val="003D4CDF"/>
    <w:rsid w:val="003D514A"/>
    <w:rsid w:val="003D5ADB"/>
    <w:rsid w:val="003D5F35"/>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1DB"/>
    <w:rsid w:val="003F6327"/>
    <w:rsid w:val="003F7425"/>
    <w:rsid w:val="003F765B"/>
    <w:rsid w:val="003F7C6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0E8"/>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B89"/>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08F"/>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150"/>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3DEF"/>
    <w:rsid w:val="004B419F"/>
    <w:rsid w:val="004B4EA9"/>
    <w:rsid w:val="004B5C96"/>
    <w:rsid w:val="004B6124"/>
    <w:rsid w:val="004B6E50"/>
    <w:rsid w:val="004B728F"/>
    <w:rsid w:val="004B7317"/>
    <w:rsid w:val="004B75B2"/>
    <w:rsid w:val="004B75C6"/>
    <w:rsid w:val="004C02C5"/>
    <w:rsid w:val="004C054A"/>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20E"/>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0E48"/>
    <w:rsid w:val="00511166"/>
    <w:rsid w:val="00511A7A"/>
    <w:rsid w:val="00512217"/>
    <w:rsid w:val="00512459"/>
    <w:rsid w:val="005131A2"/>
    <w:rsid w:val="005137E4"/>
    <w:rsid w:val="00513BB9"/>
    <w:rsid w:val="00513CAF"/>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453"/>
    <w:rsid w:val="00527ED6"/>
    <w:rsid w:val="0053024F"/>
    <w:rsid w:val="00530CAA"/>
    <w:rsid w:val="00531064"/>
    <w:rsid w:val="005312CB"/>
    <w:rsid w:val="005313B2"/>
    <w:rsid w:val="00531911"/>
    <w:rsid w:val="00531E92"/>
    <w:rsid w:val="005324D7"/>
    <w:rsid w:val="005326F0"/>
    <w:rsid w:val="00532764"/>
    <w:rsid w:val="00532AA5"/>
    <w:rsid w:val="00532C5F"/>
    <w:rsid w:val="00533233"/>
    <w:rsid w:val="005335A2"/>
    <w:rsid w:val="005339B6"/>
    <w:rsid w:val="00533D13"/>
    <w:rsid w:val="00533DEC"/>
    <w:rsid w:val="00534026"/>
    <w:rsid w:val="005341C4"/>
    <w:rsid w:val="00534D55"/>
    <w:rsid w:val="00535B53"/>
    <w:rsid w:val="0053682D"/>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9DE"/>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38CD"/>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1C9"/>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DA1"/>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89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491"/>
    <w:rsid w:val="006755F0"/>
    <w:rsid w:val="00675745"/>
    <w:rsid w:val="00675749"/>
    <w:rsid w:val="006759FE"/>
    <w:rsid w:val="00676307"/>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6BA"/>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3E0B"/>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29A"/>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0E4"/>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616"/>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57B"/>
    <w:rsid w:val="007378FD"/>
    <w:rsid w:val="007403FE"/>
    <w:rsid w:val="007413EB"/>
    <w:rsid w:val="007413FB"/>
    <w:rsid w:val="00742D32"/>
    <w:rsid w:val="00742D5B"/>
    <w:rsid w:val="00742E9B"/>
    <w:rsid w:val="007444E6"/>
    <w:rsid w:val="0074592C"/>
    <w:rsid w:val="00745C91"/>
    <w:rsid w:val="00746098"/>
    <w:rsid w:val="00746D58"/>
    <w:rsid w:val="00747578"/>
    <w:rsid w:val="00750ACA"/>
    <w:rsid w:val="00750BF2"/>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5734C"/>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4FDE"/>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5E8A"/>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1B0"/>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063"/>
    <w:rsid w:val="007F4318"/>
    <w:rsid w:val="007F4709"/>
    <w:rsid w:val="007F47DA"/>
    <w:rsid w:val="007F4E52"/>
    <w:rsid w:val="007F4F84"/>
    <w:rsid w:val="007F5382"/>
    <w:rsid w:val="007F55A4"/>
    <w:rsid w:val="007F5D28"/>
    <w:rsid w:val="007F6260"/>
    <w:rsid w:val="007F66DB"/>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6DD"/>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41AA"/>
    <w:rsid w:val="0085517F"/>
    <w:rsid w:val="00855590"/>
    <w:rsid w:val="0085562D"/>
    <w:rsid w:val="00855A78"/>
    <w:rsid w:val="00856154"/>
    <w:rsid w:val="00856286"/>
    <w:rsid w:val="0085657E"/>
    <w:rsid w:val="00856F0E"/>
    <w:rsid w:val="008573AF"/>
    <w:rsid w:val="008576B0"/>
    <w:rsid w:val="008578E0"/>
    <w:rsid w:val="00860296"/>
    <w:rsid w:val="008602E3"/>
    <w:rsid w:val="00860B16"/>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1AC"/>
    <w:rsid w:val="00871333"/>
    <w:rsid w:val="00871952"/>
    <w:rsid w:val="00872006"/>
    <w:rsid w:val="00872386"/>
    <w:rsid w:val="008726D7"/>
    <w:rsid w:val="00873128"/>
    <w:rsid w:val="008735BC"/>
    <w:rsid w:val="00873645"/>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87411"/>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018"/>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3656"/>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5CD6"/>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3B3A"/>
    <w:rsid w:val="009441DB"/>
    <w:rsid w:val="00944834"/>
    <w:rsid w:val="00946128"/>
    <w:rsid w:val="0094633F"/>
    <w:rsid w:val="00947BA5"/>
    <w:rsid w:val="00950805"/>
    <w:rsid w:val="00950CFF"/>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15F"/>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91B"/>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1E21"/>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7E5"/>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1E89"/>
    <w:rsid w:val="00A12720"/>
    <w:rsid w:val="00A12ED1"/>
    <w:rsid w:val="00A13121"/>
    <w:rsid w:val="00A131F5"/>
    <w:rsid w:val="00A133C1"/>
    <w:rsid w:val="00A13414"/>
    <w:rsid w:val="00A13675"/>
    <w:rsid w:val="00A138A1"/>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86F"/>
    <w:rsid w:val="00A35AA9"/>
    <w:rsid w:val="00A35E53"/>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E3E"/>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56E9D"/>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83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A7939"/>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612"/>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6BBE"/>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27EED"/>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B58"/>
    <w:rsid w:val="00B55F64"/>
    <w:rsid w:val="00B56ECA"/>
    <w:rsid w:val="00B57093"/>
    <w:rsid w:val="00B57B5D"/>
    <w:rsid w:val="00B60613"/>
    <w:rsid w:val="00B60C80"/>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5BEE"/>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05E4"/>
    <w:rsid w:val="00BA1289"/>
    <w:rsid w:val="00BA14B2"/>
    <w:rsid w:val="00BA15DC"/>
    <w:rsid w:val="00BA1E2F"/>
    <w:rsid w:val="00BA1EB8"/>
    <w:rsid w:val="00BA1F3E"/>
    <w:rsid w:val="00BA2C82"/>
    <w:rsid w:val="00BA2D50"/>
    <w:rsid w:val="00BA3532"/>
    <w:rsid w:val="00BA3869"/>
    <w:rsid w:val="00BA39EB"/>
    <w:rsid w:val="00BA4399"/>
    <w:rsid w:val="00BA4452"/>
    <w:rsid w:val="00BA46C6"/>
    <w:rsid w:val="00BA4ACF"/>
    <w:rsid w:val="00BA4CF9"/>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1A"/>
    <w:rsid w:val="00BC3CF1"/>
    <w:rsid w:val="00BC428A"/>
    <w:rsid w:val="00BC4C40"/>
    <w:rsid w:val="00BC5854"/>
    <w:rsid w:val="00BC5A29"/>
    <w:rsid w:val="00BC5AE3"/>
    <w:rsid w:val="00BC5BAD"/>
    <w:rsid w:val="00BC692A"/>
    <w:rsid w:val="00BC69AC"/>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78A"/>
    <w:rsid w:val="00BF2DDC"/>
    <w:rsid w:val="00BF3054"/>
    <w:rsid w:val="00BF32DE"/>
    <w:rsid w:val="00BF4A15"/>
    <w:rsid w:val="00BF4E0E"/>
    <w:rsid w:val="00BF4E27"/>
    <w:rsid w:val="00BF4F7C"/>
    <w:rsid w:val="00BF537B"/>
    <w:rsid w:val="00BF5901"/>
    <w:rsid w:val="00BF626A"/>
    <w:rsid w:val="00BF636F"/>
    <w:rsid w:val="00BF688E"/>
    <w:rsid w:val="00BF6D77"/>
    <w:rsid w:val="00BF704C"/>
    <w:rsid w:val="00BF739A"/>
    <w:rsid w:val="00BF7A3B"/>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387E"/>
    <w:rsid w:val="00C148B2"/>
    <w:rsid w:val="00C14ABD"/>
    <w:rsid w:val="00C151E0"/>
    <w:rsid w:val="00C155A8"/>
    <w:rsid w:val="00C159FD"/>
    <w:rsid w:val="00C15B31"/>
    <w:rsid w:val="00C15F66"/>
    <w:rsid w:val="00C1604F"/>
    <w:rsid w:val="00C16584"/>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6F0A"/>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F93"/>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88F"/>
    <w:rsid w:val="00C7791E"/>
    <w:rsid w:val="00C81716"/>
    <w:rsid w:val="00C832CB"/>
    <w:rsid w:val="00C8388C"/>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35"/>
    <w:rsid w:val="00C95F87"/>
    <w:rsid w:val="00C96035"/>
    <w:rsid w:val="00C968EF"/>
    <w:rsid w:val="00C972CE"/>
    <w:rsid w:val="00CA0492"/>
    <w:rsid w:val="00CA05B0"/>
    <w:rsid w:val="00CA0632"/>
    <w:rsid w:val="00CA0A04"/>
    <w:rsid w:val="00CA2528"/>
    <w:rsid w:val="00CA33D8"/>
    <w:rsid w:val="00CA3BAA"/>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B70"/>
    <w:rsid w:val="00CC2D03"/>
    <w:rsid w:val="00CC2EB0"/>
    <w:rsid w:val="00CC4701"/>
    <w:rsid w:val="00CC56B4"/>
    <w:rsid w:val="00CC5F95"/>
    <w:rsid w:val="00CC642A"/>
    <w:rsid w:val="00CC6AC7"/>
    <w:rsid w:val="00CC733D"/>
    <w:rsid w:val="00CC7617"/>
    <w:rsid w:val="00CC7E0D"/>
    <w:rsid w:val="00CC7E97"/>
    <w:rsid w:val="00CD00EB"/>
    <w:rsid w:val="00CD0557"/>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CC5"/>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2F0"/>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54D"/>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696"/>
    <w:rsid w:val="00E24A62"/>
    <w:rsid w:val="00E24F52"/>
    <w:rsid w:val="00E255CC"/>
    <w:rsid w:val="00E25636"/>
    <w:rsid w:val="00E25755"/>
    <w:rsid w:val="00E25956"/>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08D"/>
    <w:rsid w:val="00E36392"/>
    <w:rsid w:val="00E36B32"/>
    <w:rsid w:val="00E36DD1"/>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DE0"/>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2624"/>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4E5"/>
    <w:rsid w:val="00E8747D"/>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869"/>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9FD"/>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5C3"/>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5EEC"/>
    <w:rsid w:val="00F3619D"/>
    <w:rsid w:val="00F36DDE"/>
    <w:rsid w:val="00F3722A"/>
    <w:rsid w:val="00F37366"/>
    <w:rsid w:val="00F37C99"/>
    <w:rsid w:val="00F37EDB"/>
    <w:rsid w:val="00F37FCC"/>
    <w:rsid w:val="00F419B8"/>
    <w:rsid w:val="00F41C0F"/>
    <w:rsid w:val="00F42856"/>
    <w:rsid w:val="00F42DFD"/>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6FF"/>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4BB"/>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19E9"/>
    <w:rsid w:val="00FC22D0"/>
    <w:rsid w:val="00FC3027"/>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C7FFB"/>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D7D7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250E5"/>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B03228"/>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10F40"/>
    <w:rsid w:val="09335624"/>
    <w:rsid w:val="0944690F"/>
    <w:rsid w:val="09535675"/>
    <w:rsid w:val="095F057D"/>
    <w:rsid w:val="09642282"/>
    <w:rsid w:val="09733572"/>
    <w:rsid w:val="09772C16"/>
    <w:rsid w:val="098353B5"/>
    <w:rsid w:val="098A70B6"/>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A648D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0B1F86"/>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FE3DA0"/>
    <w:rsid w:val="105400DA"/>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11D96"/>
    <w:rsid w:val="1C1B3B4A"/>
    <w:rsid w:val="1C88086E"/>
    <w:rsid w:val="1CD06D4C"/>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DA1AFE"/>
    <w:rsid w:val="28333E1D"/>
    <w:rsid w:val="28454BD6"/>
    <w:rsid w:val="28455253"/>
    <w:rsid w:val="28551971"/>
    <w:rsid w:val="285B1C53"/>
    <w:rsid w:val="289F7086"/>
    <w:rsid w:val="28C32028"/>
    <w:rsid w:val="28CC490F"/>
    <w:rsid w:val="28DE40AA"/>
    <w:rsid w:val="29180737"/>
    <w:rsid w:val="29345E77"/>
    <w:rsid w:val="294C65AD"/>
    <w:rsid w:val="29806583"/>
    <w:rsid w:val="298B3C4C"/>
    <w:rsid w:val="29F26D24"/>
    <w:rsid w:val="2A15033F"/>
    <w:rsid w:val="2A1662C1"/>
    <w:rsid w:val="2A1C7367"/>
    <w:rsid w:val="2A2815FA"/>
    <w:rsid w:val="2A6D6092"/>
    <w:rsid w:val="2A7D76B4"/>
    <w:rsid w:val="2A805A37"/>
    <w:rsid w:val="2B293485"/>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332065"/>
    <w:rsid w:val="2E4B082A"/>
    <w:rsid w:val="2E5D4E86"/>
    <w:rsid w:val="2E5D790B"/>
    <w:rsid w:val="2E9A3C18"/>
    <w:rsid w:val="2EBB0FEE"/>
    <w:rsid w:val="2EC63002"/>
    <w:rsid w:val="2F0A6B38"/>
    <w:rsid w:val="2F946CCB"/>
    <w:rsid w:val="2FD25781"/>
    <w:rsid w:val="2FDC745C"/>
    <w:rsid w:val="2FFD7934"/>
    <w:rsid w:val="306B3BA3"/>
    <w:rsid w:val="30733ACD"/>
    <w:rsid w:val="308C3862"/>
    <w:rsid w:val="309379D8"/>
    <w:rsid w:val="30A270F7"/>
    <w:rsid w:val="30C56025"/>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9B010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96384F"/>
    <w:rsid w:val="3CCE23CB"/>
    <w:rsid w:val="3CD17D17"/>
    <w:rsid w:val="3D3C2A03"/>
    <w:rsid w:val="3D3C7F39"/>
    <w:rsid w:val="3D440F09"/>
    <w:rsid w:val="3D4504A0"/>
    <w:rsid w:val="3D471A37"/>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83A51"/>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D9C654A"/>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6044B8"/>
    <w:rsid w:val="517370C0"/>
    <w:rsid w:val="518832C8"/>
    <w:rsid w:val="519D3C50"/>
    <w:rsid w:val="51A0432A"/>
    <w:rsid w:val="51A86090"/>
    <w:rsid w:val="51B7396D"/>
    <w:rsid w:val="522E4CC3"/>
    <w:rsid w:val="5244713B"/>
    <w:rsid w:val="52504853"/>
    <w:rsid w:val="52615633"/>
    <w:rsid w:val="526F4DE4"/>
    <w:rsid w:val="52977FD4"/>
    <w:rsid w:val="52A25790"/>
    <w:rsid w:val="52A96B6F"/>
    <w:rsid w:val="52B45975"/>
    <w:rsid w:val="52D94AA4"/>
    <w:rsid w:val="52EA3A62"/>
    <w:rsid w:val="52F50BB8"/>
    <w:rsid w:val="53097272"/>
    <w:rsid w:val="53544462"/>
    <w:rsid w:val="5397158E"/>
    <w:rsid w:val="53D77AC9"/>
    <w:rsid w:val="54013861"/>
    <w:rsid w:val="54487265"/>
    <w:rsid w:val="544D6070"/>
    <w:rsid w:val="54605E1E"/>
    <w:rsid w:val="54B3506A"/>
    <w:rsid w:val="54CA0D16"/>
    <w:rsid w:val="54DD4057"/>
    <w:rsid w:val="54E7490F"/>
    <w:rsid w:val="550764A4"/>
    <w:rsid w:val="550B2BF6"/>
    <w:rsid w:val="55214EB5"/>
    <w:rsid w:val="55364EFD"/>
    <w:rsid w:val="555D4828"/>
    <w:rsid w:val="55635D7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7DA7B21"/>
    <w:rsid w:val="58917D2F"/>
    <w:rsid w:val="5894085C"/>
    <w:rsid w:val="58AE4F0C"/>
    <w:rsid w:val="58B85899"/>
    <w:rsid w:val="58C919AA"/>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64E83"/>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794C36"/>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8E16B5"/>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6FE65346"/>
    <w:rsid w:val="707723D0"/>
    <w:rsid w:val="70F5661B"/>
    <w:rsid w:val="71360107"/>
    <w:rsid w:val="713B688E"/>
    <w:rsid w:val="71D43752"/>
    <w:rsid w:val="71F1796A"/>
    <w:rsid w:val="72154626"/>
    <w:rsid w:val="72262B5D"/>
    <w:rsid w:val="72283FF7"/>
    <w:rsid w:val="722E7212"/>
    <w:rsid w:val="723A0474"/>
    <w:rsid w:val="725923E4"/>
    <w:rsid w:val="727E2666"/>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6671B7"/>
    <w:rsid w:val="7C7C10F6"/>
    <w:rsid w:val="7C853BEA"/>
    <w:rsid w:val="7C881368"/>
    <w:rsid w:val="7CE27788"/>
    <w:rsid w:val="7D0C32F1"/>
    <w:rsid w:val="7D0F408D"/>
    <w:rsid w:val="7D3B70AE"/>
    <w:rsid w:val="7D491C6C"/>
    <w:rsid w:val="7D5429C0"/>
    <w:rsid w:val="7D5D3674"/>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99"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8">
    <w:name w:val="heading 1"/>
    <w:basedOn w:val="1"/>
    <w:next w:val="1"/>
    <w:link w:val="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9">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10">
    <w:name w:val="heading 3"/>
    <w:basedOn w:val="1"/>
    <w:next w:val="11"/>
    <w:qFormat/>
    <w:uiPriority w:val="9"/>
    <w:pPr>
      <w:keepNext/>
      <w:keepLines/>
      <w:tabs>
        <w:tab w:val="left" w:pos="900"/>
      </w:tabs>
      <w:spacing w:before="260" w:after="260" w:line="416" w:lineRule="auto"/>
      <w:ind w:left="900" w:hanging="720"/>
      <w:outlineLvl w:val="2"/>
    </w:pPr>
    <w:rPr>
      <w:b/>
      <w:bCs/>
      <w:sz w:val="32"/>
      <w:szCs w:val="32"/>
    </w:rPr>
  </w:style>
  <w:style w:type="paragraph" w:styleId="12">
    <w:name w:val="heading 4"/>
    <w:basedOn w:val="1"/>
    <w:next w:val="1"/>
    <w:link w:val="87"/>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3">
    <w:name w:val="heading 5"/>
    <w:basedOn w:val="1"/>
    <w:next w:val="1"/>
    <w:link w:val="88"/>
    <w:qFormat/>
    <w:uiPriority w:val="9"/>
    <w:pPr>
      <w:keepNext/>
      <w:keepLines/>
      <w:tabs>
        <w:tab w:val="left" w:pos="1008"/>
      </w:tabs>
      <w:spacing w:before="280" w:after="290" w:line="376" w:lineRule="auto"/>
      <w:ind w:left="1008" w:hanging="1008"/>
      <w:outlineLvl w:val="4"/>
    </w:pPr>
    <w:rPr>
      <w:b/>
      <w:bCs/>
      <w:sz w:val="28"/>
      <w:szCs w:val="28"/>
    </w:rPr>
  </w:style>
  <w:style w:type="paragraph" w:styleId="14">
    <w:name w:val="heading 6"/>
    <w:basedOn w:val="1"/>
    <w:next w:val="1"/>
    <w:link w:val="89"/>
    <w:qFormat/>
    <w:uiPriority w:val="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5">
    <w:name w:val="heading 7"/>
    <w:basedOn w:val="1"/>
    <w:next w:val="1"/>
    <w:link w:val="90"/>
    <w:qFormat/>
    <w:uiPriority w:val="0"/>
    <w:pPr>
      <w:keepNext/>
      <w:keepLines/>
      <w:tabs>
        <w:tab w:val="left" w:pos="1296"/>
      </w:tabs>
      <w:spacing w:before="240" w:after="64" w:line="320" w:lineRule="auto"/>
      <w:ind w:left="1296" w:hanging="1296"/>
      <w:outlineLvl w:val="6"/>
    </w:pPr>
    <w:rPr>
      <w:b/>
      <w:bCs/>
      <w:sz w:val="24"/>
    </w:rPr>
  </w:style>
  <w:style w:type="paragraph" w:styleId="16">
    <w:name w:val="heading 8"/>
    <w:basedOn w:val="1"/>
    <w:next w:val="1"/>
    <w:link w:val="9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7">
    <w:name w:val="heading 9"/>
    <w:basedOn w:val="1"/>
    <w:next w:val="1"/>
    <w:link w:val="9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next w:val="5"/>
    <w:qFormat/>
    <w:uiPriority w:val="0"/>
    <w:pPr>
      <w:adjustRightInd/>
      <w:ind w:firstLine="200" w:firstLineChars="200"/>
    </w:pPr>
    <w:rPr>
      <w:rFonts w:ascii="Arial" w:hAnsi="Arial"/>
      <w:spacing w:val="-5"/>
      <w:kern w:val="0"/>
      <w:sz w:val="24"/>
      <w:szCs w:val="20"/>
    </w:rPr>
  </w:style>
  <w:style w:type="paragraph" w:styleId="3">
    <w:name w:val="Plain Text"/>
    <w:basedOn w:val="1"/>
    <w:next w:val="4"/>
    <w:link w:val="100"/>
    <w:qFormat/>
    <w:uiPriority w:val="0"/>
    <w:rPr>
      <w:rFonts w:ascii="宋体" w:hAnsi="Courier New" w:cs="Arial"/>
      <w:snapToGrid w:val="0"/>
      <w:szCs w:val="21"/>
    </w:rPr>
  </w:style>
  <w:style w:type="paragraph" w:styleId="4">
    <w:name w:val="toc 2"/>
    <w:basedOn w:val="1"/>
    <w:next w:val="1"/>
    <w:qFormat/>
    <w:uiPriority w:val="39"/>
    <w:pPr>
      <w:ind w:left="420" w:leftChars="200"/>
    </w:pPr>
  </w:style>
  <w:style w:type="paragraph" w:styleId="5">
    <w:name w:val="Body Text"/>
    <w:basedOn w:val="1"/>
    <w:next w:val="6"/>
    <w:link w:val="83"/>
    <w:qFormat/>
    <w:uiPriority w:val="99"/>
    <w:pPr>
      <w:autoSpaceDE w:val="0"/>
      <w:autoSpaceDN w:val="0"/>
      <w:spacing w:line="360" w:lineRule="auto"/>
    </w:pPr>
    <w:rPr>
      <w:rFonts w:ascii="宋体" w:hAnsi="Arial" w:cs="Arial"/>
      <w:snapToGrid w:val="0"/>
      <w:sz w:val="24"/>
      <w:szCs w:val="21"/>
      <w:lang w:val="zh-CN"/>
    </w:rPr>
  </w:style>
  <w:style w:type="paragraph" w:styleId="6">
    <w:name w:val="Body Text First Indent"/>
    <w:basedOn w:val="5"/>
    <w:next w:val="7"/>
    <w:link w:val="84"/>
    <w:qFormat/>
    <w:uiPriority w:val="99"/>
    <w:pPr>
      <w:ind w:firstLine="420"/>
    </w:pPr>
    <w:rPr>
      <w:rFonts w:hAnsi="Calibri" w:cs="Times New Roman"/>
      <w:snapToGrid/>
      <w:szCs w:val="20"/>
    </w:rPr>
  </w:style>
  <w:style w:type="paragraph" w:styleId="7">
    <w:name w:val="toc 6"/>
    <w:basedOn w:val="1"/>
    <w:next w:val="1"/>
    <w:qFormat/>
    <w:uiPriority w:val="39"/>
    <w:pPr>
      <w:ind w:left="2100" w:leftChars="1000"/>
    </w:pPr>
  </w:style>
  <w:style w:type="paragraph" w:styleId="11">
    <w:name w:val="Normal Indent"/>
    <w:basedOn w:val="1"/>
    <w:link w:val="86"/>
    <w:qFormat/>
    <w:uiPriority w:val="0"/>
    <w:pPr>
      <w:widowControl/>
      <w:snapToGrid w:val="0"/>
      <w:spacing w:line="480" w:lineRule="exact"/>
      <w:ind w:firstLine="567"/>
    </w:pPr>
    <w:rPr>
      <w:rFonts w:ascii="宋体"/>
      <w:snapToGrid w:val="0"/>
      <w:color w:val="000000"/>
      <w:kern w:val="28"/>
      <w:sz w:val="28"/>
      <w:szCs w:val="20"/>
    </w:rPr>
  </w:style>
  <w:style w:type="paragraph" w:styleId="18">
    <w:name w:val="toc 7"/>
    <w:basedOn w:val="1"/>
    <w:next w:val="1"/>
    <w:qFormat/>
    <w:uiPriority w:val="39"/>
    <w:pPr>
      <w:ind w:left="2520" w:leftChars="1200"/>
    </w:pPr>
  </w:style>
  <w:style w:type="paragraph" w:styleId="19">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20">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1">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2">
    <w:name w:val="caption"/>
    <w:basedOn w:val="1"/>
    <w:next w:val="1"/>
    <w:link w:val="93"/>
    <w:qFormat/>
    <w:uiPriority w:val="0"/>
    <w:rPr>
      <w:b/>
      <w:sz w:val="28"/>
      <w:szCs w:val="20"/>
    </w:rPr>
  </w:style>
  <w:style w:type="paragraph" w:styleId="23">
    <w:name w:val="index 5"/>
    <w:basedOn w:val="1"/>
    <w:next w:val="1"/>
    <w:qFormat/>
    <w:uiPriority w:val="0"/>
    <w:pPr>
      <w:adjustRightInd/>
      <w:ind w:left="800" w:leftChars="800" w:firstLine="200" w:firstLineChars="200"/>
    </w:pPr>
  </w:style>
  <w:style w:type="paragraph" w:styleId="24">
    <w:name w:val="Document Map"/>
    <w:basedOn w:val="1"/>
    <w:link w:val="94"/>
    <w:qFormat/>
    <w:uiPriority w:val="0"/>
    <w:pPr>
      <w:shd w:val="clear" w:color="auto" w:fill="000080"/>
    </w:pPr>
  </w:style>
  <w:style w:type="paragraph" w:styleId="25">
    <w:name w:val="annotation text"/>
    <w:basedOn w:val="1"/>
    <w:link w:val="95"/>
    <w:qFormat/>
    <w:uiPriority w:val="99"/>
    <w:pPr>
      <w:jc w:val="left"/>
    </w:pPr>
  </w:style>
  <w:style w:type="paragraph" w:styleId="26">
    <w:name w:val="Salutation"/>
    <w:basedOn w:val="1"/>
    <w:next w:val="1"/>
    <w:link w:val="96"/>
    <w:qFormat/>
    <w:uiPriority w:val="0"/>
    <w:rPr>
      <w:rFonts w:ascii="仿宋_GB2312" w:eastAsia="仿宋_GB2312"/>
      <w:sz w:val="28"/>
      <w:szCs w:val="20"/>
    </w:rPr>
  </w:style>
  <w:style w:type="paragraph" w:styleId="27">
    <w:name w:val="Body Text 3"/>
    <w:basedOn w:val="1"/>
    <w:link w:val="97"/>
    <w:qFormat/>
    <w:uiPriority w:val="0"/>
    <w:pPr>
      <w:jc w:val="center"/>
    </w:pPr>
    <w:rPr>
      <w:szCs w:val="20"/>
    </w:rPr>
  </w:style>
  <w:style w:type="paragraph" w:styleId="28">
    <w:name w:val="List Bullet 3"/>
    <w:basedOn w:val="1"/>
    <w:unhideWhenUsed/>
    <w:qFormat/>
    <w:uiPriority w:val="0"/>
    <w:pPr>
      <w:snapToGrid w:val="0"/>
      <w:spacing w:line="360" w:lineRule="auto"/>
      <w:ind w:left="360" w:right="238" w:hanging="360"/>
      <w:contextualSpacing/>
    </w:pPr>
    <w:rPr>
      <w:sz w:val="24"/>
    </w:rPr>
  </w:style>
  <w:style w:type="paragraph" w:styleId="29">
    <w:name w:val="Body Text Indent"/>
    <w:basedOn w:val="1"/>
    <w:link w:val="98"/>
    <w:qFormat/>
    <w:uiPriority w:val="0"/>
    <w:pPr>
      <w:spacing w:line="480" w:lineRule="exact"/>
      <w:ind w:firstLine="480" w:firstLineChars="200"/>
    </w:pPr>
    <w:rPr>
      <w:rFonts w:ascii="宋体" w:hAnsi="宋体"/>
      <w:sz w:val="24"/>
    </w:rPr>
  </w:style>
  <w:style w:type="paragraph" w:styleId="30">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99"/>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39"/>
    <w:pPr>
      <w:ind w:left="1680" w:leftChars="800"/>
    </w:pPr>
  </w:style>
  <w:style w:type="paragraph" w:styleId="36">
    <w:name w:val="toc 3"/>
    <w:basedOn w:val="1"/>
    <w:next w:val="1"/>
    <w:qFormat/>
    <w:uiPriority w:val="39"/>
    <w:pPr>
      <w:tabs>
        <w:tab w:val="right" w:leader="dot" w:pos="8268"/>
      </w:tabs>
      <w:spacing w:line="460" w:lineRule="exact"/>
      <w:ind w:left="840" w:leftChars="400" w:firstLine="482"/>
    </w:pPr>
    <w:rPr>
      <w:rFonts w:ascii="宋体" w:hAnsi="宋体"/>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39"/>
    <w:pPr>
      <w:ind w:left="2940" w:leftChars="1400"/>
    </w:pPr>
  </w:style>
  <w:style w:type="paragraph" w:styleId="39">
    <w:name w:val="Date"/>
    <w:basedOn w:val="1"/>
    <w:next w:val="1"/>
    <w:link w:val="101"/>
    <w:qFormat/>
    <w:uiPriority w:val="99"/>
    <w:pPr>
      <w:ind w:left="100" w:leftChars="2500"/>
    </w:pPr>
    <w:rPr>
      <w:rFonts w:ascii="宋体"/>
      <w:sz w:val="24"/>
      <w:szCs w:val="21"/>
      <w:lang w:val="zh-CN"/>
    </w:rPr>
  </w:style>
  <w:style w:type="paragraph" w:styleId="40">
    <w:name w:val="Body Text Indent 2"/>
    <w:basedOn w:val="1"/>
    <w:link w:val="102"/>
    <w:qFormat/>
    <w:uiPriority w:val="0"/>
    <w:pPr>
      <w:spacing w:line="360" w:lineRule="auto"/>
      <w:ind w:firstLine="601"/>
      <w:textAlignment w:val="baseline"/>
    </w:pPr>
    <w:rPr>
      <w:rFonts w:ascii="宋体"/>
      <w:kern w:val="0"/>
      <w:sz w:val="28"/>
      <w:szCs w:val="20"/>
    </w:rPr>
  </w:style>
  <w:style w:type="paragraph" w:styleId="41">
    <w:name w:val="endnote text"/>
    <w:basedOn w:val="1"/>
    <w:link w:val="103"/>
    <w:qFormat/>
    <w:uiPriority w:val="0"/>
    <w:rPr>
      <w:lang w:val="zh-CN"/>
    </w:rPr>
  </w:style>
  <w:style w:type="paragraph" w:styleId="42">
    <w:name w:val="Balloon Text"/>
    <w:basedOn w:val="1"/>
    <w:link w:val="104"/>
    <w:qFormat/>
    <w:uiPriority w:val="99"/>
    <w:rPr>
      <w:sz w:val="18"/>
      <w:szCs w:val="18"/>
    </w:rPr>
  </w:style>
  <w:style w:type="paragraph" w:styleId="43">
    <w:name w:val="footer"/>
    <w:basedOn w:val="1"/>
    <w:link w:val="105"/>
    <w:qFormat/>
    <w:uiPriority w:val="99"/>
    <w:pPr>
      <w:tabs>
        <w:tab w:val="center" w:pos="4153"/>
        <w:tab w:val="right" w:pos="8306"/>
      </w:tabs>
      <w:snapToGrid w:val="0"/>
      <w:jc w:val="left"/>
    </w:pPr>
    <w:rPr>
      <w:sz w:val="18"/>
      <w:szCs w:val="18"/>
    </w:rPr>
  </w:style>
  <w:style w:type="paragraph" w:styleId="44">
    <w:name w:val="envelope return"/>
    <w:basedOn w:val="1"/>
    <w:qFormat/>
    <w:uiPriority w:val="0"/>
    <w:pPr>
      <w:widowControl/>
      <w:spacing w:line="220" w:lineRule="atLeast"/>
      <w:ind w:firstLine="181"/>
      <w:jc w:val="left"/>
      <w:textAlignment w:val="baseline"/>
    </w:pPr>
    <w:rPr>
      <w:rFonts w:ascii="Arial" w:hAnsi="Arial"/>
      <w:kern w:val="0"/>
      <w:sz w:val="18"/>
      <w:szCs w:val="20"/>
    </w:rPr>
  </w:style>
  <w:style w:type="paragraph" w:styleId="45">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46">
    <w:name w:val="Signature"/>
    <w:basedOn w:val="1"/>
    <w:link w:val="107"/>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39"/>
  </w:style>
  <w:style w:type="paragraph" w:styleId="48">
    <w:name w:val="toc 4"/>
    <w:basedOn w:val="1"/>
    <w:next w:val="1"/>
    <w:qFormat/>
    <w:uiPriority w:val="39"/>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10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11"/>
    <w:link w:val="109"/>
    <w:qFormat/>
    <w:uiPriority w:val="0"/>
    <w:pPr>
      <w:adjustRightInd/>
      <w:snapToGrid/>
      <w:spacing w:before="60" w:after="60" w:line="300" w:lineRule="exact"/>
      <w:ind w:firstLine="0"/>
    </w:pPr>
    <w:rPr>
      <w:rFonts w:ascii="Calibri"/>
      <w:snapToGrid/>
      <w:color w:val="0000FF"/>
      <w:kern w:val="0"/>
      <w:sz w:val="21"/>
    </w:rPr>
  </w:style>
  <w:style w:type="paragraph" w:styleId="55">
    <w:name w:val="List 5"/>
    <w:basedOn w:val="1"/>
    <w:qFormat/>
    <w:uiPriority w:val="0"/>
    <w:pPr>
      <w:adjustRightInd/>
      <w:ind w:left="100" w:leftChars="800" w:hanging="200" w:hangingChars="200"/>
    </w:pPr>
  </w:style>
  <w:style w:type="paragraph" w:styleId="56">
    <w:name w:val="Body Text Indent 3"/>
    <w:basedOn w:val="1"/>
    <w:link w:val="110"/>
    <w:qFormat/>
    <w:uiPriority w:val="0"/>
    <w:pPr>
      <w:spacing w:line="360" w:lineRule="auto"/>
      <w:ind w:firstLine="420"/>
    </w:pPr>
    <w:rPr>
      <w:sz w:val="24"/>
      <w:szCs w:val="20"/>
    </w:rPr>
  </w:style>
  <w:style w:type="paragraph" w:styleId="57">
    <w:name w:val="table of figures"/>
    <w:basedOn w:val="1"/>
    <w:next w:val="1"/>
    <w:qFormat/>
    <w:uiPriority w:val="0"/>
    <w:pPr>
      <w:widowControl/>
      <w:adjustRightInd/>
      <w:ind w:left="200" w:leftChars="200" w:hanging="200" w:hangingChars="200"/>
      <w:jc w:val="left"/>
    </w:pPr>
    <w:rPr>
      <w:rFonts w:ascii="宋体" w:hAnsi="宋体" w:eastAsia="仿宋" w:cs="宋体"/>
      <w:kern w:val="0"/>
      <w:sz w:val="24"/>
    </w:rPr>
  </w:style>
  <w:style w:type="paragraph" w:styleId="58">
    <w:name w:val="toc 9"/>
    <w:basedOn w:val="1"/>
    <w:next w:val="1"/>
    <w:qFormat/>
    <w:uiPriority w:val="39"/>
    <w:pPr>
      <w:ind w:left="3360" w:leftChars="1600"/>
    </w:pPr>
  </w:style>
  <w:style w:type="paragraph" w:styleId="59">
    <w:name w:val="Body Text 2"/>
    <w:basedOn w:val="1"/>
    <w:link w:val="111"/>
    <w:qFormat/>
    <w:uiPriority w:val="99"/>
    <w:pPr>
      <w:spacing w:after="120" w:line="480" w:lineRule="auto"/>
    </w:pPr>
  </w:style>
  <w:style w:type="paragraph" w:styleId="60">
    <w:name w:val="HTML Preformatted"/>
    <w:basedOn w:val="1"/>
    <w:link w:val="11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113"/>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5"/>
    <w:next w:val="25"/>
    <w:link w:val="114"/>
    <w:qFormat/>
    <w:uiPriority w:val="99"/>
    <w:rPr>
      <w:b/>
      <w:bCs/>
    </w:rPr>
  </w:style>
  <w:style w:type="paragraph" w:styleId="64">
    <w:name w:val="Body Text First Indent 2"/>
    <w:basedOn w:val="29"/>
    <w:link w:val="115"/>
    <w:qFormat/>
    <w:uiPriority w:val="99"/>
    <w:pPr>
      <w:adjustRightInd/>
      <w:spacing w:after="120" w:line="240" w:lineRule="auto"/>
      <w:ind w:left="420" w:leftChars="200" w:firstLine="210"/>
    </w:pPr>
    <w:rPr>
      <w:sz w:val="21"/>
    </w:rPr>
  </w:style>
  <w:style w:type="table" w:styleId="66">
    <w:name w:val="Table Grid"/>
    <w:basedOn w:val="6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TML Typewriter"/>
    <w:qFormat/>
    <w:uiPriority w:val="99"/>
    <w:rPr>
      <w:rFonts w:ascii="宋体" w:hAnsi="宋体" w:eastAsia="宋体" w:cs="宋体"/>
      <w:sz w:val="24"/>
      <w:szCs w:val="24"/>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character" w:customStyle="1" w:styleId="83">
    <w:name w:val="正文文本 字符"/>
    <w:link w:val="5"/>
    <w:qFormat/>
    <w:uiPriority w:val="99"/>
    <w:rPr>
      <w:rFonts w:ascii="宋体" w:hAnsi="Arial" w:eastAsia="宋体" w:cs="Arial"/>
      <w:snapToGrid w:val="0"/>
      <w:kern w:val="2"/>
      <w:sz w:val="24"/>
      <w:szCs w:val="21"/>
      <w:lang w:val="zh-CN" w:eastAsia="zh-CN" w:bidi="ar-SA"/>
    </w:rPr>
  </w:style>
  <w:style w:type="character" w:customStyle="1" w:styleId="84">
    <w:name w:val="正文文本首行缩进 字符"/>
    <w:link w:val="6"/>
    <w:qFormat/>
    <w:uiPriority w:val="99"/>
    <w:rPr>
      <w:rFonts w:ascii="宋体"/>
      <w:kern w:val="2"/>
      <w:sz w:val="24"/>
      <w:lang w:val="zh-CN"/>
    </w:rPr>
  </w:style>
  <w:style w:type="character" w:customStyle="1" w:styleId="85">
    <w:name w:val="标题 1 字符1"/>
    <w:link w:val="8"/>
    <w:qFormat/>
    <w:uiPriority w:val="9"/>
    <w:rPr>
      <w:b/>
      <w:bCs/>
      <w:kern w:val="44"/>
      <w:sz w:val="44"/>
      <w:szCs w:val="44"/>
    </w:rPr>
  </w:style>
  <w:style w:type="character" w:customStyle="1" w:styleId="86">
    <w:name w:val="正文缩进 字符2"/>
    <w:link w:val="11"/>
    <w:qFormat/>
    <w:uiPriority w:val="0"/>
    <w:rPr>
      <w:rFonts w:ascii="宋体" w:eastAsia="宋体"/>
      <w:snapToGrid w:val="0"/>
      <w:color w:val="000000"/>
      <w:kern w:val="28"/>
      <w:sz w:val="28"/>
      <w:lang w:val="en-US" w:eastAsia="zh-CN" w:bidi="ar-SA"/>
    </w:rPr>
  </w:style>
  <w:style w:type="character" w:customStyle="1" w:styleId="87">
    <w:name w:val="标题 4 字符1"/>
    <w:link w:val="12"/>
    <w:qFormat/>
    <w:uiPriority w:val="9"/>
    <w:rPr>
      <w:rFonts w:ascii="Arial" w:hAnsi="Arial" w:eastAsia="黑体"/>
      <w:b/>
      <w:bCs/>
      <w:kern w:val="2"/>
      <w:sz w:val="28"/>
      <w:szCs w:val="28"/>
      <w:lang w:val="zh-CN"/>
    </w:rPr>
  </w:style>
  <w:style w:type="character" w:customStyle="1" w:styleId="88">
    <w:name w:val="标题 5 字符"/>
    <w:link w:val="13"/>
    <w:qFormat/>
    <w:uiPriority w:val="9"/>
    <w:rPr>
      <w:b/>
      <w:bCs/>
      <w:kern w:val="2"/>
      <w:sz w:val="28"/>
      <w:szCs w:val="28"/>
    </w:rPr>
  </w:style>
  <w:style w:type="character" w:customStyle="1" w:styleId="89">
    <w:name w:val="标题 6 字符"/>
    <w:link w:val="14"/>
    <w:qFormat/>
    <w:uiPriority w:val="9"/>
    <w:rPr>
      <w:rFonts w:ascii="Arial" w:hAnsi="Arial" w:eastAsia="黑体"/>
      <w:b/>
      <w:bCs/>
      <w:kern w:val="2"/>
      <w:sz w:val="24"/>
      <w:szCs w:val="24"/>
    </w:rPr>
  </w:style>
  <w:style w:type="character" w:customStyle="1" w:styleId="90">
    <w:name w:val="标题 7 字符"/>
    <w:link w:val="15"/>
    <w:qFormat/>
    <w:uiPriority w:val="0"/>
    <w:rPr>
      <w:b/>
      <w:bCs/>
      <w:kern w:val="2"/>
      <w:sz w:val="24"/>
      <w:szCs w:val="24"/>
    </w:rPr>
  </w:style>
  <w:style w:type="character" w:customStyle="1" w:styleId="91">
    <w:name w:val="标题 8 字符"/>
    <w:link w:val="16"/>
    <w:qFormat/>
    <w:uiPriority w:val="0"/>
    <w:rPr>
      <w:rFonts w:ascii="Arial" w:hAnsi="Arial" w:eastAsia="黑体"/>
      <w:kern w:val="2"/>
      <w:sz w:val="24"/>
      <w:szCs w:val="24"/>
    </w:rPr>
  </w:style>
  <w:style w:type="character" w:customStyle="1" w:styleId="92">
    <w:name w:val="标题 9 字符"/>
    <w:link w:val="17"/>
    <w:qFormat/>
    <w:uiPriority w:val="0"/>
    <w:rPr>
      <w:rFonts w:ascii="Arial" w:hAnsi="Arial" w:eastAsia="黑体"/>
      <w:kern w:val="2"/>
      <w:sz w:val="21"/>
      <w:szCs w:val="21"/>
    </w:rPr>
  </w:style>
  <w:style w:type="character" w:customStyle="1" w:styleId="93">
    <w:name w:val="题注 字符"/>
    <w:link w:val="22"/>
    <w:qFormat/>
    <w:uiPriority w:val="0"/>
    <w:rPr>
      <w:b/>
      <w:kern w:val="2"/>
      <w:sz w:val="28"/>
    </w:rPr>
  </w:style>
  <w:style w:type="character" w:customStyle="1" w:styleId="94">
    <w:name w:val="文档结构图 字符"/>
    <w:link w:val="24"/>
    <w:qFormat/>
    <w:uiPriority w:val="0"/>
    <w:rPr>
      <w:kern w:val="2"/>
      <w:sz w:val="21"/>
      <w:szCs w:val="24"/>
      <w:shd w:val="clear" w:color="auto" w:fill="000080"/>
    </w:rPr>
  </w:style>
  <w:style w:type="character" w:customStyle="1" w:styleId="95">
    <w:name w:val="批注文字 字符1"/>
    <w:link w:val="25"/>
    <w:qFormat/>
    <w:uiPriority w:val="0"/>
    <w:rPr>
      <w:kern w:val="2"/>
      <w:sz w:val="21"/>
      <w:szCs w:val="24"/>
    </w:rPr>
  </w:style>
  <w:style w:type="character" w:customStyle="1" w:styleId="96">
    <w:name w:val="称呼 字符"/>
    <w:link w:val="26"/>
    <w:qFormat/>
    <w:uiPriority w:val="0"/>
    <w:rPr>
      <w:rFonts w:ascii="仿宋_GB2312" w:eastAsia="仿宋_GB2312"/>
      <w:kern w:val="2"/>
      <w:sz w:val="28"/>
    </w:rPr>
  </w:style>
  <w:style w:type="character" w:customStyle="1" w:styleId="97">
    <w:name w:val="正文文本 3 字符"/>
    <w:link w:val="27"/>
    <w:qFormat/>
    <w:uiPriority w:val="0"/>
    <w:rPr>
      <w:kern w:val="2"/>
      <w:sz w:val="21"/>
    </w:rPr>
  </w:style>
  <w:style w:type="character" w:customStyle="1" w:styleId="98">
    <w:name w:val="正文文本缩进 字符1"/>
    <w:link w:val="29"/>
    <w:qFormat/>
    <w:uiPriority w:val="0"/>
    <w:rPr>
      <w:rFonts w:ascii="宋体" w:hAnsi="宋体"/>
      <w:kern w:val="2"/>
      <w:sz w:val="24"/>
      <w:szCs w:val="24"/>
    </w:rPr>
  </w:style>
  <w:style w:type="character" w:customStyle="1" w:styleId="99">
    <w:name w:val="HTML 地址 字符"/>
    <w:link w:val="34"/>
    <w:qFormat/>
    <w:uiPriority w:val="0"/>
    <w:rPr>
      <w:rFonts w:ascii="宋体" w:hAnsi="宋体"/>
      <w:i/>
      <w:iCs/>
      <w:sz w:val="24"/>
      <w:szCs w:val="24"/>
    </w:rPr>
  </w:style>
  <w:style w:type="character" w:customStyle="1" w:styleId="100">
    <w:name w:val="纯文本 字符1"/>
    <w:link w:val="3"/>
    <w:qFormat/>
    <w:uiPriority w:val="0"/>
    <w:rPr>
      <w:rFonts w:ascii="宋体" w:hAnsi="Courier New" w:eastAsia="宋体" w:cs="Arial"/>
      <w:snapToGrid w:val="0"/>
      <w:kern w:val="2"/>
      <w:sz w:val="21"/>
      <w:szCs w:val="21"/>
      <w:lang w:val="en-US" w:eastAsia="zh-CN" w:bidi="ar-SA"/>
    </w:rPr>
  </w:style>
  <w:style w:type="character" w:customStyle="1" w:styleId="101">
    <w:name w:val="日期 字符"/>
    <w:link w:val="39"/>
    <w:qFormat/>
    <w:uiPriority w:val="99"/>
    <w:rPr>
      <w:rFonts w:ascii="宋体"/>
      <w:kern w:val="2"/>
      <w:sz w:val="24"/>
      <w:szCs w:val="21"/>
      <w:lang w:val="zh-CN"/>
    </w:rPr>
  </w:style>
  <w:style w:type="character" w:customStyle="1" w:styleId="102">
    <w:name w:val="正文文本缩进 2 字符"/>
    <w:link w:val="40"/>
    <w:qFormat/>
    <w:uiPriority w:val="0"/>
    <w:rPr>
      <w:rFonts w:ascii="宋体"/>
      <w:sz w:val="28"/>
    </w:rPr>
  </w:style>
  <w:style w:type="character" w:customStyle="1" w:styleId="103">
    <w:name w:val="尾注文本 字符"/>
    <w:link w:val="41"/>
    <w:qFormat/>
    <w:uiPriority w:val="0"/>
    <w:rPr>
      <w:kern w:val="2"/>
      <w:sz w:val="21"/>
      <w:szCs w:val="24"/>
      <w:lang w:val="zh-CN"/>
    </w:rPr>
  </w:style>
  <w:style w:type="character" w:customStyle="1" w:styleId="104">
    <w:name w:val="批注框文本 字符1"/>
    <w:link w:val="42"/>
    <w:qFormat/>
    <w:uiPriority w:val="0"/>
    <w:rPr>
      <w:kern w:val="2"/>
      <w:sz w:val="18"/>
      <w:szCs w:val="18"/>
    </w:rPr>
  </w:style>
  <w:style w:type="character" w:customStyle="1" w:styleId="105">
    <w:name w:val="页脚 字符2"/>
    <w:link w:val="43"/>
    <w:qFormat/>
    <w:locked/>
    <w:uiPriority w:val="99"/>
    <w:rPr>
      <w:kern w:val="2"/>
      <w:sz w:val="18"/>
      <w:szCs w:val="18"/>
    </w:rPr>
  </w:style>
  <w:style w:type="character" w:customStyle="1" w:styleId="106">
    <w:name w:val="页眉 字符2"/>
    <w:link w:val="45"/>
    <w:qFormat/>
    <w:uiPriority w:val="99"/>
    <w:rPr>
      <w:kern w:val="2"/>
      <w:sz w:val="18"/>
      <w:szCs w:val="18"/>
    </w:rPr>
  </w:style>
  <w:style w:type="character" w:customStyle="1" w:styleId="107">
    <w:name w:val="签名 字符"/>
    <w:link w:val="46"/>
    <w:qFormat/>
    <w:uiPriority w:val="0"/>
    <w:rPr>
      <w:rFonts w:eastAsia="仿宋_GB2312"/>
      <w:sz w:val="24"/>
    </w:rPr>
  </w:style>
  <w:style w:type="character" w:customStyle="1" w:styleId="108">
    <w:name w:val="副标题 字符"/>
    <w:link w:val="51"/>
    <w:qFormat/>
    <w:uiPriority w:val="0"/>
    <w:rPr>
      <w:rFonts w:ascii="Arial" w:hAnsi="Arial" w:eastAsia="隶书"/>
      <w:b/>
      <w:bCs/>
      <w:kern w:val="28"/>
      <w:sz w:val="44"/>
      <w:szCs w:val="32"/>
      <w:lang w:val="en-US" w:eastAsia="zh-CN" w:bidi="ar-SA"/>
    </w:rPr>
  </w:style>
  <w:style w:type="character" w:customStyle="1" w:styleId="109">
    <w:name w:val="脚注文本 字符"/>
    <w:link w:val="54"/>
    <w:qFormat/>
    <w:uiPriority w:val="0"/>
    <w:rPr>
      <w:color w:val="0000FF"/>
      <w:sz w:val="21"/>
    </w:rPr>
  </w:style>
  <w:style w:type="character" w:customStyle="1" w:styleId="110">
    <w:name w:val="正文文本缩进 3 字符"/>
    <w:link w:val="56"/>
    <w:qFormat/>
    <w:uiPriority w:val="0"/>
    <w:rPr>
      <w:kern w:val="2"/>
      <w:sz w:val="24"/>
    </w:rPr>
  </w:style>
  <w:style w:type="character" w:customStyle="1" w:styleId="111">
    <w:name w:val="正文文本 2 字符1"/>
    <w:link w:val="59"/>
    <w:qFormat/>
    <w:uiPriority w:val="0"/>
    <w:rPr>
      <w:kern w:val="2"/>
      <w:sz w:val="21"/>
      <w:szCs w:val="24"/>
    </w:rPr>
  </w:style>
  <w:style w:type="character" w:customStyle="1" w:styleId="112">
    <w:name w:val="HTML 预设格式 字符"/>
    <w:link w:val="60"/>
    <w:qFormat/>
    <w:uiPriority w:val="0"/>
    <w:rPr>
      <w:rFonts w:ascii="黑体" w:hAnsi="Courier New" w:eastAsia="黑体"/>
    </w:rPr>
  </w:style>
  <w:style w:type="character" w:customStyle="1" w:styleId="113">
    <w:name w:val="标题 字符"/>
    <w:link w:val="62"/>
    <w:qFormat/>
    <w:uiPriority w:val="10"/>
    <w:rPr>
      <w:b/>
      <w:sz w:val="24"/>
      <w:lang w:val="en-GB"/>
    </w:rPr>
  </w:style>
  <w:style w:type="character" w:customStyle="1" w:styleId="114">
    <w:name w:val="批注主题 字符"/>
    <w:link w:val="63"/>
    <w:qFormat/>
    <w:uiPriority w:val="99"/>
    <w:rPr>
      <w:b/>
      <w:bCs/>
      <w:kern w:val="2"/>
      <w:sz w:val="21"/>
      <w:szCs w:val="24"/>
    </w:rPr>
  </w:style>
  <w:style w:type="character" w:customStyle="1" w:styleId="115">
    <w:name w:val="正文文本首行缩进 2 字符"/>
    <w:link w:val="64"/>
    <w:qFormat/>
    <w:uiPriority w:val="99"/>
    <w:rPr>
      <w:rFonts w:ascii="宋体" w:hAnsi="宋体"/>
      <w:kern w:val="2"/>
      <w:sz w:val="21"/>
      <w:szCs w:val="24"/>
    </w:rPr>
  </w:style>
  <w:style w:type="character" w:customStyle="1" w:styleId="116">
    <w:name w:val="表格非标题文字 Char"/>
    <w:link w:val="117"/>
    <w:qFormat/>
    <w:uiPriority w:val="0"/>
    <w:rPr>
      <w:rFonts w:ascii="Futura Bk" w:hAnsi="Futura Bk"/>
      <w:kern w:val="2"/>
      <w:sz w:val="18"/>
      <w:szCs w:val="21"/>
      <w:lang w:val="en-US" w:eastAsia="zh-CN" w:bidi="ar-SA"/>
    </w:rPr>
  </w:style>
  <w:style w:type="paragraph" w:customStyle="1" w:styleId="117">
    <w:name w:val="表格非标题文字"/>
    <w:link w:val="11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8">
    <w:name w:val="*正文 Char"/>
    <w:link w:val="119"/>
    <w:qFormat/>
    <w:locked/>
    <w:uiPriority w:val="0"/>
    <w:rPr>
      <w:rFonts w:ascii="宋体" w:hAnsi="宋体"/>
      <w:sz w:val="24"/>
    </w:rPr>
  </w:style>
  <w:style w:type="paragraph" w:customStyle="1" w:styleId="119">
    <w:name w:val="*正文"/>
    <w:basedOn w:val="1"/>
    <w:link w:val="118"/>
    <w:qFormat/>
    <w:uiPriority w:val="0"/>
    <w:pPr>
      <w:snapToGrid w:val="0"/>
      <w:spacing w:line="360" w:lineRule="auto"/>
      <w:ind w:firstLine="482"/>
      <w:jc w:val="left"/>
    </w:pPr>
    <w:rPr>
      <w:rFonts w:ascii="宋体" w:hAnsi="宋体"/>
      <w:kern w:val="0"/>
      <w:sz w:val="24"/>
      <w:szCs w:val="20"/>
    </w:rPr>
  </w:style>
  <w:style w:type="character" w:customStyle="1" w:styleId="120">
    <w:name w:val="Char Char71"/>
    <w:semiHidden/>
    <w:qFormat/>
    <w:uiPriority w:val="0"/>
    <w:rPr>
      <w:rFonts w:eastAsia="宋体"/>
      <w:kern w:val="2"/>
      <w:sz w:val="21"/>
      <w:szCs w:val="24"/>
      <w:lang w:val="en-US" w:eastAsia="zh-CN" w:bidi="ar-SA"/>
    </w:rPr>
  </w:style>
  <w:style w:type="character" w:customStyle="1" w:styleId="121">
    <w:name w:val="Char Char6"/>
    <w:qFormat/>
    <w:uiPriority w:val="0"/>
    <w:rPr>
      <w:rFonts w:eastAsia="宋体"/>
      <w:kern w:val="2"/>
      <w:sz w:val="21"/>
      <w:szCs w:val="24"/>
      <w:lang w:val="en-US" w:eastAsia="zh-CN" w:bidi="ar-SA"/>
    </w:rPr>
  </w:style>
  <w:style w:type="character" w:customStyle="1" w:styleId="122">
    <w:name w:val="正文缩进 Char"/>
    <w:qFormat/>
    <w:uiPriority w:val="0"/>
    <w:rPr>
      <w:rFonts w:eastAsia="宋体"/>
      <w:kern w:val="2"/>
      <w:sz w:val="21"/>
      <w:lang w:val="en-US" w:eastAsia="zh-CN"/>
    </w:rPr>
  </w:style>
  <w:style w:type="character" w:customStyle="1" w:styleId="123">
    <w:name w:val="正文首行缩进 Char1"/>
    <w:qFormat/>
    <w:uiPriority w:val="0"/>
    <w:rPr>
      <w:rFonts w:ascii="宋体" w:hAnsi="Times New Roman" w:eastAsia="宋体" w:cs="Times New Roman"/>
      <w:snapToGrid w:val="0"/>
      <w:kern w:val="2"/>
      <w:sz w:val="24"/>
      <w:szCs w:val="21"/>
      <w:lang w:val="zh-CN"/>
    </w:rPr>
  </w:style>
  <w:style w:type="character" w:customStyle="1" w:styleId="124">
    <w:name w:val="Char Char28"/>
    <w:qFormat/>
    <w:uiPriority w:val="6"/>
    <w:rPr>
      <w:rFonts w:ascii="仿宋_GB2312" w:hAnsi="仿宋_GB2312" w:eastAsia="仿宋_GB2312"/>
      <w:kern w:val="1"/>
      <w:sz w:val="28"/>
    </w:rPr>
  </w:style>
  <w:style w:type="character" w:customStyle="1" w:styleId="12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6">
    <w:name w:val="Heading 1 Char"/>
    <w:qFormat/>
    <w:uiPriority w:val="6"/>
    <w:rPr>
      <w:rFonts w:ascii="Times New Roman" w:hAnsi="Times New Roman" w:eastAsia="黑体" w:cs="Times New Roman"/>
      <w:b/>
      <w:kern w:val="0"/>
      <w:sz w:val="24"/>
      <w:szCs w:val="24"/>
    </w:rPr>
  </w:style>
  <w:style w:type="character" w:customStyle="1" w:styleId="127">
    <w:name w:val="U_正文 Char"/>
    <w:link w:val="128"/>
    <w:qFormat/>
    <w:uiPriority w:val="0"/>
    <w:rPr>
      <w:sz w:val="24"/>
      <w:szCs w:val="24"/>
    </w:rPr>
  </w:style>
  <w:style w:type="paragraph" w:customStyle="1" w:styleId="128">
    <w:name w:val="U_正文"/>
    <w:basedOn w:val="1"/>
    <w:link w:val="127"/>
    <w:qFormat/>
    <w:uiPriority w:val="0"/>
    <w:pPr>
      <w:adjustRightInd/>
      <w:spacing w:beforeLines="20" w:afterLines="20" w:line="300" w:lineRule="auto"/>
      <w:ind w:firstLine="200" w:firstLineChars="200"/>
    </w:pPr>
    <w:rPr>
      <w:kern w:val="0"/>
      <w:sz w:val="24"/>
    </w:rPr>
  </w:style>
  <w:style w:type="character" w:customStyle="1" w:styleId="129">
    <w:name w:val="HTML 地址 Char1"/>
    <w:qFormat/>
    <w:uiPriority w:val="0"/>
    <w:rPr>
      <w:rFonts w:ascii="Times New Roman" w:hAnsi="Times New Roman" w:eastAsia="宋体" w:cs="Times New Roman"/>
      <w:i/>
      <w:iCs/>
      <w:szCs w:val="24"/>
    </w:rPr>
  </w:style>
  <w:style w:type="character" w:customStyle="1" w:styleId="130">
    <w:name w:val="Char Char51"/>
    <w:qFormat/>
    <w:uiPriority w:val="0"/>
    <w:rPr>
      <w:rFonts w:ascii="宋体" w:hAnsi="Courier New" w:eastAsia="宋体"/>
      <w:kern w:val="2"/>
      <w:sz w:val="21"/>
      <w:lang w:val="en-US" w:eastAsia="zh-CN"/>
    </w:rPr>
  </w:style>
  <w:style w:type="character" w:customStyle="1" w:styleId="131">
    <w:name w:val="表正文 Char"/>
    <w:qFormat/>
    <w:uiPriority w:val="0"/>
    <w:rPr>
      <w:rFonts w:ascii="宋体" w:eastAsia="宋体"/>
      <w:snapToGrid w:val="0"/>
      <w:color w:val="000000"/>
      <w:kern w:val="28"/>
      <w:sz w:val="28"/>
      <w:lang w:val="en-US" w:eastAsia="zh-CN" w:bidi="ar-SA"/>
    </w:rPr>
  </w:style>
  <w:style w:type="character" w:customStyle="1" w:styleId="132">
    <w:name w:val="Char Char34"/>
    <w:qFormat/>
    <w:uiPriority w:val="6"/>
    <w:rPr>
      <w:b/>
      <w:kern w:val="1"/>
      <w:sz w:val="28"/>
      <w:szCs w:val="28"/>
    </w:rPr>
  </w:style>
  <w:style w:type="character" w:customStyle="1" w:styleId="13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4">
    <w:name w:val="哈哈正文 Char"/>
    <w:link w:val="135"/>
    <w:qFormat/>
    <w:uiPriority w:val="0"/>
    <w:rPr>
      <w:rFonts w:ascii="宋体" w:hAnsi="宋体" w:eastAsia="宋体"/>
      <w:kern w:val="2"/>
      <w:sz w:val="24"/>
      <w:lang w:bidi="ar-SA"/>
    </w:rPr>
  </w:style>
  <w:style w:type="paragraph" w:customStyle="1" w:styleId="135">
    <w:name w:val="哈哈正文"/>
    <w:basedOn w:val="1"/>
    <w:link w:val="134"/>
    <w:qFormat/>
    <w:uiPriority w:val="0"/>
    <w:pPr>
      <w:adjustRightInd/>
      <w:spacing w:line="360" w:lineRule="auto"/>
      <w:ind w:firstLine="200" w:firstLineChars="200"/>
    </w:pPr>
    <w:rPr>
      <w:rFonts w:ascii="宋体" w:hAnsi="宋体"/>
      <w:sz w:val="24"/>
      <w:szCs w:val="20"/>
    </w:rPr>
  </w:style>
  <w:style w:type="character" w:customStyle="1" w:styleId="136">
    <w:name w:val="未处理的提及1"/>
    <w:qFormat/>
    <w:uiPriority w:val="99"/>
    <w:rPr>
      <w:color w:val="808080"/>
      <w:shd w:val="clear" w:color="auto" w:fill="E6E6E6"/>
    </w:rPr>
  </w:style>
  <w:style w:type="character" w:customStyle="1" w:styleId="137">
    <w:name w:val="txt"/>
    <w:qFormat/>
    <w:uiPriority w:val="0"/>
    <w:rPr>
      <w:rFonts w:ascii="仿宋_GB2312" w:eastAsia="微软雅黑"/>
      <w:b/>
      <w:kern w:val="2"/>
      <w:sz w:val="32"/>
      <w:szCs w:val="32"/>
      <w:lang w:val="en-US" w:eastAsia="zh-CN" w:bidi="ar-SA"/>
    </w:rPr>
  </w:style>
  <w:style w:type="character" w:customStyle="1" w:styleId="138">
    <w:name w:val="二级标题 Char Char"/>
    <w:qFormat/>
    <w:uiPriority w:val="0"/>
    <w:rPr>
      <w:rFonts w:ascii="宋体" w:hAnsi="宋体" w:eastAsia="宋体"/>
      <w:b/>
      <w:snapToGrid w:val="0"/>
      <w:kern w:val="2"/>
      <w:sz w:val="24"/>
      <w:szCs w:val="24"/>
      <w:lang w:val="en-US" w:eastAsia="zh-CN" w:bidi="ar-SA"/>
    </w:rPr>
  </w:style>
  <w:style w:type="character" w:customStyle="1" w:styleId="139">
    <w:name w:val="Char Char32"/>
    <w:qFormat/>
    <w:uiPriority w:val="6"/>
    <w:rPr>
      <w:b/>
      <w:kern w:val="1"/>
      <w:sz w:val="24"/>
      <w:szCs w:val="24"/>
    </w:rPr>
  </w:style>
  <w:style w:type="character" w:customStyle="1" w:styleId="140">
    <w:name w:val="PI Char1"/>
    <w:qFormat/>
    <w:uiPriority w:val="0"/>
    <w:rPr>
      <w:rFonts w:ascii="宋体" w:hAnsi="宋体"/>
      <w:kern w:val="2"/>
      <w:sz w:val="24"/>
      <w:szCs w:val="24"/>
    </w:rPr>
  </w:style>
  <w:style w:type="character" w:customStyle="1" w:styleId="141">
    <w:name w:val="tw4winTerm"/>
    <w:qFormat/>
    <w:uiPriority w:val="0"/>
    <w:rPr>
      <w:color w:val="0000FF"/>
    </w:rPr>
  </w:style>
  <w:style w:type="character" w:customStyle="1" w:styleId="142">
    <w:name w:val="Footer Char"/>
    <w:qFormat/>
    <w:locked/>
    <w:uiPriority w:val="0"/>
    <w:rPr>
      <w:rFonts w:eastAsia="宋体"/>
      <w:kern w:val="2"/>
      <w:sz w:val="18"/>
      <w:lang w:val="en-US" w:eastAsia="zh-CN" w:bidi="ar-SA"/>
    </w:rPr>
  </w:style>
  <w:style w:type="character" w:customStyle="1" w:styleId="143">
    <w:name w:val="普通文字 Char Char1"/>
    <w:qFormat/>
    <w:uiPriority w:val="0"/>
    <w:rPr>
      <w:rFonts w:ascii="宋体" w:hAnsi="Courier New"/>
      <w:kern w:val="2"/>
      <w:sz w:val="21"/>
    </w:rPr>
  </w:style>
  <w:style w:type="character" w:customStyle="1" w:styleId="144">
    <w:name w:val="Char Char101"/>
    <w:qFormat/>
    <w:uiPriority w:val="6"/>
    <w:rPr>
      <w:rFonts w:ascii="宋体" w:hAnsi="宋体"/>
      <w:kern w:val="2"/>
      <w:sz w:val="21"/>
      <w:szCs w:val="24"/>
      <w:lang w:val="en-US" w:eastAsia="zh-CN"/>
    </w:rPr>
  </w:style>
  <w:style w:type="character" w:customStyle="1" w:styleId="145">
    <w:name w:val="标题 4 Char"/>
    <w:qFormat/>
    <w:uiPriority w:val="0"/>
    <w:rPr>
      <w:rFonts w:ascii="Arial" w:hAnsi="Arial" w:eastAsia="黑体"/>
      <w:b/>
      <w:kern w:val="2"/>
      <w:sz w:val="28"/>
    </w:rPr>
  </w:style>
  <w:style w:type="character" w:customStyle="1" w:styleId="146">
    <w:name w:val="链接"/>
    <w:qFormat/>
    <w:uiPriority w:val="0"/>
    <w:rPr>
      <w:color w:val="0000FF"/>
      <w:sz w:val="21"/>
      <w:szCs w:val="21"/>
      <w:u w:val="single"/>
    </w:rPr>
  </w:style>
  <w:style w:type="character" w:customStyle="1" w:styleId="147">
    <w:name w:val="h4 Char"/>
    <w:qFormat/>
    <w:uiPriority w:val="0"/>
    <w:rPr>
      <w:rFonts w:ascii="Arial" w:hAnsi="Arial" w:eastAsia="黑体"/>
      <w:b/>
      <w:bCs/>
      <w:kern w:val="2"/>
      <w:sz w:val="28"/>
      <w:szCs w:val="28"/>
      <w:lang w:val="zh-CN" w:eastAsia="zh-CN" w:bidi="ar-SA"/>
    </w:rPr>
  </w:style>
  <w:style w:type="character" w:customStyle="1" w:styleId="148">
    <w:name w:val="5正文 Char"/>
    <w:link w:val="149"/>
    <w:qFormat/>
    <w:uiPriority w:val="0"/>
    <w:rPr>
      <w:rFonts w:ascii="仿宋_GB2312" w:hAnsi="微软雅黑" w:eastAsia="仿宋_GB2312"/>
      <w:sz w:val="28"/>
      <w:szCs w:val="21"/>
    </w:rPr>
  </w:style>
  <w:style w:type="paragraph" w:customStyle="1" w:styleId="149">
    <w:name w:val="5正文"/>
    <w:basedOn w:val="1"/>
    <w:link w:val="14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50">
    <w:name w:val="标题 3 字符"/>
    <w:qFormat/>
    <w:uiPriority w:val="9"/>
    <w:rPr>
      <w:b/>
      <w:bCs/>
      <w:kern w:val="2"/>
      <w:sz w:val="32"/>
      <w:szCs w:val="32"/>
    </w:rPr>
  </w:style>
  <w:style w:type="character" w:customStyle="1" w:styleId="151">
    <w:name w:val="样式6 Char"/>
    <w:qFormat/>
    <w:uiPriority w:val="0"/>
    <w:rPr>
      <w:rFonts w:ascii="仿宋_GB2312" w:hAnsi="宋体" w:eastAsia="仿宋_GB2312"/>
      <w:b/>
      <w:bCs/>
      <w:kern w:val="2"/>
      <w:sz w:val="24"/>
      <w:szCs w:val="24"/>
      <w:lang w:val="en-US" w:eastAsia="zh-CN" w:bidi="ar-SA"/>
    </w:rPr>
  </w:style>
  <w:style w:type="character" w:customStyle="1" w:styleId="152">
    <w:name w:val="Char Char14"/>
    <w:qFormat/>
    <w:uiPriority w:val="6"/>
    <w:rPr>
      <w:rFonts w:ascii="黑体" w:hAnsi="黑体" w:eastAsia="黑体"/>
    </w:rPr>
  </w:style>
  <w:style w:type="character" w:customStyle="1" w:styleId="153">
    <w:name w:val="Heading 2 Hidden Char"/>
    <w:qFormat/>
    <w:uiPriority w:val="0"/>
    <w:rPr>
      <w:rFonts w:ascii="仿宋_GB2312" w:eastAsia="仿宋_GB2312"/>
      <w:b/>
      <w:bCs/>
      <w:kern w:val="2"/>
      <w:sz w:val="24"/>
      <w:szCs w:val="24"/>
      <w:lang w:val="zh-CN" w:eastAsia="zh-CN" w:bidi="ar-SA"/>
    </w:rPr>
  </w:style>
  <w:style w:type="character" w:customStyle="1" w:styleId="154">
    <w:name w:val="font11"/>
    <w:qFormat/>
    <w:uiPriority w:val="0"/>
    <w:rPr>
      <w:rFonts w:hint="default" w:ascii="Times New Roman" w:hAnsi="Times New Roman" w:cs="Times New Roman"/>
      <w:color w:val="000000"/>
      <w:sz w:val="22"/>
      <w:szCs w:val="22"/>
      <w:u w:val="none"/>
    </w:rPr>
  </w:style>
  <w:style w:type="character" w:customStyle="1" w:styleId="155">
    <w:name w:val="表正文 Char1"/>
    <w:qFormat/>
    <w:uiPriority w:val="0"/>
    <w:rPr>
      <w:rFonts w:ascii="宋体" w:eastAsia="宋体"/>
      <w:snapToGrid w:val="0"/>
      <w:color w:val="000000"/>
      <w:kern w:val="28"/>
      <w:sz w:val="28"/>
    </w:rPr>
  </w:style>
  <w:style w:type="character" w:customStyle="1" w:styleId="156">
    <w:name w:val="blue1"/>
    <w:basedOn w:val="72"/>
    <w:qFormat/>
    <w:uiPriority w:val="0"/>
    <w:rPr>
      <w:rFonts w:ascii="Arial" w:hAnsi="Arial" w:eastAsia="黑体" w:cs="Arial"/>
      <w:snapToGrid w:val="0"/>
      <w:kern w:val="0"/>
      <w:szCs w:val="21"/>
    </w:rPr>
  </w:style>
  <w:style w:type="character" w:customStyle="1" w:styleId="157">
    <w:name w:val="标书1 Char"/>
    <w:qFormat/>
    <w:uiPriority w:val="0"/>
    <w:rPr>
      <w:rFonts w:eastAsia="宋体"/>
      <w:b/>
      <w:bCs/>
      <w:kern w:val="44"/>
      <w:sz w:val="44"/>
      <w:szCs w:val="44"/>
      <w:lang w:val="en-US" w:eastAsia="zh-CN" w:bidi="ar-SA"/>
    </w:rPr>
  </w:style>
  <w:style w:type="character" w:customStyle="1" w:styleId="158">
    <w:name w:val="样式5 Char"/>
    <w:qFormat/>
    <w:uiPriority w:val="0"/>
    <w:rPr>
      <w:rFonts w:ascii="仿宋_GB2312" w:hAnsi="仿宋" w:eastAsia="仿宋_GB2312"/>
      <w:kern w:val="2"/>
      <w:sz w:val="24"/>
      <w:szCs w:val="24"/>
    </w:rPr>
  </w:style>
  <w:style w:type="character" w:customStyle="1" w:styleId="159">
    <w:name w:val="样式4 Char"/>
    <w:qFormat/>
    <w:uiPriority w:val="0"/>
    <w:rPr>
      <w:rFonts w:ascii="仿宋_GB2312" w:hAnsi="仿宋" w:eastAsia="仿宋_GB2312"/>
      <w:b/>
      <w:kern w:val="2"/>
      <w:sz w:val="32"/>
      <w:szCs w:val="32"/>
      <w:lang w:bidi="ar-SA"/>
    </w:rPr>
  </w:style>
  <w:style w:type="character" w:customStyle="1" w:styleId="160">
    <w:name w:val="插图说明 Char"/>
    <w:qFormat/>
    <w:uiPriority w:val="0"/>
    <w:rPr>
      <w:rFonts w:eastAsia="黑体"/>
      <w:sz w:val="24"/>
      <w:lang w:val="en-US" w:eastAsia="zh-CN"/>
    </w:rPr>
  </w:style>
  <w:style w:type="character" w:customStyle="1" w:styleId="161">
    <w:name w:val="正文2 Char Char"/>
    <w:link w:val="162"/>
    <w:qFormat/>
    <w:uiPriority w:val="0"/>
    <w:rPr>
      <w:rFonts w:eastAsia="宋体"/>
      <w:kern w:val="2"/>
      <w:sz w:val="24"/>
      <w:lang w:val="en-US" w:eastAsia="zh-CN" w:bidi="ar-SA"/>
    </w:rPr>
  </w:style>
  <w:style w:type="paragraph" w:customStyle="1" w:styleId="162">
    <w:name w:val="正文2"/>
    <w:basedOn w:val="1"/>
    <w:link w:val="161"/>
    <w:qFormat/>
    <w:uiPriority w:val="0"/>
    <w:pPr>
      <w:spacing w:before="156" w:line="360" w:lineRule="auto"/>
      <w:ind w:firstLine="510" w:firstLineChars="200"/>
    </w:pPr>
    <w:rPr>
      <w:sz w:val="24"/>
      <w:szCs w:val="20"/>
    </w:rPr>
  </w:style>
  <w:style w:type="character" w:customStyle="1" w:styleId="163">
    <w:name w:val="Char Char24"/>
    <w:qFormat/>
    <w:uiPriority w:val="6"/>
    <w:rPr>
      <w:kern w:val="1"/>
      <w:sz w:val="21"/>
    </w:rPr>
  </w:style>
  <w:style w:type="character" w:customStyle="1" w:styleId="164">
    <w:name w:val="普通文字 Char1 Char"/>
    <w:qFormat/>
    <w:uiPriority w:val="0"/>
    <w:rPr>
      <w:rFonts w:ascii="宋体" w:hAnsi="Courier New" w:eastAsia="宋体"/>
      <w:kern w:val="2"/>
      <w:sz w:val="21"/>
      <w:szCs w:val="24"/>
      <w:lang w:val="en-US" w:eastAsia="zh-CN" w:bidi="ar-SA"/>
    </w:rPr>
  </w:style>
  <w:style w:type="character" w:customStyle="1" w:styleId="165">
    <w:name w:val="h3 Char1"/>
    <w:qFormat/>
    <w:uiPriority w:val="0"/>
    <w:rPr>
      <w:rFonts w:eastAsia="宋体"/>
      <w:b/>
      <w:bCs/>
      <w:kern w:val="2"/>
      <w:sz w:val="32"/>
      <w:szCs w:val="32"/>
      <w:lang w:bidi="ar-SA"/>
    </w:rPr>
  </w:style>
  <w:style w:type="character" w:customStyle="1" w:styleId="166">
    <w:name w:val="标题 Char1"/>
    <w:qFormat/>
    <w:uiPriority w:val="0"/>
    <w:rPr>
      <w:rFonts w:ascii="Cambria" w:hAnsi="Cambria" w:eastAsia="宋体" w:cs="Times New Roman"/>
      <w:b/>
      <w:bCs/>
      <w:sz w:val="32"/>
      <w:szCs w:val="32"/>
      <w:lang w:bidi="ar-SA"/>
    </w:rPr>
  </w:style>
  <w:style w:type="character" w:customStyle="1" w:styleId="167">
    <w:name w:val="gf正文1 Char"/>
    <w:qFormat/>
    <w:uiPriority w:val="0"/>
    <w:rPr>
      <w:rFonts w:ascii="宋体" w:hAnsi="宋体" w:eastAsia="宋体" w:cs="宋体"/>
      <w:kern w:val="2"/>
      <w:sz w:val="24"/>
      <w:szCs w:val="24"/>
      <w:lang w:val="en-US" w:eastAsia="zh-CN" w:bidi="ar-SA"/>
    </w:rPr>
  </w:style>
  <w:style w:type="character" w:customStyle="1" w:styleId="168">
    <w:name w:val="正文文本缩进 Char1"/>
    <w:qFormat/>
    <w:uiPriority w:val="0"/>
    <w:rPr>
      <w:rFonts w:ascii="Calibri" w:hAnsi="Calibri"/>
      <w:sz w:val="28"/>
    </w:rPr>
  </w:style>
  <w:style w:type="character" w:customStyle="1" w:styleId="169">
    <w:name w:val="No Spacing Char"/>
    <w:link w:val="170"/>
    <w:qFormat/>
    <w:uiPriority w:val="1"/>
    <w:rPr>
      <w:sz w:val="22"/>
      <w:szCs w:val="22"/>
      <w:lang w:val="en-US" w:eastAsia="zh-CN" w:bidi="ar-SA"/>
    </w:rPr>
  </w:style>
  <w:style w:type="paragraph" w:customStyle="1" w:styleId="170">
    <w:name w:val="无间隔1"/>
    <w:link w:val="169"/>
    <w:qFormat/>
    <w:uiPriority w:val="1"/>
    <w:rPr>
      <w:rFonts w:ascii="Times New Roman" w:hAnsi="Times New Roman" w:eastAsia="宋体" w:cs="Times New Roman"/>
      <w:sz w:val="22"/>
      <w:szCs w:val="22"/>
      <w:lang w:val="en-US" w:eastAsia="zh-CN" w:bidi="ar-SA"/>
    </w:rPr>
  </w:style>
  <w:style w:type="character" w:customStyle="1" w:styleId="171">
    <w:name w:val="样式7 Char"/>
    <w:qFormat/>
    <w:uiPriority w:val="0"/>
    <w:rPr>
      <w:rFonts w:ascii="仿宋_GB2312" w:hAnsi="仿宋" w:eastAsia="仿宋_GB2312"/>
      <w:b/>
      <w:kern w:val="2"/>
      <w:sz w:val="24"/>
      <w:szCs w:val="24"/>
    </w:rPr>
  </w:style>
  <w:style w:type="character" w:customStyle="1" w:styleId="172">
    <w:name w:val="font12gray1"/>
    <w:qFormat/>
    <w:uiPriority w:val="0"/>
    <w:rPr>
      <w:rFonts w:ascii="仿宋_GB2312" w:eastAsia="微软雅黑"/>
      <w:b/>
      <w:spacing w:val="300"/>
      <w:kern w:val="2"/>
      <w:sz w:val="18"/>
      <w:szCs w:val="18"/>
      <w:lang w:val="en-US" w:eastAsia="zh-CN" w:bidi="ar-SA"/>
    </w:rPr>
  </w:style>
  <w:style w:type="character" w:customStyle="1" w:styleId="173">
    <w:name w:val="Char Char7"/>
    <w:semiHidden/>
    <w:qFormat/>
    <w:uiPriority w:val="0"/>
    <w:rPr>
      <w:rFonts w:eastAsia="宋体"/>
      <w:kern w:val="2"/>
      <w:sz w:val="21"/>
      <w:szCs w:val="24"/>
      <w:lang w:val="en-US" w:eastAsia="zh-CN" w:bidi="ar-SA"/>
    </w:rPr>
  </w:style>
  <w:style w:type="character" w:customStyle="1" w:styleId="174">
    <w:name w:val="表名 Char"/>
    <w:qFormat/>
    <w:uiPriority w:val="0"/>
    <w:rPr>
      <w:rFonts w:eastAsia="宋体"/>
      <w:b/>
      <w:bCs/>
      <w:kern w:val="2"/>
      <w:sz w:val="24"/>
      <w:szCs w:val="24"/>
      <w:lang w:val="en-US" w:eastAsia="zh-CN" w:bidi="ar-SA"/>
    </w:rPr>
  </w:style>
  <w:style w:type="character" w:customStyle="1" w:styleId="175">
    <w:name w:val="Document Map Char"/>
    <w:qFormat/>
    <w:locked/>
    <w:uiPriority w:val="0"/>
    <w:rPr>
      <w:rFonts w:eastAsia="宋体"/>
      <w:kern w:val="2"/>
      <w:sz w:val="21"/>
      <w:szCs w:val="24"/>
      <w:lang w:val="en-US" w:eastAsia="zh-CN" w:bidi="ar-SA"/>
    </w:rPr>
  </w:style>
  <w:style w:type="character" w:customStyle="1" w:styleId="176">
    <w:name w:val="font41"/>
    <w:basedOn w:val="72"/>
    <w:qFormat/>
    <w:uiPriority w:val="0"/>
    <w:rPr>
      <w:rFonts w:hint="eastAsia" w:ascii="仿宋_GB2312" w:eastAsia="仿宋_GB2312" w:cs="仿宋_GB2312"/>
      <w:color w:val="000000"/>
      <w:sz w:val="22"/>
      <w:szCs w:val="22"/>
      <w:u w:val="none"/>
    </w:rPr>
  </w:style>
  <w:style w:type="character" w:customStyle="1" w:styleId="177">
    <w:name w:val="纯文本 Char_0"/>
    <w:link w:val="178"/>
    <w:qFormat/>
    <w:uiPriority w:val="0"/>
    <w:rPr>
      <w:rFonts w:ascii="宋体" w:hAnsi="Courier New"/>
      <w:kern w:val="2"/>
      <w:sz w:val="21"/>
      <w:szCs w:val="21"/>
      <w:lang w:val="en-US" w:eastAsia="zh-CN"/>
    </w:rPr>
  </w:style>
  <w:style w:type="paragraph" w:customStyle="1" w:styleId="178">
    <w:name w:val="纯文本_0_0"/>
    <w:basedOn w:val="179"/>
    <w:link w:val="177"/>
    <w:qFormat/>
    <w:uiPriority w:val="0"/>
    <w:rPr>
      <w:rFonts w:ascii="宋体" w:hAnsi="Courier New"/>
      <w:szCs w:val="21"/>
    </w:rPr>
  </w:style>
  <w:style w:type="paragraph" w:customStyle="1" w:styleId="17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0">
    <w:name w:val="Balloon Text Char"/>
    <w:qFormat/>
    <w:locked/>
    <w:uiPriority w:val="0"/>
    <w:rPr>
      <w:rFonts w:eastAsia="宋体"/>
      <w:kern w:val="2"/>
      <w:sz w:val="18"/>
      <w:szCs w:val="18"/>
      <w:lang w:val="en-US" w:eastAsia="zh-CN" w:bidi="ar-SA"/>
    </w:rPr>
  </w:style>
  <w:style w:type="character" w:customStyle="1" w:styleId="181">
    <w:name w:val="正文 项目2 Char"/>
    <w:basedOn w:val="182"/>
    <w:qFormat/>
    <w:uiPriority w:val="0"/>
    <w:rPr>
      <w:rFonts w:ascii="仿宋_GB2312" w:hAnsi="仿宋_GB2312" w:eastAsia="仿宋_GB2312"/>
      <w:kern w:val="2"/>
      <w:sz w:val="24"/>
      <w:lang w:bidi="ar-SA"/>
    </w:rPr>
  </w:style>
  <w:style w:type="character" w:customStyle="1" w:styleId="182">
    <w:name w:val="正文 项目 Char"/>
    <w:qFormat/>
    <w:uiPriority w:val="0"/>
    <w:rPr>
      <w:rFonts w:ascii="仿宋_GB2312" w:hAnsi="仿宋_GB2312" w:eastAsia="仿宋_GB2312"/>
      <w:kern w:val="2"/>
      <w:sz w:val="24"/>
      <w:lang w:bidi="ar-SA"/>
    </w:rPr>
  </w:style>
  <w:style w:type="character" w:customStyle="1" w:styleId="183">
    <w:name w:val="h Char Char1"/>
    <w:qFormat/>
    <w:uiPriority w:val="0"/>
    <w:rPr>
      <w:rFonts w:eastAsia="宋体"/>
      <w:kern w:val="2"/>
      <w:sz w:val="18"/>
      <w:szCs w:val="18"/>
      <w:lang w:val="en-US" w:eastAsia="zh-CN" w:bidi="ar-SA"/>
    </w:rPr>
  </w:style>
  <w:style w:type="character" w:customStyle="1" w:styleId="184">
    <w:name w:val="Char Char27"/>
    <w:qFormat/>
    <w:uiPriority w:val="6"/>
    <w:rPr>
      <w:rFonts w:ascii="宋体" w:hAnsi="宋体" w:eastAsia="宋体"/>
      <w:color w:val="000000"/>
      <w:kern w:val="1"/>
      <w:sz w:val="28"/>
      <w:lang w:val="en-US" w:eastAsia="zh-CN" w:bidi="ar-SA"/>
    </w:rPr>
  </w:style>
  <w:style w:type="character" w:customStyle="1" w:styleId="185">
    <w:name w:val="px14"/>
    <w:qFormat/>
    <w:uiPriority w:val="0"/>
    <w:rPr>
      <w:rFonts w:ascii="仿宋_GB2312" w:eastAsia="微软雅黑" w:cs="Times New Roman"/>
      <w:b/>
      <w:kern w:val="2"/>
      <w:sz w:val="32"/>
      <w:szCs w:val="32"/>
      <w:lang w:val="en-US" w:eastAsia="zh-CN" w:bidi="ar-SA"/>
    </w:rPr>
  </w:style>
  <w:style w:type="character" w:customStyle="1" w:styleId="186">
    <w:name w:val="HTML 预设格式 Char1"/>
    <w:qFormat/>
    <w:uiPriority w:val="0"/>
    <w:rPr>
      <w:rFonts w:ascii="Courier New" w:hAnsi="Courier New" w:eastAsia="宋体" w:cs="Courier New"/>
      <w:sz w:val="20"/>
      <w:szCs w:val="20"/>
    </w:rPr>
  </w:style>
  <w:style w:type="character" w:customStyle="1" w:styleId="187">
    <w:name w:val="普通文字 Char1"/>
    <w:qFormat/>
    <w:uiPriority w:val="0"/>
    <w:rPr>
      <w:rFonts w:ascii="宋体" w:hAnsi="Courier New" w:eastAsia="宋体"/>
      <w:kern w:val="2"/>
      <w:sz w:val="21"/>
      <w:lang w:val="en-US" w:eastAsia="zh-CN"/>
    </w:rPr>
  </w:style>
  <w:style w:type="character" w:customStyle="1" w:styleId="188">
    <w:name w:val="hei16b1"/>
    <w:qFormat/>
    <w:uiPriority w:val="0"/>
    <w:rPr>
      <w:rFonts w:hint="default" w:ascii="Arial" w:hAnsi="Arial" w:cs="Arial"/>
      <w:b/>
      <w:bCs/>
      <w:color w:val="000000"/>
      <w:sz w:val="24"/>
      <w:szCs w:val="24"/>
    </w:rPr>
  </w:style>
  <w:style w:type="character" w:customStyle="1" w:styleId="189">
    <w:name w:val="正文（绿盟科技） Char"/>
    <w:link w:val="190"/>
    <w:qFormat/>
    <w:uiPriority w:val="0"/>
    <w:rPr>
      <w:rFonts w:ascii="Arial" w:hAnsi="Arial"/>
      <w:sz w:val="21"/>
      <w:szCs w:val="21"/>
    </w:rPr>
  </w:style>
  <w:style w:type="paragraph" w:customStyle="1" w:styleId="190">
    <w:name w:val="正文（绿盟科技）"/>
    <w:link w:val="189"/>
    <w:qFormat/>
    <w:uiPriority w:val="0"/>
    <w:pPr>
      <w:spacing w:line="300" w:lineRule="auto"/>
    </w:pPr>
    <w:rPr>
      <w:rFonts w:ascii="Arial" w:hAnsi="Arial" w:eastAsia="宋体" w:cs="Times New Roman"/>
      <w:sz w:val="21"/>
      <w:szCs w:val="21"/>
      <w:lang w:val="en-US" w:eastAsia="zh-CN" w:bidi="ar-SA"/>
    </w:rPr>
  </w:style>
  <w:style w:type="character" w:customStyle="1" w:styleId="191">
    <w:name w:val="Char Char19"/>
    <w:qFormat/>
    <w:uiPriority w:val="6"/>
    <w:rPr>
      <w:rFonts w:ascii="宋体" w:hAnsi="宋体"/>
      <w:i/>
      <w:sz w:val="24"/>
      <w:szCs w:val="24"/>
    </w:rPr>
  </w:style>
  <w:style w:type="character" w:customStyle="1" w:styleId="192">
    <w:name w:val="页脚 Char"/>
    <w:qFormat/>
    <w:uiPriority w:val="0"/>
    <w:rPr>
      <w:rFonts w:eastAsia="仿宋_GB2312"/>
      <w:kern w:val="2"/>
      <w:sz w:val="18"/>
      <w:lang w:val="en-US" w:eastAsia="zh-CN"/>
    </w:rPr>
  </w:style>
  <w:style w:type="character" w:customStyle="1" w:styleId="193">
    <w:name w:val="批注主题 Char"/>
    <w:qFormat/>
    <w:uiPriority w:val="0"/>
    <w:rPr>
      <w:rFonts w:eastAsia="宋体"/>
      <w:b/>
      <w:bCs/>
      <w:kern w:val="2"/>
      <w:sz w:val="21"/>
      <w:szCs w:val="24"/>
      <w:lang w:val="en-US" w:eastAsia="zh-CN" w:bidi="ar-SA"/>
    </w:rPr>
  </w:style>
  <w:style w:type="character" w:customStyle="1" w:styleId="194">
    <w:name w:val="Comment Text Char"/>
    <w:qFormat/>
    <w:locked/>
    <w:uiPriority w:val="0"/>
    <w:rPr>
      <w:rFonts w:ascii="宋体" w:hAnsi="宋体" w:eastAsia="宋体"/>
      <w:kern w:val="2"/>
      <w:sz w:val="24"/>
      <w:lang w:val="en-US" w:eastAsia="zh-CN" w:bidi="ar-SA"/>
    </w:rPr>
  </w:style>
  <w:style w:type="character" w:customStyle="1" w:styleId="195">
    <w:name w:val="标题 2 字符"/>
    <w:qFormat/>
    <w:uiPriority w:val="9"/>
    <w:rPr>
      <w:rFonts w:ascii="仿宋_GB2312" w:hAnsi="Times New Roman" w:eastAsia="仿宋_GB2312" w:cs="Times New Roman"/>
      <w:b/>
      <w:kern w:val="2"/>
      <w:sz w:val="24"/>
      <w:lang w:val="zh-CN"/>
    </w:rPr>
  </w:style>
  <w:style w:type="character" w:customStyle="1" w:styleId="196">
    <w:name w:val="Char Char72"/>
    <w:qFormat/>
    <w:uiPriority w:val="0"/>
    <w:rPr>
      <w:rFonts w:eastAsia="宋体"/>
      <w:kern w:val="2"/>
      <w:sz w:val="21"/>
      <w:szCs w:val="24"/>
      <w:lang w:val="en-US" w:eastAsia="zh-CN" w:bidi="ar-SA"/>
    </w:rPr>
  </w:style>
  <w:style w:type="character" w:customStyle="1" w:styleId="197">
    <w:name w:val="正文文本缩进 Char2"/>
    <w:qFormat/>
    <w:uiPriority w:val="0"/>
    <w:rPr>
      <w:rFonts w:ascii="Times New Roman" w:hAnsi="Times New Roman" w:eastAsia="宋体" w:cs="Times New Roman"/>
      <w:snapToGrid w:val="0"/>
      <w:kern w:val="0"/>
      <w:szCs w:val="24"/>
    </w:rPr>
  </w:style>
  <w:style w:type="character" w:customStyle="1" w:styleId="198">
    <w:name w:val="样式2 Char"/>
    <w:qFormat/>
    <w:uiPriority w:val="0"/>
    <w:rPr>
      <w:rFonts w:ascii="仿宋_GB2312" w:hAnsi="仿宋" w:eastAsia="仿宋_GB2312" w:cs="仿宋_GB2312"/>
      <w:b/>
      <w:bCs/>
      <w:sz w:val="32"/>
      <w:szCs w:val="30"/>
      <w:lang w:val="zh-CN"/>
    </w:rPr>
  </w:style>
  <w:style w:type="character" w:customStyle="1" w:styleId="199">
    <w:name w:val="表格名称[858D7CFB-ED40-4347-BF05-701D383B685F]"/>
    <w:link w:val="200"/>
    <w:qFormat/>
    <w:uiPriority w:val="0"/>
    <w:rPr>
      <w:sz w:val="32"/>
    </w:rPr>
  </w:style>
  <w:style w:type="paragraph" w:customStyle="1" w:styleId="200">
    <w:name w:val="表格名称"/>
    <w:basedOn w:val="9"/>
    <w:link w:val="19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01">
    <w:name w:val="Char Char4"/>
    <w:qFormat/>
    <w:uiPriority w:val="0"/>
    <w:rPr>
      <w:rFonts w:eastAsia="宋体"/>
      <w:b/>
      <w:sz w:val="24"/>
      <w:lang w:val="en-GB" w:eastAsia="zh-CN" w:bidi="ar-SA"/>
    </w:rPr>
  </w:style>
  <w:style w:type="character" w:customStyle="1" w:styleId="202">
    <w:name w:val="c7 style3"/>
    <w:qFormat/>
    <w:uiPriority w:val="0"/>
  </w:style>
  <w:style w:type="character" w:customStyle="1" w:styleId="203">
    <w:name w:val="正文文本 3 Char1"/>
    <w:semiHidden/>
    <w:qFormat/>
    <w:uiPriority w:val="99"/>
    <w:rPr>
      <w:rFonts w:ascii="Times New Roman" w:hAnsi="Times New Roman" w:eastAsia="宋体" w:cs="Times New Roman"/>
      <w:sz w:val="16"/>
      <w:szCs w:val="16"/>
    </w:rPr>
  </w:style>
  <w:style w:type="character" w:customStyle="1" w:styleId="204">
    <w:name w:val="tw4winInternal"/>
    <w:qFormat/>
    <w:uiPriority w:val="0"/>
    <w:rPr>
      <w:rFonts w:ascii="Courier New" w:hAnsi="Courier New" w:cs="Courier New"/>
      <w:color w:val="FF0000"/>
      <w:lang w:val="en-US" w:eastAsia="zh-CN"/>
    </w:rPr>
  </w:style>
  <w:style w:type="character" w:customStyle="1" w:styleId="205">
    <w:name w:val="Char Char10"/>
    <w:semiHidden/>
    <w:qFormat/>
    <w:uiPriority w:val="0"/>
    <w:rPr>
      <w:rFonts w:ascii="宋体" w:hAnsi="宋体"/>
      <w:kern w:val="2"/>
      <w:sz w:val="21"/>
      <w:szCs w:val="24"/>
      <w:lang w:val="en-US" w:eastAsia="zh-CN"/>
    </w:rPr>
  </w:style>
  <w:style w:type="character" w:customStyle="1" w:styleId="206">
    <w:name w:val="shadow11"/>
    <w:qFormat/>
    <w:uiPriority w:val="0"/>
    <w:rPr>
      <w:color w:val="000000"/>
      <w:sz w:val="21"/>
    </w:rPr>
  </w:style>
  <w:style w:type="character" w:customStyle="1" w:styleId="207">
    <w:name w:val="正文非缩进 Char3"/>
    <w:qFormat/>
    <w:uiPriority w:val="0"/>
    <w:rPr>
      <w:rFonts w:ascii="宋体" w:eastAsia="宋体"/>
      <w:snapToGrid w:val="0"/>
      <w:color w:val="000000"/>
      <w:kern w:val="28"/>
      <w:sz w:val="28"/>
      <w:lang w:val="en-US" w:eastAsia="zh-CN" w:bidi="ar-SA"/>
    </w:rPr>
  </w:style>
  <w:style w:type="character" w:customStyle="1" w:styleId="208">
    <w:name w:val="Char Char"/>
    <w:qFormat/>
    <w:uiPriority w:val="0"/>
    <w:rPr>
      <w:rFonts w:ascii="宋体" w:hAnsi="Courier New" w:eastAsia="宋体"/>
      <w:kern w:val="2"/>
      <w:sz w:val="21"/>
      <w:lang w:val="en-US" w:eastAsia="zh-CN" w:bidi="ar-SA"/>
    </w:rPr>
  </w:style>
  <w:style w:type="character" w:customStyle="1" w:styleId="209">
    <w:name w:val="签名 Char1"/>
    <w:qFormat/>
    <w:uiPriority w:val="0"/>
    <w:rPr>
      <w:rFonts w:ascii="Times New Roman" w:hAnsi="Times New Roman" w:eastAsia="宋体" w:cs="Times New Roman"/>
      <w:szCs w:val="24"/>
    </w:rPr>
  </w:style>
  <w:style w:type="character" w:customStyle="1" w:styleId="210">
    <w:name w:val="Char Char18"/>
    <w:qFormat/>
    <w:uiPriority w:val="6"/>
    <w:rPr>
      <w:rFonts w:ascii="宋体" w:hAnsi="宋体"/>
      <w:sz w:val="28"/>
    </w:rPr>
  </w:style>
  <w:style w:type="character" w:customStyle="1" w:styleId="211">
    <w:name w:val="批注文字 Char"/>
    <w:qFormat/>
    <w:uiPriority w:val="0"/>
    <w:rPr>
      <w:kern w:val="2"/>
      <w:sz w:val="21"/>
      <w:szCs w:val="24"/>
    </w:rPr>
  </w:style>
  <w:style w:type="character" w:customStyle="1" w:styleId="212">
    <w:name w:val="Char Char22"/>
    <w:qFormat/>
    <w:uiPriority w:val="6"/>
    <w:rPr>
      <w:rFonts w:ascii="宋体" w:hAnsi="宋体"/>
      <w:kern w:val="1"/>
      <w:sz w:val="24"/>
      <w:szCs w:val="24"/>
    </w:rPr>
  </w:style>
  <w:style w:type="character" w:customStyle="1" w:styleId="213">
    <w:name w:val="pt141"/>
    <w:qFormat/>
    <w:uiPriority w:val="0"/>
    <w:rPr>
      <w:color w:val="330066"/>
      <w:sz w:val="22"/>
      <w:szCs w:val="22"/>
    </w:rPr>
  </w:style>
  <w:style w:type="character" w:customStyle="1" w:styleId="214">
    <w:name w:val="正文文本缩进 2 Char1"/>
    <w:semiHidden/>
    <w:qFormat/>
    <w:uiPriority w:val="99"/>
    <w:rPr>
      <w:rFonts w:ascii="Times New Roman" w:hAnsi="Times New Roman" w:eastAsia="宋体" w:cs="Times New Roman"/>
      <w:szCs w:val="24"/>
    </w:rPr>
  </w:style>
  <w:style w:type="character" w:customStyle="1" w:styleId="215">
    <w:name w:val="Char Char611"/>
    <w:qFormat/>
    <w:uiPriority w:val="0"/>
    <w:rPr>
      <w:rFonts w:eastAsia="宋体"/>
      <w:kern w:val="2"/>
      <w:sz w:val="21"/>
      <w:szCs w:val="24"/>
      <w:lang w:val="en-US" w:eastAsia="zh-CN" w:bidi="ar-SA"/>
    </w:rPr>
  </w:style>
  <w:style w:type="character" w:customStyle="1" w:styleId="216">
    <w:name w:val="highlight1"/>
    <w:qFormat/>
    <w:uiPriority w:val="0"/>
    <w:rPr>
      <w:rFonts w:ascii="仿宋_GB2312" w:eastAsia="微软雅黑"/>
      <w:b/>
      <w:kern w:val="2"/>
      <w:sz w:val="23"/>
      <w:szCs w:val="23"/>
      <w:lang w:val="en-US" w:eastAsia="zh-CN" w:bidi="ar-SA"/>
    </w:rPr>
  </w:style>
  <w:style w:type="character" w:customStyle="1" w:styleId="217">
    <w:name w:val="my正文 Char"/>
    <w:link w:val="218"/>
    <w:qFormat/>
    <w:locked/>
    <w:uiPriority w:val="0"/>
    <w:rPr>
      <w:rFonts w:ascii="Tahoma" w:hAnsi="Tahoma"/>
      <w:sz w:val="24"/>
      <w:szCs w:val="24"/>
    </w:rPr>
  </w:style>
  <w:style w:type="paragraph" w:customStyle="1" w:styleId="218">
    <w:name w:val="my正文"/>
    <w:basedOn w:val="1"/>
    <w:link w:val="217"/>
    <w:qFormat/>
    <w:uiPriority w:val="0"/>
    <w:pPr>
      <w:adjustRightInd/>
      <w:spacing w:line="360" w:lineRule="auto"/>
      <w:ind w:firstLine="480" w:firstLineChars="200"/>
    </w:pPr>
    <w:rPr>
      <w:rFonts w:ascii="Tahoma" w:hAnsi="Tahoma"/>
      <w:kern w:val="0"/>
      <w:sz w:val="24"/>
    </w:rPr>
  </w:style>
  <w:style w:type="character" w:customStyle="1" w:styleId="219">
    <w:name w:val="Used by Word for text of Help footnotes Char Char1"/>
    <w:qFormat/>
    <w:uiPriority w:val="0"/>
    <w:rPr>
      <w:color w:val="0000FF"/>
      <w:sz w:val="21"/>
    </w:rPr>
  </w:style>
  <w:style w:type="character" w:customStyle="1" w:styleId="220">
    <w:name w:val="页眉 Char"/>
    <w:qFormat/>
    <w:uiPriority w:val="0"/>
    <w:rPr>
      <w:rFonts w:eastAsia="仿宋_GB2312"/>
      <w:kern w:val="2"/>
      <w:sz w:val="18"/>
      <w:lang w:val="en-US" w:eastAsia="zh-CN"/>
    </w:rPr>
  </w:style>
  <w:style w:type="character" w:customStyle="1" w:styleId="221">
    <w:name w:val="FA正文 Char Char"/>
    <w:qFormat/>
    <w:uiPriority w:val="0"/>
    <w:rPr>
      <w:rFonts w:hAnsi="宋体"/>
      <w:kern w:val="2"/>
      <w:sz w:val="24"/>
      <w:lang w:bidi="ar-SA"/>
    </w:rPr>
  </w:style>
  <w:style w:type="character" w:customStyle="1" w:styleId="222">
    <w:name w:val="纯文本 字符"/>
    <w:qFormat/>
    <w:uiPriority w:val="0"/>
    <w:rPr>
      <w:rFonts w:ascii="宋体" w:hAnsi="Courier New" w:eastAsia="宋体" w:cs="Arial"/>
      <w:snapToGrid w:val="0"/>
      <w:kern w:val="2"/>
      <w:sz w:val="21"/>
      <w:szCs w:val="21"/>
      <w:lang w:val="en-US" w:eastAsia="zh-CN" w:bidi="ar-SA"/>
    </w:rPr>
  </w:style>
  <w:style w:type="character" w:customStyle="1" w:styleId="223">
    <w:name w:val="3级 Char"/>
    <w:link w:val="224"/>
    <w:qFormat/>
    <w:uiPriority w:val="0"/>
    <w:rPr>
      <w:rFonts w:ascii="宋体" w:hAnsi="宋体"/>
      <w:b/>
      <w:bCs/>
      <w:snapToGrid/>
      <w:sz w:val="28"/>
    </w:rPr>
  </w:style>
  <w:style w:type="paragraph" w:customStyle="1" w:styleId="224">
    <w:name w:val="3级"/>
    <w:basedOn w:val="225"/>
    <w:link w:val="223"/>
    <w:qFormat/>
    <w:uiPriority w:val="0"/>
    <w:pPr>
      <w:ind w:left="0" w:right="466" w:firstLine="288"/>
    </w:pPr>
    <w:rPr>
      <w:rFonts w:hAnsi="宋体"/>
      <w:snapToGrid/>
    </w:rPr>
  </w:style>
  <w:style w:type="paragraph" w:customStyle="1" w:styleId="225">
    <w:name w:val="样式 标题 3h33rd level3BOD 0H3l3CTHeading 3 - oldLevel 3 He..."/>
    <w:basedOn w:val="10"/>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6">
    <w:name w:val="myp11"/>
    <w:qFormat/>
    <w:uiPriority w:val="0"/>
    <w:rPr>
      <w:rFonts w:ascii="仿宋_GB2312" w:eastAsia="微软雅黑"/>
      <w:b/>
      <w:kern w:val="2"/>
      <w:sz w:val="32"/>
      <w:szCs w:val="32"/>
      <w:lang w:val="en-US" w:eastAsia="zh-CN" w:bidi="ar-SA"/>
    </w:rPr>
  </w:style>
  <w:style w:type="character" w:customStyle="1" w:styleId="227">
    <w:name w:val="H6 Char"/>
    <w:qFormat/>
    <w:uiPriority w:val="0"/>
    <w:rPr>
      <w:rFonts w:ascii="Arial" w:hAnsi="Arial" w:eastAsia="黑体"/>
      <w:b/>
      <w:bCs/>
      <w:kern w:val="2"/>
      <w:sz w:val="24"/>
      <w:szCs w:val="24"/>
    </w:rPr>
  </w:style>
  <w:style w:type="character" w:customStyle="1" w:styleId="228">
    <w:name w:val="Char Char91"/>
    <w:qFormat/>
    <w:uiPriority w:val="0"/>
    <w:rPr>
      <w:rFonts w:eastAsia="宋体"/>
      <w:kern w:val="2"/>
      <w:sz w:val="18"/>
      <w:szCs w:val="18"/>
      <w:lang w:val="en-US" w:eastAsia="zh-CN" w:bidi="ar-SA"/>
    </w:rPr>
  </w:style>
  <w:style w:type="character" w:customStyle="1" w:styleId="229">
    <w:name w:val="副标题 Char1"/>
    <w:qFormat/>
    <w:uiPriority w:val="0"/>
    <w:rPr>
      <w:rFonts w:ascii="Cambria" w:hAnsi="Cambria" w:eastAsia="宋体" w:cs="Times New Roman"/>
      <w:b/>
      <w:bCs/>
      <w:snapToGrid w:val="0"/>
      <w:kern w:val="28"/>
      <w:sz w:val="32"/>
      <w:szCs w:val="32"/>
    </w:rPr>
  </w:style>
  <w:style w:type="character" w:customStyle="1" w:styleId="230">
    <w:name w:val="font61"/>
    <w:qFormat/>
    <w:uiPriority w:val="0"/>
    <w:rPr>
      <w:rFonts w:hint="eastAsia" w:ascii="仿宋" w:hAnsi="仿宋" w:eastAsia="仿宋" w:cs="仿宋"/>
      <w:color w:val="000000"/>
      <w:sz w:val="20"/>
      <w:szCs w:val="20"/>
      <w:u w:val="none"/>
    </w:rPr>
  </w:style>
  <w:style w:type="character" w:customStyle="1" w:styleId="23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2">
    <w:name w:val="Char Char211"/>
    <w:qFormat/>
    <w:uiPriority w:val="0"/>
    <w:rPr>
      <w:rFonts w:eastAsia="宋体"/>
      <w:b/>
      <w:bCs/>
      <w:kern w:val="2"/>
      <w:sz w:val="21"/>
      <w:szCs w:val="24"/>
      <w:lang w:val="en-US" w:eastAsia="zh-CN" w:bidi="ar-SA"/>
    </w:rPr>
  </w:style>
  <w:style w:type="character" w:customStyle="1" w:styleId="233">
    <w:name w:val="标题 2 Char"/>
    <w:qFormat/>
    <w:uiPriority w:val="0"/>
    <w:rPr>
      <w:rFonts w:ascii="Arial" w:hAnsi="Arial" w:eastAsia="黑体"/>
      <w:b/>
      <w:kern w:val="2"/>
      <w:sz w:val="32"/>
      <w:lang w:val="en-US" w:eastAsia="zh-CN"/>
    </w:rPr>
  </w:style>
  <w:style w:type="character" w:customStyle="1" w:styleId="234">
    <w:name w:val="maywed421"/>
    <w:qFormat/>
    <w:uiPriority w:val="0"/>
    <w:rPr>
      <w:color w:val="366FB6"/>
      <w:u w:val="none"/>
    </w:rPr>
  </w:style>
  <w:style w:type="character" w:customStyle="1" w:styleId="235">
    <w:name w:val="正文文本缩进 Char"/>
    <w:qFormat/>
    <w:uiPriority w:val="0"/>
    <w:rPr>
      <w:rFonts w:ascii="宋体" w:hAnsi="宋体"/>
      <w:kern w:val="2"/>
      <w:sz w:val="24"/>
      <w:szCs w:val="24"/>
    </w:rPr>
  </w:style>
  <w:style w:type="character" w:customStyle="1" w:styleId="236">
    <w:name w:val="Char Char102"/>
    <w:semiHidden/>
    <w:qFormat/>
    <w:uiPriority w:val="0"/>
    <w:rPr>
      <w:rFonts w:ascii="宋体" w:hAnsi="宋体"/>
      <w:kern w:val="2"/>
      <w:sz w:val="21"/>
      <w:szCs w:val="24"/>
      <w:lang w:val="en-US" w:eastAsia="zh-CN"/>
    </w:rPr>
  </w:style>
  <w:style w:type="character" w:customStyle="1" w:styleId="237">
    <w:name w:val="页眉 Char1"/>
    <w:qFormat/>
    <w:uiPriority w:val="0"/>
    <w:rPr>
      <w:rFonts w:eastAsia="宋体"/>
      <w:kern w:val="2"/>
      <w:sz w:val="18"/>
      <w:szCs w:val="18"/>
      <w:lang w:val="en-US" w:eastAsia="zh-CN" w:bidi="ar-SA"/>
    </w:rPr>
  </w:style>
  <w:style w:type="character" w:customStyle="1" w:styleId="238">
    <w:name w:val="md"/>
    <w:basedOn w:val="72"/>
    <w:qFormat/>
    <w:uiPriority w:val="0"/>
    <w:rPr>
      <w:rFonts w:ascii="Arial" w:hAnsi="Arial" w:eastAsia="黑体" w:cs="Arial"/>
      <w:snapToGrid w:val="0"/>
      <w:kern w:val="0"/>
      <w:szCs w:val="21"/>
    </w:rPr>
  </w:style>
  <w:style w:type="character" w:customStyle="1" w:styleId="239">
    <w:name w:val="big1"/>
    <w:qFormat/>
    <w:uiPriority w:val="0"/>
    <w:rPr>
      <w:rFonts w:hint="eastAsia" w:ascii="宋体" w:hAnsi="宋体" w:eastAsia="宋体"/>
      <w:color w:val="333333"/>
      <w:sz w:val="22"/>
      <w:szCs w:val="22"/>
    </w:rPr>
  </w:style>
  <w:style w:type="character" w:customStyle="1" w:styleId="240">
    <w:name w:val="Char Char311"/>
    <w:qFormat/>
    <w:uiPriority w:val="0"/>
    <w:rPr>
      <w:rFonts w:eastAsia="宋体"/>
      <w:kern w:val="2"/>
      <w:sz w:val="21"/>
      <w:szCs w:val="24"/>
      <w:lang w:val="en-US" w:eastAsia="zh-CN" w:bidi="ar-SA"/>
    </w:rPr>
  </w:style>
  <w:style w:type="character" w:customStyle="1" w:styleId="241">
    <w:name w:val="Char Char81"/>
    <w:qFormat/>
    <w:uiPriority w:val="6"/>
    <w:rPr>
      <w:rFonts w:eastAsia="宋体"/>
      <w:b/>
      <w:sz w:val="24"/>
      <w:lang w:val="en-GB" w:eastAsia="zh-CN"/>
    </w:rPr>
  </w:style>
  <w:style w:type="character" w:customStyle="1" w:styleId="242">
    <w:name w:val="样式3 Char"/>
    <w:basedOn w:val="198"/>
    <w:qFormat/>
    <w:uiPriority w:val="0"/>
    <w:rPr>
      <w:rFonts w:ascii="仿宋_GB2312" w:hAnsi="仿宋" w:eastAsia="仿宋_GB2312" w:cs="仿宋_GB2312"/>
      <w:sz w:val="32"/>
      <w:szCs w:val="30"/>
      <w:lang w:val="zh-CN"/>
    </w:rPr>
  </w:style>
  <w:style w:type="character" w:customStyle="1" w:styleId="243">
    <w:name w:val="正文首行缩进 2 Char1"/>
    <w:qFormat/>
    <w:uiPriority w:val="0"/>
    <w:rPr>
      <w:rFonts w:ascii="Times New Roman" w:hAnsi="Times New Roman" w:eastAsia="宋体" w:cs="Times New Roman"/>
      <w:kern w:val="2"/>
      <w:sz w:val="24"/>
      <w:szCs w:val="24"/>
    </w:rPr>
  </w:style>
  <w:style w:type="character" w:customStyle="1" w:styleId="244">
    <w:name w:val="副标题 Char2"/>
    <w:qFormat/>
    <w:uiPriority w:val="0"/>
    <w:rPr>
      <w:rFonts w:ascii="Cambria" w:hAnsi="Cambria" w:eastAsia="宋体" w:cs="Times New Roman"/>
      <w:b/>
      <w:bCs/>
      <w:snapToGrid w:val="0"/>
      <w:kern w:val="28"/>
      <w:sz w:val="32"/>
      <w:szCs w:val="32"/>
    </w:rPr>
  </w:style>
  <w:style w:type="character" w:customStyle="1" w:styleId="245">
    <w:name w:val="标题4-dyf Char"/>
    <w:link w:val="246"/>
    <w:qFormat/>
    <w:uiPriority w:val="0"/>
    <w:rPr>
      <w:rFonts w:ascii="Cambria" w:hAnsi="Cambria"/>
      <w:b/>
      <w:bCs/>
      <w:color w:val="000000"/>
      <w:kern w:val="2"/>
      <w:sz w:val="21"/>
      <w:szCs w:val="21"/>
    </w:rPr>
  </w:style>
  <w:style w:type="paragraph" w:customStyle="1" w:styleId="246">
    <w:name w:val="标题4-dyf"/>
    <w:basedOn w:val="12"/>
    <w:link w:val="24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7">
    <w:name w:val="dectext1"/>
    <w:qFormat/>
    <w:uiPriority w:val="0"/>
    <w:rPr>
      <w:rFonts w:ascii="宋体" w:hAnsi="宋体" w:eastAsia="宋体"/>
      <w:color w:val="333333"/>
      <w:sz w:val="21"/>
      <w:szCs w:val="21"/>
      <w:u w:val="none"/>
    </w:rPr>
  </w:style>
  <w:style w:type="character" w:customStyle="1" w:styleId="248">
    <w:name w:val="冯 Char"/>
    <w:link w:val="249"/>
    <w:qFormat/>
    <w:uiPriority w:val="0"/>
    <w:rPr>
      <w:rFonts w:ascii="宋体" w:hAnsi="宋体"/>
      <w:color w:val="000000"/>
      <w:sz w:val="24"/>
      <w:szCs w:val="24"/>
    </w:rPr>
  </w:style>
  <w:style w:type="paragraph" w:customStyle="1" w:styleId="249">
    <w:name w:val="冯"/>
    <w:basedOn w:val="1"/>
    <w:link w:val="248"/>
    <w:qFormat/>
    <w:uiPriority w:val="0"/>
    <w:pPr>
      <w:widowControl/>
      <w:adjustRightInd/>
      <w:spacing w:line="360" w:lineRule="auto"/>
      <w:ind w:firstLine="480" w:firstLineChars="200"/>
    </w:pPr>
    <w:rPr>
      <w:rFonts w:ascii="宋体" w:hAnsi="宋体"/>
      <w:color w:val="000000"/>
      <w:kern w:val="0"/>
      <w:sz w:val="24"/>
    </w:rPr>
  </w:style>
  <w:style w:type="character" w:customStyle="1" w:styleId="250">
    <w:name w:val="Header Char"/>
    <w:qFormat/>
    <w:locked/>
    <w:uiPriority w:val="0"/>
    <w:rPr>
      <w:rFonts w:eastAsia="宋体"/>
      <w:kern w:val="2"/>
      <w:sz w:val="18"/>
      <w:szCs w:val="18"/>
      <w:lang w:val="en-US" w:eastAsia="zh-CN" w:bidi="ar-SA"/>
    </w:rPr>
  </w:style>
  <w:style w:type="character" w:customStyle="1" w:styleId="251">
    <w:name w:val="Char Char12"/>
    <w:qFormat/>
    <w:uiPriority w:val="0"/>
    <w:rPr>
      <w:rFonts w:ascii="仿宋_GB2312" w:eastAsia="仿宋_GB2312"/>
      <w:b/>
      <w:bCs/>
      <w:kern w:val="2"/>
      <w:sz w:val="24"/>
      <w:szCs w:val="24"/>
      <w:lang w:val="zh-CN" w:eastAsia="zh-CN" w:bidi="ar-SA"/>
    </w:rPr>
  </w:style>
  <w:style w:type="character" w:customStyle="1" w:styleId="252">
    <w:name w:val="普通文字 Char3"/>
    <w:qFormat/>
    <w:uiPriority w:val="0"/>
    <w:rPr>
      <w:rFonts w:ascii="宋体" w:hAnsi="Courier New" w:eastAsia="宋体"/>
      <w:kern w:val="2"/>
      <w:sz w:val="21"/>
      <w:lang w:val="en-US" w:eastAsia="zh-CN" w:bidi="ar-SA"/>
    </w:rPr>
  </w:style>
  <w:style w:type="character" w:customStyle="1" w:styleId="253">
    <w:name w:val="公文正文 Char"/>
    <w:qFormat/>
    <w:uiPriority w:val="0"/>
    <w:rPr>
      <w:rFonts w:ascii="仿宋_GB2312" w:eastAsia="仿宋_GB2312"/>
      <w:kern w:val="2"/>
      <w:sz w:val="24"/>
      <w:szCs w:val="24"/>
      <w:lang w:val="en-US" w:eastAsia="zh-CN" w:bidi="ar-SA"/>
    </w:rPr>
  </w:style>
  <w:style w:type="character" w:customStyle="1" w:styleId="254">
    <w:name w:val="正文首行缩进 Char Char Char Char Char"/>
    <w:qFormat/>
    <w:uiPriority w:val="0"/>
    <w:rPr>
      <w:rFonts w:ascii="宋体"/>
      <w:kern w:val="2"/>
      <w:sz w:val="24"/>
      <w:lang w:val="zh-CN"/>
    </w:rPr>
  </w:style>
  <w:style w:type="character" w:customStyle="1" w:styleId="255">
    <w:name w:val="PI Char"/>
    <w:qFormat/>
    <w:uiPriority w:val="0"/>
    <w:rPr>
      <w:rFonts w:ascii="宋体" w:hAnsi="宋体" w:eastAsia="宋体"/>
      <w:kern w:val="2"/>
      <w:sz w:val="24"/>
      <w:szCs w:val="24"/>
      <w:lang w:val="en-US" w:eastAsia="zh-CN" w:bidi="ar-SA"/>
    </w:rPr>
  </w:style>
  <w:style w:type="character" w:customStyle="1" w:styleId="256">
    <w:name w:val="Default Char"/>
    <w:link w:val="257"/>
    <w:qFormat/>
    <w:uiPriority w:val="0"/>
    <w:rPr>
      <w:rFonts w:ascii="仿宋_GB2312" w:eastAsia="仿宋_GB2312" w:cs="仿宋_GB2312"/>
      <w:color w:val="000000"/>
      <w:sz w:val="24"/>
      <w:szCs w:val="24"/>
      <w:lang w:val="en-US" w:eastAsia="zh-CN" w:bidi="ar-SA"/>
    </w:rPr>
  </w:style>
  <w:style w:type="paragraph" w:customStyle="1" w:styleId="257">
    <w:name w:val="Default"/>
    <w:link w:val="25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8">
    <w:name w:val="style91"/>
    <w:qFormat/>
    <w:uiPriority w:val="0"/>
    <w:rPr>
      <w:color w:val="333333"/>
    </w:rPr>
  </w:style>
  <w:style w:type="character" w:customStyle="1" w:styleId="259">
    <w:name w:val="列出段落 Char2"/>
    <w:qFormat/>
    <w:uiPriority w:val="34"/>
    <w:rPr>
      <w:rFonts w:ascii="Calibri" w:hAnsi="Calibri"/>
      <w:kern w:val="2"/>
      <w:sz w:val="28"/>
    </w:rPr>
  </w:style>
  <w:style w:type="character" w:customStyle="1" w:styleId="260">
    <w:name w:val="mdeck"/>
    <w:qFormat/>
    <w:uiPriority w:val="0"/>
    <w:rPr>
      <w:rFonts w:ascii="仿宋_GB2312" w:eastAsia="微软雅黑"/>
      <w:b/>
      <w:kern w:val="2"/>
      <w:sz w:val="32"/>
      <w:szCs w:val="32"/>
      <w:lang w:val="en-US" w:eastAsia="zh-CN" w:bidi="ar-SA"/>
    </w:rPr>
  </w:style>
  <w:style w:type="character" w:customStyle="1" w:styleId="261">
    <w:name w:val="unnamed11"/>
    <w:qFormat/>
    <w:uiPriority w:val="0"/>
    <w:rPr>
      <w:sz w:val="20"/>
      <w:szCs w:val="20"/>
    </w:rPr>
  </w:style>
  <w:style w:type="character" w:customStyle="1" w:styleId="262">
    <w:name w:val="正文文本 Char2"/>
    <w:semiHidden/>
    <w:qFormat/>
    <w:uiPriority w:val="99"/>
    <w:rPr>
      <w:rFonts w:ascii="Times New Roman" w:hAnsi="Times New Roman" w:eastAsia="宋体" w:cs="Times New Roman"/>
      <w:snapToGrid w:val="0"/>
      <w:kern w:val="0"/>
      <w:szCs w:val="24"/>
    </w:rPr>
  </w:style>
  <w:style w:type="character" w:customStyle="1" w:styleId="263">
    <w:name w:val="标书正文格式 Char"/>
    <w:qFormat/>
    <w:uiPriority w:val="0"/>
    <w:rPr>
      <w:rFonts w:eastAsia="楷体_GB2312"/>
      <w:kern w:val="2"/>
      <w:sz w:val="24"/>
      <w:szCs w:val="24"/>
      <w:lang w:bidi="ar-SA"/>
    </w:rPr>
  </w:style>
  <w:style w:type="character" w:customStyle="1" w:styleId="264">
    <w:name w:val="Char Char11"/>
    <w:qFormat/>
    <w:locked/>
    <w:uiPriority w:val="0"/>
    <w:rPr>
      <w:rFonts w:ascii="宋体" w:hAnsi="宋体" w:eastAsia="宋体"/>
      <w:b/>
      <w:kern w:val="2"/>
      <w:sz w:val="24"/>
      <w:szCs w:val="24"/>
      <w:lang w:val="en-US" w:eastAsia="zh-CN" w:bidi="ar-SA"/>
    </w:rPr>
  </w:style>
  <w:style w:type="character" w:customStyle="1" w:styleId="265">
    <w:name w:val="ca-131"/>
    <w:qFormat/>
    <w:uiPriority w:val="0"/>
    <w:rPr>
      <w:rFonts w:hint="eastAsia" w:ascii="仿宋_GB2312" w:eastAsia="仿宋_GB2312"/>
      <w:b/>
      <w:bCs/>
      <w:color w:val="000000"/>
      <w:spacing w:val="-20"/>
      <w:sz w:val="24"/>
      <w:szCs w:val="24"/>
    </w:rPr>
  </w:style>
  <w:style w:type="character" w:customStyle="1" w:styleId="266">
    <w:name w:val="tw4winMark"/>
    <w:qFormat/>
    <w:uiPriority w:val="0"/>
    <w:rPr>
      <w:rFonts w:ascii="Courier New" w:hAnsi="Courier New" w:cs="Courier New"/>
      <w:vanish/>
      <w:color w:val="800080"/>
      <w:sz w:val="24"/>
      <w:szCs w:val="24"/>
      <w:vertAlign w:val="subscript"/>
    </w:rPr>
  </w:style>
  <w:style w:type="character" w:customStyle="1" w:styleId="267">
    <w:name w:val="正文样式 Char"/>
    <w:link w:val="268"/>
    <w:qFormat/>
    <w:uiPriority w:val="0"/>
    <w:rPr>
      <w:rFonts w:ascii="Calibri" w:hAnsi="Calibri"/>
      <w:sz w:val="24"/>
      <w:szCs w:val="24"/>
    </w:rPr>
  </w:style>
  <w:style w:type="paragraph" w:customStyle="1" w:styleId="268">
    <w:name w:val="正文样式"/>
    <w:basedOn w:val="1"/>
    <w:link w:val="267"/>
    <w:qFormat/>
    <w:uiPriority w:val="0"/>
    <w:pPr>
      <w:adjustRightInd/>
      <w:spacing w:line="360" w:lineRule="auto"/>
      <w:ind w:firstLine="480" w:firstLineChars="200"/>
    </w:pPr>
    <w:rPr>
      <w:kern w:val="0"/>
      <w:sz w:val="24"/>
    </w:rPr>
  </w:style>
  <w:style w:type="character" w:customStyle="1" w:styleId="269">
    <w:name w:val="表正文 Char3"/>
    <w:qFormat/>
    <w:uiPriority w:val="0"/>
    <w:rPr>
      <w:rFonts w:eastAsia="宋体"/>
    </w:rPr>
  </w:style>
  <w:style w:type="character" w:customStyle="1" w:styleId="270">
    <w:name w:val="H5 Char"/>
    <w:qFormat/>
    <w:uiPriority w:val="0"/>
    <w:rPr>
      <w:b/>
      <w:bCs/>
      <w:kern w:val="2"/>
      <w:sz w:val="28"/>
      <w:szCs w:val="28"/>
    </w:rPr>
  </w:style>
  <w:style w:type="character" w:customStyle="1" w:styleId="271">
    <w:name w:val="Char Char3"/>
    <w:qFormat/>
    <w:uiPriority w:val="0"/>
    <w:rPr>
      <w:rFonts w:eastAsia="宋体"/>
      <w:kern w:val="2"/>
      <w:sz w:val="21"/>
      <w:szCs w:val="24"/>
      <w:lang w:val="en-US" w:eastAsia="zh-CN" w:bidi="ar-SA"/>
    </w:rPr>
  </w:style>
  <w:style w:type="character" w:customStyle="1" w:styleId="272">
    <w:name w:val="正文 编号 Char"/>
    <w:qFormat/>
    <w:uiPriority w:val="0"/>
    <w:rPr>
      <w:rFonts w:ascii="仿宋_GB2312" w:hAnsi="仿宋_GB2312" w:eastAsia="仿宋_GB2312"/>
      <w:kern w:val="2"/>
      <w:sz w:val="24"/>
      <w:lang w:bidi="ar-SA"/>
    </w:rPr>
  </w:style>
  <w:style w:type="character" w:customStyle="1" w:styleId="273">
    <w:name w:val="question-title2"/>
    <w:qFormat/>
    <w:uiPriority w:val="6"/>
    <w:rPr>
      <w:rFonts w:ascii="Arial" w:hAnsi="Arial" w:eastAsia="黑体" w:cs="Arial"/>
      <w:snapToGrid w:val="0"/>
      <w:kern w:val="0"/>
      <w:szCs w:val="21"/>
    </w:rPr>
  </w:style>
  <w:style w:type="character" w:customStyle="1" w:styleId="274">
    <w:name w:val="gf正文1 Char Char"/>
    <w:link w:val="275"/>
    <w:qFormat/>
    <w:uiPriority w:val="0"/>
    <w:rPr>
      <w:rFonts w:ascii="宋体" w:hAnsi="宋体" w:cs="宋体"/>
      <w:kern w:val="2"/>
      <w:sz w:val="24"/>
      <w:szCs w:val="24"/>
    </w:rPr>
  </w:style>
  <w:style w:type="paragraph" w:customStyle="1" w:styleId="275">
    <w:name w:val="gf正文1"/>
    <w:basedOn w:val="1"/>
    <w:link w:val="27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6">
    <w:name w:val="Char Char15"/>
    <w:qFormat/>
    <w:uiPriority w:val="6"/>
    <w:rPr>
      <w:rFonts w:ascii="宋体" w:hAnsi="宋体"/>
      <w:kern w:val="1"/>
      <w:sz w:val="21"/>
    </w:rPr>
  </w:style>
  <w:style w:type="character" w:customStyle="1" w:styleId="277">
    <w:name w:val="正文缩进 Char3"/>
    <w:qFormat/>
    <w:uiPriority w:val="0"/>
    <w:rPr>
      <w:rFonts w:ascii="宋体" w:eastAsia="宋体"/>
      <w:snapToGrid w:val="0"/>
      <w:color w:val="000000"/>
      <w:kern w:val="28"/>
      <w:sz w:val="28"/>
      <w:lang w:val="en-US" w:eastAsia="zh-CN" w:bidi="ar-SA"/>
    </w:rPr>
  </w:style>
  <w:style w:type="character" w:customStyle="1" w:styleId="278">
    <w:name w:val="列出段落 Char1"/>
    <w:link w:val="279"/>
    <w:qFormat/>
    <w:uiPriority w:val="0"/>
    <w:rPr>
      <w:rFonts w:ascii="Calibri" w:hAnsi="Calibri"/>
      <w:sz w:val="24"/>
      <w:lang w:eastAsia="en-US"/>
    </w:rPr>
  </w:style>
  <w:style w:type="paragraph" w:customStyle="1" w:styleId="279">
    <w:name w:val="列表1"/>
    <w:basedOn w:val="1"/>
    <w:next w:val="280"/>
    <w:link w:val="278"/>
    <w:qFormat/>
    <w:uiPriority w:val="0"/>
    <w:pPr>
      <w:widowControl/>
      <w:adjustRightInd/>
      <w:spacing w:after="200" w:line="360" w:lineRule="auto"/>
      <w:ind w:left="720" w:firstLine="200" w:firstLineChars="200"/>
      <w:jc w:val="left"/>
    </w:pPr>
    <w:rPr>
      <w:kern w:val="0"/>
      <w:sz w:val="24"/>
      <w:szCs w:val="20"/>
      <w:lang w:eastAsia="en-US"/>
    </w:rPr>
  </w:style>
  <w:style w:type="paragraph" w:styleId="280">
    <w:name w:val="List Paragraph"/>
    <w:basedOn w:val="1"/>
    <w:qFormat/>
    <w:uiPriority w:val="99"/>
    <w:pPr>
      <w:spacing w:line="360" w:lineRule="auto"/>
      <w:ind w:firstLine="200" w:firstLineChars="200"/>
    </w:pPr>
    <w:rPr>
      <w:rFonts w:eastAsia="楷体_GB2312" w:cs="Lucida Sans"/>
      <w:sz w:val="24"/>
    </w:rPr>
  </w:style>
  <w:style w:type="character" w:customStyle="1" w:styleId="281">
    <w:name w:val="Char Char8"/>
    <w:qFormat/>
    <w:uiPriority w:val="0"/>
    <w:rPr>
      <w:rFonts w:eastAsia="宋体"/>
      <w:b/>
      <w:sz w:val="24"/>
      <w:lang w:val="en-GB" w:eastAsia="zh-CN"/>
    </w:rPr>
  </w:style>
  <w:style w:type="character" w:customStyle="1" w:styleId="282">
    <w:name w:val="Normal Indent Char Char"/>
    <w:qFormat/>
    <w:uiPriority w:val="0"/>
    <w:rPr>
      <w:rFonts w:eastAsia="宋体"/>
      <w:kern w:val="2"/>
      <w:sz w:val="21"/>
      <w:lang w:val="en-US" w:eastAsia="zh-CN" w:bidi="ar-SA"/>
    </w:rPr>
  </w:style>
  <w:style w:type="character" w:customStyle="1" w:styleId="283">
    <w:name w:val="列表段落 字符"/>
    <w:qFormat/>
    <w:uiPriority w:val="99"/>
  </w:style>
  <w:style w:type="character" w:customStyle="1" w:styleId="284">
    <w:name w:val="Ò³Ã¼ Char Char1"/>
    <w:qFormat/>
    <w:uiPriority w:val="0"/>
    <w:rPr>
      <w:rFonts w:eastAsia="宋体"/>
      <w:kern w:val="2"/>
      <w:sz w:val="18"/>
      <w:szCs w:val="18"/>
      <w:lang w:val="en-US" w:eastAsia="zh-CN" w:bidi="ar-SA"/>
    </w:rPr>
  </w:style>
  <w:style w:type="character" w:customStyle="1" w:styleId="285">
    <w:name w:val="方案正文 Char"/>
    <w:qFormat/>
    <w:uiPriority w:val="0"/>
    <w:rPr>
      <w:rFonts w:ascii="仿宋_GB2312" w:eastAsia="仿宋_GB2312"/>
      <w:b/>
      <w:color w:val="000000"/>
      <w:kern w:val="2"/>
      <w:sz w:val="24"/>
      <w:lang w:val="en-US" w:eastAsia="zh-CN" w:bidi="ar-SA"/>
    </w:rPr>
  </w:style>
  <w:style w:type="character" w:customStyle="1" w:styleId="286">
    <w:name w:val="Char Char30"/>
    <w:qFormat/>
    <w:uiPriority w:val="6"/>
    <w:rPr>
      <w:rFonts w:ascii="Arial" w:hAnsi="Arial" w:eastAsia="黑体"/>
      <w:kern w:val="1"/>
      <w:sz w:val="21"/>
      <w:szCs w:val="21"/>
    </w:rPr>
  </w:style>
  <w:style w:type="character" w:customStyle="1" w:styleId="287">
    <w:name w:val="font01"/>
    <w:basedOn w:val="72"/>
    <w:qFormat/>
    <w:uiPriority w:val="0"/>
    <w:rPr>
      <w:rFonts w:hint="eastAsia" w:ascii="微软雅黑" w:hAnsi="微软雅黑" w:eastAsia="微软雅黑" w:cs="微软雅黑"/>
      <w:color w:val="000000"/>
      <w:sz w:val="20"/>
      <w:szCs w:val="20"/>
      <w:u w:val="none"/>
    </w:rPr>
  </w:style>
  <w:style w:type="character" w:customStyle="1" w:styleId="288">
    <w:name w:val="Char Char20"/>
    <w:qFormat/>
    <w:uiPriority w:val="6"/>
    <w:rPr>
      <w:kern w:val="1"/>
      <w:sz w:val="24"/>
    </w:rPr>
  </w:style>
  <w:style w:type="character" w:customStyle="1" w:styleId="289">
    <w:name w:val="tw4winExternal"/>
    <w:qFormat/>
    <w:uiPriority w:val="0"/>
    <w:rPr>
      <w:rFonts w:ascii="Courier New" w:hAnsi="Courier New" w:cs="Courier New"/>
      <w:color w:val="808080"/>
      <w:lang w:val="en-US" w:eastAsia="zh-CN"/>
    </w:rPr>
  </w:style>
  <w:style w:type="character" w:customStyle="1" w:styleId="290">
    <w:name w:val="标题 4 Char1"/>
    <w:qFormat/>
    <w:uiPriority w:val="9"/>
    <w:rPr>
      <w:rFonts w:ascii="Cambria" w:hAnsi="Cambria" w:eastAsia="宋体" w:cs="Times New Roman"/>
      <w:b/>
      <w:bCs/>
      <w:kern w:val="2"/>
      <w:sz w:val="28"/>
      <w:szCs w:val="28"/>
    </w:rPr>
  </w:style>
  <w:style w:type="character" w:customStyle="1" w:styleId="291">
    <w:name w:val="批注文字 Char2"/>
    <w:qFormat/>
    <w:uiPriority w:val="99"/>
    <w:rPr>
      <w:rFonts w:ascii="Times New Roman" w:hAnsi="Times New Roman" w:eastAsia="宋体" w:cs="Times New Roman"/>
      <w:snapToGrid w:val="0"/>
      <w:kern w:val="0"/>
      <w:szCs w:val="24"/>
    </w:rPr>
  </w:style>
  <w:style w:type="character" w:customStyle="1" w:styleId="292">
    <w:name w:val="正文文本 2 Char"/>
    <w:qFormat/>
    <w:uiPriority w:val="0"/>
    <w:rPr>
      <w:rFonts w:eastAsia="宋体"/>
      <w:kern w:val="2"/>
      <w:sz w:val="21"/>
      <w:szCs w:val="24"/>
      <w:lang w:val="en-US" w:eastAsia="zh-CN" w:bidi="ar-SA"/>
    </w:rPr>
  </w:style>
  <w:style w:type="character" w:customStyle="1" w:styleId="293">
    <w:name w:val="Ò³Ã¼ Char Char"/>
    <w:qFormat/>
    <w:uiPriority w:val="0"/>
    <w:rPr>
      <w:rFonts w:eastAsia="宋体"/>
      <w:kern w:val="2"/>
      <w:sz w:val="18"/>
      <w:lang w:val="en-US" w:eastAsia="zh-CN" w:bidi="ar-SA"/>
    </w:rPr>
  </w:style>
  <w:style w:type="character" w:customStyle="1" w:styleId="294">
    <w:name w:val="message1"/>
    <w:qFormat/>
    <w:uiPriority w:val="0"/>
    <w:rPr>
      <w:rFonts w:hint="default" w:ascii="Tahoma" w:hAnsi="Tahoma" w:cs="Tahoma"/>
      <w:sz w:val="18"/>
      <w:szCs w:val="18"/>
    </w:rPr>
  </w:style>
  <w:style w:type="character" w:customStyle="1" w:styleId="295">
    <w:name w:val="Char Char23"/>
    <w:qFormat/>
    <w:uiPriority w:val="6"/>
    <w:rPr>
      <w:color w:val="0000FF"/>
      <w:sz w:val="21"/>
    </w:rPr>
  </w:style>
  <w:style w:type="character" w:customStyle="1" w:styleId="296">
    <w:name w:val="批注框文本 字符"/>
    <w:qFormat/>
    <w:uiPriority w:val="99"/>
    <w:rPr>
      <w:rFonts w:ascii="Arial" w:hAnsi="Arial" w:eastAsia="黑体" w:cs="Arial"/>
      <w:snapToGrid w:val="0"/>
      <w:kern w:val="0"/>
      <w:sz w:val="18"/>
      <w:szCs w:val="18"/>
    </w:rPr>
  </w:style>
  <w:style w:type="character" w:customStyle="1" w:styleId="297">
    <w:name w:val="纯文本 Char2"/>
    <w:semiHidden/>
    <w:qFormat/>
    <w:uiPriority w:val="99"/>
    <w:rPr>
      <w:rFonts w:ascii="宋体" w:hAnsi="Courier New" w:eastAsia="宋体" w:cs="Courier New"/>
    </w:rPr>
  </w:style>
  <w:style w:type="character" w:customStyle="1" w:styleId="298">
    <w:name w:val="Char Char25"/>
    <w:qFormat/>
    <w:uiPriority w:val="6"/>
    <w:rPr>
      <w:rFonts w:ascii="宋体" w:hAnsi="宋体"/>
      <w:kern w:val="1"/>
      <w:sz w:val="24"/>
      <w:lang w:val="zh-CN"/>
    </w:rPr>
  </w:style>
  <w:style w:type="character" w:customStyle="1" w:styleId="299">
    <w:name w:val="Char Char411"/>
    <w:qFormat/>
    <w:uiPriority w:val="0"/>
    <w:rPr>
      <w:rFonts w:eastAsia="宋体"/>
      <w:b/>
      <w:sz w:val="24"/>
      <w:lang w:val="en-GB" w:eastAsia="zh-CN" w:bidi="ar-SA"/>
    </w:rPr>
  </w:style>
  <w:style w:type="character" w:customStyle="1" w:styleId="300">
    <w:name w:val="Heading 7 Char"/>
    <w:qFormat/>
    <w:locked/>
    <w:uiPriority w:val="0"/>
    <w:rPr>
      <w:rFonts w:ascii="宋体" w:hAnsi="宋体" w:eastAsia="宋体"/>
      <w:b/>
      <w:bCs/>
      <w:kern w:val="2"/>
      <w:sz w:val="24"/>
      <w:szCs w:val="24"/>
      <w:lang w:val="en-US" w:eastAsia="zh-CN" w:bidi="ar-SA"/>
    </w:rPr>
  </w:style>
  <w:style w:type="character" w:customStyle="1" w:styleId="301">
    <w:name w:val="此正文 Char"/>
    <w:link w:val="302"/>
    <w:qFormat/>
    <w:uiPriority w:val="0"/>
    <w:rPr>
      <w:kern w:val="2"/>
      <w:sz w:val="24"/>
      <w:szCs w:val="24"/>
    </w:rPr>
  </w:style>
  <w:style w:type="paragraph" w:customStyle="1" w:styleId="302">
    <w:name w:val="此正文"/>
    <w:basedOn w:val="1"/>
    <w:link w:val="301"/>
    <w:qFormat/>
    <w:uiPriority w:val="0"/>
    <w:pPr>
      <w:adjustRightInd/>
      <w:spacing w:line="360" w:lineRule="auto"/>
      <w:ind w:firstLine="200" w:firstLineChars="200"/>
    </w:pPr>
    <w:rPr>
      <w:sz w:val="24"/>
    </w:rPr>
  </w:style>
  <w:style w:type="character" w:customStyle="1" w:styleId="303">
    <w:name w:val="Char Char2"/>
    <w:qFormat/>
    <w:uiPriority w:val="0"/>
    <w:rPr>
      <w:rFonts w:eastAsia="宋体"/>
      <w:b/>
      <w:bCs/>
      <w:kern w:val="2"/>
      <w:sz w:val="21"/>
      <w:szCs w:val="24"/>
      <w:lang w:val="en-US" w:eastAsia="zh-CN" w:bidi="ar-SA"/>
    </w:rPr>
  </w:style>
  <w:style w:type="character" w:customStyle="1" w:styleId="304">
    <w:name w:val="Footer-Even Char1"/>
    <w:qFormat/>
    <w:uiPriority w:val="0"/>
    <w:rPr>
      <w:rFonts w:eastAsia="宋体"/>
      <w:kern w:val="2"/>
      <w:sz w:val="18"/>
      <w:szCs w:val="18"/>
      <w:lang w:val="en-US" w:eastAsia="zh-CN" w:bidi="ar-SA"/>
    </w:rPr>
  </w:style>
  <w:style w:type="character" w:customStyle="1" w:styleId="305">
    <w:name w:val="Char Char29"/>
    <w:qFormat/>
    <w:uiPriority w:val="6"/>
    <w:rPr>
      <w:rFonts w:ascii="Arial" w:hAnsi="Arial" w:eastAsia="微软雅黑"/>
      <w:b/>
      <w:kern w:val="1"/>
      <w:sz w:val="44"/>
      <w:szCs w:val="32"/>
      <w:lang w:val="en-US" w:eastAsia="zh-CN" w:bidi="ar-SA"/>
    </w:rPr>
  </w:style>
  <w:style w:type="character" w:customStyle="1" w:styleId="306">
    <w:name w:val="font81"/>
    <w:qFormat/>
    <w:uiPriority w:val="0"/>
    <w:rPr>
      <w:rFonts w:ascii="微软雅黑" w:hAnsi="微软雅黑" w:eastAsia="微软雅黑" w:cs="微软雅黑"/>
      <w:color w:val="000000"/>
      <w:sz w:val="20"/>
      <w:szCs w:val="20"/>
      <w:u w:val="none"/>
    </w:rPr>
  </w:style>
  <w:style w:type="character" w:customStyle="1" w:styleId="307">
    <w:name w:val="Char Char312"/>
    <w:qFormat/>
    <w:uiPriority w:val="0"/>
    <w:rPr>
      <w:rFonts w:ascii="Times New Roman" w:hAnsi="Times New Roman" w:eastAsia="宋体" w:cs="Times New Roman"/>
      <w:b/>
      <w:kern w:val="2"/>
      <w:sz w:val="32"/>
      <w:szCs w:val="24"/>
      <w:lang w:val="en-US" w:eastAsia="zh-CN" w:bidi="ar-SA"/>
    </w:rPr>
  </w:style>
  <w:style w:type="character" w:customStyle="1" w:styleId="308">
    <w:name w:val="t21"/>
    <w:qFormat/>
    <w:uiPriority w:val="0"/>
    <w:rPr>
      <w:rFonts w:ascii="仿宋_GB2312" w:eastAsia="微软雅黑"/>
      <w:b/>
      <w:kern w:val="2"/>
      <w:sz w:val="23"/>
      <w:szCs w:val="23"/>
      <w:lang w:val="en-US" w:eastAsia="zh-CN" w:bidi="ar-SA"/>
    </w:rPr>
  </w:style>
  <w:style w:type="character" w:customStyle="1" w:styleId="309">
    <w:name w:val="样式8 Char"/>
    <w:qFormat/>
    <w:uiPriority w:val="0"/>
    <w:rPr>
      <w:rFonts w:ascii="仿宋_GB2312" w:hAnsi="宋体" w:eastAsia="仿宋_GB2312"/>
      <w:b/>
      <w:bCs/>
      <w:kern w:val="2"/>
      <w:sz w:val="24"/>
      <w:szCs w:val="24"/>
    </w:rPr>
  </w:style>
  <w:style w:type="character" w:customStyle="1" w:styleId="310">
    <w:name w:val="表格 Char Char"/>
    <w:qFormat/>
    <w:uiPriority w:val="0"/>
    <w:rPr>
      <w:rFonts w:ascii="宋体" w:hAnsi="宋体" w:eastAsia="宋体"/>
      <w:lang w:bidi="ar-SA"/>
    </w:rPr>
  </w:style>
  <w:style w:type="character" w:customStyle="1" w:styleId="311">
    <w:name w:val="正文文本 字符1"/>
    <w:qFormat/>
    <w:uiPriority w:val="0"/>
    <w:rPr>
      <w:rFonts w:ascii="Calibri" w:hAnsi="Calibri" w:eastAsia="黑体" w:cs="Arial"/>
      <w:snapToGrid w:val="0"/>
      <w:kern w:val="2"/>
      <w:sz w:val="28"/>
      <w:szCs w:val="21"/>
    </w:rPr>
  </w:style>
  <w:style w:type="character" w:customStyle="1" w:styleId="312">
    <w:name w:val="标题 6 Char1"/>
    <w:qFormat/>
    <w:uiPriority w:val="0"/>
    <w:rPr>
      <w:rFonts w:ascii="Arial" w:hAnsi="Arial" w:eastAsia="黑体" w:cs="Times New Roman"/>
      <w:b/>
      <w:sz w:val="24"/>
      <w:szCs w:val="20"/>
      <w:lang w:bidi="ar-SA"/>
    </w:rPr>
  </w:style>
  <w:style w:type="character" w:customStyle="1" w:styleId="313">
    <w:name w:val="带编号样式 Char"/>
    <w:qFormat/>
    <w:uiPriority w:val="0"/>
    <w:rPr>
      <w:rFonts w:ascii="仿宋_GB2312" w:eastAsia="仿宋_GB2312"/>
      <w:color w:val="000000"/>
      <w:sz w:val="24"/>
      <w:lang w:bidi="ar-SA"/>
    </w:rPr>
  </w:style>
  <w:style w:type="character" w:customStyle="1" w:styleId="314">
    <w:name w:val="unnamed31"/>
    <w:qFormat/>
    <w:uiPriority w:val="0"/>
    <w:rPr>
      <w:rFonts w:ascii="Tahoma" w:hAnsi="Tahoma" w:eastAsia="宋体"/>
      <w:b/>
      <w:kern w:val="2"/>
      <w:sz w:val="24"/>
      <w:szCs w:val="32"/>
      <w:u w:val="none"/>
      <w:lang w:val="en-US" w:eastAsia="zh-CN" w:bidi="ar-SA"/>
    </w:rPr>
  </w:style>
  <w:style w:type="character" w:customStyle="1" w:styleId="315">
    <w:name w:val="正文首行缩进 Char Char Char Char Char Char1"/>
    <w:qFormat/>
    <w:uiPriority w:val="0"/>
    <w:rPr>
      <w:rFonts w:ascii="宋体" w:eastAsia="宋体"/>
      <w:kern w:val="2"/>
      <w:sz w:val="24"/>
      <w:szCs w:val="24"/>
      <w:lang w:val="zh-CN" w:bidi="ar-SA"/>
    </w:rPr>
  </w:style>
  <w:style w:type="character" w:customStyle="1" w:styleId="316">
    <w:name w:val="文本正文 Char Char"/>
    <w:qFormat/>
    <w:locked/>
    <w:uiPriority w:val="0"/>
    <w:rPr>
      <w:sz w:val="24"/>
      <w:lang w:bidi="ar-SA"/>
    </w:rPr>
  </w:style>
  <w:style w:type="character" w:customStyle="1" w:styleId="317">
    <w:name w:val="正文缩进 字符"/>
    <w:qFormat/>
    <w:uiPriority w:val="0"/>
    <w:rPr>
      <w:rFonts w:ascii="宋体" w:eastAsia="宋体"/>
      <w:snapToGrid w:val="0"/>
      <w:color w:val="000000"/>
      <w:kern w:val="28"/>
      <w:sz w:val="28"/>
      <w:lang w:val="en-US" w:eastAsia="zh-CN" w:bidi="ar-SA"/>
    </w:rPr>
  </w:style>
  <w:style w:type="character" w:customStyle="1" w:styleId="318">
    <w:name w:val="样式 样式 标题 4h4H4Fab-4T5Ref Heading 1rh1Heading sqlsect 1.2.3.... +... Char"/>
    <w:link w:val="319"/>
    <w:qFormat/>
    <w:uiPriority w:val="0"/>
    <w:rPr>
      <w:rFonts w:ascii="微软雅黑" w:hAnsi="微软雅黑" w:eastAsia="微软雅黑"/>
      <w:b/>
      <w:bCs/>
      <w:kern w:val="2"/>
      <w:sz w:val="24"/>
      <w:szCs w:val="28"/>
    </w:rPr>
  </w:style>
  <w:style w:type="paragraph" w:customStyle="1" w:styleId="319">
    <w:name w:val="样式 样式 标题 4h4H4Fab-4T5Ref Heading 1rh1Heading sqlsect 1.2.3.... +..."/>
    <w:basedOn w:val="320"/>
    <w:link w:val="318"/>
    <w:qFormat/>
    <w:uiPriority w:val="0"/>
    <w:pPr>
      <w:tabs>
        <w:tab w:val="left" w:pos="2356"/>
      </w:tabs>
    </w:pPr>
  </w:style>
  <w:style w:type="paragraph" w:customStyle="1" w:styleId="320">
    <w:name w:val="样式 标题 4h4H4Fab-4T5Ref Heading 1rh1Heading sqlsect 1.2.3...."/>
    <w:basedOn w:val="12"/>
    <w:link w:val="32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1">
    <w:name w:val="样式 标题 4h4H4Fab-4T5Ref Heading 1rh1Heading sqlsect 1.2.3.... Char"/>
    <w:link w:val="320"/>
    <w:qFormat/>
    <w:uiPriority w:val="0"/>
    <w:rPr>
      <w:rFonts w:ascii="微软雅黑" w:hAnsi="微软雅黑" w:eastAsia="微软雅黑"/>
      <w:b/>
      <w:bCs/>
      <w:kern w:val="2"/>
      <w:sz w:val="24"/>
      <w:szCs w:val="28"/>
    </w:rPr>
  </w:style>
  <w:style w:type="character" w:customStyle="1" w:styleId="322">
    <w:name w:val="正文非缩进 Char"/>
    <w:qFormat/>
    <w:uiPriority w:val="0"/>
    <w:rPr>
      <w:rFonts w:ascii="宋体" w:eastAsia="宋体"/>
      <w:snapToGrid w:val="0"/>
      <w:color w:val="000000"/>
      <w:kern w:val="28"/>
      <w:sz w:val="28"/>
      <w:lang w:val="en-US" w:eastAsia="zh-CN" w:bidi="ar-SA"/>
    </w:rPr>
  </w:style>
  <w:style w:type="character" w:customStyle="1" w:styleId="323">
    <w:name w:val="Char Char5"/>
    <w:qFormat/>
    <w:uiPriority w:val="0"/>
    <w:rPr>
      <w:rFonts w:ascii="宋体" w:hAnsi="Courier New" w:eastAsia="宋体"/>
      <w:kern w:val="2"/>
      <w:sz w:val="21"/>
      <w:lang w:val="en-US" w:eastAsia="zh-CN"/>
    </w:rPr>
  </w:style>
  <w:style w:type="character" w:customStyle="1" w:styleId="324">
    <w:name w:val="称呼 Char1"/>
    <w:qFormat/>
    <w:uiPriority w:val="0"/>
    <w:rPr>
      <w:rFonts w:ascii="Times New Roman" w:hAnsi="Times New Roman" w:eastAsia="宋体" w:cs="Times New Roman"/>
      <w:szCs w:val="24"/>
    </w:rPr>
  </w:style>
  <w:style w:type="character" w:customStyle="1" w:styleId="325">
    <w:name w:val="正文1 Char"/>
    <w:qFormat/>
    <w:uiPriority w:val="0"/>
    <w:rPr>
      <w:rFonts w:ascii="宋体" w:eastAsia="宋体"/>
      <w:snapToGrid w:val="0"/>
      <w:color w:val="000000"/>
      <w:kern w:val="28"/>
      <w:sz w:val="28"/>
      <w:lang w:val="en-US" w:eastAsia="zh-CN" w:bidi="ar-SA"/>
    </w:rPr>
  </w:style>
  <w:style w:type="character" w:customStyle="1" w:styleId="326">
    <w:name w:val="正文缩进 Char1"/>
    <w:qFormat/>
    <w:uiPriority w:val="0"/>
    <w:rPr>
      <w:rFonts w:ascii="宋体" w:eastAsia="宋体"/>
      <w:snapToGrid w:val="0"/>
      <w:color w:val="000000"/>
      <w:kern w:val="28"/>
      <w:sz w:val="28"/>
      <w:lang w:val="en-US" w:eastAsia="zh-CN" w:bidi="ar-SA"/>
    </w:rPr>
  </w:style>
  <w:style w:type="character" w:customStyle="1" w:styleId="327">
    <w:name w:val="font21"/>
    <w:basedOn w:val="72"/>
    <w:qFormat/>
    <w:uiPriority w:val="0"/>
    <w:rPr>
      <w:rFonts w:hint="eastAsia" w:ascii="宋体" w:hAnsi="宋体" w:eastAsia="宋体"/>
      <w:kern w:val="2"/>
      <w:sz w:val="28"/>
      <w:szCs w:val="28"/>
      <w:lang w:val="en-US" w:eastAsia="zh-CN" w:bidi="ar-SA"/>
    </w:rPr>
  </w:style>
  <w:style w:type="character" w:customStyle="1" w:styleId="328">
    <w:name w:val="Char Char26"/>
    <w:qFormat/>
    <w:uiPriority w:val="6"/>
    <w:rPr>
      <w:kern w:val="1"/>
      <w:sz w:val="21"/>
      <w:szCs w:val="24"/>
    </w:rPr>
  </w:style>
  <w:style w:type="character" w:customStyle="1" w:styleId="329">
    <w:name w:val="Item List Char"/>
    <w:link w:val="330"/>
    <w:qFormat/>
    <w:uiPriority w:val="0"/>
    <w:rPr>
      <w:rFonts w:ascii="Arial"/>
      <w:bCs/>
      <w:sz w:val="21"/>
      <w:szCs w:val="21"/>
      <w:lang w:val="en-US" w:eastAsia="zh-CN" w:bidi="ar-SA"/>
    </w:rPr>
  </w:style>
  <w:style w:type="paragraph" w:customStyle="1" w:styleId="330">
    <w:name w:val="Item List"/>
    <w:link w:val="32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1">
    <w:name w:val="批注框文本 Char1"/>
    <w:qFormat/>
    <w:uiPriority w:val="0"/>
    <w:rPr>
      <w:rFonts w:ascii="Times New Roman" w:hAnsi="Times New Roman" w:eastAsia="宋体" w:cs="Times New Roman"/>
      <w:sz w:val="18"/>
      <w:szCs w:val="18"/>
    </w:rPr>
  </w:style>
  <w:style w:type="character" w:customStyle="1" w:styleId="332">
    <w:name w:val="纯文本 Char1"/>
    <w:link w:val="333"/>
    <w:qFormat/>
    <w:uiPriority w:val="0"/>
    <w:rPr>
      <w:rFonts w:ascii="宋体" w:hAnsi="Courier New"/>
    </w:rPr>
  </w:style>
  <w:style w:type="paragraph" w:customStyle="1" w:styleId="333">
    <w:name w:val="纯文本1"/>
    <w:basedOn w:val="1"/>
    <w:link w:val="332"/>
    <w:qFormat/>
    <w:uiPriority w:val="0"/>
    <w:pPr>
      <w:adjustRightInd/>
    </w:pPr>
    <w:rPr>
      <w:rFonts w:ascii="宋体" w:hAnsi="Courier New"/>
      <w:kern w:val="0"/>
      <w:sz w:val="20"/>
      <w:szCs w:val="20"/>
    </w:rPr>
  </w:style>
  <w:style w:type="character" w:customStyle="1" w:styleId="334">
    <w:name w:val="h3 Char"/>
    <w:qFormat/>
    <w:uiPriority w:val="0"/>
    <w:rPr>
      <w:rFonts w:eastAsia="宋体"/>
      <w:b/>
      <w:kern w:val="2"/>
      <w:sz w:val="32"/>
      <w:lang w:val="en-US" w:eastAsia="zh-CN" w:bidi="ar-SA"/>
    </w:rPr>
  </w:style>
  <w:style w:type="character" w:customStyle="1" w:styleId="335">
    <w:name w:val="dandyren_title1"/>
    <w:qFormat/>
    <w:uiPriority w:val="0"/>
    <w:rPr>
      <w:b/>
      <w:bCs/>
      <w:color w:val="FF6633"/>
      <w:sz w:val="18"/>
      <w:szCs w:val="18"/>
    </w:rPr>
  </w:style>
  <w:style w:type="character" w:customStyle="1" w:styleId="336">
    <w:name w:val="Char Char31"/>
    <w:qFormat/>
    <w:uiPriority w:val="6"/>
    <w:rPr>
      <w:rFonts w:ascii="Arial" w:hAnsi="Arial" w:eastAsia="黑体"/>
      <w:kern w:val="1"/>
      <w:sz w:val="24"/>
      <w:szCs w:val="24"/>
    </w:rPr>
  </w:style>
  <w:style w:type="character" w:customStyle="1" w:styleId="337">
    <w:name w:val="h Char1"/>
    <w:qFormat/>
    <w:uiPriority w:val="0"/>
    <w:rPr>
      <w:sz w:val="18"/>
      <w:szCs w:val="18"/>
    </w:rPr>
  </w:style>
  <w:style w:type="character" w:customStyle="1" w:styleId="338">
    <w:name w:val="solutionfonts"/>
    <w:qFormat/>
    <w:uiPriority w:val="0"/>
  </w:style>
  <w:style w:type="character" w:customStyle="1" w:styleId="339">
    <w:name w:val="首行缩进 Char"/>
    <w:qFormat/>
    <w:uiPriority w:val="0"/>
    <w:rPr>
      <w:rFonts w:ascii="宋体" w:eastAsia="宋体"/>
      <w:kern w:val="2"/>
      <w:sz w:val="24"/>
      <w:lang w:val="en-US" w:eastAsia="zh-CN" w:bidi="ar-SA"/>
    </w:rPr>
  </w:style>
  <w:style w:type="character" w:customStyle="1" w:styleId="340">
    <w:name w:val="Char Char52"/>
    <w:qFormat/>
    <w:uiPriority w:val="0"/>
    <w:rPr>
      <w:rFonts w:ascii="宋体" w:hAnsi="Courier New" w:eastAsia="宋体"/>
      <w:kern w:val="2"/>
      <w:sz w:val="21"/>
      <w:lang w:val="en-US" w:eastAsia="zh-CN"/>
    </w:rPr>
  </w:style>
  <w:style w:type="character" w:customStyle="1" w:styleId="341">
    <w:name w:val="font31"/>
    <w:qFormat/>
    <w:uiPriority w:val="0"/>
    <w:rPr>
      <w:rFonts w:hint="eastAsia" w:ascii="仿宋" w:hAnsi="仿宋" w:eastAsia="仿宋" w:cs="仿宋"/>
      <w:color w:val="000000"/>
      <w:sz w:val="20"/>
      <w:szCs w:val="20"/>
      <w:u w:val="none"/>
    </w:rPr>
  </w:style>
  <w:style w:type="character" w:customStyle="1" w:styleId="342">
    <w:name w:val="正文说明 Char"/>
    <w:link w:val="343"/>
    <w:qFormat/>
    <w:uiPriority w:val="0"/>
    <w:rPr>
      <w:sz w:val="24"/>
      <w:szCs w:val="24"/>
    </w:rPr>
  </w:style>
  <w:style w:type="paragraph" w:customStyle="1" w:styleId="343">
    <w:name w:val="正文说明"/>
    <w:basedOn w:val="1"/>
    <w:link w:val="342"/>
    <w:qFormat/>
    <w:uiPriority w:val="0"/>
    <w:pPr>
      <w:adjustRightInd/>
      <w:spacing w:line="360" w:lineRule="auto"/>
    </w:pPr>
    <w:rPr>
      <w:kern w:val="0"/>
      <w:sz w:val="24"/>
    </w:rPr>
  </w:style>
  <w:style w:type="character" w:customStyle="1" w:styleId="344">
    <w:name w:val="脚注文本 Char1"/>
    <w:qFormat/>
    <w:uiPriority w:val="0"/>
    <w:rPr>
      <w:rFonts w:ascii="Times New Roman" w:hAnsi="Times New Roman" w:eastAsia="宋体" w:cs="Times New Roman"/>
      <w:sz w:val="18"/>
      <w:szCs w:val="18"/>
    </w:rPr>
  </w:style>
  <w:style w:type="character" w:customStyle="1" w:styleId="345">
    <w:name w:val="Char Char1211"/>
    <w:qFormat/>
    <w:uiPriority w:val="0"/>
    <w:rPr>
      <w:rFonts w:ascii="仿宋_GB2312" w:eastAsia="仿宋_GB2312"/>
      <w:b/>
      <w:bCs/>
      <w:kern w:val="2"/>
      <w:sz w:val="24"/>
      <w:szCs w:val="24"/>
      <w:lang w:val="zh-CN" w:eastAsia="zh-CN" w:bidi="ar-SA"/>
    </w:rPr>
  </w:style>
  <w:style w:type="character" w:customStyle="1" w:styleId="346">
    <w:name w:val="标题 Char"/>
    <w:qFormat/>
    <w:uiPriority w:val="0"/>
    <w:rPr>
      <w:rFonts w:eastAsia="宋体"/>
      <w:b/>
      <w:sz w:val="24"/>
      <w:lang w:val="en-GB" w:eastAsia="zh-CN" w:bidi="ar-SA"/>
    </w:rPr>
  </w:style>
  <w:style w:type="character" w:customStyle="1" w:styleId="347">
    <w:name w:val="Char Char35"/>
    <w:qFormat/>
    <w:uiPriority w:val="6"/>
    <w:rPr>
      <w:rFonts w:ascii="Arial" w:hAnsi="Arial" w:eastAsia="黑体"/>
      <w:b/>
      <w:kern w:val="1"/>
      <w:sz w:val="28"/>
      <w:szCs w:val="28"/>
      <w:lang w:val="zh-CN"/>
    </w:rPr>
  </w:style>
  <w:style w:type="character" w:customStyle="1" w:styleId="348">
    <w:name w:val="纯文本 Char Char Char"/>
    <w:qFormat/>
    <w:uiPriority w:val="0"/>
    <w:rPr>
      <w:rFonts w:ascii="宋体" w:hAnsi="Courier New" w:eastAsia="宋体"/>
      <w:kern w:val="2"/>
      <w:sz w:val="21"/>
      <w:lang w:val="en-US" w:eastAsia="zh-CN" w:bidi="ar-SA"/>
    </w:rPr>
  </w:style>
  <w:style w:type="character" w:customStyle="1" w:styleId="349">
    <w:name w:val="Table Text Char"/>
    <w:link w:val="350"/>
    <w:qFormat/>
    <w:uiPriority w:val="0"/>
    <w:rPr>
      <w:sz w:val="24"/>
      <w:szCs w:val="24"/>
    </w:rPr>
  </w:style>
  <w:style w:type="paragraph" w:customStyle="1" w:styleId="350">
    <w:name w:val="Table Text"/>
    <w:basedOn w:val="1"/>
    <w:link w:val="349"/>
    <w:qFormat/>
    <w:uiPriority w:val="0"/>
    <w:pPr>
      <w:widowControl/>
      <w:spacing w:before="60" w:after="60"/>
      <w:jc w:val="left"/>
    </w:pPr>
    <w:rPr>
      <w:kern w:val="0"/>
      <w:sz w:val="24"/>
    </w:rPr>
  </w:style>
  <w:style w:type="character" w:customStyle="1" w:styleId="351">
    <w:name w:val="正文1 Char1"/>
    <w:qFormat/>
    <w:uiPriority w:val="0"/>
    <w:rPr>
      <w:rFonts w:ascii="仿宋_GB2312" w:hAnsi="Courier New" w:eastAsia="仿宋_GB2312"/>
      <w:kern w:val="28"/>
      <w:sz w:val="24"/>
      <w:szCs w:val="24"/>
      <w:lang w:val="en-US" w:eastAsia="zh-CN"/>
    </w:rPr>
  </w:style>
  <w:style w:type="character" w:customStyle="1" w:styleId="352">
    <w:name w:val="页脚 Char1"/>
    <w:qFormat/>
    <w:uiPriority w:val="0"/>
    <w:rPr>
      <w:rFonts w:eastAsia="宋体"/>
      <w:kern w:val="2"/>
      <w:sz w:val="18"/>
      <w:szCs w:val="18"/>
      <w:lang w:val="en-US" w:eastAsia="zh-CN" w:bidi="ar-SA"/>
    </w:rPr>
  </w:style>
  <w:style w:type="character" w:customStyle="1" w:styleId="353">
    <w:name w:val="Bold"/>
    <w:qFormat/>
    <w:uiPriority w:val="0"/>
    <w:rPr>
      <w:rFonts w:ascii="Arial" w:hAnsi="Arial" w:eastAsia="黑体" w:cs="Times New Roman"/>
      <w:b/>
      <w:kern w:val="2"/>
      <w:sz w:val="32"/>
      <w:szCs w:val="32"/>
      <w:lang w:val="en-US" w:eastAsia="zh-CN" w:bidi="ar-SA"/>
    </w:rPr>
  </w:style>
  <w:style w:type="character" w:customStyle="1" w:styleId="354">
    <w:name w:val="hui3"/>
    <w:qFormat/>
    <w:uiPriority w:val="0"/>
    <w:rPr>
      <w:color w:val="333333"/>
    </w:rPr>
  </w:style>
  <w:style w:type="character" w:customStyle="1" w:styleId="355">
    <w:name w:val="Char Char17"/>
    <w:qFormat/>
    <w:uiPriority w:val="6"/>
    <w:rPr>
      <w:rFonts w:eastAsia="仿宋_GB2312"/>
      <w:sz w:val="24"/>
    </w:rPr>
  </w:style>
  <w:style w:type="character" w:customStyle="1" w:styleId="356">
    <w:name w:val="标题 4 字符"/>
    <w:qFormat/>
    <w:uiPriority w:val="9"/>
    <w:rPr>
      <w:rFonts w:ascii="等线 Light" w:hAnsi="等线 Light" w:eastAsia="等线 Light" w:cs="Times New Roman"/>
      <w:b/>
      <w:bCs/>
      <w:snapToGrid w:val="0"/>
      <w:kern w:val="0"/>
      <w:sz w:val="28"/>
      <w:szCs w:val="28"/>
    </w:rPr>
  </w:style>
  <w:style w:type="character" w:customStyle="1" w:styleId="357">
    <w:name w:val="Char Char37"/>
    <w:qFormat/>
    <w:uiPriority w:val="6"/>
    <w:rPr>
      <w:b/>
      <w:kern w:val="1"/>
      <w:sz w:val="44"/>
      <w:szCs w:val="44"/>
    </w:rPr>
  </w:style>
  <w:style w:type="character" w:customStyle="1" w:styleId="358">
    <w:name w:val="列出段落 Char"/>
    <w:qFormat/>
    <w:uiPriority w:val="0"/>
    <w:rPr>
      <w:rFonts w:eastAsia="楷体_GB2312" w:cs="Lucida Sans"/>
      <w:kern w:val="2"/>
      <w:sz w:val="24"/>
      <w:szCs w:val="24"/>
      <w:lang w:val="en-US" w:eastAsia="zh-CN" w:bidi="ar-SA"/>
    </w:rPr>
  </w:style>
  <w:style w:type="character" w:customStyle="1" w:styleId="359">
    <w:name w:val="正文文本缩进 3 Char1"/>
    <w:semiHidden/>
    <w:qFormat/>
    <w:uiPriority w:val="99"/>
    <w:rPr>
      <w:rFonts w:ascii="Times New Roman" w:hAnsi="Times New Roman" w:eastAsia="宋体" w:cs="Times New Roman"/>
      <w:sz w:val="16"/>
      <w:szCs w:val="16"/>
    </w:rPr>
  </w:style>
  <w:style w:type="character" w:customStyle="1" w:styleId="360">
    <w:name w:val="公文正文 Char Char"/>
    <w:link w:val="361"/>
    <w:qFormat/>
    <w:uiPriority w:val="0"/>
    <w:rPr>
      <w:rFonts w:ascii="仿宋_GB2312" w:eastAsia="仿宋_GB2312"/>
      <w:kern w:val="2"/>
      <w:sz w:val="24"/>
      <w:szCs w:val="24"/>
    </w:rPr>
  </w:style>
  <w:style w:type="paragraph" w:customStyle="1" w:styleId="361">
    <w:name w:val="公文正文"/>
    <w:basedOn w:val="1"/>
    <w:link w:val="360"/>
    <w:qFormat/>
    <w:uiPriority w:val="0"/>
    <w:pPr>
      <w:adjustRightInd/>
      <w:spacing w:before="156" w:line="360" w:lineRule="auto"/>
      <w:ind w:firstLine="360" w:firstLineChars="200"/>
    </w:pPr>
    <w:rPr>
      <w:rFonts w:ascii="仿宋_GB2312" w:eastAsia="仿宋_GB2312"/>
      <w:sz w:val="24"/>
    </w:rPr>
  </w:style>
  <w:style w:type="character" w:customStyle="1" w:styleId="362">
    <w:name w:val="Table Text Char1"/>
    <w:qFormat/>
    <w:uiPriority w:val="0"/>
    <w:rPr>
      <w:rFonts w:eastAsia="宋体"/>
      <w:sz w:val="24"/>
      <w:szCs w:val="24"/>
      <w:lang w:val="en-US" w:eastAsia="zh-CN" w:bidi="ar-SA"/>
    </w:rPr>
  </w:style>
  <w:style w:type="character" w:customStyle="1" w:styleId="363">
    <w:name w:val="标题 1 Char Char"/>
    <w:qFormat/>
    <w:uiPriority w:val="0"/>
    <w:rPr>
      <w:rFonts w:hint="eastAsia" w:ascii="宋体" w:hAnsi="宋体" w:eastAsia="宋体"/>
      <w:b/>
      <w:spacing w:val="-2"/>
      <w:sz w:val="24"/>
      <w:lang w:val="en-US" w:eastAsia="zh-CN" w:bidi="ar-SA"/>
    </w:rPr>
  </w:style>
  <w:style w:type="character" w:customStyle="1" w:styleId="364">
    <w:name w:val="正文（缩进2汉字） Char"/>
    <w:link w:val="365"/>
    <w:qFormat/>
    <w:uiPriority w:val="0"/>
    <w:rPr>
      <w:rFonts w:ascii="宋体"/>
    </w:rPr>
  </w:style>
  <w:style w:type="paragraph" w:customStyle="1" w:styleId="365">
    <w:name w:val="正文（缩进2汉字）"/>
    <w:basedOn w:val="1"/>
    <w:link w:val="36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6">
    <w:name w:val="标书表格字体格式 Char"/>
    <w:qFormat/>
    <w:uiPriority w:val="0"/>
    <w:rPr>
      <w:kern w:val="2"/>
      <w:sz w:val="21"/>
      <w:szCs w:val="24"/>
      <w:lang w:bidi="ar-SA"/>
    </w:rPr>
  </w:style>
  <w:style w:type="character" w:customStyle="1" w:styleId="367">
    <w:name w:val="tw4winError"/>
    <w:qFormat/>
    <w:uiPriority w:val="0"/>
    <w:rPr>
      <w:rFonts w:ascii="Courier New" w:hAnsi="Courier New" w:cs="Courier New"/>
      <w:color w:val="00FF00"/>
      <w:sz w:val="40"/>
      <w:szCs w:val="40"/>
    </w:rPr>
  </w:style>
  <w:style w:type="character" w:customStyle="1" w:styleId="368">
    <w:name w:val="Body Text(ch) Char Char"/>
    <w:qFormat/>
    <w:uiPriority w:val="0"/>
    <w:rPr>
      <w:rFonts w:ascii="宋体"/>
      <w:kern w:val="2"/>
      <w:sz w:val="24"/>
      <w:szCs w:val="21"/>
      <w:lang w:val="zh-CN"/>
    </w:rPr>
  </w:style>
  <w:style w:type="character" w:customStyle="1" w:styleId="369">
    <w:name w:val="正文首行缩进两字 Char"/>
    <w:qFormat/>
    <w:uiPriority w:val="0"/>
    <w:rPr>
      <w:sz w:val="24"/>
      <w:szCs w:val="24"/>
      <w:lang w:val="en-US" w:eastAsia="zh-CN" w:bidi="ar-SA"/>
    </w:rPr>
  </w:style>
  <w:style w:type="character" w:customStyle="1" w:styleId="370">
    <w:name w:val="正文文本 Char"/>
    <w:qFormat/>
    <w:uiPriority w:val="0"/>
    <w:rPr>
      <w:rFonts w:eastAsia="宋体"/>
      <w:kern w:val="2"/>
      <w:sz w:val="24"/>
      <w:szCs w:val="24"/>
      <w:lang w:val="en-US" w:eastAsia="zh-CN" w:bidi="ar-SA"/>
    </w:rPr>
  </w:style>
  <w:style w:type="character" w:customStyle="1" w:styleId="371">
    <w:name w:val="文档结构图 字符1"/>
    <w:qFormat/>
    <w:uiPriority w:val="0"/>
    <w:rPr>
      <w:rFonts w:ascii="宋体" w:hAnsi="Calibri" w:eastAsia="黑体" w:cs="Arial"/>
      <w:snapToGrid w:val="0"/>
      <w:kern w:val="2"/>
      <w:sz w:val="18"/>
      <w:szCs w:val="18"/>
    </w:rPr>
  </w:style>
  <w:style w:type="character" w:customStyle="1" w:styleId="372">
    <w:name w:val="content"/>
    <w:qFormat/>
    <w:uiPriority w:val="0"/>
  </w:style>
  <w:style w:type="character" w:customStyle="1" w:styleId="373">
    <w:name w:val="tw4winPopup"/>
    <w:qFormat/>
    <w:uiPriority w:val="0"/>
    <w:rPr>
      <w:rFonts w:ascii="Courier New" w:hAnsi="Courier New" w:cs="Courier New"/>
      <w:color w:val="008000"/>
      <w:lang w:val="en-US" w:eastAsia="zh-CN"/>
    </w:rPr>
  </w:style>
  <w:style w:type="character" w:customStyle="1" w:styleId="374">
    <w:name w:val="param-name"/>
    <w:qFormat/>
    <w:uiPriority w:val="99"/>
    <w:rPr>
      <w:rFonts w:ascii="Arial" w:hAnsi="Arial" w:eastAsia="黑体" w:cs="Arial"/>
      <w:snapToGrid w:val="0"/>
      <w:kern w:val="0"/>
      <w:szCs w:val="21"/>
    </w:rPr>
  </w:style>
  <w:style w:type="character" w:customStyle="1" w:styleId="375">
    <w:name w:val="标准正文格式 Char"/>
    <w:qFormat/>
    <w:uiPriority w:val="0"/>
    <w:rPr>
      <w:rFonts w:ascii="宋体" w:eastAsia="仿宋_GB2312" w:cs="宋体"/>
      <w:color w:val="000000"/>
      <w:sz w:val="24"/>
      <w:lang w:val="en-US" w:eastAsia="zh-CN" w:bidi="ar-SA"/>
    </w:rPr>
  </w:style>
  <w:style w:type="character" w:customStyle="1" w:styleId="376">
    <w:name w:val="Char Char212"/>
    <w:qFormat/>
    <w:uiPriority w:val="0"/>
    <w:rPr>
      <w:rFonts w:eastAsia="宋体"/>
      <w:b/>
      <w:bCs/>
      <w:kern w:val="2"/>
      <w:sz w:val="21"/>
      <w:szCs w:val="24"/>
      <w:lang w:val="en-US" w:eastAsia="zh-CN" w:bidi="ar-SA"/>
    </w:rPr>
  </w:style>
  <w:style w:type="character" w:customStyle="1" w:styleId="377">
    <w:name w:val="文档结构图 Char"/>
    <w:qFormat/>
    <w:uiPriority w:val="0"/>
    <w:rPr>
      <w:rFonts w:eastAsia="宋体"/>
      <w:kern w:val="2"/>
      <w:sz w:val="21"/>
      <w:szCs w:val="24"/>
      <w:lang w:val="en-US" w:eastAsia="zh-CN" w:bidi="ar-SA"/>
    </w:rPr>
  </w:style>
  <w:style w:type="character" w:customStyle="1" w:styleId="378">
    <w:name w:val="zbggmain style9"/>
    <w:qFormat/>
    <w:uiPriority w:val="0"/>
  </w:style>
  <w:style w:type="character" w:customStyle="1" w:styleId="379">
    <w:name w:val="Char Char16"/>
    <w:qFormat/>
    <w:uiPriority w:val="6"/>
    <w:rPr>
      <w:kern w:val="1"/>
      <w:sz w:val="18"/>
      <w:szCs w:val="18"/>
    </w:rPr>
  </w:style>
  <w:style w:type="character" w:customStyle="1" w:styleId="380">
    <w:name w:val="font51"/>
    <w:basedOn w:val="72"/>
    <w:qFormat/>
    <w:uiPriority w:val="0"/>
    <w:rPr>
      <w:rFonts w:hint="eastAsia" w:ascii="仿宋" w:hAnsi="仿宋" w:eastAsia="仿宋" w:cs="仿宋"/>
      <w:color w:val="000000"/>
      <w:sz w:val="20"/>
      <w:szCs w:val="20"/>
      <w:u w:val="none"/>
    </w:rPr>
  </w:style>
  <w:style w:type="character" w:customStyle="1" w:styleId="381">
    <w:name w:val="Char Char82"/>
    <w:qFormat/>
    <w:uiPriority w:val="0"/>
    <w:rPr>
      <w:rFonts w:eastAsia="宋体"/>
      <w:b/>
      <w:sz w:val="24"/>
      <w:lang w:val="en-GB" w:eastAsia="zh-CN"/>
    </w:rPr>
  </w:style>
  <w:style w:type="character" w:customStyle="1" w:styleId="382">
    <w:name w:val="日期 Char1"/>
    <w:semiHidden/>
    <w:qFormat/>
    <w:uiPriority w:val="99"/>
    <w:rPr>
      <w:rFonts w:ascii="Times New Roman" w:hAnsi="Times New Roman" w:eastAsia="宋体" w:cs="Times New Roman"/>
      <w:szCs w:val="24"/>
    </w:rPr>
  </w:style>
  <w:style w:type="character" w:customStyle="1" w:styleId="383">
    <w:name w:val="页眉 字符"/>
    <w:qFormat/>
    <w:uiPriority w:val="0"/>
    <w:rPr>
      <w:kern w:val="2"/>
      <w:sz w:val="18"/>
      <w:szCs w:val="18"/>
    </w:rPr>
  </w:style>
  <w:style w:type="character" w:customStyle="1" w:styleId="384">
    <w:name w:val="Char Char33"/>
    <w:qFormat/>
    <w:uiPriority w:val="6"/>
    <w:rPr>
      <w:rFonts w:ascii="Arial" w:hAnsi="Arial" w:eastAsia="黑体"/>
      <w:b/>
      <w:kern w:val="1"/>
      <w:sz w:val="24"/>
      <w:szCs w:val="24"/>
    </w:rPr>
  </w:style>
  <w:style w:type="character" w:customStyle="1" w:styleId="385">
    <w:name w:val="b11_01b Char"/>
    <w:link w:val="386"/>
    <w:qFormat/>
    <w:uiPriority w:val="0"/>
    <w:rPr>
      <w:rFonts w:ascii="Verdana" w:hAnsi="Verdana"/>
      <w:b/>
      <w:bCs/>
      <w:color w:val="4A82CA"/>
      <w:sz w:val="17"/>
      <w:szCs w:val="17"/>
    </w:rPr>
  </w:style>
  <w:style w:type="paragraph" w:customStyle="1" w:styleId="386">
    <w:name w:val="b11_01b"/>
    <w:basedOn w:val="1"/>
    <w:next w:val="1"/>
    <w:link w:val="38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7">
    <w:name w:val="Char Char121"/>
    <w:qFormat/>
    <w:uiPriority w:val="6"/>
    <w:rPr>
      <w:rFonts w:ascii="仿宋_GB2312" w:eastAsia="仿宋_GB2312"/>
      <w:b/>
      <w:bCs/>
      <w:kern w:val="2"/>
      <w:sz w:val="24"/>
      <w:szCs w:val="24"/>
      <w:lang w:val="zh-CN" w:eastAsia="zh-CN" w:bidi="ar-SA"/>
    </w:rPr>
  </w:style>
  <w:style w:type="character" w:customStyle="1" w:styleId="388">
    <w:name w:val="Footer-Even Char"/>
    <w:qFormat/>
    <w:uiPriority w:val="0"/>
    <w:rPr>
      <w:rFonts w:eastAsia="宋体"/>
      <w:kern w:val="2"/>
      <w:sz w:val="18"/>
      <w:lang w:val="en-US" w:eastAsia="zh-CN" w:bidi="ar-SA"/>
    </w:rPr>
  </w:style>
  <w:style w:type="character" w:customStyle="1" w:styleId="389">
    <w:name w:val="Char Char36"/>
    <w:qFormat/>
    <w:uiPriority w:val="6"/>
    <w:rPr>
      <w:rFonts w:ascii="仿宋_GB2312" w:hAnsi="仿宋_GB2312" w:eastAsia="仿宋_GB2312" w:cs="Arial"/>
      <w:b/>
      <w:kern w:val="1"/>
      <w:sz w:val="32"/>
      <w:szCs w:val="32"/>
      <w:lang w:val="zh-CN" w:eastAsia="zh-CN" w:bidi="ar-SA"/>
    </w:rPr>
  </w:style>
  <w:style w:type="character" w:customStyle="1" w:styleId="390">
    <w:name w:val="Char Char61"/>
    <w:qFormat/>
    <w:uiPriority w:val="6"/>
    <w:rPr>
      <w:rFonts w:eastAsia="宋体"/>
      <w:kern w:val="2"/>
      <w:sz w:val="21"/>
      <w:szCs w:val="24"/>
      <w:lang w:val="en-US" w:eastAsia="zh-CN" w:bidi="ar-SA"/>
    </w:rPr>
  </w:style>
  <w:style w:type="character" w:customStyle="1" w:styleId="391">
    <w:name w:val="正文文字缩进 2 Char Char"/>
    <w:qFormat/>
    <w:uiPriority w:val="0"/>
    <w:rPr>
      <w:rFonts w:ascii="宋体"/>
      <w:sz w:val="28"/>
    </w:rPr>
  </w:style>
  <w:style w:type="character" w:customStyle="1" w:styleId="392">
    <w:name w:val="f141"/>
    <w:qFormat/>
    <w:uiPriority w:val="0"/>
    <w:rPr>
      <w:rFonts w:ascii="Tahoma" w:hAnsi="Tahoma" w:eastAsia="宋体"/>
      <w:b/>
      <w:kern w:val="2"/>
      <w:sz w:val="21"/>
      <w:szCs w:val="21"/>
      <w:lang w:val="en-US" w:eastAsia="zh-CN" w:bidi="ar-SA"/>
    </w:rPr>
  </w:style>
  <w:style w:type="character" w:customStyle="1" w:styleId="393">
    <w:name w:val="段落 Char Char"/>
    <w:link w:val="394"/>
    <w:qFormat/>
    <w:uiPriority w:val="0"/>
    <w:rPr>
      <w:rFonts w:ascii="宋体" w:hAnsi="宋体"/>
      <w:sz w:val="24"/>
    </w:rPr>
  </w:style>
  <w:style w:type="paragraph" w:customStyle="1" w:styleId="394">
    <w:name w:val="段落"/>
    <w:basedOn w:val="1"/>
    <w:link w:val="393"/>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qFormat/>
    <w:uiPriority w:val="0"/>
    <w:rPr>
      <w:rFonts w:eastAsia="宋体"/>
      <w:b/>
      <w:bCs/>
      <w:kern w:val="2"/>
      <w:sz w:val="32"/>
      <w:szCs w:val="32"/>
      <w:lang w:val="en-US" w:eastAsia="zh-CN" w:bidi="ar-SA"/>
    </w:rPr>
  </w:style>
  <w:style w:type="character" w:customStyle="1" w:styleId="396">
    <w:name w:val="apple-converted-space"/>
    <w:qFormat/>
    <w:uiPriority w:val="0"/>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156"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99"/>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2"/>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11"/>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gray6"/>
    <w:basedOn w:val="72"/>
    <w:qFormat/>
    <w:uiPriority w:val="0"/>
    <w:rPr>
      <w:rFonts w:ascii="Arial" w:hAnsi="Arial" w:eastAsia="黑体" w:cs="Arial"/>
      <w:snapToGrid w:val="0"/>
      <w:kern w:val="0"/>
      <w:szCs w:val="21"/>
    </w:rPr>
  </w:style>
  <w:style w:type="character" w:customStyle="1" w:styleId="434">
    <w:name w:val="hui"/>
    <w:basedOn w:val="72"/>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9"/>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12"/>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9"/>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9"/>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8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14"/>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486"/>
    <w:qFormat/>
    <w:uiPriority w:val="99"/>
    <w:rPr>
      <w:szCs w:val="22"/>
    </w:rPr>
  </w:style>
  <w:style w:type="character" w:customStyle="1" w:styleId="486">
    <w:name w:val="无间隔 字符"/>
    <w:link w:val="485"/>
    <w:qFormat/>
    <w:uiPriority w:val="99"/>
    <w:rPr>
      <w:kern w:val="2"/>
      <w:sz w:val="21"/>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9"/>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8"/>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10"/>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13"/>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62"/>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10"/>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9"/>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8"/>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12"/>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9"/>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57"/>
    <w:next w:val="257"/>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57"/>
    <w:next w:val="257"/>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1"/>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9"/>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9"/>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9"/>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link w:val="606"/>
    <w:qFormat/>
    <w:uiPriority w:val="0"/>
    <w:pPr>
      <w:spacing w:line="480" w:lineRule="atLeast"/>
      <w:ind w:firstLine="567"/>
      <w:textAlignment w:val="baseline"/>
    </w:pPr>
    <w:rPr>
      <w:kern w:val="0"/>
      <w:sz w:val="24"/>
      <w:szCs w:val="20"/>
    </w:rPr>
  </w:style>
  <w:style w:type="character" w:customStyle="1" w:styleId="606">
    <w:name w:val="文档正文字符"/>
    <w:link w:val="605"/>
    <w:qFormat/>
    <w:uiPriority w:val="0"/>
    <w:rPr>
      <w:sz w:val="24"/>
    </w:rPr>
  </w:style>
  <w:style w:type="paragraph" w:customStyle="1" w:styleId="607">
    <w:name w:val="正文文字表格居中"/>
    <w:basedOn w:val="1"/>
    <w:next w:val="59"/>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10"/>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9"/>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10"/>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8"/>
    <w:qFormat/>
    <w:uiPriority w:val="0"/>
    <w:pPr>
      <w:tabs>
        <w:tab w:val="left" w:pos="840"/>
      </w:tabs>
      <w:adjustRightInd/>
      <w:ind w:left="840" w:hanging="420"/>
    </w:pPr>
  </w:style>
  <w:style w:type="paragraph" w:customStyle="1" w:styleId="629">
    <w:name w:val="样式 标题 2标题2H2Heading 2 HiddenHeading 2 CCBSheading 22nd lev..."/>
    <w:basedOn w:val="9"/>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12"/>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3"/>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9"/>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9"/>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8"/>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8"/>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12"/>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9"/>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40"/>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10"/>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22"/>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5"/>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9"/>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1"/>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10"/>
    <w:next w:val="56"/>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8"/>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3"/>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7"/>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5"/>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12"/>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正文1"/>
    <w:basedOn w:val="36"/>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9"/>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10"/>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99"/>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21"/>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24"/>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80"/>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0"/>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10"/>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8"/>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2"/>
    <w:qFormat/>
    <w:uiPriority w:val="0"/>
    <w:rPr>
      <w:b w:val="0"/>
      <w:sz w:val="20"/>
    </w:rPr>
  </w:style>
  <w:style w:type="paragraph" w:customStyle="1" w:styleId="897">
    <w:name w:val="正文首行缩进1"/>
    <w:basedOn w:val="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13"/>
    <w:next w:val="1"/>
    <w:qFormat/>
    <w:uiPriority w:val="0"/>
    <w:pPr>
      <w:tabs>
        <w:tab w:val="left" w:pos="1080"/>
      </w:tabs>
      <w:ind w:left="1080" w:hanging="1080"/>
    </w:pPr>
  </w:style>
  <w:style w:type="paragraph" w:customStyle="1" w:styleId="900">
    <w:name w:val="数字标题1"/>
    <w:basedOn w:val="8"/>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5"/>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4"/>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99"/>
    <w:rPr>
      <w:rFonts w:ascii="Century Gothic" w:hAnsi="Century Gothic" w:eastAsia="Century Gothic"/>
      <w:kern w:val="2"/>
      <w:sz w:val="24"/>
      <w:lang w:val="en-US" w:eastAsia="zh-CN" w:bidi="ar-SA"/>
    </w:rPr>
  </w:style>
  <w:style w:type="character" w:customStyle="1" w:styleId="944">
    <w:name w:val="正文文本 2 字符"/>
    <w:qFormat/>
    <w:uiPriority w:val="99"/>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80"/>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9"/>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1"/>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2"/>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未处理的提及2"/>
    <w:basedOn w:val="72"/>
    <w:semiHidden/>
    <w:unhideWhenUsed/>
    <w:qFormat/>
    <w:uiPriority w:val="99"/>
    <w:rPr>
      <w:color w:val="605E5C"/>
      <w:shd w:val="clear" w:color="auto" w:fill="E1DFDD"/>
    </w:rPr>
  </w:style>
  <w:style w:type="paragraph" w:customStyle="1" w:styleId="967">
    <w:name w:val="纯文本3"/>
    <w:basedOn w:val="1"/>
    <w:qFormat/>
    <w:uiPriority w:val="0"/>
    <w:pPr>
      <w:adjustRightInd/>
      <w:snapToGrid w:val="0"/>
      <w:jc w:val="left"/>
    </w:pPr>
    <w:rPr>
      <w:rFonts w:ascii="Century Gothic" w:hAnsi="楷体_GB2312" w:eastAsia="Century Gothic"/>
      <w:szCs w:val="20"/>
    </w:rPr>
  </w:style>
  <w:style w:type="paragraph" w:customStyle="1" w:styleId="968">
    <w:name w:val="Normal_1"/>
    <w:qFormat/>
    <w:uiPriority w:val="99"/>
    <w:pPr>
      <w:widowControl w:val="0"/>
      <w:jc w:val="both"/>
    </w:pPr>
    <w:rPr>
      <w:rFonts w:ascii="Times New Roman" w:hAnsi="Times New Roman" w:eastAsia="宋体" w:cs="Times New Roman"/>
      <w:szCs w:val="24"/>
      <w:lang w:val="en-US" w:eastAsia="zh-CN" w:bidi="ar-SA"/>
    </w:rPr>
  </w:style>
  <w:style w:type="paragraph" w:customStyle="1" w:styleId="969">
    <w:name w:val="Normal_0"/>
    <w:qFormat/>
    <w:uiPriority w:val="99"/>
    <w:rPr>
      <w:rFonts w:ascii="Times New Roman" w:hAnsi="Times New Roman" w:eastAsia="宋体" w:cs="Times New Roman"/>
      <w:sz w:val="24"/>
      <w:szCs w:val="24"/>
      <w:lang w:val="en-US" w:eastAsia="zh-CN" w:bidi="ar-SA"/>
    </w:rPr>
  </w:style>
  <w:style w:type="paragraph" w:customStyle="1" w:styleId="970">
    <w:name w:val="li"/>
    <w:basedOn w:val="1"/>
    <w:qFormat/>
    <w:uiPriority w:val="0"/>
    <w:pPr>
      <w:widowControl/>
      <w:adjustRightInd/>
      <w:spacing w:before="100" w:beforeAutospacing="1" w:after="100" w:afterAutospacing="1"/>
      <w:jc w:val="left"/>
    </w:pPr>
    <w:rPr>
      <w:rFonts w:ascii="宋体" w:hAnsi="宋体" w:eastAsia="仿宋" w:cs="宋体"/>
      <w:kern w:val="0"/>
      <w:sz w:val="24"/>
    </w:rPr>
  </w:style>
  <w:style w:type="paragraph" w:customStyle="1" w:styleId="971">
    <w:name w:val="p"/>
    <w:basedOn w:val="1"/>
    <w:qFormat/>
    <w:uiPriority w:val="0"/>
    <w:pPr>
      <w:widowControl/>
      <w:adjustRightInd/>
      <w:spacing w:before="100" w:beforeAutospacing="1" w:after="100" w:afterAutospacing="1"/>
      <w:jc w:val="left"/>
    </w:pPr>
    <w:rPr>
      <w:rFonts w:ascii="宋体" w:hAnsi="宋体" w:eastAsia="仿宋" w:cs="宋体"/>
      <w:kern w:val="0"/>
      <w:sz w:val="24"/>
    </w:rPr>
  </w:style>
  <w:style w:type="paragraph" w:customStyle="1" w:styleId="972">
    <w:name w:val="普通文字"/>
    <w:basedOn w:val="1"/>
    <w:next w:val="1"/>
    <w:qFormat/>
    <w:uiPriority w:val="99"/>
    <w:pPr>
      <w:adjustRightInd/>
    </w:pPr>
    <w:rPr>
      <w:rFonts w:ascii="宋体" w:hAnsi="Calibri" w:eastAsia="仿宋"/>
      <w:kern w:val="0"/>
      <w:sz w:val="24"/>
      <w:u w:color="000000"/>
    </w:rPr>
  </w:style>
  <w:style w:type="paragraph" w:customStyle="1" w:styleId="973">
    <w:name w:val="列表段落11"/>
    <w:basedOn w:val="1"/>
    <w:qFormat/>
    <w:uiPriority w:val="99"/>
    <w:pPr>
      <w:widowControl/>
      <w:adjustRightInd/>
      <w:ind w:firstLine="420" w:firstLineChars="200"/>
      <w:jc w:val="left"/>
    </w:pPr>
    <w:rPr>
      <w:rFonts w:ascii="宋体" w:hAnsi="宋体" w:eastAsia="仿宋" w:cs="宋体"/>
      <w:kern w:val="0"/>
      <w:sz w:val="24"/>
    </w:rPr>
  </w:style>
  <w:style w:type="paragraph" w:customStyle="1" w:styleId="974">
    <w:name w:val="[Normal]"/>
    <w:qFormat/>
    <w:uiPriority w:val="99"/>
    <w:rPr>
      <w:rFonts w:ascii="宋体" w:hAnsi="宋体" w:eastAsia="宋体" w:cs="宋体"/>
      <w:sz w:val="24"/>
      <w:szCs w:val="24"/>
      <w:lang w:val="zh-CN" w:eastAsia="zh-CN" w:bidi="ar-SA"/>
    </w:rPr>
  </w:style>
  <w:style w:type="paragraph" w:customStyle="1" w:styleId="975">
    <w:name w:val="封面第一行"/>
    <w:basedOn w:val="1"/>
    <w:qFormat/>
    <w:uiPriority w:val="99"/>
    <w:pPr>
      <w:adjustRightInd/>
      <w:spacing w:line="360" w:lineRule="auto"/>
      <w:jc w:val="center"/>
    </w:pPr>
    <w:rPr>
      <w:rFonts w:ascii="黑体" w:hAnsi="宋体" w:eastAsia="黑体" w:cs="黑体"/>
      <w:sz w:val="56"/>
      <w:szCs w:val="56"/>
    </w:rPr>
  </w:style>
  <w:style w:type="paragraph" w:customStyle="1" w:styleId="976">
    <w:name w:val="封面编号"/>
    <w:basedOn w:val="1"/>
    <w:qFormat/>
    <w:uiPriority w:val="99"/>
    <w:pPr>
      <w:adjustRightInd/>
      <w:spacing w:line="360" w:lineRule="auto"/>
      <w:jc w:val="center"/>
    </w:pPr>
    <w:rPr>
      <w:rFonts w:ascii="黑体" w:hAnsi="宋体" w:eastAsia="黑体" w:cs="黑体"/>
      <w:b/>
      <w:bCs/>
      <w:sz w:val="38"/>
      <w:szCs w:val="38"/>
    </w:rPr>
  </w:style>
  <w:style w:type="character" w:customStyle="1" w:styleId="977">
    <w:name w:val="纯文本 Char"/>
    <w:qFormat/>
    <w:uiPriority w:val="0"/>
    <w:rPr>
      <w:rFonts w:ascii="宋体" w:hAnsi="Courier New" w:eastAsia="宋体"/>
      <w:kern w:val="2"/>
      <w:sz w:val="21"/>
      <w:lang w:val="en-US" w:eastAsia="zh-CN" w:bidi="ar-SA"/>
    </w:rPr>
  </w:style>
  <w:style w:type="character" w:customStyle="1" w:styleId="978">
    <w:name w:val="font161"/>
    <w:basedOn w:val="72"/>
    <w:qFormat/>
    <w:uiPriority w:val="0"/>
    <w:rPr>
      <w:rFonts w:hint="eastAsia" w:ascii="宋体" w:hAnsi="宋体" w:eastAsia="宋体" w:cs="宋体"/>
      <w:color w:val="000000"/>
      <w:sz w:val="22"/>
      <w:szCs w:val="22"/>
      <w:u w:val="none"/>
    </w:rPr>
  </w:style>
  <w:style w:type="character" w:customStyle="1" w:styleId="979">
    <w:name w:val="font171"/>
    <w:basedOn w:val="72"/>
    <w:qFormat/>
    <w:uiPriority w:val="0"/>
    <w:rPr>
      <w:rFonts w:hint="eastAsia" w:ascii="宋体" w:hAnsi="宋体" w:eastAsia="宋体" w:cs="宋体"/>
      <w:color w:val="000000"/>
      <w:sz w:val="20"/>
      <w:szCs w:val="20"/>
      <w:u w:val="none"/>
    </w:rPr>
  </w:style>
  <w:style w:type="character" w:customStyle="1" w:styleId="980">
    <w:name w:val="font111"/>
    <w:basedOn w:val="72"/>
    <w:qFormat/>
    <w:uiPriority w:val="0"/>
    <w:rPr>
      <w:rFonts w:ascii="Calibri" w:hAnsi="Calibri" w:cs="Calibri"/>
      <w:color w:val="000000"/>
      <w:sz w:val="20"/>
      <w:szCs w:val="20"/>
      <w:u w:val="none"/>
    </w:rPr>
  </w:style>
  <w:style w:type="character" w:customStyle="1" w:styleId="981">
    <w:name w:val="font122"/>
    <w:basedOn w:val="72"/>
    <w:qFormat/>
    <w:uiPriority w:val="0"/>
    <w:rPr>
      <w:rFonts w:hint="eastAsia" w:ascii="宋体" w:hAnsi="宋体" w:eastAsia="宋体" w:cs="宋体"/>
      <w:color w:val="000000"/>
      <w:sz w:val="21"/>
      <w:szCs w:val="21"/>
      <w:u w:val="none"/>
    </w:rPr>
  </w:style>
  <w:style w:type="character" w:customStyle="1" w:styleId="982">
    <w:name w:val="font131"/>
    <w:basedOn w:val="72"/>
    <w:qFormat/>
    <w:uiPriority w:val="0"/>
    <w:rPr>
      <w:rFonts w:ascii="Arial" w:hAnsi="Arial" w:cs="Arial"/>
      <w:color w:val="000000"/>
      <w:sz w:val="20"/>
      <w:szCs w:val="20"/>
      <w:u w:val="none"/>
    </w:rPr>
  </w:style>
  <w:style w:type="character" w:customStyle="1" w:styleId="983">
    <w:name w:val="font112"/>
    <w:basedOn w:val="72"/>
    <w:qFormat/>
    <w:uiPriority w:val="0"/>
    <w:rPr>
      <w:rFonts w:ascii="Calibri" w:hAnsi="Calibri" w:cs="Calibri"/>
      <w:color w:val="000000"/>
      <w:sz w:val="20"/>
      <w:szCs w:val="20"/>
      <w:u w:val="none"/>
    </w:rPr>
  </w:style>
  <w:style w:type="character" w:customStyle="1" w:styleId="984">
    <w:name w:val="font121"/>
    <w:basedOn w:val="72"/>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2.png"/><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5.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201CAF-915B-4C32-8B1A-6D480F646E59}">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108</Pages>
  <Words>62797</Words>
  <Characters>69032</Characters>
  <Lines>453</Lines>
  <Paragraphs>127</Paragraphs>
  <TotalTime>19</TotalTime>
  <ScaleCrop>false</ScaleCrop>
  <LinksUpToDate>false</LinksUpToDate>
  <CharactersWithSpaces>75403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2024-05-10T07:04:00Z</dcterms:created>
  <dc:creator>玥</dc:creator>
  <cp:lastModifiedBy>D_K8Hn</cp:lastModifiedBy>
  <cp:lastPrinted>2021-12-27T03:06:00Z</cp:lastPrinted>
  <dcterms:modified xsi:type="dcterms:W3CDTF">2024-05-22T06:23:11Z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7F703489F632420F930DA2CC020EE756_13</vt:lpwstr>
  </property>
</Properties>
</file>