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jc w:val="center"/>
        <w:rPr>
          <w:color w:val="auto"/>
          <w:sz w:val="36"/>
          <w:highlight w:val="none"/>
        </w:rPr>
      </w:pPr>
    </w:p>
    <w:p>
      <w:pPr>
        <w:shd w:val="clear"/>
        <w:jc w:val="center"/>
        <w:rPr>
          <w:rFonts w:hint="eastAsia"/>
          <w:color w:val="auto"/>
          <w:sz w:val="40"/>
          <w:highlight w:val="none"/>
          <w:lang w:eastAsia="zh-CN"/>
        </w:rPr>
      </w:pPr>
      <w:r>
        <w:rPr>
          <w:rFonts w:hint="eastAsia"/>
          <w:color w:val="auto"/>
          <w:sz w:val="40"/>
          <w:highlight w:val="none"/>
          <w:lang w:eastAsia="zh-CN"/>
        </w:rPr>
        <w:t>杭州市萧山区文化旅游体育发展服务中心智慧场馆提升项目</w:t>
      </w:r>
    </w:p>
    <w:p>
      <w:pPr>
        <w:jc w:val="center"/>
        <w:rPr>
          <w:color w:val="auto"/>
          <w:sz w:val="40"/>
          <w:highlight w:val="none"/>
        </w:rPr>
      </w:pPr>
      <w:r>
        <w:rPr>
          <w:rFonts w:hint="eastAsia"/>
          <w:color w:val="auto"/>
          <w:sz w:val="40"/>
          <w:highlight w:val="none"/>
        </w:rPr>
        <w:t>招标文件</w:t>
      </w:r>
    </w:p>
    <w:p>
      <w:pPr>
        <w:jc w:val="center"/>
        <w:rPr>
          <w:color w:val="auto"/>
          <w:sz w:val="40"/>
          <w:highlight w:val="none"/>
        </w:rPr>
      </w:pPr>
      <w:r>
        <w:rPr>
          <w:color w:val="auto"/>
          <w:sz w:val="40"/>
          <w:highlight w:val="none"/>
        </w:rPr>
        <w:t>（电子招投标）</w:t>
      </w:r>
    </w:p>
    <w:p>
      <w:pPr>
        <w:jc w:val="center"/>
        <w:rPr>
          <w:color w:val="auto"/>
          <w:sz w:val="36"/>
          <w:highlight w:val="none"/>
        </w:rPr>
      </w:pPr>
    </w:p>
    <w:p>
      <w:pPr>
        <w:jc w:val="center"/>
        <w:rPr>
          <w:color w:val="auto"/>
          <w:sz w:val="36"/>
          <w:highlight w:val="none"/>
        </w:rPr>
      </w:pPr>
      <w:r>
        <w:rPr>
          <w:rFonts w:hint="eastAsia"/>
          <w:color w:val="auto"/>
          <w:sz w:val="36"/>
          <w:highlight w:val="none"/>
        </w:rPr>
        <w:t>编号:</w:t>
      </w:r>
      <w:r>
        <w:rPr>
          <w:rFonts w:hint="eastAsia"/>
          <w:color w:val="auto"/>
          <w:sz w:val="36"/>
          <w:highlight w:val="none"/>
          <w:lang w:eastAsia="zh-CN"/>
        </w:rPr>
        <w:t xml:space="preserve"> HCZX2022120902</w:t>
      </w:r>
    </w:p>
    <w:p>
      <w:pPr>
        <w:jc w:val="center"/>
        <w:rPr>
          <w:color w:val="auto"/>
          <w:sz w:val="36"/>
          <w:highlight w:val="none"/>
        </w:rPr>
      </w:pPr>
    </w:p>
    <w:p>
      <w:pPr>
        <w:jc w:val="center"/>
        <w:rPr>
          <w:color w:val="auto"/>
          <w:sz w:val="36"/>
          <w:highlight w:val="none"/>
        </w:rPr>
      </w:pPr>
    </w:p>
    <w:p>
      <w:pPr>
        <w:jc w:val="center"/>
        <w:rPr>
          <w:color w:val="auto"/>
          <w:sz w:val="36"/>
          <w:highlight w:val="none"/>
        </w:rPr>
      </w:pPr>
    </w:p>
    <w:p>
      <w:pPr>
        <w:pStyle w:val="25"/>
        <w:ind w:firstLine="480"/>
        <w:rPr>
          <w:color w:val="auto"/>
          <w:highlight w:val="none"/>
        </w:rPr>
      </w:pPr>
    </w:p>
    <w:p>
      <w:pPr>
        <w:pStyle w:val="25"/>
        <w:ind w:firstLine="480"/>
        <w:rPr>
          <w:color w:val="auto"/>
          <w:highlight w:val="none"/>
        </w:rPr>
      </w:pPr>
    </w:p>
    <w:p>
      <w:pPr>
        <w:rPr>
          <w:color w:val="auto"/>
          <w:highlight w:val="none"/>
        </w:rPr>
      </w:pPr>
    </w:p>
    <w:p>
      <w:pPr>
        <w:jc w:val="center"/>
        <w:rPr>
          <w:color w:val="auto"/>
          <w:highlight w:val="none"/>
        </w:rPr>
      </w:pPr>
    </w:p>
    <w:p>
      <w:pPr>
        <w:jc w:val="center"/>
        <w:rPr>
          <w:rFonts w:hint="eastAsia"/>
          <w:color w:val="auto"/>
          <w:sz w:val="36"/>
          <w:highlight w:val="none"/>
          <w:lang w:eastAsia="zh-CN"/>
        </w:rPr>
      </w:pPr>
      <w:r>
        <w:rPr>
          <w:rFonts w:hint="eastAsia"/>
          <w:color w:val="auto"/>
          <w:sz w:val="36"/>
          <w:highlight w:val="none"/>
          <w:lang w:eastAsia="zh-CN"/>
        </w:rPr>
        <w:t>杭州市萧山区文化旅游体育发展服务中心</w:t>
      </w:r>
    </w:p>
    <w:p>
      <w:pPr>
        <w:jc w:val="center"/>
        <w:rPr>
          <w:rFonts w:hint="eastAsia" w:eastAsia="仿宋"/>
          <w:color w:val="auto"/>
          <w:sz w:val="36"/>
          <w:highlight w:val="none"/>
          <w:lang w:eastAsia="zh-CN"/>
        </w:rPr>
      </w:pPr>
      <w:r>
        <w:rPr>
          <w:rFonts w:hint="eastAsia"/>
          <w:color w:val="auto"/>
          <w:sz w:val="36"/>
          <w:highlight w:val="none"/>
          <w:lang w:eastAsia="zh-CN"/>
        </w:rPr>
        <w:t>华诚工程咨询集团有限公司</w:t>
      </w:r>
    </w:p>
    <w:p>
      <w:pPr>
        <w:jc w:val="center"/>
        <w:rPr>
          <w:color w:val="auto"/>
          <w:sz w:val="36"/>
          <w:highlight w:val="none"/>
        </w:rPr>
      </w:pPr>
      <w:r>
        <w:rPr>
          <w:rFonts w:hint="eastAsia"/>
          <w:color w:val="auto"/>
          <w:sz w:val="36"/>
          <w:highlight w:val="none"/>
        </w:rPr>
        <w:t>二〇二二年</w:t>
      </w:r>
      <w:r>
        <w:rPr>
          <w:rFonts w:hint="eastAsia"/>
          <w:color w:val="auto"/>
          <w:sz w:val="36"/>
          <w:highlight w:val="none"/>
          <w:lang w:val="en-US" w:eastAsia="zh-CN"/>
        </w:rPr>
        <w:t>十二</w:t>
      </w:r>
      <w:r>
        <w:rPr>
          <w:rFonts w:hint="eastAsia"/>
          <w:color w:val="auto"/>
          <w:sz w:val="36"/>
          <w:highlight w:val="none"/>
        </w:rPr>
        <w:t>月</w:t>
      </w:r>
      <w:r>
        <w:rPr>
          <w:rFonts w:hint="eastAsia"/>
          <w:color w:val="auto"/>
          <w:sz w:val="36"/>
          <w:highlight w:val="none"/>
          <w:lang w:val="en-US" w:eastAsia="zh-CN"/>
        </w:rPr>
        <w:t>十五</w:t>
      </w:r>
      <w:r>
        <w:rPr>
          <w:rFonts w:hint="eastAsia"/>
          <w:color w:val="auto"/>
          <w:sz w:val="36"/>
          <w:highlight w:val="none"/>
        </w:rPr>
        <w:t>日</w:t>
      </w:r>
    </w:p>
    <w:p>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pPr>
        <w:pStyle w:val="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rPr>
        <w:t>采购需求</w:t>
      </w:r>
    </w:p>
    <w:p>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pPr>
        <w:spacing w:line="276" w:lineRule="auto"/>
        <w:rPr>
          <w:color w:val="auto"/>
          <w:sz w:val="32"/>
          <w:highlight w:val="none"/>
        </w:rPr>
      </w:pP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4"/>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auto"/>
                <w:highlight w:val="none"/>
              </w:rPr>
            </w:pPr>
            <w:r>
              <w:rPr>
                <w:rFonts w:hint="eastAsia"/>
                <w:color w:val="auto"/>
                <w:highlight w:val="none"/>
              </w:rPr>
              <w:t>项目概况</w:t>
            </w:r>
          </w:p>
          <w:p>
            <w:pPr>
              <w:spacing w:after="0"/>
              <w:rPr>
                <w:color w:val="auto"/>
                <w:highlight w:val="none"/>
                <w:u w:val="single"/>
              </w:rPr>
            </w:pPr>
            <w:r>
              <w:rPr>
                <w:rFonts w:hint="eastAsia" w:cs="仿宋_GB2312"/>
                <w:color w:val="auto"/>
                <w:highlight w:val="none"/>
                <w:u w:val="single"/>
              </w:rPr>
              <w:t>（</w:t>
            </w:r>
            <w:r>
              <w:rPr>
                <w:rFonts w:hint="eastAsia" w:cs="仿宋_GB2312"/>
                <w:color w:val="auto"/>
                <w:highlight w:val="none"/>
                <w:u w:val="single"/>
                <w:lang w:eastAsia="zh-CN"/>
              </w:rPr>
              <w:t>杭州市萧山区文化旅游体育发展服务中心智慧场馆提升项目</w:t>
            </w:r>
            <w:r>
              <w:rPr>
                <w:rFonts w:hint="eastAsia" w:cs="仿宋_GB2312"/>
                <w:color w:val="auto"/>
                <w:highlight w:val="none"/>
                <w:u w:val="single"/>
              </w:rPr>
              <w:t>）</w:t>
            </w:r>
            <w:r>
              <w:rPr>
                <w:rFonts w:hint="eastAsia"/>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Fonts w:hint="eastAsia"/>
                <w:color w:val="auto"/>
                <w:highlight w:val="none"/>
              </w:rPr>
              <w:t>https://www.zcygov.cn/）获取（下载）招标文件</w:t>
            </w:r>
            <w:r>
              <w:rPr>
                <w:rStyle w:val="31"/>
                <w:rFonts w:ascii="仿宋_GB2312" w:eastAsia="仿宋_GB2312" w:cs="Times New Roman"/>
                <w:color w:val="auto"/>
                <w:kern w:val="2"/>
                <w:highlight w:val="none"/>
              </w:rPr>
              <w:t>，并于</w:t>
            </w:r>
            <w:r>
              <w:rPr>
                <w:rFonts w:hint="eastAsia" w:eastAsia="仿宋_GB2312"/>
                <w:color w:val="auto"/>
                <w:highlight w:val="none"/>
                <w:u w:val="single"/>
                <w:lang w:eastAsia="zh-CN"/>
              </w:rPr>
              <w:t>2023年01月0</w:t>
            </w:r>
            <w:r>
              <w:rPr>
                <w:rFonts w:hint="eastAsia" w:eastAsia="仿宋_GB2312"/>
                <w:color w:val="auto"/>
                <w:highlight w:val="none"/>
                <w:u w:val="single"/>
                <w:lang w:val="en-US" w:eastAsia="zh-CN"/>
              </w:rPr>
              <w:t>5</w:t>
            </w:r>
            <w:r>
              <w:rPr>
                <w:rFonts w:hint="eastAsia" w:eastAsia="仿宋_GB2312"/>
                <w:color w:val="auto"/>
                <w:highlight w:val="none"/>
                <w:u w:val="single"/>
                <w:lang w:eastAsia="zh-CN"/>
              </w:rPr>
              <w:t>日09点30分00秒</w:t>
            </w:r>
            <w:r>
              <w:rPr>
                <w:rFonts w:hint="eastAsia"/>
                <w:bCs/>
                <w:color w:val="auto"/>
                <w:highlight w:val="none"/>
                <w:u w:val="single"/>
              </w:rPr>
              <w:fldChar w:fldCharType="end"/>
            </w:r>
            <w:r>
              <w:rPr>
                <w:rFonts w:hint="eastAsia"/>
                <w:bCs/>
                <w:color w:val="auto"/>
                <w:highlight w:val="none"/>
              </w:rPr>
              <w:t>（北京时间）前</w:t>
            </w:r>
            <w:r>
              <w:rPr>
                <w:rFonts w:hint="eastAsia"/>
                <w:color w:val="auto"/>
                <w:highlight w:val="none"/>
              </w:rPr>
              <w:t>递交（上传）投标文件。</w:t>
            </w:r>
          </w:p>
          <w:p>
            <w:pPr>
              <w:spacing w:after="0"/>
              <w:rPr>
                <w:color w:val="auto"/>
                <w:highlight w:val="none"/>
              </w:rPr>
            </w:pPr>
          </w:p>
        </w:tc>
      </w:tr>
    </w:tbl>
    <w:p>
      <w:pPr>
        <w:rPr>
          <w:b/>
          <w:color w:val="auto"/>
          <w:highlight w:val="none"/>
        </w:rPr>
      </w:pPr>
      <w:r>
        <w:rPr>
          <w:rFonts w:hint="eastAsia"/>
          <w:b/>
          <w:color w:val="auto"/>
          <w:highlight w:val="none"/>
        </w:rPr>
        <w:t>一、项目基本情况</w:t>
      </w:r>
      <w:r>
        <w:rPr>
          <w:b/>
          <w:color w:val="auto"/>
          <w:highlight w:val="none"/>
        </w:rPr>
        <w:t xml:space="preserve">                                            </w:t>
      </w:r>
    </w:p>
    <w:p>
      <w:pPr>
        <w:rPr>
          <w:rFonts w:hint="eastAsia"/>
          <w:color w:val="auto"/>
          <w:highlight w:val="none"/>
          <w:lang w:eastAsia="zh-CN"/>
        </w:rPr>
      </w:pPr>
      <w:r>
        <w:rPr>
          <w:rFonts w:hint="eastAsia"/>
          <w:color w:val="auto"/>
          <w:highlight w:val="none"/>
        </w:rPr>
        <w:t>项目编号：</w:t>
      </w:r>
      <w:r>
        <w:rPr>
          <w:rFonts w:hint="eastAsia"/>
          <w:color w:val="auto"/>
          <w:highlight w:val="none"/>
          <w:lang w:eastAsia="zh-CN"/>
        </w:rPr>
        <w:t>HCZX2022120902</w:t>
      </w:r>
    </w:p>
    <w:p>
      <w:pPr>
        <w:rPr>
          <w:rFonts w:hint="eastAsia"/>
          <w:color w:val="auto"/>
          <w:highlight w:val="none"/>
          <w:lang w:eastAsia="zh-CN"/>
        </w:rPr>
      </w:pPr>
      <w:r>
        <w:rPr>
          <w:color w:val="auto"/>
          <w:highlight w:val="none"/>
        </w:rPr>
        <w:t>项目名称：</w:t>
      </w:r>
      <w:r>
        <w:rPr>
          <w:rFonts w:hint="eastAsia"/>
          <w:color w:val="auto"/>
          <w:highlight w:val="none"/>
          <w:lang w:eastAsia="zh-CN"/>
        </w:rPr>
        <w:t>杭州市萧山区文化旅游体育发展服务中心智慧场馆提升项目</w:t>
      </w:r>
    </w:p>
    <w:p>
      <w:pPr>
        <w:rPr>
          <w:rFonts w:hint="eastAsia"/>
          <w:color w:val="auto"/>
          <w:highlight w:val="none"/>
        </w:rPr>
      </w:pPr>
      <w:r>
        <w:rPr>
          <w:color w:val="auto"/>
          <w:highlight w:val="none"/>
        </w:rPr>
        <w:t>预算金额（元）：</w:t>
      </w:r>
      <w:r>
        <w:rPr>
          <w:rFonts w:hint="eastAsia"/>
          <w:color w:val="auto"/>
          <w:highlight w:val="none"/>
          <w:lang w:eastAsia="zh-CN"/>
        </w:rPr>
        <w:t>1400000</w:t>
      </w:r>
    </w:p>
    <w:p>
      <w:pPr>
        <w:rPr>
          <w:color w:val="auto"/>
          <w:highlight w:val="none"/>
        </w:rPr>
      </w:pPr>
      <w:r>
        <w:rPr>
          <w:rFonts w:hint="eastAsia"/>
          <w:color w:val="auto"/>
          <w:highlight w:val="none"/>
        </w:rPr>
        <w:t>最高限价（元）：</w:t>
      </w:r>
      <w:r>
        <w:rPr>
          <w:rFonts w:hint="eastAsia"/>
          <w:color w:val="auto"/>
          <w:highlight w:val="none"/>
          <w:lang w:eastAsia="zh-CN"/>
        </w:rPr>
        <w:t>1400000</w:t>
      </w:r>
    </w:p>
    <w:p>
      <w:pPr>
        <w:rPr>
          <w:color w:val="auto"/>
          <w:highlight w:val="none"/>
        </w:rPr>
      </w:pPr>
      <w:r>
        <w:rPr>
          <w:rFonts w:hint="eastAsia"/>
          <w:color w:val="auto"/>
          <w:highlight w:val="none"/>
        </w:rPr>
        <w:t>采购需求：</w:t>
      </w:r>
      <w:r>
        <w:rPr>
          <w:rFonts w:hint="eastAsia"/>
          <w:color w:val="auto"/>
          <w:highlight w:val="none"/>
          <w:lang w:eastAsia="zh-CN"/>
        </w:rPr>
        <w:t>杭州市萧山区文化旅游体育发展服务中心智慧场馆提升项目</w:t>
      </w:r>
      <w:r>
        <w:rPr>
          <w:rFonts w:hint="eastAsia"/>
          <w:color w:val="auto"/>
          <w:highlight w:val="none"/>
        </w:rPr>
        <w:t>主要内容：详见招标文件第三部分采购需求。</w:t>
      </w:r>
    </w:p>
    <w:p>
      <w:pPr>
        <w:rPr>
          <w:color w:val="auto"/>
          <w:highlight w:val="none"/>
        </w:rPr>
      </w:pPr>
      <w:r>
        <w:rPr>
          <w:rFonts w:hint="eastAsia"/>
          <w:color w:val="auto"/>
          <w:highlight w:val="none"/>
        </w:rPr>
        <w:t>合同履约期限：</w:t>
      </w:r>
      <w:r>
        <w:rPr>
          <w:rFonts w:hint="eastAsia"/>
          <w:color w:val="auto"/>
          <w:highlight w:val="none"/>
          <w:lang w:eastAsia="zh-CN"/>
        </w:rPr>
        <w:t>合同签订之日起90天内，完成智慧场馆管理平台软硬件开发实施与交付并通过验收。</w:t>
      </w:r>
    </w:p>
    <w:p>
      <w:pPr>
        <w:rPr>
          <w:color w:val="auto"/>
          <w:highlight w:val="none"/>
        </w:rPr>
      </w:pPr>
      <w:r>
        <w:rPr>
          <w:rFonts w:hint="eastAsia"/>
          <w:color w:val="auto"/>
          <w:highlight w:val="none"/>
        </w:rPr>
        <w:t>本项目接受联合体投标：（√）是；（ ）否</w:t>
      </w:r>
      <w:r>
        <w:rPr>
          <w:color w:val="auto"/>
          <w:highlight w:val="none"/>
        </w:rPr>
        <w:t xml:space="preserve"> </w:t>
      </w:r>
      <w:r>
        <w:rPr>
          <w:rFonts w:hint="eastAsia"/>
          <w:color w:val="auto"/>
          <w:highlight w:val="none"/>
        </w:rPr>
        <w:t>。</w:t>
      </w:r>
    </w:p>
    <w:p>
      <w:pPr>
        <w:rPr>
          <w:color w:val="auto"/>
          <w:highlight w:val="none"/>
        </w:rPr>
      </w:pPr>
      <w:r>
        <w:rPr>
          <w:rFonts w:hint="eastAsia"/>
          <w:b/>
          <w:color w:val="auto"/>
          <w:highlight w:val="none"/>
        </w:rPr>
        <w:t>二、申请人的资格要求</w:t>
      </w:r>
      <w:r>
        <w:rPr>
          <w:rFonts w:hint="eastAsia"/>
          <w:color w:val="auto"/>
          <w:highlight w:val="none"/>
        </w:rPr>
        <w:t>：</w:t>
      </w:r>
    </w:p>
    <w:p>
      <w:pPr>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auto"/>
          <w:highlight w:val="none"/>
        </w:rPr>
      </w:pPr>
      <w:r>
        <w:rPr>
          <w:color w:val="auto"/>
          <w:highlight w:val="none"/>
        </w:rPr>
        <w:t>2.</w:t>
      </w:r>
      <w:r>
        <w:rPr>
          <w:rFonts w:hint="eastAsia"/>
          <w:color w:val="auto"/>
          <w:highlight w:val="none"/>
        </w:rPr>
        <w:t>落实政府采购政策需满足的资格要求：</w:t>
      </w:r>
    </w:p>
    <w:p>
      <w:pPr>
        <w:rPr>
          <w:color w:val="auto"/>
          <w:highlight w:val="none"/>
        </w:rPr>
      </w:pPr>
      <w:r>
        <w:rPr>
          <w:rFonts w:hint="eastAsia"/>
          <w:color w:val="auto"/>
          <w:highlight w:val="none"/>
        </w:rPr>
        <w:t>（√）无；</w:t>
      </w:r>
    </w:p>
    <w:p>
      <w:pPr>
        <w:rPr>
          <w:color w:val="auto"/>
          <w:highlight w:val="none"/>
        </w:rPr>
      </w:pPr>
      <w:r>
        <w:rPr>
          <w:rFonts w:hint="eastAsia"/>
          <w:color w:val="auto"/>
          <w:highlight w:val="none"/>
        </w:rPr>
        <w:t>（ ）专门面向中小企业</w:t>
      </w:r>
    </w:p>
    <w:p>
      <w:pPr>
        <w:rPr>
          <w:color w:val="auto"/>
          <w:highlight w:val="none"/>
        </w:rPr>
      </w:pPr>
      <w:r>
        <w:rPr>
          <w:rFonts w:hint="eastAsia"/>
          <w:color w:val="auto"/>
          <w:highlight w:val="none"/>
        </w:rPr>
        <w:t>（ ）货物全部由符合政策要求的中小企业制造，提供中小企业声明函；</w:t>
      </w:r>
    </w:p>
    <w:p>
      <w:pPr>
        <w:rPr>
          <w:color w:val="auto"/>
          <w:highlight w:val="none"/>
        </w:rPr>
      </w:pPr>
      <w:r>
        <w:rPr>
          <w:rFonts w:hint="eastAsia"/>
          <w:color w:val="auto"/>
          <w:highlight w:val="none"/>
        </w:rPr>
        <w:t>（ ）货物全部由符合政策要求的小微企业制造，提供中小企业声明函；</w:t>
      </w:r>
    </w:p>
    <w:p>
      <w:pPr>
        <w:rPr>
          <w:color w:val="auto"/>
          <w:highlight w:val="none"/>
        </w:rPr>
      </w:pPr>
      <w:r>
        <w:rPr>
          <w:rFonts w:hint="eastAsia"/>
          <w:color w:val="auto"/>
          <w:highlight w:val="none"/>
        </w:rPr>
        <w:t>（ ）服务全部由符合政策要求的中小企业承接，提供中小企业声明函；</w:t>
      </w:r>
    </w:p>
    <w:p>
      <w:pPr>
        <w:rPr>
          <w:color w:val="auto"/>
          <w:highlight w:val="none"/>
        </w:rPr>
      </w:pPr>
      <w:r>
        <w:rPr>
          <w:rFonts w:hint="eastAsia"/>
          <w:color w:val="auto"/>
          <w:highlight w:val="none"/>
        </w:rPr>
        <w:t>（ ）服务全部由符合政策要求的小微企业承接，提供中小企业声明函；</w:t>
      </w:r>
    </w:p>
    <w:p>
      <w:pPr>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auto"/>
          <w:highlight w:val="none"/>
        </w:rPr>
      </w:pPr>
      <w:r>
        <w:rPr>
          <w:color w:val="auto"/>
          <w:highlight w:val="none"/>
        </w:rPr>
        <w:t>3.本项目的特定资格要求：无</w:t>
      </w:r>
      <w:r>
        <w:rPr>
          <w:rFonts w:hint="eastAsia"/>
          <w:color w:val="auto"/>
          <w:highlight w:val="none"/>
        </w:rPr>
        <w:t>；</w:t>
      </w:r>
    </w:p>
    <w:p>
      <w:pPr>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rPr>
          <w:b/>
          <w:color w:val="auto"/>
          <w:highlight w:val="none"/>
        </w:rPr>
      </w:pPr>
      <w:r>
        <w:rPr>
          <w:rFonts w:hint="eastAsia"/>
          <w:b/>
          <w:color w:val="auto"/>
          <w:highlight w:val="none"/>
        </w:rPr>
        <w:t>三、获取招标文件</w:t>
      </w:r>
      <w:r>
        <w:rPr>
          <w:b/>
          <w:color w:val="auto"/>
          <w:highlight w:val="none"/>
        </w:rPr>
        <w:t xml:space="preserve"> </w:t>
      </w:r>
    </w:p>
    <w:p>
      <w:pPr>
        <w:rPr>
          <w:color w:val="auto"/>
          <w:highlight w:val="none"/>
        </w:rPr>
      </w:pPr>
      <w:r>
        <w:rPr>
          <w:rFonts w:hint="eastAsia"/>
          <w:color w:val="auto"/>
          <w:highlight w:val="none"/>
        </w:rPr>
        <w:t>时间：</w:t>
      </w:r>
      <w:r>
        <w:rPr>
          <w:color w:val="auto"/>
          <w:highlight w:val="none"/>
        </w:rPr>
        <w:t>/至</w:t>
      </w:r>
      <w:r>
        <w:rPr>
          <w:rFonts w:hint="eastAsia"/>
          <w:color w:val="auto"/>
          <w:highlight w:val="none"/>
        </w:rPr>
        <w:t>202</w:t>
      </w:r>
      <w:r>
        <w:rPr>
          <w:rFonts w:hint="eastAsia"/>
          <w:color w:val="auto"/>
          <w:highlight w:val="none"/>
          <w:lang w:val="en-US" w:eastAsia="zh-CN"/>
        </w:rPr>
        <w:t>3</w:t>
      </w:r>
      <w:r>
        <w:rPr>
          <w:color w:val="auto"/>
          <w:highlight w:val="none"/>
        </w:rPr>
        <w:t>年</w:t>
      </w:r>
      <w:r>
        <w:rPr>
          <w:rFonts w:hint="eastAsia"/>
          <w:color w:val="auto"/>
          <w:highlight w:val="none"/>
          <w:lang w:val="en-US" w:eastAsia="zh-CN"/>
        </w:rPr>
        <w:t>01</w:t>
      </w:r>
      <w:r>
        <w:rPr>
          <w:color w:val="auto"/>
          <w:highlight w:val="none"/>
        </w:rPr>
        <w:t>月</w:t>
      </w:r>
      <w:r>
        <w:rPr>
          <w:rFonts w:hint="eastAsia"/>
          <w:color w:val="auto"/>
          <w:highlight w:val="none"/>
          <w:lang w:val="en-US" w:eastAsia="zh-CN"/>
        </w:rPr>
        <w:t>05</w:t>
      </w:r>
      <w:r>
        <w:rPr>
          <w:color w:val="auto"/>
          <w:highlight w:val="none"/>
        </w:rPr>
        <w:t>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rPr>
          <w:color w:val="auto"/>
          <w:highlight w:val="none"/>
        </w:rPr>
      </w:pPr>
      <w:r>
        <w:rPr>
          <w:rFonts w:hint="eastAsia"/>
          <w:color w:val="auto"/>
          <w:highlight w:val="none"/>
        </w:rPr>
        <w:t>地点（网址）：政采云平台（</w:t>
      </w:r>
      <w:r>
        <w:rPr>
          <w:color w:val="auto"/>
          <w:highlight w:val="none"/>
        </w:rPr>
        <w:t xml:space="preserve">https://www.zcygov.cn/） </w:t>
      </w:r>
    </w:p>
    <w:p>
      <w:pPr>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rPr>
          <w:b/>
          <w:color w:val="auto"/>
          <w:highlight w:val="none"/>
        </w:rPr>
      </w:pPr>
      <w:r>
        <w:rPr>
          <w:rFonts w:hint="eastAsia"/>
          <w:b/>
          <w:color w:val="auto"/>
          <w:highlight w:val="none"/>
        </w:rPr>
        <w:t>四、提交投标文件截止时间、开标时间和地点</w:t>
      </w:r>
    </w:p>
    <w:p>
      <w:pPr>
        <w:rPr>
          <w:color w:val="auto"/>
          <w:highlight w:val="none"/>
        </w:rPr>
      </w:pPr>
      <w:r>
        <w:rPr>
          <w:rFonts w:hint="eastAsia"/>
          <w:color w:val="auto"/>
          <w:highlight w:val="none"/>
        </w:rPr>
        <w:t>提交投标文件截止时间：</w:t>
      </w:r>
      <w:r>
        <w:rPr>
          <w:rFonts w:hint="eastAsia"/>
          <w:color w:val="auto"/>
          <w:highlight w:val="none"/>
          <w:lang w:eastAsia="zh-CN"/>
        </w:rPr>
        <w:t xml:space="preserve"> 2023年01月0</w:t>
      </w:r>
      <w:r>
        <w:rPr>
          <w:rFonts w:hint="eastAsia"/>
          <w:color w:val="auto"/>
          <w:highlight w:val="none"/>
          <w:lang w:val="en-US" w:eastAsia="zh-CN"/>
        </w:rPr>
        <w:t>5</w:t>
      </w:r>
      <w:r>
        <w:rPr>
          <w:rFonts w:hint="eastAsia"/>
          <w:color w:val="auto"/>
          <w:highlight w:val="none"/>
          <w:lang w:eastAsia="zh-CN"/>
        </w:rPr>
        <w:t xml:space="preserve">日09点30分 </w:t>
      </w:r>
      <w:r>
        <w:rPr>
          <w:rFonts w:hint="eastAsia"/>
          <w:color w:val="auto"/>
          <w:highlight w:val="none"/>
        </w:rPr>
        <w:t>（北京时间）</w:t>
      </w:r>
    </w:p>
    <w:p>
      <w:pPr>
        <w:rPr>
          <w:color w:val="auto"/>
          <w:highlight w:val="none"/>
        </w:rPr>
      </w:pPr>
      <w:r>
        <w:rPr>
          <w:rFonts w:hint="eastAsia"/>
          <w:color w:val="auto"/>
          <w:highlight w:val="none"/>
        </w:rPr>
        <w:t>投标地点（网址）：政采云平台（</w:t>
      </w:r>
      <w:r>
        <w:rPr>
          <w:color w:val="auto"/>
          <w:highlight w:val="none"/>
        </w:rPr>
        <w:t xml:space="preserve">https://www.zcygov.cn/） </w:t>
      </w:r>
    </w:p>
    <w:p>
      <w:pPr>
        <w:rPr>
          <w:rFonts w:hint="eastAsia" w:eastAsia="仿宋"/>
          <w:color w:val="auto"/>
          <w:highlight w:val="none"/>
          <w:lang w:eastAsia="zh-CN"/>
        </w:rPr>
      </w:pPr>
      <w:r>
        <w:rPr>
          <w:rFonts w:hint="eastAsia"/>
          <w:color w:val="auto"/>
          <w:highlight w:val="none"/>
        </w:rPr>
        <w:t>开标时间：</w:t>
      </w:r>
      <w:r>
        <w:rPr>
          <w:rFonts w:hint="eastAsia"/>
          <w:color w:val="auto"/>
          <w:highlight w:val="none"/>
          <w:lang w:eastAsia="zh-CN"/>
        </w:rPr>
        <w:t xml:space="preserve"> 2023年01月0</w:t>
      </w:r>
      <w:r>
        <w:rPr>
          <w:rFonts w:hint="eastAsia"/>
          <w:color w:val="auto"/>
          <w:highlight w:val="none"/>
          <w:lang w:val="en-US" w:eastAsia="zh-CN"/>
        </w:rPr>
        <w:t>5</w:t>
      </w:r>
      <w:bookmarkStart w:id="528" w:name="_GoBack"/>
      <w:bookmarkEnd w:id="528"/>
      <w:r>
        <w:rPr>
          <w:rFonts w:hint="eastAsia"/>
          <w:color w:val="auto"/>
          <w:highlight w:val="none"/>
          <w:lang w:eastAsia="zh-CN"/>
        </w:rPr>
        <w:t xml:space="preserve">日09点30分 </w:t>
      </w:r>
    </w:p>
    <w:p>
      <w:pPr>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r>
        <w:rPr>
          <w:rFonts w:hint="eastAsia"/>
          <w:color w:val="auto"/>
          <w:highlight w:val="none"/>
        </w:rPr>
        <w:t>。</w:t>
      </w:r>
    </w:p>
    <w:p>
      <w:pPr>
        <w:rPr>
          <w:b/>
          <w:color w:val="auto"/>
          <w:highlight w:val="none"/>
        </w:rPr>
      </w:pPr>
      <w:r>
        <w:rPr>
          <w:rFonts w:hint="eastAsia"/>
          <w:b/>
          <w:color w:val="auto"/>
          <w:highlight w:val="none"/>
        </w:rPr>
        <w:t>五、公告期限</w:t>
      </w:r>
      <w:r>
        <w:rPr>
          <w:b/>
          <w:color w:val="auto"/>
          <w:highlight w:val="none"/>
        </w:rPr>
        <w:t xml:space="preserve"> </w:t>
      </w:r>
    </w:p>
    <w:p>
      <w:pPr>
        <w:rPr>
          <w:color w:val="auto"/>
          <w:highlight w:val="none"/>
        </w:rPr>
      </w:pPr>
      <w:r>
        <w:rPr>
          <w:rFonts w:hint="eastAsia"/>
          <w:color w:val="auto"/>
          <w:highlight w:val="none"/>
        </w:rPr>
        <w:t>自本公告发布之日起</w:t>
      </w:r>
      <w:r>
        <w:rPr>
          <w:color w:val="auto"/>
          <w:highlight w:val="none"/>
        </w:rPr>
        <w:t>5个工作日。</w:t>
      </w:r>
    </w:p>
    <w:p>
      <w:pPr>
        <w:rPr>
          <w:b/>
          <w:color w:val="auto"/>
          <w:highlight w:val="none"/>
        </w:rPr>
      </w:pPr>
      <w:r>
        <w:rPr>
          <w:rFonts w:hint="eastAsia"/>
          <w:b/>
          <w:color w:val="auto"/>
          <w:highlight w:val="none"/>
        </w:rPr>
        <w:t>六、其他补充事宜</w:t>
      </w:r>
    </w:p>
    <w:p>
      <w:pPr>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rPr>
          <w:b/>
          <w:color w:val="auto"/>
          <w:highlight w:val="none"/>
        </w:rPr>
      </w:pPr>
      <w:r>
        <w:rPr>
          <w:rFonts w:hint="eastAsia"/>
          <w:b/>
          <w:color w:val="auto"/>
          <w:highlight w:val="none"/>
        </w:rPr>
        <w:t>七、对本次采购提出询问、质疑、投诉，请按以下方式联系</w:t>
      </w:r>
    </w:p>
    <w:p>
      <w:pPr>
        <w:rPr>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pPr>
        <w:rPr>
          <w:rFonts w:hint="eastAsia"/>
          <w:color w:val="auto"/>
          <w:highlight w:val="none"/>
          <w:lang w:eastAsia="zh-CN"/>
        </w:rPr>
      </w:pPr>
      <w:r>
        <w:rPr>
          <w:rFonts w:hint="eastAsia"/>
          <w:color w:val="auto"/>
          <w:highlight w:val="none"/>
        </w:rPr>
        <w:t>名 称：</w:t>
      </w:r>
      <w:r>
        <w:rPr>
          <w:rFonts w:hint="eastAsia"/>
          <w:color w:val="auto"/>
          <w:highlight w:val="none"/>
          <w:lang w:eastAsia="zh-CN"/>
        </w:rPr>
        <w:t>杭州市萧山区文化旅游体育发展服务中心</w:t>
      </w:r>
    </w:p>
    <w:p>
      <w:pPr>
        <w:rPr>
          <w:color w:val="auto"/>
          <w:highlight w:val="none"/>
        </w:rPr>
      </w:pPr>
      <w:r>
        <w:rPr>
          <w:rFonts w:hint="eastAsia"/>
          <w:color w:val="auto"/>
          <w:highlight w:val="none"/>
        </w:rPr>
        <w:t>地址：萧山区城厢街道市心南路398号</w:t>
      </w:r>
    </w:p>
    <w:p>
      <w:pPr>
        <w:rPr>
          <w:rFonts w:hint="eastAsia" w:eastAsia="仿宋"/>
          <w:color w:val="auto"/>
          <w:highlight w:val="none"/>
          <w:lang w:eastAsia="zh-CN"/>
        </w:rPr>
      </w:pPr>
      <w:r>
        <w:rPr>
          <w:color w:val="auto"/>
          <w:highlight w:val="none"/>
        </w:rPr>
        <w:t>传真</w:t>
      </w:r>
      <w:r>
        <w:rPr>
          <w:rFonts w:hint="eastAsia"/>
          <w:color w:val="auto"/>
          <w:highlight w:val="none"/>
        </w:rPr>
        <w:t>：</w:t>
      </w:r>
      <w:r>
        <w:rPr>
          <w:rFonts w:hint="eastAsia"/>
          <w:color w:val="auto"/>
          <w:highlight w:val="none"/>
          <w:lang w:val="en-US" w:eastAsia="zh-CN"/>
        </w:rPr>
        <w:t>/</w:t>
      </w:r>
    </w:p>
    <w:p>
      <w:pPr>
        <w:rPr>
          <w:rFonts w:hint="default" w:eastAsia="仿宋"/>
          <w:color w:val="auto"/>
          <w:highlight w:val="none"/>
          <w:lang w:val="en-US" w:eastAsia="zh-CN"/>
        </w:rPr>
      </w:pPr>
      <w:r>
        <w:rPr>
          <w:color w:val="auto"/>
          <w:highlight w:val="none"/>
        </w:rPr>
        <w:t>项目联系人</w:t>
      </w:r>
      <w:r>
        <w:rPr>
          <w:rFonts w:hint="eastAsia"/>
          <w:color w:val="auto"/>
          <w:highlight w:val="none"/>
        </w:rPr>
        <w:t>（询问）：</w:t>
      </w:r>
      <w:r>
        <w:rPr>
          <w:rFonts w:hint="eastAsia"/>
          <w:color w:val="auto"/>
          <w:highlight w:val="none"/>
          <w:lang w:val="en-US" w:eastAsia="zh-CN"/>
        </w:rPr>
        <w:t>周利平</w:t>
      </w:r>
    </w:p>
    <w:p>
      <w:pPr>
        <w:rPr>
          <w:color w:val="auto"/>
          <w:highlight w:val="none"/>
        </w:rPr>
      </w:pPr>
      <w:r>
        <w:rPr>
          <w:color w:val="auto"/>
          <w:highlight w:val="none"/>
        </w:rPr>
        <w:t>项目联系方式</w:t>
      </w:r>
      <w:r>
        <w:rPr>
          <w:rFonts w:hint="eastAsia"/>
          <w:color w:val="auto"/>
          <w:highlight w:val="none"/>
        </w:rPr>
        <w:t>（询问）：0571-82378572</w:t>
      </w:r>
    </w:p>
    <w:p>
      <w:pPr>
        <w:rPr>
          <w:color w:val="auto"/>
          <w:highlight w:val="none"/>
        </w:rPr>
      </w:pPr>
      <w:r>
        <w:rPr>
          <w:rFonts w:hint="eastAsia"/>
          <w:color w:val="auto"/>
          <w:highlight w:val="none"/>
        </w:rPr>
        <w:t>质疑联系人：闵宪彬</w:t>
      </w:r>
    </w:p>
    <w:p>
      <w:pPr>
        <w:rPr>
          <w:rFonts w:hint="default" w:eastAsia="仿宋"/>
          <w:color w:val="auto"/>
          <w:highlight w:val="none"/>
          <w:lang w:val="en-US" w:eastAsia="zh-CN"/>
        </w:rPr>
      </w:pPr>
      <w:r>
        <w:rPr>
          <w:color w:val="auto"/>
          <w:highlight w:val="none"/>
        </w:rPr>
        <w:t>质疑联系方式</w:t>
      </w:r>
      <w:r>
        <w:rPr>
          <w:rFonts w:hint="eastAsia"/>
          <w:color w:val="auto"/>
          <w:highlight w:val="none"/>
        </w:rPr>
        <w:t>：</w:t>
      </w:r>
      <w:bookmarkStart w:id="0" w:name="_Toc28359009"/>
      <w:bookmarkStart w:id="1" w:name="_Toc28359086"/>
      <w:r>
        <w:rPr>
          <w:rFonts w:hint="eastAsia"/>
          <w:color w:val="auto"/>
          <w:highlight w:val="none"/>
        </w:rPr>
        <w:t>0571-83869769</w:t>
      </w:r>
    </w:p>
    <w:p>
      <w:pPr>
        <w:rPr>
          <w:color w:val="auto"/>
          <w:highlight w:val="none"/>
        </w:rPr>
      </w:pPr>
      <w:r>
        <w:rPr>
          <w:rFonts w:hint="eastAsia"/>
          <w:color w:val="auto"/>
          <w:highlight w:val="none"/>
        </w:rPr>
        <w:t>2</w:t>
      </w:r>
      <w:r>
        <w:rPr>
          <w:color w:val="auto"/>
          <w:highlight w:val="none"/>
        </w:rPr>
        <w:t>.</w:t>
      </w:r>
      <w:r>
        <w:rPr>
          <w:rFonts w:hint="eastAsia"/>
          <w:color w:val="auto"/>
          <w:highlight w:val="none"/>
        </w:rPr>
        <w:t>采购代理机构信息</w:t>
      </w:r>
      <w:bookmarkEnd w:id="0"/>
      <w:bookmarkEnd w:id="1"/>
    </w:p>
    <w:p>
      <w:pPr>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华诚工程咨询集团有限公司</w:t>
      </w:r>
    </w:p>
    <w:p>
      <w:pPr>
        <w:rPr>
          <w:rFonts w:hint="eastAsia" w:eastAsia="仿宋"/>
          <w:color w:val="auto"/>
          <w:highlight w:val="none"/>
          <w:lang w:eastAsia="zh-CN"/>
        </w:rPr>
      </w:pPr>
      <w:r>
        <w:rPr>
          <w:rFonts w:hint="eastAsia"/>
          <w:color w:val="auto"/>
          <w:highlight w:val="none"/>
        </w:rPr>
        <w:t>地址：</w:t>
      </w:r>
      <w:r>
        <w:rPr>
          <w:rFonts w:hint="eastAsia"/>
          <w:color w:val="auto"/>
          <w:highlight w:val="none"/>
          <w:lang w:eastAsia="zh-CN"/>
        </w:rPr>
        <w:t>杭州市萧山区华瑞汇金中心（金城路148号）12楼1201-3室</w:t>
      </w:r>
    </w:p>
    <w:p>
      <w:pPr>
        <w:rPr>
          <w:rFonts w:hint="eastAsia" w:eastAsia="仿宋"/>
          <w:color w:val="auto"/>
          <w:highlight w:val="none"/>
          <w:lang w:eastAsia="zh-CN"/>
        </w:rPr>
      </w:pPr>
      <w:r>
        <w:rPr>
          <w:rFonts w:hint="eastAsia"/>
          <w:color w:val="auto"/>
          <w:highlight w:val="none"/>
        </w:rPr>
        <w:t>项目联系人（询问）：</w:t>
      </w:r>
      <w:r>
        <w:rPr>
          <w:rFonts w:hint="eastAsia"/>
          <w:color w:val="auto"/>
          <w:highlight w:val="none"/>
          <w:lang w:val="en-US" w:eastAsia="zh-CN"/>
        </w:rPr>
        <w:t>冯燕平</w:t>
      </w:r>
    </w:p>
    <w:p>
      <w:pPr>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15158856607</w:t>
      </w:r>
    </w:p>
    <w:p>
      <w:pPr>
        <w:rPr>
          <w:rFonts w:hint="eastAsia" w:eastAsia="仿宋"/>
          <w:color w:val="auto"/>
          <w:highlight w:val="none"/>
          <w:lang w:eastAsia="zh-CN"/>
        </w:rPr>
      </w:pPr>
      <w:r>
        <w:rPr>
          <w:rFonts w:hint="eastAsia"/>
          <w:color w:val="auto"/>
          <w:highlight w:val="none"/>
        </w:rPr>
        <w:t>质疑联系人：</w:t>
      </w:r>
      <w:r>
        <w:rPr>
          <w:rFonts w:hint="eastAsia"/>
          <w:color w:val="auto"/>
          <w:highlight w:val="none"/>
          <w:lang w:val="en-US" w:eastAsia="zh-CN"/>
        </w:rPr>
        <w:t>徐银华</w:t>
      </w:r>
    </w:p>
    <w:p>
      <w:pPr>
        <w:rPr>
          <w:rFonts w:hint="default" w:eastAsia="仿宋"/>
          <w:color w:val="auto"/>
          <w:highlight w:val="none"/>
          <w:lang w:val="en-US" w:eastAsia="zh-CN"/>
        </w:rPr>
      </w:pPr>
      <w:r>
        <w:rPr>
          <w:rFonts w:hint="eastAsia"/>
          <w:color w:val="auto"/>
          <w:highlight w:val="none"/>
        </w:rPr>
        <w:t>质疑联系方式：</w:t>
      </w:r>
      <w:r>
        <w:rPr>
          <w:rFonts w:hint="eastAsia"/>
          <w:color w:val="auto"/>
          <w:highlight w:val="none"/>
          <w:lang w:val="en-US" w:eastAsia="zh-CN"/>
        </w:rPr>
        <w:t>15967190407</w:t>
      </w:r>
    </w:p>
    <w:p>
      <w:pPr>
        <w:rPr>
          <w:color w:val="auto"/>
          <w:highlight w:val="none"/>
        </w:rPr>
      </w:pPr>
      <w:r>
        <w:rPr>
          <w:rFonts w:hint="eastAsia"/>
          <w:color w:val="auto"/>
          <w:highlight w:val="none"/>
        </w:rPr>
        <w:t>3</w:t>
      </w:r>
      <w:r>
        <w:rPr>
          <w:color w:val="auto"/>
          <w:highlight w:val="none"/>
        </w:rPr>
        <w:t>.同级政府采购监督管理部门</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名</w:t>
      </w:r>
      <w:r>
        <w:rPr>
          <w:rFonts w:hint="eastAsia" w:ascii="宋体" w:hAnsi="宋体" w:eastAsia="宋体" w:cs="宋体"/>
          <w:color w:val="auto"/>
          <w:highlight w:val="none"/>
        </w:rPr>
        <w:t>   </w:t>
      </w:r>
      <w:r>
        <w:rPr>
          <w:color w:val="auto"/>
          <w:highlight w:val="none"/>
        </w:rPr>
        <w:t xml:space="preserve"> 称：萧山区财政局</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地</w:t>
      </w:r>
      <w:r>
        <w:rPr>
          <w:rFonts w:hint="eastAsia" w:ascii="宋体" w:hAnsi="宋体" w:eastAsia="宋体" w:cs="宋体"/>
          <w:color w:val="auto"/>
          <w:highlight w:val="none"/>
        </w:rPr>
        <w:t>   </w:t>
      </w:r>
      <w:r>
        <w:rPr>
          <w:color w:val="auto"/>
          <w:highlight w:val="none"/>
        </w:rPr>
        <w:t xml:space="preserve"> 址：萧山区人民路318号</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传</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真：0571-</w:t>
      </w:r>
      <w:r>
        <w:rPr>
          <w:rFonts w:hint="eastAsia"/>
          <w:color w:val="auto"/>
          <w:highlight w:val="none"/>
        </w:rPr>
        <w:t>82756122</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联系人 ：</w:t>
      </w:r>
      <w:r>
        <w:rPr>
          <w:rFonts w:hint="eastAsia"/>
          <w:color w:val="auto"/>
          <w:highlight w:val="none"/>
        </w:rPr>
        <w:t>汤先生</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监督投诉电话：</w:t>
      </w:r>
      <w:r>
        <w:rPr>
          <w:rFonts w:hint="eastAsia"/>
          <w:color w:val="auto"/>
          <w:highlight w:val="none"/>
        </w:rPr>
        <w:t>0571-82756122</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p>
    <w:p>
      <w:pPr>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第二部分</w:t>
      </w:r>
      <w:r>
        <w:rPr>
          <w:color w:val="auto"/>
          <w:highlight w:val="none"/>
        </w:rPr>
        <w:t xml:space="preserve"> 投标人须知</w:t>
      </w:r>
    </w:p>
    <w:p>
      <w:pPr>
        <w:pStyle w:val="5"/>
        <w:rPr>
          <w:color w:val="auto"/>
          <w:highlight w:val="none"/>
        </w:rPr>
      </w:pPr>
      <w:r>
        <w:rPr>
          <w:rFonts w:hint="eastAsia"/>
          <w:color w:val="auto"/>
          <w:highlight w:val="none"/>
        </w:rPr>
        <w:t>前附表</w:t>
      </w:r>
    </w:p>
    <w:tbl>
      <w:tblPr>
        <w:tblStyle w:val="27"/>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00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65" w:type="pct"/>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事项</w:t>
            </w:r>
          </w:p>
        </w:tc>
        <w:tc>
          <w:tcPr>
            <w:tcW w:w="3538" w:type="pct"/>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3538" w:type="pct"/>
            <w:vAlign w:val="center"/>
          </w:tcPr>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)A货物类，单一产品或核心产品为：</w:t>
            </w:r>
            <w:r>
              <w:rPr>
                <w:rFonts w:hint="eastAsia" w:cs="仿宋"/>
                <w:color w:val="auto"/>
                <w:sz w:val="24"/>
                <w:szCs w:val="24"/>
                <w:highlight w:val="none"/>
                <w:u w:val="single"/>
                <w:lang w:val="en-US" w:eastAsia="zh-CN"/>
              </w:rPr>
              <w:t>智能储物柜</w:t>
            </w:r>
            <w:r>
              <w:rPr>
                <w:rFonts w:hint="eastAsia" w:ascii="仿宋" w:hAnsi="仿宋" w:eastAsia="仿宋" w:cs="仿宋"/>
                <w:color w:val="auto"/>
                <w:sz w:val="24"/>
                <w:szCs w:val="24"/>
                <w:highlight w:val="none"/>
                <w:u w:val="single"/>
                <w:lang w:val="en-US" w:eastAsia="zh-CN"/>
              </w:rPr>
              <w:t>、自助购票手环一体机、一进一出闸机（含手环回收）</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3538" w:type="pct"/>
            <w:vAlign w:val="center"/>
          </w:tcPr>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eastAsia="zh-CN"/>
              </w:rPr>
              <w:t>杭州市萧山区文化旅游体育发展服务中心智慧场馆提升项目</w:t>
            </w:r>
            <w:r>
              <w:rPr>
                <w:rFonts w:hint="eastAsia" w:ascii="仿宋" w:hAnsi="仿宋" w:eastAsia="仿宋" w:cs="仿宋"/>
                <w:color w:val="auto"/>
                <w:sz w:val="24"/>
                <w:szCs w:val="24"/>
                <w:highlight w:val="none"/>
              </w:rPr>
              <w:t>，属于工业行业；</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行业划分标准：</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3538" w:type="pct"/>
            <w:vAlign w:val="center"/>
          </w:tcPr>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 xml:space="preserve"> )本项目不允许采购进口产品。</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)可以就    采购进口产品。</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联合体和分包</w:t>
            </w:r>
          </w:p>
        </w:tc>
        <w:tc>
          <w:tcPr>
            <w:tcW w:w="3538" w:type="pct"/>
            <w:vAlign w:val="center"/>
          </w:tcPr>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安装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3538" w:type="pct"/>
            <w:vAlign w:val="center"/>
          </w:tcPr>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A不组织。</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样品提供</w:t>
            </w:r>
          </w:p>
        </w:tc>
        <w:tc>
          <w:tcPr>
            <w:tcW w:w="3538" w:type="pct"/>
            <w:vAlign w:val="center"/>
          </w:tcPr>
          <w:p>
            <w:pPr>
              <w:spacing w:after="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（√）A不要求提供。</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6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3538"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）A不要求。</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（√）B要求演示</w:t>
            </w:r>
          </w:p>
          <w:p>
            <w:pPr>
              <w:spacing w:after="0"/>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本项目设演示环节，由各投标人在规定的时间内依据采购文件第</w:t>
            </w:r>
            <w:r>
              <w:rPr>
                <w:rFonts w:hint="eastAsia" w:ascii="仿宋" w:hAnsi="仿宋" w:eastAsia="仿宋" w:cs="仿宋"/>
                <w:color w:val="auto"/>
                <w:sz w:val="24"/>
                <w:szCs w:val="24"/>
                <w:highlight w:val="none"/>
                <w:lang w:val="en-US" w:eastAsia="zh-CN"/>
              </w:rPr>
              <w:t>四部分</w:t>
            </w:r>
            <w:r>
              <w:rPr>
                <w:rFonts w:hint="eastAsia" w:ascii="仿宋" w:hAnsi="仿宋" w:eastAsia="仿宋" w:cs="仿宋"/>
                <w:color w:val="auto"/>
                <w:sz w:val="24"/>
                <w:szCs w:val="24"/>
                <w:highlight w:val="none"/>
                <w:lang w:val="zh-CN"/>
              </w:rPr>
              <w:t>采购需求及评分细则中的相关要求自行准备讲解内容。</w:t>
            </w:r>
          </w:p>
          <w:p>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（1）时间要求：演示</w:t>
            </w:r>
            <w:r>
              <w:rPr>
                <w:rFonts w:hint="eastAsia" w:cs="仿宋"/>
                <w:color w:val="auto"/>
                <w:sz w:val="24"/>
                <w:szCs w:val="24"/>
                <w:highlight w:val="none"/>
                <w:lang w:val="en-US" w:eastAsia="zh-CN"/>
              </w:rPr>
              <w:t>总时长</w:t>
            </w:r>
            <w:r>
              <w:rPr>
                <w:rFonts w:hint="eastAsia" w:ascii="仿宋" w:hAnsi="仿宋" w:eastAsia="仿宋" w:cs="仿宋"/>
                <w:color w:val="auto"/>
                <w:sz w:val="24"/>
                <w:szCs w:val="24"/>
                <w:highlight w:val="none"/>
                <w:lang w:val="zh-CN"/>
              </w:rPr>
              <w:t>不超过</w:t>
            </w:r>
            <w:r>
              <w:rPr>
                <w:rFonts w:hint="eastAsia"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分钟（不含专家提问时间）</w:t>
            </w:r>
            <w:r>
              <w:rPr>
                <w:rFonts w:hint="eastAsia" w:ascii="仿宋" w:hAnsi="仿宋" w:eastAsia="仿宋" w:cs="仿宋"/>
                <w:color w:val="auto"/>
                <w:sz w:val="24"/>
                <w:szCs w:val="24"/>
                <w:highlight w:val="none"/>
                <w:lang w:val="zh-CN" w:eastAsia="zh-CN"/>
              </w:rPr>
              <w:t>。</w:t>
            </w:r>
          </w:p>
          <w:p>
            <w:pPr>
              <w:spacing w:after="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演示方式：</w:t>
            </w:r>
            <w:r>
              <w:rPr>
                <w:rFonts w:hint="eastAsia" w:cs="仿宋"/>
                <w:color w:val="auto"/>
                <w:sz w:val="24"/>
                <w:szCs w:val="24"/>
                <w:highlight w:val="none"/>
                <w:lang w:val="en-US" w:eastAsia="zh-CN"/>
              </w:rPr>
              <w:t>具体要求详见评分标准。</w:t>
            </w:r>
          </w:p>
          <w:p>
            <w:pPr>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演示</w:t>
            </w:r>
            <w:r>
              <w:rPr>
                <w:rFonts w:hint="eastAsia" w:ascii="仿宋" w:hAnsi="仿宋" w:eastAsia="仿宋" w:cs="仿宋"/>
                <w:color w:val="auto"/>
                <w:sz w:val="24"/>
                <w:szCs w:val="24"/>
                <w:highlight w:val="none"/>
                <w:lang w:val="zh-CN"/>
              </w:rPr>
              <w:t>顺序安排：按电子响应文件的解密先后顺序依次进行。</w:t>
            </w:r>
          </w:p>
          <w:p>
            <w:pPr>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现场演示</w:t>
            </w:r>
            <w:r>
              <w:rPr>
                <w:rFonts w:hint="eastAsia" w:ascii="仿宋" w:hAnsi="仿宋" w:eastAsia="仿宋" w:cs="仿宋"/>
                <w:color w:val="auto"/>
                <w:sz w:val="24"/>
                <w:szCs w:val="24"/>
                <w:highlight w:val="none"/>
                <w:lang w:val="zh-CN"/>
              </w:rPr>
              <w:t>人员要求：各投标单位限2人进入评标室演示</w:t>
            </w:r>
            <w:r>
              <w:rPr>
                <w:rFonts w:hint="eastAsia" w:ascii="仿宋" w:hAnsi="仿宋" w:eastAsia="仿宋" w:cs="仿宋"/>
                <w:color w:val="auto"/>
                <w:sz w:val="24"/>
                <w:szCs w:val="24"/>
                <w:highlight w:val="none"/>
                <w:lang w:val="zh-CN" w:eastAsia="zh-CN"/>
              </w:rPr>
              <w:t>且必须包含法定代表人或其授权代表；现场演示人员进场时携带身份证</w:t>
            </w:r>
            <w:r>
              <w:rPr>
                <w:rFonts w:hint="eastAsia" w:ascii="仿宋" w:hAnsi="仿宋" w:eastAsia="仿宋" w:cs="仿宋"/>
                <w:color w:val="auto"/>
                <w:sz w:val="24"/>
                <w:szCs w:val="24"/>
                <w:highlight w:val="none"/>
                <w:lang w:val="en-US" w:eastAsia="zh-CN"/>
              </w:rPr>
              <w:t>原件</w:t>
            </w:r>
            <w:r>
              <w:rPr>
                <w:rFonts w:hint="eastAsia" w:ascii="仿宋" w:hAnsi="仿宋" w:eastAsia="仿宋" w:cs="仿宋"/>
                <w:color w:val="auto"/>
                <w:sz w:val="24"/>
                <w:szCs w:val="24"/>
                <w:highlight w:val="none"/>
                <w:lang w:val="zh-CN" w:eastAsia="zh-CN"/>
              </w:rPr>
              <w:t>、授权委托书（详见招标文件格式范例附件6，法人代表可不携带），否则不得进场。现场演示后按要求解答评标委员会的提问。</w:t>
            </w:r>
          </w:p>
          <w:p>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现场演示</w:t>
            </w: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lang w:val="zh-CN" w:eastAsia="zh-CN"/>
              </w:rPr>
              <w:t>杭州市</w:t>
            </w:r>
            <w:r>
              <w:rPr>
                <w:rFonts w:hint="eastAsia" w:ascii="仿宋" w:hAnsi="仿宋" w:eastAsia="仿宋" w:cs="仿宋"/>
                <w:color w:val="auto"/>
                <w:sz w:val="24"/>
                <w:szCs w:val="24"/>
                <w:highlight w:val="none"/>
                <w:lang w:val="en-US" w:eastAsia="zh-CN"/>
              </w:rPr>
              <w:t>萧山区华瑞汇金中心12楼</w:t>
            </w:r>
            <w:r>
              <w:rPr>
                <w:rFonts w:hint="eastAsia" w:ascii="仿宋" w:hAnsi="仿宋" w:eastAsia="仿宋" w:cs="仿宋"/>
                <w:color w:val="auto"/>
                <w:sz w:val="24"/>
                <w:szCs w:val="24"/>
                <w:highlight w:val="none"/>
                <w:lang w:val="zh-CN" w:eastAsia="zh-CN"/>
              </w:rPr>
              <w:t>（金城路148号）</w:t>
            </w:r>
            <w:r>
              <w:rPr>
                <w:rFonts w:hint="eastAsia" w:ascii="仿宋" w:hAnsi="仿宋" w:eastAsia="仿宋" w:cs="仿宋"/>
                <w:color w:val="auto"/>
                <w:sz w:val="24"/>
                <w:szCs w:val="24"/>
                <w:highlight w:val="none"/>
                <w:lang w:val="en-US" w:eastAsia="zh-CN"/>
              </w:rPr>
              <w:t>1201-3会议室。</w:t>
            </w:r>
          </w:p>
          <w:p>
            <w:pPr>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）设备</w:t>
            </w:r>
            <w:r>
              <w:rPr>
                <w:rFonts w:hint="eastAsia" w:ascii="仿宋" w:hAnsi="仿宋" w:eastAsia="仿宋" w:cs="仿宋"/>
                <w:color w:val="auto"/>
                <w:sz w:val="24"/>
                <w:szCs w:val="24"/>
                <w:highlight w:val="none"/>
                <w:lang w:val="zh-CN" w:eastAsia="zh-CN"/>
              </w:rPr>
              <w:t>情况</w:t>
            </w:r>
            <w:r>
              <w:rPr>
                <w:rFonts w:hint="eastAsia" w:ascii="仿宋" w:hAnsi="仿宋" w:eastAsia="仿宋" w:cs="仿宋"/>
                <w:color w:val="auto"/>
                <w:sz w:val="24"/>
                <w:szCs w:val="24"/>
                <w:highlight w:val="none"/>
                <w:lang w:val="zh-CN"/>
              </w:rPr>
              <w:t>：演示时可</w:t>
            </w:r>
            <w:r>
              <w:rPr>
                <w:rFonts w:hint="eastAsia" w:ascii="仿宋" w:hAnsi="仿宋" w:eastAsia="仿宋" w:cs="仿宋"/>
                <w:b/>
                <w:bCs/>
                <w:color w:val="auto"/>
                <w:sz w:val="24"/>
                <w:szCs w:val="24"/>
                <w:highlight w:val="none"/>
                <w:lang w:val="en-US" w:eastAsia="zh-CN"/>
              </w:rPr>
              <w:t>自带手提电脑</w:t>
            </w:r>
            <w:r>
              <w:rPr>
                <w:rFonts w:hint="eastAsia" w:cs="仿宋"/>
                <w:b/>
                <w:bCs/>
                <w:color w:val="auto"/>
                <w:sz w:val="24"/>
                <w:szCs w:val="24"/>
                <w:highlight w:val="none"/>
                <w:lang w:val="en-US" w:eastAsia="zh-CN"/>
              </w:rPr>
              <w:t>或使用</w:t>
            </w:r>
            <w:r>
              <w:rPr>
                <w:rFonts w:hint="eastAsia" w:ascii="仿宋" w:hAnsi="仿宋" w:eastAsia="仿宋" w:cs="仿宋"/>
                <w:b/>
                <w:bCs/>
                <w:color w:val="auto"/>
                <w:sz w:val="24"/>
                <w:szCs w:val="24"/>
                <w:highlight w:val="none"/>
                <w:lang w:val="en-US" w:eastAsia="zh-CN"/>
              </w:rPr>
              <w:t>评标室电脑</w:t>
            </w:r>
            <w:r>
              <w:rPr>
                <w:rFonts w:hint="eastAsia" w:cs="仿宋"/>
                <w:b/>
                <w:bCs/>
                <w:color w:val="auto"/>
                <w:sz w:val="24"/>
                <w:szCs w:val="24"/>
                <w:highlight w:val="none"/>
                <w:lang w:val="en-US" w:eastAsia="zh-CN"/>
              </w:rPr>
              <w:t>及演示必需设备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凡忽视本要求的投标人，其责任自负。</w:t>
            </w:r>
          </w:p>
          <w:p>
            <w:pPr>
              <w:spacing w:after="0"/>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特别说明：</w:t>
            </w:r>
            <w:r>
              <w:rPr>
                <w:rFonts w:hint="eastAsia" w:ascii="仿宋" w:hAnsi="仿宋" w:eastAsia="仿宋" w:cs="仿宋"/>
                <w:b/>
                <w:bCs/>
                <w:color w:val="auto"/>
                <w:sz w:val="24"/>
                <w:szCs w:val="24"/>
                <w:highlight w:val="none"/>
                <w:lang w:val="zh-CN" w:eastAsia="zh-CN"/>
              </w:rPr>
              <w:t>拟派本项目</w:t>
            </w:r>
            <w:r>
              <w:rPr>
                <w:rFonts w:hint="eastAsia" w:ascii="仿宋" w:hAnsi="仿宋" w:eastAsia="仿宋" w:cs="仿宋"/>
                <w:b/>
                <w:bCs/>
                <w:color w:val="auto"/>
                <w:sz w:val="24"/>
                <w:szCs w:val="24"/>
                <w:highlight w:val="none"/>
                <w:lang w:val="en-US" w:eastAsia="zh-CN"/>
              </w:rPr>
              <w:t>现场</w:t>
            </w:r>
            <w:r>
              <w:rPr>
                <w:rFonts w:hint="eastAsia" w:ascii="仿宋" w:hAnsi="仿宋" w:eastAsia="仿宋" w:cs="仿宋"/>
                <w:b/>
                <w:bCs/>
                <w:color w:val="auto"/>
                <w:sz w:val="24"/>
                <w:szCs w:val="24"/>
                <w:highlight w:val="none"/>
                <w:lang w:val="zh-CN" w:eastAsia="zh-CN"/>
              </w:rPr>
              <w:t>演示人员</w:t>
            </w:r>
            <w:r>
              <w:rPr>
                <w:rFonts w:hint="eastAsia" w:ascii="仿宋" w:hAnsi="仿宋" w:eastAsia="仿宋" w:cs="仿宋"/>
                <w:b/>
                <w:bCs/>
                <w:color w:val="auto"/>
                <w:sz w:val="24"/>
                <w:szCs w:val="24"/>
                <w:highlight w:val="none"/>
                <w:lang w:val="en-US" w:eastAsia="zh-CN"/>
              </w:rPr>
              <w:t>须出具有效身份证及本单位授权委托书。</w:t>
            </w:r>
            <w:r>
              <w:rPr>
                <w:rFonts w:hint="eastAsia" w:cs="仿宋"/>
                <w:b/>
                <w:bCs/>
                <w:color w:val="auto"/>
                <w:sz w:val="24"/>
                <w:szCs w:val="24"/>
                <w:highlight w:val="none"/>
                <w:lang w:val="en-US" w:eastAsia="zh-CN"/>
              </w:rPr>
              <w:t>演示功能不全或不符合要求或未提供演示的不得分。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3538" w:type="pct"/>
            <w:vAlign w:val="center"/>
          </w:tcPr>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投标人未提供有效的资格证明文件的，视为投标人不具备招标文件中规定的资格要求，投标无效。</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3538"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3538" w:type="pct"/>
            <w:vAlign w:val="center"/>
          </w:tcPr>
          <w:p>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开标一览表（报价表）是报价的唯一载体</w:t>
            </w:r>
            <w:r>
              <w:rPr>
                <w:rFonts w:hint="eastAsia" w:ascii="仿宋" w:hAnsi="仿宋" w:eastAsia="仿宋" w:cs="仿宋"/>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投标报价出现下列情形的，投标无效：</w:t>
            </w:r>
          </w:p>
          <w:p>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投标文件出现不是唯一的、有选择性投标报价的；</w:t>
            </w:r>
          </w:p>
          <w:p>
            <w:pPr>
              <w:spacing w:after="0"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投标报价超过招标文件中规定的预算金额或者最高限价的;</w:t>
            </w:r>
          </w:p>
          <w:p>
            <w:pPr>
              <w:spacing w:after="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投标人对根据修正原则修正后的报价不确认的。</w:t>
            </w:r>
          </w:p>
          <w:p>
            <w:pPr>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3538" w:type="pct"/>
            <w:vAlign w:val="center"/>
          </w:tcPr>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31"/>
                <w:rFonts w:hint="eastAsia" w:ascii="仿宋" w:hAnsi="仿宋" w:eastAsia="仿宋" w:cs="仿宋"/>
                <w:snapToGrid/>
                <w:color w:val="auto"/>
                <w:sz w:val="24"/>
                <w:szCs w:val="24"/>
                <w:highlight w:val="none"/>
              </w:rPr>
              <w:t>http://www.xiaoshan.gov.cn/art/2018/12/20/art_1229293109_1559514.html</w:t>
            </w:r>
            <w:r>
              <w:rPr>
                <w:rStyle w:val="31"/>
                <w:rFonts w:hint="eastAsia" w:ascii="仿宋" w:hAnsi="仿宋" w:eastAsia="仿宋" w:cs="仿宋"/>
                <w:snapToGrid/>
                <w:color w:val="auto"/>
                <w:sz w:val="24"/>
                <w:szCs w:val="24"/>
                <w:highlight w:val="none"/>
              </w:rPr>
              <w:fldChar w:fldCharType="end"/>
            </w:r>
          </w:p>
          <w:p>
            <w:pPr>
              <w:spacing w:after="0"/>
              <w:rPr>
                <w:rFonts w:hint="eastAsia" w:ascii="仿宋" w:hAnsi="仿宋" w:eastAsia="仿宋" w:cs="仿宋"/>
                <w:color w:val="auto"/>
                <w:sz w:val="24"/>
                <w:szCs w:val="24"/>
                <w:highlight w:val="none"/>
              </w:rPr>
            </w:pPr>
          </w:p>
          <w:p>
            <w:pPr>
              <w:spacing w:after="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文件送达地点和签收人员</w:t>
            </w:r>
          </w:p>
        </w:tc>
        <w:tc>
          <w:tcPr>
            <w:tcW w:w="3538" w:type="pct"/>
            <w:vAlign w:val="center"/>
          </w:tcPr>
          <w:p>
            <w:pPr>
              <w:pStyle w:val="17"/>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备份响应文件送达地点：杭州市萧山区华瑞汇金中心12楼（金城路148号）1201-3室，接收人：冯燕平 电话：15158856607。</w:t>
            </w:r>
          </w:p>
          <w:p>
            <w:pPr>
              <w:spacing w:after="0"/>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bidi="ar-SA"/>
              </w:rPr>
              <w:t>备份响应文件可采用邮寄的方式递交；采购人、采购代理机构不强制或变相强制供应商提交备份响应文件。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165"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3538" w:type="pct"/>
            <w:shd w:val="clear" w:color="auto" w:fill="auto"/>
            <w:vAlign w:val="center"/>
          </w:tcPr>
          <w:p>
            <w:pPr>
              <w:spacing w:after="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1.不论采购结果如何，供应商均应自行承担所有与采购有关的全部费用；</w:t>
            </w:r>
          </w:p>
          <w:p>
            <w:pPr>
              <w:spacing w:after="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w:t>
            </w:r>
            <w:r>
              <w:rPr>
                <w:rFonts w:hint="eastAsia" w:ascii="仿宋" w:hAnsi="仿宋" w:eastAsia="仿宋" w:cs="仿宋"/>
                <w:color w:val="auto"/>
                <w:kern w:val="28"/>
                <w:sz w:val="24"/>
                <w:szCs w:val="24"/>
                <w:highlight w:val="none"/>
                <w:lang w:val="en-US" w:eastAsia="zh-CN"/>
              </w:rPr>
              <w:t>中标</w:t>
            </w:r>
            <w:r>
              <w:rPr>
                <w:rFonts w:hint="eastAsia" w:ascii="仿宋" w:hAnsi="仿宋" w:eastAsia="仿宋" w:cs="仿宋"/>
                <w:color w:val="auto"/>
                <w:kern w:val="28"/>
                <w:sz w:val="24"/>
                <w:szCs w:val="24"/>
                <w:highlight w:val="none"/>
              </w:rPr>
              <w:t>供应商在领取</w:t>
            </w:r>
            <w:r>
              <w:rPr>
                <w:rFonts w:hint="eastAsia" w:ascii="仿宋" w:hAnsi="仿宋" w:eastAsia="仿宋" w:cs="仿宋"/>
                <w:color w:val="auto"/>
                <w:kern w:val="28"/>
                <w:sz w:val="24"/>
                <w:szCs w:val="24"/>
                <w:highlight w:val="none"/>
                <w:lang w:val="en-US" w:eastAsia="zh-CN"/>
              </w:rPr>
              <w:t>中标</w:t>
            </w:r>
            <w:r>
              <w:rPr>
                <w:rFonts w:hint="eastAsia" w:ascii="仿宋" w:hAnsi="仿宋" w:eastAsia="仿宋" w:cs="仿宋"/>
                <w:color w:val="auto"/>
                <w:kern w:val="28"/>
                <w:sz w:val="24"/>
                <w:szCs w:val="24"/>
                <w:highlight w:val="none"/>
              </w:rPr>
              <w:t>通知书发出时，应向采购代理机构交纳代理服务费；</w:t>
            </w:r>
          </w:p>
          <w:p>
            <w:pPr>
              <w:spacing w:after="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w:t>
            </w:r>
            <w:r>
              <w:rPr>
                <w:rFonts w:hint="eastAsia" w:ascii="仿宋" w:hAnsi="仿宋" w:eastAsia="仿宋" w:cs="仿宋"/>
                <w:color w:val="auto"/>
                <w:kern w:val="28"/>
                <w:sz w:val="24"/>
                <w:szCs w:val="24"/>
                <w:highlight w:val="none"/>
                <w:lang w:val="en-US" w:eastAsia="zh-CN"/>
              </w:rPr>
              <w:t>中标</w:t>
            </w:r>
            <w:r>
              <w:rPr>
                <w:rFonts w:hint="eastAsia" w:ascii="仿宋" w:hAnsi="仿宋" w:eastAsia="仿宋" w:cs="仿宋"/>
                <w:color w:val="auto"/>
                <w:kern w:val="28"/>
                <w:sz w:val="24"/>
                <w:szCs w:val="24"/>
                <w:highlight w:val="none"/>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ascii="仿宋" w:hAnsi="仿宋" w:eastAsia="仿宋" w:cs="仿宋"/>
                <w:color w:val="auto"/>
                <w:kern w:val="28"/>
                <w:sz w:val="24"/>
                <w:szCs w:val="24"/>
                <w:highlight w:val="none"/>
                <w:lang w:val="en-US" w:eastAsia="zh-CN"/>
              </w:rPr>
              <w:t>中标</w:t>
            </w:r>
            <w:r>
              <w:rPr>
                <w:rFonts w:hint="eastAsia" w:ascii="仿宋" w:hAnsi="仿宋" w:eastAsia="仿宋" w:cs="仿宋"/>
                <w:color w:val="auto"/>
                <w:kern w:val="28"/>
                <w:sz w:val="24"/>
                <w:szCs w:val="24"/>
                <w:highlight w:val="none"/>
              </w:rPr>
              <w:t>供应商承担。</w:t>
            </w:r>
          </w:p>
          <w:p>
            <w:pPr>
              <w:spacing w:after="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4.收费标准：收费标准按计价格【2002】1980号文件计取</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以中标价为基数</w:t>
            </w:r>
            <w:r>
              <w:rPr>
                <w:rFonts w:hint="eastAsia" w:ascii="仿宋" w:hAnsi="仿宋" w:eastAsia="仿宋" w:cs="仿宋"/>
                <w:color w:val="auto"/>
                <w:kern w:val="2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165"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3538" w:type="pct"/>
            <w:shd w:val="clear" w:color="auto" w:fill="auto"/>
            <w:vAlign w:val="center"/>
          </w:tcPr>
          <w:p>
            <w:pPr>
              <w:spacing w:after="0"/>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3538"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3538" w:type="pct"/>
            <w:vAlign w:val="center"/>
          </w:tcPr>
          <w:p>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5"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165"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w:t>
            </w:r>
          </w:p>
        </w:tc>
        <w:tc>
          <w:tcPr>
            <w:tcW w:w="3538" w:type="pct"/>
            <w:vAlign w:val="center"/>
          </w:tcPr>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严格执行预算限价，项目如涉及办公用房装修、通用办公设备家具的不得超限额标准。</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本项目通用总则条款与前附表等专用特别规定有冲突之处，以专用条款（特别规定）为准</w:t>
            </w:r>
          </w:p>
        </w:tc>
      </w:tr>
    </w:tbl>
    <w:p>
      <w:pPr>
        <w:rPr>
          <w:color w:val="auto"/>
          <w:highlight w:val="none"/>
        </w:rPr>
      </w:pP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一、总则</w:t>
      </w:r>
    </w:p>
    <w:p>
      <w:pPr>
        <w:pStyle w:val="6"/>
        <w:rPr>
          <w:color w:val="auto"/>
          <w:highlight w:val="none"/>
        </w:rPr>
      </w:pPr>
      <w:r>
        <w:rPr>
          <w:color w:val="auto"/>
          <w:highlight w:val="none"/>
        </w:rPr>
        <w:t>1. 适用范围</w:t>
      </w:r>
    </w:p>
    <w:p>
      <w:pPr>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6"/>
        <w:rPr>
          <w:color w:val="auto"/>
          <w:highlight w:val="none"/>
        </w:rPr>
      </w:pPr>
      <w:r>
        <w:rPr>
          <w:color w:val="auto"/>
          <w:highlight w:val="none"/>
        </w:rPr>
        <w:t>2.定义</w:t>
      </w:r>
    </w:p>
    <w:p>
      <w:pPr>
        <w:rPr>
          <w:color w:val="auto"/>
          <w:highlight w:val="none"/>
        </w:rPr>
      </w:pPr>
      <w:r>
        <w:rPr>
          <w:color w:val="auto"/>
          <w:highlight w:val="none"/>
        </w:rPr>
        <w:t>2.1 “采购人”系指招标公告中载明的本项目的采购人。</w:t>
      </w:r>
    </w:p>
    <w:p>
      <w:pPr>
        <w:rPr>
          <w:color w:val="auto"/>
          <w:highlight w:val="none"/>
        </w:rPr>
      </w:pPr>
      <w:r>
        <w:rPr>
          <w:color w:val="auto"/>
          <w:highlight w:val="none"/>
        </w:rPr>
        <w:t>2.2 “采购机构”系指招标公告中载明的本项目的采购机构。</w:t>
      </w:r>
    </w:p>
    <w:p>
      <w:pPr>
        <w:rPr>
          <w:color w:val="auto"/>
          <w:highlight w:val="none"/>
        </w:rPr>
      </w:pPr>
      <w:r>
        <w:rPr>
          <w:color w:val="auto"/>
          <w:highlight w:val="none"/>
        </w:rPr>
        <w:t>2.3 “投标人”系指是指响应招标、参加投标竞争的法人、其他组织或者自然人。</w:t>
      </w:r>
    </w:p>
    <w:p>
      <w:pPr>
        <w:rPr>
          <w:color w:val="auto"/>
          <w:highlight w:val="none"/>
        </w:rPr>
      </w:pPr>
      <w:r>
        <w:rPr>
          <w:color w:val="auto"/>
          <w:highlight w:val="none"/>
        </w:rPr>
        <w:t>2.4 “负责人”系指法人企业的法定负责人，或其他组织为法律、行政法规规定代表单位行使职权的主要负责人，或自然人本人。</w:t>
      </w:r>
    </w:p>
    <w:p>
      <w:pPr>
        <w:rPr>
          <w:color w:val="auto"/>
          <w:highlight w:val="none"/>
        </w:rPr>
      </w:pPr>
      <w:r>
        <w:rPr>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auto"/>
          <w:highlight w:val="none"/>
        </w:rPr>
      </w:pPr>
      <w:r>
        <w:rPr>
          <w:color w:val="auto"/>
          <w:highlight w:val="none"/>
        </w:rPr>
        <w:t>2.6“电子交易平台”是指本项目政府采购活动所依托的政府采购云平台（https://www.zcygov.cn/）。</w:t>
      </w:r>
    </w:p>
    <w:p>
      <w:pPr>
        <w:rPr>
          <w:color w:val="auto"/>
          <w:highlight w:val="none"/>
        </w:rPr>
      </w:pPr>
      <w:r>
        <w:rPr>
          <w:color w:val="auto"/>
          <w:highlight w:val="none"/>
        </w:rPr>
        <w:t>2.7 “▲” 系指实质性要求条款，“（√）” 系指适用本项目的要求，“（  ）”系指不适用本项目的要求。</w:t>
      </w:r>
    </w:p>
    <w:p>
      <w:pPr>
        <w:pStyle w:val="6"/>
        <w:rPr>
          <w:color w:val="auto"/>
          <w:highlight w:val="none"/>
        </w:rPr>
      </w:pPr>
      <w:r>
        <w:rPr>
          <w:color w:val="auto"/>
          <w:highlight w:val="none"/>
        </w:rPr>
        <w:t>3. 采购项目需要落实的政府采购政策</w:t>
      </w:r>
    </w:p>
    <w:p>
      <w:pPr>
        <w:rPr>
          <w:color w:val="auto"/>
          <w:highlight w:val="none"/>
        </w:rPr>
      </w:pPr>
      <w:r>
        <w:rPr>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auto"/>
          <w:highlight w:val="none"/>
        </w:rPr>
      </w:pPr>
      <w:r>
        <w:rPr>
          <w:color w:val="auto"/>
          <w:highlight w:val="none"/>
        </w:rPr>
        <w:t>3.2 支持绿色发展</w:t>
      </w:r>
    </w:p>
    <w:p>
      <w:pPr>
        <w:rPr>
          <w:color w:val="auto"/>
          <w:highlight w:val="none"/>
        </w:rPr>
      </w:pPr>
      <w:r>
        <w:rPr>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auto"/>
          <w:highlight w:val="none"/>
        </w:rPr>
      </w:pPr>
      <w:r>
        <w:rPr>
          <w:color w:val="auto"/>
          <w:highlight w:val="none"/>
        </w:rPr>
        <w:t>3.2.2 修缮、装修类项目采购建材的，采购人应将绿色建筑和绿色建材性能、指标等作为实质性条件纳入招标文件和合同。</w:t>
      </w:r>
    </w:p>
    <w:p>
      <w:pPr>
        <w:rPr>
          <w:color w:val="auto"/>
          <w:highlight w:val="none"/>
        </w:rPr>
      </w:pPr>
      <w:r>
        <w:rPr>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auto"/>
          <w:highlight w:val="none"/>
        </w:rPr>
      </w:pPr>
      <w:r>
        <w:rPr>
          <w:color w:val="auto"/>
          <w:highlight w:val="none"/>
        </w:rPr>
        <w:t>3.3支持中小企业发展</w:t>
      </w:r>
    </w:p>
    <w:p>
      <w:pPr>
        <w:rPr>
          <w:color w:val="auto"/>
          <w:highlight w:val="none"/>
        </w:rPr>
      </w:pPr>
      <w:r>
        <w:rPr>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auto"/>
          <w:highlight w:val="none"/>
        </w:rPr>
      </w:pPr>
      <w:r>
        <w:rPr>
          <w:rFonts w:hint="eastAsia"/>
          <w:color w:val="auto"/>
          <w:highlight w:val="none"/>
        </w:rPr>
        <w:t>符合中小企业划分标准的个体工商户，在政府采购活动中视同中小企业。</w:t>
      </w:r>
    </w:p>
    <w:p>
      <w:pPr>
        <w:rPr>
          <w:color w:val="auto"/>
          <w:highlight w:val="none"/>
        </w:rPr>
      </w:pPr>
      <w:r>
        <w:rPr>
          <w:color w:val="auto"/>
          <w:highlight w:val="none"/>
        </w:rPr>
        <w:t>3.3.2在政府采购活动中，投标人提供的货物、工程或者服务符合下列情形的，享受中小企业扶持政策：</w:t>
      </w:r>
    </w:p>
    <w:p>
      <w:pPr>
        <w:rPr>
          <w:color w:val="auto"/>
          <w:highlight w:val="none"/>
        </w:rPr>
      </w:pPr>
      <w:r>
        <w:rPr>
          <w:color w:val="auto"/>
          <w:highlight w:val="none"/>
        </w:rPr>
        <w:t>3.3.2.1在货物采购项目中，货物由中小企业制造，即货物由中小企业生产且使用该中小企业商号或者注册商标；</w:t>
      </w:r>
    </w:p>
    <w:p>
      <w:pPr>
        <w:rPr>
          <w:color w:val="auto"/>
          <w:highlight w:val="none"/>
        </w:rPr>
      </w:pPr>
      <w:r>
        <w:rPr>
          <w:color w:val="auto"/>
          <w:highlight w:val="none"/>
        </w:rPr>
        <w:t>3.3.2.2在工程采购项目中，工程由中小企业承建，即工程施工单位为中小企业；</w:t>
      </w:r>
    </w:p>
    <w:p>
      <w:pPr>
        <w:rPr>
          <w:color w:val="auto"/>
          <w:highlight w:val="none"/>
        </w:rPr>
      </w:pPr>
      <w:r>
        <w:rPr>
          <w:color w:val="auto"/>
          <w:highlight w:val="none"/>
        </w:rPr>
        <w:t>3.3.2.3在服务采购项目中，服务由中小企业承接，即提供服务的人员为中小企业依照《中华人民共和国劳动合同法》订立劳动合同的从业人员。</w:t>
      </w:r>
    </w:p>
    <w:p>
      <w:pPr>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rPr>
          <w:color w:val="auto"/>
          <w:highlight w:val="none"/>
        </w:rPr>
      </w:pPr>
      <w:r>
        <w:rPr>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color w:val="auto"/>
          <w:highlight w:val="none"/>
        </w:rPr>
        <w:t>20</w:t>
      </w:r>
      <w:r>
        <w:rPr>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rPr>
        <w:t>6</w:t>
      </w:r>
      <w:r>
        <w:rPr>
          <w:color w:val="auto"/>
          <w:highlight w:val="none"/>
        </w:rPr>
        <w:t>%的扣除，用扣除后的价格参加评审。组成联合体或者接受分包的小微企业与联合体内其他企业、分包企业之间存在直接控</w:t>
      </w:r>
      <w:r>
        <w:rPr>
          <w:rFonts w:hint="eastAsia"/>
          <w:color w:val="auto"/>
          <w:highlight w:val="none"/>
        </w:rPr>
        <w:t>股、管理关系的，不享受价格扣除优惠政策。</w:t>
      </w:r>
    </w:p>
    <w:p>
      <w:pPr>
        <w:rPr>
          <w:color w:val="auto"/>
          <w:highlight w:val="none"/>
        </w:rPr>
      </w:pPr>
      <w:r>
        <w:rPr>
          <w:color w:val="auto"/>
          <w:highlight w:val="none"/>
        </w:rPr>
        <w:t>3.3.4符合《关于促进残疾人就业政府采购政策的通知》（财库〔2017〕141号）规定的条件并提供《残疾人福利性单位声明函》（附件1）的残疾人福利性单位视同小型、微型企业；</w:t>
      </w:r>
    </w:p>
    <w:p>
      <w:pPr>
        <w:rPr>
          <w:color w:val="auto"/>
          <w:highlight w:val="none"/>
        </w:rPr>
      </w:pPr>
      <w:r>
        <w:rPr>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auto"/>
          <w:highlight w:val="none"/>
        </w:rPr>
      </w:pPr>
      <w:r>
        <w:rPr>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auto"/>
          <w:highlight w:val="none"/>
        </w:rPr>
      </w:pPr>
      <w:r>
        <w:rPr>
          <w:color w:val="auto"/>
          <w:highlight w:val="none"/>
        </w:rPr>
        <w:t>3.3.7中小企业享受扶持政策获得政府采购合同的，小微企业不得将合同分包给大中型企业，中型企业不得将合同分包给大型企业。</w:t>
      </w:r>
    </w:p>
    <w:p>
      <w:pPr>
        <w:rPr>
          <w:color w:val="auto"/>
          <w:highlight w:val="none"/>
        </w:rPr>
      </w:pPr>
      <w:r>
        <w:rPr>
          <w:color w:val="auto"/>
          <w:highlight w:val="none"/>
        </w:rPr>
        <w:t>3.4支持创新发展</w:t>
      </w:r>
    </w:p>
    <w:p>
      <w:pPr>
        <w:rPr>
          <w:color w:val="auto"/>
          <w:highlight w:val="none"/>
        </w:rPr>
      </w:pPr>
      <w:r>
        <w:rPr>
          <w:color w:val="auto"/>
          <w:highlight w:val="none"/>
        </w:rPr>
        <w:t>3.4.1 采购人优先采购被认定为首台套产品和“制造精品”的自主创新产品。</w:t>
      </w:r>
    </w:p>
    <w:p>
      <w:pPr>
        <w:rPr>
          <w:color w:val="auto"/>
          <w:highlight w:val="none"/>
        </w:rPr>
      </w:pPr>
      <w:r>
        <w:rPr>
          <w:color w:val="auto"/>
          <w:highlight w:val="none"/>
        </w:rPr>
        <w:t>3.4.2首台套产品被纳入《首台套产品推广应用指导目录》之日起</w:t>
      </w:r>
      <w:r>
        <w:rPr>
          <w:rFonts w:hint="eastAsia"/>
          <w:color w:val="auto"/>
          <w:highlight w:val="none"/>
        </w:rPr>
        <w:t>3</w:t>
      </w:r>
      <w:r>
        <w:rPr>
          <w:color w:val="auto"/>
          <w:highlight w:val="none"/>
        </w:rPr>
        <w:t>年内，以及产品核心技术高于国内领先水平，并具有明晰自主知识产权的“制造精品”产品，自认定之日起2年内视同已具备相应销售业绩，参加政府采购活动时业绩分值为满分。</w:t>
      </w:r>
    </w:p>
    <w:p>
      <w:pPr>
        <w:rPr>
          <w:color w:val="auto"/>
          <w:highlight w:val="none"/>
        </w:rPr>
      </w:pPr>
      <w:r>
        <w:rPr>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color w:val="auto"/>
          <w:highlight w:val="none"/>
        </w:rPr>
      </w:pPr>
      <w:r>
        <w:rPr>
          <w:color w:val="auto"/>
          <w:highlight w:val="none"/>
        </w:rPr>
        <w:t>4. 询问、质疑、投诉</w:t>
      </w:r>
    </w:p>
    <w:p>
      <w:pPr>
        <w:rPr>
          <w:color w:val="auto"/>
          <w:highlight w:val="none"/>
        </w:rPr>
      </w:pPr>
      <w:r>
        <w:rPr>
          <w:color w:val="auto"/>
          <w:highlight w:val="none"/>
        </w:rPr>
        <w:t>4.1供应商询问</w:t>
      </w:r>
    </w:p>
    <w:p>
      <w:pPr>
        <w:rPr>
          <w:color w:val="auto"/>
          <w:highlight w:val="none"/>
        </w:rPr>
      </w:pPr>
      <w:r>
        <w:rPr>
          <w:rFonts w:hint="eastAsia"/>
          <w:color w:val="auto"/>
          <w:highlight w:val="none"/>
        </w:rPr>
        <w:t>供应商对政府采购活动事项有疑问的，可以提出询问，采购人或者采购代理机构应当在</w:t>
      </w:r>
      <w:r>
        <w:rPr>
          <w:color w:val="auto"/>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auto"/>
          <w:highlight w:val="none"/>
        </w:rPr>
      </w:pPr>
      <w:r>
        <w:rPr>
          <w:color w:val="auto"/>
          <w:highlight w:val="none"/>
        </w:rPr>
        <w:t>4.2供应商质疑</w:t>
      </w:r>
    </w:p>
    <w:p>
      <w:pPr>
        <w:rPr>
          <w:color w:val="auto"/>
          <w:highlight w:val="none"/>
        </w:rPr>
      </w:pPr>
      <w:r>
        <w:rPr>
          <w:color w:val="auto"/>
          <w:highlight w:val="none"/>
        </w:rPr>
        <w:t>4.2.1提出质疑的供应商应当是参与所质疑项目采购活动的供应商。潜在供应商已依法获取其可质疑的招标文件的，可以对该文件提出质疑。</w:t>
      </w:r>
    </w:p>
    <w:p>
      <w:pPr>
        <w:rPr>
          <w:color w:val="auto"/>
          <w:highlight w:val="none"/>
        </w:rPr>
      </w:pPr>
      <w:r>
        <w:rPr>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auto"/>
          <w:highlight w:val="none"/>
        </w:rPr>
      </w:pPr>
      <w:r>
        <w:rPr>
          <w:color w:val="auto"/>
          <w:highlight w:val="none"/>
        </w:rPr>
        <w:t>4.2.2.1对招标文件提出质疑的，质疑期限为供应商获得招标文件之日或者招标文件公告期限届满之日起计算。</w:t>
      </w:r>
    </w:p>
    <w:p>
      <w:pPr>
        <w:rPr>
          <w:color w:val="auto"/>
          <w:highlight w:val="none"/>
        </w:rPr>
      </w:pPr>
      <w:r>
        <w:rPr>
          <w:color w:val="auto"/>
          <w:highlight w:val="none"/>
        </w:rPr>
        <w:t>4.2.2.2对采购过程提出质疑的，质疑期限为各采购程序环节结束之日起计算。对同一采购程序环节的质疑，供应商须一次性提出。</w:t>
      </w:r>
    </w:p>
    <w:p>
      <w:pPr>
        <w:rPr>
          <w:color w:val="auto"/>
          <w:highlight w:val="none"/>
        </w:rPr>
      </w:pPr>
      <w:r>
        <w:rPr>
          <w:color w:val="auto"/>
          <w:highlight w:val="none"/>
        </w:rPr>
        <w:t>4.2.2.3对采购结果提出质疑的，质疑期限自采购结果公告期限届满之日起计算。</w:t>
      </w:r>
    </w:p>
    <w:p>
      <w:pPr>
        <w:rPr>
          <w:color w:val="auto"/>
          <w:highlight w:val="none"/>
        </w:rPr>
      </w:pPr>
      <w:r>
        <w:rPr>
          <w:color w:val="auto"/>
          <w:highlight w:val="none"/>
        </w:rPr>
        <w:t>4.2.3供应商提出质疑应当提交质疑函和必要的证明材料。质疑函应当包括下列内容：</w:t>
      </w:r>
    </w:p>
    <w:p>
      <w:pPr>
        <w:rPr>
          <w:color w:val="auto"/>
          <w:highlight w:val="none"/>
        </w:rPr>
      </w:pPr>
      <w:r>
        <w:rPr>
          <w:rFonts w:hint="eastAsia"/>
          <w:color w:val="auto"/>
          <w:highlight w:val="none"/>
        </w:rPr>
        <w:t>　　</w:t>
      </w:r>
      <w:r>
        <w:rPr>
          <w:color w:val="auto"/>
          <w:highlight w:val="none"/>
        </w:rPr>
        <w:t>4.2.3.1供应商的姓名或者名称、地址、邮编、联系人及联系电话；</w:t>
      </w:r>
    </w:p>
    <w:p>
      <w:pPr>
        <w:rPr>
          <w:color w:val="auto"/>
          <w:highlight w:val="none"/>
        </w:rPr>
      </w:pPr>
      <w:r>
        <w:rPr>
          <w:rFonts w:hint="eastAsia"/>
          <w:color w:val="auto"/>
          <w:highlight w:val="none"/>
        </w:rPr>
        <w:t>　　</w:t>
      </w:r>
      <w:r>
        <w:rPr>
          <w:color w:val="auto"/>
          <w:highlight w:val="none"/>
        </w:rPr>
        <w:t>4.2.3.2质疑项目的名称、编号；</w:t>
      </w:r>
    </w:p>
    <w:p>
      <w:pPr>
        <w:rPr>
          <w:color w:val="auto"/>
          <w:highlight w:val="none"/>
        </w:rPr>
      </w:pPr>
      <w:r>
        <w:rPr>
          <w:rFonts w:hint="eastAsia"/>
          <w:color w:val="auto"/>
          <w:highlight w:val="none"/>
        </w:rPr>
        <w:t>　　</w:t>
      </w:r>
      <w:r>
        <w:rPr>
          <w:color w:val="auto"/>
          <w:highlight w:val="none"/>
        </w:rPr>
        <w:t>4.2.3.3具体、明确的质疑事项和与质疑事项相关的请求；</w:t>
      </w:r>
    </w:p>
    <w:p>
      <w:pPr>
        <w:rPr>
          <w:color w:val="auto"/>
          <w:highlight w:val="none"/>
        </w:rPr>
      </w:pPr>
      <w:r>
        <w:rPr>
          <w:rFonts w:hint="eastAsia"/>
          <w:color w:val="auto"/>
          <w:highlight w:val="none"/>
        </w:rPr>
        <w:t>　　</w:t>
      </w:r>
      <w:r>
        <w:rPr>
          <w:color w:val="auto"/>
          <w:highlight w:val="none"/>
        </w:rPr>
        <w:t>4.2.3.4事实依据；</w:t>
      </w:r>
    </w:p>
    <w:p>
      <w:pPr>
        <w:rPr>
          <w:color w:val="auto"/>
          <w:highlight w:val="none"/>
        </w:rPr>
      </w:pPr>
      <w:r>
        <w:rPr>
          <w:rFonts w:hint="eastAsia"/>
          <w:color w:val="auto"/>
          <w:highlight w:val="none"/>
        </w:rPr>
        <w:t>　　</w:t>
      </w:r>
      <w:r>
        <w:rPr>
          <w:color w:val="auto"/>
          <w:highlight w:val="none"/>
        </w:rPr>
        <w:t>4.2.3.5必要的法律依据；</w:t>
      </w:r>
    </w:p>
    <w:p>
      <w:pPr>
        <w:rPr>
          <w:color w:val="auto"/>
          <w:highlight w:val="none"/>
        </w:rPr>
      </w:pPr>
      <w:r>
        <w:rPr>
          <w:color w:val="auto"/>
          <w:highlight w:val="none"/>
        </w:rPr>
        <w:t>4.2.3.6提出质疑的日期。</w:t>
      </w:r>
    </w:p>
    <w:p>
      <w:pPr>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color w:val="auto"/>
          <w:highlight w:val="none"/>
        </w:rPr>
      </w:pPr>
      <w:r>
        <w:rPr>
          <w:rFonts w:hint="eastAsia"/>
          <w:color w:val="auto"/>
          <w:highlight w:val="none"/>
        </w:rPr>
        <w:t>质疑函范本及制作说明详见附件</w:t>
      </w:r>
      <w:r>
        <w:rPr>
          <w:color w:val="auto"/>
          <w:highlight w:val="none"/>
        </w:rPr>
        <w:t>2。</w:t>
      </w:r>
    </w:p>
    <w:p>
      <w:pPr>
        <w:rPr>
          <w:color w:val="auto"/>
          <w:highlight w:val="none"/>
        </w:rPr>
      </w:pPr>
      <w:r>
        <w:rPr>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auto"/>
          <w:highlight w:val="none"/>
        </w:rPr>
      </w:pPr>
      <w:r>
        <w:rPr>
          <w:color w:val="auto"/>
          <w:highlight w:val="none"/>
        </w:rPr>
        <w:t>4.2.5询问或者质疑事项可能影响采购结果的，采购人应当暂停签订合同，已经签订合同的，应当中止履行合同。</w:t>
      </w:r>
    </w:p>
    <w:p>
      <w:pPr>
        <w:rPr>
          <w:color w:val="auto"/>
          <w:highlight w:val="none"/>
        </w:rPr>
      </w:pPr>
      <w:r>
        <w:rPr>
          <w:color w:val="auto"/>
          <w:highlight w:val="none"/>
        </w:rPr>
        <w:t>4.3供应商投诉</w:t>
      </w:r>
    </w:p>
    <w:p>
      <w:pPr>
        <w:rPr>
          <w:color w:val="auto"/>
          <w:highlight w:val="none"/>
        </w:rPr>
      </w:pPr>
      <w:r>
        <w:rPr>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color w:val="auto"/>
          <w:highlight w:val="none"/>
        </w:rPr>
      </w:pPr>
      <w:r>
        <w:rPr>
          <w:color w:val="auto"/>
          <w:highlight w:val="none"/>
        </w:rPr>
        <w:t>4.3.2供应商投诉的事项不得超出已质疑事项的范围，基于质疑答复内容提出的投诉事项除外。</w:t>
      </w:r>
    </w:p>
    <w:p>
      <w:pPr>
        <w:rPr>
          <w:color w:val="auto"/>
          <w:highlight w:val="none"/>
        </w:rPr>
      </w:pPr>
      <w:r>
        <w:rPr>
          <w:color w:val="auto"/>
          <w:highlight w:val="none"/>
        </w:rPr>
        <w:t>4.3.3供应商投诉应当有明确的请求和必要的证明材料。</w:t>
      </w:r>
    </w:p>
    <w:p>
      <w:pPr>
        <w:rPr>
          <w:color w:val="auto"/>
          <w:highlight w:val="none"/>
        </w:rPr>
      </w:pPr>
      <w:r>
        <w:rPr>
          <w:color w:val="auto"/>
          <w:highlight w:val="none"/>
        </w:rPr>
        <w:t>4.3.</w:t>
      </w:r>
      <w:r>
        <w:rPr>
          <w:rFonts w:hint="eastAsia"/>
          <w:color w:val="auto"/>
          <w:highlight w:val="none"/>
        </w:rPr>
        <w:t>4</w:t>
      </w:r>
      <w:r>
        <w:rPr>
          <w:color w:val="auto"/>
          <w:highlight w:val="none"/>
        </w:rPr>
        <w:t xml:space="preserve"> 以联合体形式参加政府采购活动的，其投诉应当由组成联合体的所有供应商共同提出。</w:t>
      </w:r>
    </w:p>
    <w:p>
      <w:pPr>
        <w:rPr>
          <w:color w:val="auto"/>
          <w:highlight w:val="none"/>
        </w:rPr>
      </w:pPr>
      <w:r>
        <w:rPr>
          <w:rFonts w:hint="eastAsia"/>
          <w:color w:val="auto"/>
          <w:highlight w:val="none"/>
        </w:rPr>
        <w:t>投诉书范本及制作说明详见附件</w:t>
      </w:r>
      <w:r>
        <w:rPr>
          <w:color w:val="auto"/>
          <w:highlight w:val="none"/>
        </w:rPr>
        <w:t>3。</w:t>
      </w:r>
    </w:p>
    <w:p>
      <w:pPr>
        <w:pStyle w:val="5"/>
        <w:rPr>
          <w:color w:val="auto"/>
          <w:highlight w:val="none"/>
        </w:rPr>
      </w:pPr>
      <w:r>
        <w:rPr>
          <w:color w:val="auto"/>
          <w:highlight w:val="none"/>
        </w:rPr>
        <w:t>二、招标文件的构成、澄清、修改</w:t>
      </w:r>
    </w:p>
    <w:p>
      <w:pPr>
        <w:pStyle w:val="6"/>
        <w:rPr>
          <w:color w:val="auto"/>
          <w:highlight w:val="none"/>
        </w:rPr>
      </w:pPr>
      <w:r>
        <w:rPr>
          <w:color w:val="auto"/>
          <w:highlight w:val="none"/>
        </w:rPr>
        <w:t>5．招标文件的构成</w:t>
      </w:r>
    </w:p>
    <w:p>
      <w:pPr>
        <w:rPr>
          <w:color w:val="auto"/>
          <w:highlight w:val="none"/>
        </w:rPr>
      </w:pPr>
      <w:r>
        <w:rPr>
          <w:color w:val="auto"/>
          <w:highlight w:val="none"/>
        </w:rPr>
        <w:t>5.1 招标文件包括下列文件及附件：</w:t>
      </w:r>
    </w:p>
    <w:p>
      <w:pPr>
        <w:rPr>
          <w:color w:val="auto"/>
          <w:highlight w:val="none"/>
        </w:rPr>
      </w:pPr>
      <w:r>
        <w:rPr>
          <w:color w:val="auto"/>
          <w:highlight w:val="none"/>
        </w:rPr>
        <w:t>5.1.1招标公告；</w:t>
      </w:r>
    </w:p>
    <w:p>
      <w:pPr>
        <w:rPr>
          <w:color w:val="auto"/>
          <w:highlight w:val="none"/>
        </w:rPr>
      </w:pPr>
      <w:r>
        <w:rPr>
          <w:color w:val="auto"/>
          <w:highlight w:val="none"/>
        </w:rPr>
        <w:t>5.1.2投标人须知；</w:t>
      </w:r>
    </w:p>
    <w:p>
      <w:pPr>
        <w:rPr>
          <w:color w:val="auto"/>
          <w:highlight w:val="none"/>
        </w:rPr>
      </w:pPr>
      <w:r>
        <w:rPr>
          <w:color w:val="auto"/>
          <w:highlight w:val="none"/>
        </w:rPr>
        <w:t>5.1.3采购需求；</w:t>
      </w:r>
    </w:p>
    <w:p>
      <w:pPr>
        <w:rPr>
          <w:color w:val="auto"/>
          <w:highlight w:val="none"/>
        </w:rPr>
      </w:pPr>
      <w:r>
        <w:rPr>
          <w:color w:val="auto"/>
          <w:highlight w:val="none"/>
        </w:rPr>
        <w:t>5.1.4评标办法；</w:t>
      </w:r>
    </w:p>
    <w:p>
      <w:pPr>
        <w:rPr>
          <w:color w:val="auto"/>
          <w:highlight w:val="none"/>
        </w:rPr>
      </w:pPr>
      <w:r>
        <w:rPr>
          <w:color w:val="auto"/>
          <w:highlight w:val="none"/>
        </w:rPr>
        <w:t>5.1.5拟签订的合同文本；</w:t>
      </w:r>
    </w:p>
    <w:p>
      <w:pPr>
        <w:rPr>
          <w:color w:val="auto"/>
          <w:highlight w:val="none"/>
        </w:rPr>
      </w:pPr>
      <w:r>
        <w:rPr>
          <w:color w:val="auto"/>
          <w:highlight w:val="none"/>
        </w:rPr>
        <w:t>5.1.6应提交的有关格式范例。</w:t>
      </w:r>
    </w:p>
    <w:p>
      <w:pPr>
        <w:rPr>
          <w:color w:val="auto"/>
          <w:highlight w:val="none"/>
        </w:rPr>
      </w:pPr>
      <w:r>
        <w:rPr>
          <w:color w:val="auto"/>
          <w:highlight w:val="none"/>
        </w:rPr>
        <w:t>5.2与本项目有关的澄清或者修改的内容为招标文件的组成部分。</w:t>
      </w:r>
    </w:p>
    <w:p>
      <w:pPr>
        <w:pStyle w:val="6"/>
        <w:rPr>
          <w:color w:val="auto"/>
          <w:highlight w:val="none"/>
        </w:rPr>
      </w:pPr>
      <w:r>
        <w:rPr>
          <w:color w:val="auto"/>
          <w:highlight w:val="none"/>
        </w:rPr>
        <w:t>6. 招标文件的澄清、修改</w:t>
      </w:r>
    </w:p>
    <w:p>
      <w:pPr>
        <w:rPr>
          <w:color w:val="auto"/>
          <w:highlight w:val="none"/>
        </w:rPr>
      </w:pPr>
      <w:r>
        <w:rPr>
          <w:color w:val="auto"/>
          <w:highlight w:val="none"/>
        </w:rPr>
        <w:t>6.1已获取招标文件的潜在投标人，若有问题需要澄清，应于投标截止时间前，以书面形式向采购机构提出。</w:t>
      </w:r>
    </w:p>
    <w:p>
      <w:pPr>
        <w:rPr>
          <w:color w:val="auto"/>
          <w:highlight w:val="none"/>
        </w:rPr>
      </w:pPr>
      <w:r>
        <w:rPr>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color w:val="auto"/>
          <w:highlight w:val="none"/>
        </w:rPr>
      </w:pPr>
      <w:r>
        <w:rPr>
          <w:rFonts w:hint="eastAsia"/>
          <w:color w:val="auto"/>
          <w:highlight w:val="none"/>
        </w:rPr>
        <w:t>三、投标</w:t>
      </w:r>
    </w:p>
    <w:p>
      <w:pPr>
        <w:pStyle w:val="6"/>
        <w:rPr>
          <w:color w:val="auto"/>
          <w:highlight w:val="none"/>
        </w:rPr>
      </w:pPr>
      <w:r>
        <w:rPr>
          <w:color w:val="auto"/>
          <w:highlight w:val="none"/>
        </w:rPr>
        <w:t>7. 招标文件的获取</w:t>
      </w:r>
    </w:p>
    <w:p>
      <w:pPr>
        <w:rPr>
          <w:color w:val="auto"/>
          <w:highlight w:val="none"/>
        </w:rPr>
      </w:pPr>
      <w:r>
        <w:rPr>
          <w:rFonts w:hint="eastAsia"/>
          <w:color w:val="auto"/>
          <w:highlight w:val="none"/>
        </w:rPr>
        <w:t>详见招标公告中获取招标文件的时间期限、地点、方式及招标文件售价。</w:t>
      </w:r>
    </w:p>
    <w:p>
      <w:pPr>
        <w:pStyle w:val="6"/>
        <w:rPr>
          <w:color w:val="auto"/>
          <w:highlight w:val="none"/>
        </w:rPr>
      </w:pPr>
      <w:r>
        <w:rPr>
          <w:color w:val="auto"/>
          <w:highlight w:val="none"/>
        </w:rPr>
        <w:t>8.开标前答疑会或现场考察</w:t>
      </w:r>
    </w:p>
    <w:p>
      <w:pPr>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6"/>
        <w:rPr>
          <w:color w:val="auto"/>
          <w:highlight w:val="none"/>
        </w:rPr>
      </w:pPr>
      <w:r>
        <w:rPr>
          <w:color w:val="auto"/>
          <w:highlight w:val="none"/>
        </w:rPr>
        <w:t>9.投标保证金</w:t>
      </w:r>
    </w:p>
    <w:p>
      <w:pPr>
        <w:rPr>
          <w:color w:val="auto"/>
          <w:highlight w:val="none"/>
        </w:rPr>
      </w:pPr>
      <w:r>
        <w:rPr>
          <w:rFonts w:hint="eastAsia"/>
          <w:color w:val="auto"/>
          <w:highlight w:val="none"/>
        </w:rPr>
        <w:t>本项目不需缴纳投标保证金。</w:t>
      </w:r>
    </w:p>
    <w:p>
      <w:pPr>
        <w:pStyle w:val="6"/>
        <w:rPr>
          <w:color w:val="auto"/>
          <w:highlight w:val="none"/>
        </w:rPr>
      </w:pPr>
      <w:r>
        <w:rPr>
          <w:color w:val="auto"/>
          <w:highlight w:val="none"/>
        </w:rPr>
        <w:t>10. 投标文件的语言</w:t>
      </w:r>
    </w:p>
    <w:p>
      <w:pPr>
        <w:rPr>
          <w:color w:val="auto"/>
          <w:highlight w:val="none"/>
        </w:rPr>
      </w:pPr>
      <w:r>
        <w:rPr>
          <w:rFonts w:hint="eastAsia"/>
          <w:color w:val="auto"/>
          <w:highlight w:val="none"/>
        </w:rPr>
        <w:t>投标文件及投标人与采购有关的来往通知、函件和文件均应使用中文。</w:t>
      </w:r>
    </w:p>
    <w:p>
      <w:pPr>
        <w:pStyle w:val="6"/>
        <w:rPr>
          <w:color w:val="auto"/>
          <w:highlight w:val="none"/>
        </w:rPr>
      </w:pPr>
      <w:r>
        <w:rPr>
          <w:color w:val="auto"/>
          <w:highlight w:val="none"/>
        </w:rPr>
        <w:t>11. 投标文件的组成</w:t>
      </w:r>
    </w:p>
    <w:p>
      <w:pPr>
        <w:rPr>
          <w:color w:val="auto"/>
          <w:highlight w:val="none"/>
        </w:rPr>
      </w:pPr>
      <w:r>
        <w:rPr>
          <w:color w:val="auto"/>
          <w:highlight w:val="none"/>
        </w:rPr>
        <w:t>11.1资格文件：</w:t>
      </w:r>
    </w:p>
    <w:p>
      <w:pPr>
        <w:rPr>
          <w:color w:val="auto"/>
          <w:highlight w:val="none"/>
        </w:rPr>
      </w:pPr>
      <w:r>
        <w:rPr>
          <w:color w:val="auto"/>
          <w:highlight w:val="none"/>
        </w:rPr>
        <w:t>11.1.1符合参加政府采购活动应当具备的一般条件的承诺函；</w:t>
      </w:r>
    </w:p>
    <w:p>
      <w:pPr>
        <w:rPr>
          <w:rFonts w:hint="eastAsia" w:eastAsia="仿宋"/>
          <w:color w:val="auto"/>
          <w:highlight w:val="none"/>
          <w:lang w:eastAsia="zh-CN"/>
        </w:rPr>
      </w:pPr>
      <w:r>
        <w:rPr>
          <w:color w:val="auto"/>
          <w:highlight w:val="none"/>
        </w:rPr>
        <w:t>11.1.2落实政府采购政策需满足的资格要求；</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pPr>
        <w:rPr>
          <w:color w:val="auto"/>
          <w:highlight w:val="none"/>
        </w:rPr>
      </w:pPr>
      <w:r>
        <w:rPr>
          <w:color w:val="auto"/>
          <w:highlight w:val="none"/>
        </w:rPr>
        <w:t>11.1.3本项目的特定资格要求。</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pPr>
        <w:rPr>
          <w:color w:val="auto"/>
          <w:highlight w:val="none"/>
        </w:rPr>
      </w:pPr>
      <w:r>
        <w:rPr>
          <w:color w:val="auto"/>
          <w:highlight w:val="none"/>
        </w:rPr>
        <w:t>11.1.</w:t>
      </w:r>
      <w:r>
        <w:rPr>
          <w:rFonts w:hint="eastAsia"/>
          <w:color w:val="auto"/>
          <w:highlight w:val="none"/>
          <w:lang w:val="en-US" w:eastAsia="zh-CN"/>
        </w:rPr>
        <w:t>4联合协议</w:t>
      </w:r>
      <w:r>
        <w:rPr>
          <w:color w:val="auto"/>
          <w:highlight w:val="none"/>
        </w:rPr>
        <w:t>。</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color w:val="auto"/>
          <w:highlight w:val="none"/>
        </w:rPr>
      </w:pPr>
      <w:r>
        <w:rPr>
          <w:color w:val="auto"/>
          <w:highlight w:val="none"/>
        </w:rPr>
        <w:t>11.2  商务技术文件：</w:t>
      </w:r>
    </w:p>
    <w:p>
      <w:pPr>
        <w:rPr>
          <w:color w:val="auto"/>
          <w:highlight w:val="none"/>
        </w:rPr>
      </w:pPr>
      <w:r>
        <w:rPr>
          <w:color w:val="auto"/>
          <w:highlight w:val="none"/>
        </w:rPr>
        <w:t xml:space="preserve">11.2.1投标函； </w:t>
      </w:r>
    </w:p>
    <w:p>
      <w:pPr>
        <w:rPr>
          <w:color w:val="auto"/>
          <w:highlight w:val="none"/>
        </w:rPr>
      </w:pPr>
      <w:r>
        <w:rPr>
          <w:color w:val="auto"/>
          <w:highlight w:val="none"/>
        </w:rPr>
        <w:t>11.2.2授权委托书或法定代表人（单位负责人、自然人本人）身份证明；</w:t>
      </w:r>
    </w:p>
    <w:p>
      <w:pPr>
        <w:rPr>
          <w:color w:val="auto"/>
          <w:highlight w:val="none"/>
        </w:rPr>
      </w:pPr>
      <w:r>
        <w:rPr>
          <w:color w:val="auto"/>
          <w:highlight w:val="none"/>
        </w:rPr>
        <w:t>11.2.3联合协议；</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color w:val="auto"/>
          <w:highlight w:val="none"/>
        </w:rPr>
      </w:pPr>
      <w:r>
        <w:rPr>
          <w:color w:val="auto"/>
          <w:highlight w:val="none"/>
        </w:rPr>
        <w:t>11.2.4分包意向协议；</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color w:val="auto"/>
          <w:highlight w:val="none"/>
        </w:rPr>
      </w:pPr>
      <w:r>
        <w:rPr>
          <w:color w:val="auto"/>
          <w:highlight w:val="none"/>
        </w:rPr>
        <w:t>11.2.5符合性审查资料；</w:t>
      </w:r>
    </w:p>
    <w:p>
      <w:pPr>
        <w:rPr>
          <w:color w:val="auto"/>
          <w:highlight w:val="none"/>
        </w:rPr>
      </w:pPr>
      <w:r>
        <w:rPr>
          <w:color w:val="auto"/>
          <w:highlight w:val="none"/>
        </w:rPr>
        <w:t>11.2.6评标标准相应的商务技术资料；</w:t>
      </w:r>
    </w:p>
    <w:p>
      <w:pPr>
        <w:rPr>
          <w:color w:val="auto"/>
          <w:highlight w:val="none"/>
        </w:rPr>
      </w:pPr>
      <w:r>
        <w:rPr>
          <w:color w:val="auto"/>
          <w:highlight w:val="none"/>
        </w:rPr>
        <w:t>11.2.7投标标的清单；</w:t>
      </w:r>
    </w:p>
    <w:p>
      <w:pPr>
        <w:rPr>
          <w:color w:val="auto"/>
          <w:highlight w:val="none"/>
        </w:rPr>
      </w:pPr>
      <w:r>
        <w:rPr>
          <w:color w:val="auto"/>
          <w:highlight w:val="none"/>
        </w:rPr>
        <w:t>11.2.8商务技术偏离表；</w:t>
      </w:r>
    </w:p>
    <w:p>
      <w:pPr>
        <w:rPr>
          <w:color w:val="auto"/>
          <w:highlight w:val="none"/>
        </w:rPr>
      </w:pPr>
      <w:r>
        <w:rPr>
          <w:color w:val="auto"/>
          <w:highlight w:val="none"/>
        </w:rPr>
        <w:t>11.2.9政府采购供应商廉洁自律承诺书；</w:t>
      </w:r>
    </w:p>
    <w:p>
      <w:pPr>
        <w:rPr>
          <w:color w:val="auto"/>
          <w:highlight w:val="none"/>
        </w:rPr>
      </w:pPr>
      <w:r>
        <w:rPr>
          <w:color w:val="auto"/>
          <w:highlight w:val="none"/>
        </w:rPr>
        <w:t xml:space="preserve">11.3报价文件： </w:t>
      </w:r>
    </w:p>
    <w:p>
      <w:pPr>
        <w:rPr>
          <w:color w:val="auto"/>
          <w:highlight w:val="none"/>
        </w:rPr>
      </w:pPr>
      <w:r>
        <w:rPr>
          <w:color w:val="auto"/>
          <w:highlight w:val="none"/>
        </w:rPr>
        <w:t>11.3.1开标一览表（报价表）；</w:t>
      </w:r>
    </w:p>
    <w:p>
      <w:pPr>
        <w:rPr>
          <w:color w:val="auto"/>
          <w:highlight w:val="none"/>
        </w:rPr>
      </w:pPr>
      <w:r>
        <w:rPr>
          <w:color w:val="auto"/>
          <w:highlight w:val="none"/>
        </w:rPr>
        <w:t>11.3.2中小企业声明函</w:t>
      </w:r>
      <w:r>
        <w:rPr>
          <w:rFonts w:hint="eastAsia"/>
          <w:color w:val="auto"/>
          <w:highlight w:val="none"/>
          <w:lang w:val="en-US" w:eastAsia="zh-CN"/>
        </w:rPr>
        <w:t>或</w:t>
      </w:r>
      <w:r>
        <w:rPr>
          <w:rFonts w:hint="eastAsia"/>
          <w:color w:val="auto"/>
          <w:highlight w:val="none"/>
        </w:rPr>
        <w:t>残疾人福利性单位声明函</w:t>
      </w:r>
      <w:r>
        <w:rPr>
          <w:rFonts w:hint="eastAsia"/>
          <w:color w:val="auto"/>
          <w:highlight w:val="none"/>
          <w:lang w:val="en-US" w:eastAsia="zh-CN"/>
        </w:rPr>
        <w:t>或</w:t>
      </w:r>
      <w:r>
        <w:rPr>
          <w:rFonts w:hint="eastAsia"/>
          <w:color w:val="auto"/>
          <w:highlight w:val="none"/>
        </w:rPr>
        <w:t>监狱企业证明文件</w:t>
      </w:r>
      <w:r>
        <w:rPr>
          <w:color w:val="auto"/>
          <w:highlight w:val="none"/>
        </w:rPr>
        <w:t>。</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color w:val="auto"/>
          <w:highlight w:val="none"/>
        </w:rPr>
      </w:pPr>
      <w:r>
        <w:rPr>
          <w:rFonts w:hint="eastAsia"/>
          <w:color w:val="auto"/>
          <w:highlight w:val="none"/>
        </w:rPr>
        <w:t>投标文件含有采购人不能接受的附加条件的，投标无效；</w:t>
      </w:r>
    </w:p>
    <w:p>
      <w:pPr>
        <w:rPr>
          <w:color w:val="auto"/>
          <w:highlight w:val="none"/>
        </w:rPr>
      </w:pPr>
      <w:r>
        <w:rPr>
          <w:rFonts w:hint="eastAsia"/>
          <w:color w:val="auto"/>
          <w:highlight w:val="none"/>
        </w:rPr>
        <w:t>投标人提供虚假材料投标的，投标无效。</w:t>
      </w:r>
    </w:p>
    <w:p>
      <w:pPr>
        <w:pStyle w:val="6"/>
        <w:rPr>
          <w:color w:val="auto"/>
          <w:highlight w:val="none"/>
        </w:rPr>
      </w:pPr>
      <w:r>
        <w:rPr>
          <w:color w:val="auto"/>
          <w:highlight w:val="none"/>
        </w:rPr>
        <w:t>12. 投标文件的编制</w:t>
      </w:r>
    </w:p>
    <w:p>
      <w:pPr>
        <w:rPr>
          <w:color w:val="auto"/>
          <w:highlight w:val="none"/>
        </w:rPr>
      </w:pPr>
      <w:r>
        <w:rPr>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auto"/>
          <w:highlight w:val="none"/>
        </w:rPr>
      </w:pPr>
      <w:r>
        <w:rPr>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auto"/>
          <w:highlight w:val="none"/>
        </w:rPr>
      </w:pPr>
      <w:r>
        <w:rPr>
          <w:color w:val="auto"/>
          <w:highlight w:val="none"/>
        </w:rPr>
        <w:t>12.3使用“政采云电子交易客户端”需要提前申领CA数字证书，申领流程请自行前往“浙江政府采购网-下载专区-电子交易客户端-CA驱动和申领流程”进行查阅。</w:t>
      </w:r>
    </w:p>
    <w:p>
      <w:pPr>
        <w:pStyle w:val="6"/>
        <w:rPr>
          <w:color w:val="auto"/>
          <w:highlight w:val="none"/>
        </w:rPr>
      </w:pPr>
      <w:r>
        <w:rPr>
          <w:color w:val="auto"/>
          <w:highlight w:val="none"/>
        </w:rPr>
        <w:t>13.投标文件的签署、盖章</w:t>
      </w:r>
    </w:p>
    <w:p>
      <w:pPr>
        <w:rPr>
          <w:color w:val="auto"/>
          <w:highlight w:val="none"/>
        </w:rPr>
      </w:pPr>
      <w:r>
        <w:rPr>
          <w:color w:val="auto"/>
          <w:highlight w:val="none"/>
        </w:rPr>
        <w:t>13.1投标文件按照招标文件第六部分格式要求进行签署、盖章。▲投标人的投标文件未按照招标文件要求签署、盖章的，其投标无效。</w:t>
      </w:r>
    </w:p>
    <w:p>
      <w:pPr>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color w:val="auto"/>
          <w:highlight w:val="none"/>
        </w:rPr>
      </w:pPr>
      <w:r>
        <w:rPr>
          <w:color w:val="auto"/>
          <w:highlight w:val="none"/>
        </w:rPr>
        <w:t>13.3招标文件对投标文件签署、盖章的要求适用于电子签名。</w:t>
      </w:r>
    </w:p>
    <w:p>
      <w:pPr>
        <w:pStyle w:val="6"/>
        <w:rPr>
          <w:color w:val="auto"/>
          <w:highlight w:val="none"/>
        </w:rPr>
      </w:pPr>
      <w:r>
        <w:rPr>
          <w:color w:val="auto"/>
          <w:highlight w:val="none"/>
        </w:rPr>
        <w:t>14. 投标文件的提交、补充、修改、撤回</w:t>
      </w:r>
    </w:p>
    <w:p>
      <w:pPr>
        <w:rPr>
          <w:color w:val="auto"/>
          <w:highlight w:val="none"/>
        </w:rPr>
      </w:pPr>
      <w:r>
        <w:rPr>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auto"/>
          <w:highlight w:val="none"/>
        </w:rPr>
      </w:pPr>
      <w:r>
        <w:rPr>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color w:val="auto"/>
          <w:highlight w:val="none"/>
        </w:rPr>
      </w:pPr>
      <w:r>
        <w:rPr>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rPr>
          <w:color w:val="auto"/>
          <w:highlight w:val="none"/>
        </w:rPr>
      </w:pPr>
      <w:r>
        <w:rPr>
          <w:color w:val="auto"/>
          <w:highlight w:val="none"/>
        </w:rPr>
        <w:t>15.备份投标文件</w:t>
      </w:r>
    </w:p>
    <w:p>
      <w:pPr>
        <w:rPr>
          <w:color w:val="auto"/>
          <w:highlight w:val="none"/>
        </w:rPr>
      </w:pPr>
      <w:r>
        <w:rPr>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auto"/>
          <w:highlight w:val="none"/>
        </w:rPr>
      </w:pPr>
      <w:r>
        <w:rPr>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auto"/>
          <w:highlight w:val="none"/>
        </w:rPr>
      </w:pPr>
      <w:r>
        <w:rPr>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color w:val="auto"/>
          <w:highlight w:val="none"/>
        </w:rPr>
      </w:pPr>
      <w:r>
        <w:rPr>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auto"/>
          <w:highlight w:val="none"/>
        </w:rPr>
      </w:pPr>
      <w:r>
        <w:rPr>
          <w:color w:val="auto"/>
          <w:highlight w:val="none"/>
        </w:rPr>
        <w:t>15.5投标人仅提交备份投标文件，未在电子交易平台传输递交投标文件的，投标无效。</w:t>
      </w:r>
    </w:p>
    <w:p>
      <w:pPr>
        <w:rPr>
          <w:color w:val="auto"/>
          <w:highlight w:val="none"/>
        </w:rPr>
      </w:pPr>
      <w:r>
        <w:rPr>
          <w:color w:val="auto"/>
          <w:highlight w:val="none"/>
        </w:rPr>
        <w:t>16.投标文件的无效处理</w:t>
      </w:r>
    </w:p>
    <w:p>
      <w:pPr>
        <w:rPr>
          <w:color w:val="auto"/>
          <w:highlight w:val="none"/>
        </w:rPr>
      </w:pPr>
      <w:r>
        <w:rPr>
          <w:rFonts w:hint="eastAsia"/>
          <w:color w:val="auto"/>
          <w:highlight w:val="none"/>
        </w:rPr>
        <w:t>有招标文件第四部分</w:t>
      </w:r>
      <w:r>
        <w:rPr>
          <w:color w:val="auto"/>
          <w:highlight w:val="none"/>
        </w:rPr>
        <w:t>4.2规定的情形之一的，投标无效：</w:t>
      </w:r>
    </w:p>
    <w:p>
      <w:pPr>
        <w:rPr>
          <w:color w:val="auto"/>
          <w:highlight w:val="none"/>
        </w:rPr>
      </w:pPr>
      <w:r>
        <w:rPr>
          <w:color w:val="auto"/>
          <w:highlight w:val="none"/>
        </w:rPr>
        <w:t>17.投标有效期</w:t>
      </w:r>
    </w:p>
    <w:p>
      <w:pPr>
        <w:rPr>
          <w:color w:val="auto"/>
          <w:highlight w:val="none"/>
        </w:rPr>
      </w:pPr>
      <w:r>
        <w:rPr>
          <w:color w:val="auto"/>
          <w:highlight w:val="none"/>
        </w:rPr>
        <w:t>17.1投标有效期为从提交投标文件的截止之日起90天。▲投标人的投标文件中承诺的投标有效期少于招标文件中载明的投标有效期的，投标无效。</w:t>
      </w:r>
    </w:p>
    <w:p>
      <w:pPr>
        <w:rPr>
          <w:color w:val="auto"/>
          <w:highlight w:val="none"/>
        </w:rPr>
      </w:pPr>
      <w:r>
        <w:rPr>
          <w:color w:val="auto"/>
          <w:highlight w:val="none"/>
        </w:rPr>
        <w:t>17.2投标文件合格投递后，自投标截止日期起，在投标有效期内有效。</w:t>
      </w:r>
    </w:p>
    <w:p>
      <w:pPr>
        <w:rPr>
          <w:color w:val="auto"/>
          <w:highlight w:val="none"/>
        </w:rPr>
      </w:pPr>
      <w:r>
        <w:rPr>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rPr>
          <w:color w:val="auto"/>
          <w:highlight w:val="none"/>
        </w:rPr>
      </w:pPr>
      <w:r>
        <w:rPr>
          <w:rFonts w:hint="eastAsia"/>
          <w:color w:val="auto"/>
          <w:highlight w:val="none"/>
        </w:rPr>
        <w:t>四、开标、资格审查与信用信息查询</w:t>
      </w:r>
    </w:p>
    <w:p>
      <w:pPr>
        <w:pStyle w:val="6"/>
        <w:rPr>
          <w:color w:val="auto"/>
          <w:highlight w:val="none"/>
        </w:rPr>
      </w:pPr>
      <w:r>
        <w:rPr>
          <w:color w:val="auto"/>
          <w:highlight w:val="none"/>
        </w:rPr>
        <w:t xml:space="preserve">18.开标 </w:t>
      </w:r>
    </w:p>
    <w:p>
      <w:pPr>
        <w:rPr>
          <w:color w:val="auto"/>
          <w:highlight w:val="none"/>
        </w:rPr>
      </w:pPr>
      <w:r>
        <w:rPr>
          <w:color w:val="auto"/>
          <w:highlight w:val="none"/>
        </w:rPr>
        <w:t>18.1采购机构按照招标文件规定的时间通过电子交易平台组织开标，所有投标人均应当准时在线参加。投标人不足3家的，不得开标。</w:t>
      </w:r>
    </w:p>
    <w:p>
      <w:pPr>
        <w:rPr>
          <w:color w:val="auto"/>
          <w:highlight w:val="none"/>
        </w:rPr>
      </w:pPr>
      <w:r>
        <w:rPr>
          <w:rFonts w:hint="eastAsia"/>
          <w:color w:val="auto"/>
          <w:highlight w:val="none"/>
        </w:rPr>
        <w:t>　</w:t>
      </w:r>
      <w:r>
        <w:rPr>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rPr>
          <w:color w:val="auto"/>
          <w:highlight w:val="none"/>
        </w:rPr>
      </w:pPr>
      <w:r>
        <w:rPr>
          <w:rFonts w:hint="eastAsia"/>
          <w:color w:val="auto"/>
          <w:highlight w:val="none"/>
        </w:rPr>
        <w:t>　</w:t>
      </w:r>
      <w:r>
        <w:rPr>
          <w:color w:val="auto"/>
          <w:highlight w:val="none"/>
        </w:rPr>
        <w:t>18.3投标文件未按时解密，投标人提供了备份投标文件的，以备份投标文件作为依据，否则视为投标文件撤回。投标文件已按时解密的，备份投标文件自动失效。</w:t>
      </w:r>
    </w:p>
    <w:p>
      <w:pPr>
        <w:pStyle w:val="6"/>
        <w:rPr>
          <w:color w:val="auto"/>
          <w:highlight w:val="none"/>
        </w:rPr>
      </w:pPr>
      <w:r>
        <w:rPr>
          <w:color w:val="auto"/>
          <w:highlight w:val="none"/>
        </w:rPr>
        <w:t>19、资格审查</w:t>
      </w:r>
    </w:p>
    <w:p>
      <w:pPr>
        <w:rPr>
          <w:color w:val="auto"/>
          <w:highlight w:val="none"/>
        </w:rPr>
      </w:pPr>
      <w:r>
        <w:rPr>
          <w:color w:val="auto"/>
          <w:highlight w:val="none"/>
        </w:rPr>
        <w:t>19.1开标后，采购人或采购机构将依法对投标人的资格进行审查。</w:t>
      </w:r>
    </w:p>
    <w:p>
      <w:pPr>
        <w:rPr>
          <w:color w:val="auto"/>
          <w:highlight w:val="none"/>
        </w:rPr>
      </w:pPr>
      <w:r>
        <w:rPr>
          <w:color w:val="auto"/>
          <w:highlight w:val="none"/>
        </w:rPr>
        <w:t>19.2采购人或采购机构依据法律法规和招标文件的规定，对投标人的基本资格条件、特定资格条件进行审查。</w:t>
      </w:r>
    </w:p>
    <w:p>
      <w:pPr>
        <w:rPr>
          <w:color w:val="auto"/>
          <w:highlight w:val="none"/>
        </w:rPr>
      </w:pPr>
      <w:r>
        <w:rPr>
          <w:color w:val="auto"/>
          <w:highlight w:val="none"/>
        </w:rPr>
        <w:t>19.3投标人未按照招标文件要求提供与基本资格条件、特定资格条件相应的有效资格证明材料的，视为投标人不具备招标文件中规定的资格要求，其投标无效。</w:t>
      </w:r>
    </w:p>
    <w:p>
      <w:pPr>
        <w:rPr>
          <w:color w:val="auto"/>
          <w:highlight w:val="none"/>
        </w:rPr>
      </w:pPr>
      <w:r>
        <w:rPr>
          <w:color w:val="auto"/>
          <w:highlight w:val="none"/>
        </w:rPr>
        <w:t>19.4对未通过资格审查的投标人，采购人或采购机构告知其未通过的原因。</w:t>
      </w:r>
    </w:p>
    <w:p>
      <w:pPr>
        <w:rPr>
          <w:color w:val="auto"/>
          <w:highlight w:val="none"/>
        </w:rPr>
      </w:pPr>
      <w:r>
        <w:rPr>
          <w:color w:val="auto"/>
          <w:highlight w:val="none"/>
        </w:rPr>
        <w:t>19.5合格投标人不足3家的，不再评标。</w:t>
      </w:r>
    </w:p>
    <w:p>
      <w:pPr>
        <w:pStyle w:val="6"/>
        <w:rPr>
          <w:color w:val="auto"/>
          <w:highlight w:val="none"/>
        </w:rPr>
      </w:pPr>
      <w:r>
        <w:rPr>
          <w:color w:val="auto"/>
          <w:highlight w:val="none"/>
        </w:rPr>
        <w:t>20、信用信息查询</w:t>
      </w:r>
    </w:p>
    <w:p>
      <w:pPr>
        <w:rPr>
          <w:color w:val="auto"/>
          <w:highlight w:val="none"/>
        </w:rPr>
      </w:pPr>
      <w:r>
        <w:rPr>
          <w:color w:val="auto"/>
          <w:highlight w:val="none"/>
        </w:rPr>
        <w:t>20.1信用信息查询渠道及截止时间：采购机构将通过“信用中国”网站(www.creditchina.gov.cn)、中国政府采购网(www.ccgp.gov.cn)渠道查询投标人投标截止时间当天的信用记录。</w:t>
      </w:r>
    </w:p>
    <w:p>
      <w:pPr>
        <w:rPr>
          <w:color w:val="auto"/>
          <w:highlight w:val="none"/>
        </w:rPr>
      </w:pPr>
      <w:r>
        <w:rPr>
          <w:color w:val="auto"/>
          <w:highlight w:val="none"/>
        </w:rPr>
        <w:t>20.2信用信息查询记录和证据留存的具体方式：现场查询的投标人的信用记录、查询结果经确认后将与采购文件一起存档。</w:t>
      </w:r>
    </w:p>
    <w:p>
      <w:pPr>
        <w:rPr>
          <w:color w:val="auto"/>
          <w:highlight w:val="none"/>
        </w:rPr>
      </w:pPr>
      <w:r>
        <w:rPr>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color w:val="auto"/>
          <w:highlight w:val="none"/>
        </w:rPr>
      </w:pPr>
      <w:r>
        <w:rPr>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color w:val="auto"/>
          <w:highlight w:val="none"/>
        </w:rPr>
      </w:pPr>
      <w:r>
        <w:rPr>
          <w:rFonts w:hint="eastAsia"/>
          <w:color w:val="auto"/>
          <w:highlight w:val="none"/>
        </w:rPr>
        <w:t>五、评标</w:t>
      </w:r>
    </w:p>
    <w:p>
      <w:pPr>
        <w:pStyle w:val="6"/>
        <w:rPr>
          <w:color w:val="auto"/>
          <w:highlight w:val="none"/>
        </w:rPr>
      </w:pPr>
      <w:r>
        <w:rPr>
          <w:color w:val="auto"/>
          <w:highlight w:val="none"/>
        </w:rPr>
        <w:t>21. 评标</w:t>
      </w:r>
    </w:p>
    <w:p>
      <w:pPr>
        <w:rPr>
          <w:color w:val="auto"/>
          <w:highlight w:val="none"/>
        </w:rPr>
      </w:pPr>
      <w:r>
        <w:rPr>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rPr>
          <w:color w:val="auto"/>
          <w:highlight w:val="none"/>
        </w:rPr>
      </w:pPr>
      <w:r>
        <w:rPr>
          <w:rFonts w:hint="eastAsia"/>
          <w:color w:val="auto"/>
          <w:highlight w:val="none"/>
        </w:rPr>
        <w:t>六、定</w:t>
      </w:r>
      <w:r>
        <w:rPr>
          <w:color w:val="auto"/>
          <w:highlight w:val="none"/>
        </w:rPr>
        <w:t xml:space="preserve"> 标</w:t>
      </w:r>
    </w:p>
    <w:p>
      <w:pPr>
        <w:pStyle w:val="6"/>
        <w:rPr>
          <w:color w:val="auto"/>
          <w:highlight w:val="none"/>
        </w:rPr>
      </w:pPr>
      <w:r>
        <w:rPr>
          <w:color w:val="auto"/>
          <w:highlight w:val="none"/>
        </w:rPr>
        <w:t>22. 确定中标供应商</w:t>
      </w:r>
    </w:p>
    <w:p>
      <w:pPr>
        <w:rPr>
          <w:color w:val="auto"/>
          <w:highlight w:val="none"/>
        </w:rPr>
      </w:pPr>
      <w:r>
        <w:rPr>
          <w:rFonts w:hint="eastAsia"/>
          <w:color w:val="auto"/>
          <w:highlight w:val="none"/>
        </w:rPr>
        <w:t>采购人将自收到评审报告之日起</w:t>
      </w:r>
      <w:r>
        <w:rPr>
          <w:color w:val="auto"/>
          <w:highlight w:val="none"/>
        </w:rPr>
        <w:t>5个工作日内通过电子交易平台在评审报告推荐的中标候选人中按顺序确定中标供应商。</w:t>
      </w:r>
    </w:p>
    <w:p>
      <w:pPr>
        <w:pStyle w:val="6"/>
        <w:rPr>
          <w:color w:val="auto"/>
          <w:highlight w:val="none"/>
        </w:rPr>
      </w:pPr>
      <w:r>
        <w:rPr>
          <w:color w:val="auto"/>
          <w:highlight w:val="none"/>
        </w:rPr>
        <w:t>23. 中标通知与中标结果公告</w:t>
      </w:r>
    </w:p>
    <w:p>
      <w:pPr>
        <w:rPr>
          <w:color w:val="auto"/>
          <w:highlight w:val="none"/>
        </w:rPr>
      </w:pPr>
      <w:r>
        <w:rPr>
          <w:color w:val="auto"/>
          <w:highlight w:val="none"/>
        </w:rPr>
        <w:t>23.1自中标人确定之日起2个工作日内，采购机构通过电子交易平台向中标人发出中标通知书，同时编制发布采购结果公告。采购机构也可以以纸质形式进行中标通知。</w:t>
      </w:r>
    </w:p>
    <w:p>
      <w:pPr>
        <w:rPr>
          <w:color w:val="auto"/>
          <w:highlight w:val="none"/>
        </w:rPr>
      </w:pPr>
      <w:r>
        <w:rPr>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auto"/>
          <w:highlight w:val="none"/>
        </w:rPr>
      </w:pPr>
      <w:r>
        <w:rPr>
          <w:color w:val="auto"/>
          <w:highlight w:val="none"/>
        </w:rPr>
        <w:t>23.3公告期限为1个工作日。</w:t>
      </w:r>
    </w:p>
    <w:p>
      <w:pPr>
        <w:pStyle w:val="5"/>
        <w:rPr>
          <w:color w:val="auto"/>
          <w:highlight w:val="none"/>
        </w:rPr>
      </w:pPr>
      <w:r>
        <w:rPr>
          <w:rFonts w:hint="eastAsia"/>
          <w:color w:val="auto"/>
          <w:highlight w:val="none"/>
        </w:rPr>
        <w:t>七、合同授予</w:t>
      </w:r>
    </w:p>
    <w:p>
      <w:pPr>
        <w:pStyle w:val="6"/>
        <w:rPr>
          <w:color w:val="auto"/>
          <w:highlight w:val="none"/>
        </w:rPr>
      </w:pPr>
      <w:r>
        <w:rPr>
          <w:color w:val="auto"/>
          <w:highlight w:val="none"/>
        </w:rPr>
        <w:t>24. 合同主要条款详见第五部分拟签订的合同文本。</w:t>
      </w:r>
    </w:p>
    <w:p>
      <w:pPr>
        <w:pStyle w:val="6"/>
        <w:rPr>
          <w:color w:val="auto"/>
          <w:highlight w:val="none"/>
        </w:rPr>
      </w:pPr>
      <w:r>
        <w:rPr>
          <w:color w:val="auto"/>
          <w:highlight w:val="none"/>
        </w:rPr>
        <w:t>25. 合同的签订</w:t>
      </w:r>
    </w:p>
    <w:p>
      <w:pPr>
        <w:rPr>
          <w:color w:val="auto"/>
          <w:highlight w:val="none"/>
        </w:rPr>
      </w:pPr>
      <w:r>
        <w:rPr>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color w:val="auto"/>
          <w:highlight w:val="none"/>
        </w:rPr>
      </w:pPr>
      <w:r>
        <w:rPr>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color w:val="auto"/>
          <w:highlight w:val="none"/>
        </w:rPr>
      </w:pPr>
      <w:r>
        <w:rPr>
          <w:color w:val="auto"/>
          <w:highlight w:val="none"/>
        </w:rPr>
        <w:t>25.3如签订合同并生效后，供应商无故拒绝或延期，除按照合同条款处理外，列入不良行为记录一次，并给予通报。</w:t>
      </w:r>
    </w:p>
    <w:p>
      <w:pPr>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rPr>
          <w:color w:val="auto"/>
          <w:highlight w:val="none"/>
        </w:rPr>
      </w:pPr>
      <w:r>
        <w:rPr>
          <w:color w:val="auto"/>
          <w:highlight w:val="none"/>
        </w:rPr>
        <w:t>25.5采购合同由采购人与中标供应商根据招标文件、投标文件等内容通过政府采购电子交易平台在线签订，自动备案。</w:t>
      </w:r>
    </w:p>
    <w:p>
      <w:pPr>
        <w:pStyle w:val="6"/>
        <w:rPr>
          <w:color w:val="auto"/>
          <w:highlight w:val="none"/>
        </w:rPr>
      </w:pPr>
      <w:r>
        <w:rPr>
          <w:color w:val="auto"/>
          <w:highlight w:val="none"/>
        </w:rPr>
        <w:t>26. 履约保证金</w:t>
      </w:r>
    </w:p>
    <w:p>
      <w:pPr>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color w:val="auto"/>
          <w:highlight w:val="none"/>
        </w:rPr>
        <w:t>%。鼓励和支持供应商以银行、保险公司出具的保函形式提供履约保证金。采购人不得拒收履约保函，项目验收结束后应及时退还。</w:t>
      </w:r>
    </w:p>
    <w:p>
      <w:pPr>
        <w:rPr>
          <w:color w:val="auto"/>
          <w:highlight w:val="none"/>
        </w:rPr>
      </w:pPr>
      <w:r>
        <w:rPr>
          <w:rFonts w:hint="eastAsia"/>
          <w:color w:val="auto"/>
          <w:highlight w:val="none"/>
        </w:rPr>
        <w:t>政府采购货物和服务项目中，采购单位可根据杭州市政府采购网公布的供应商履约评价情况减免履约保证金。供应商履约验收评价总分为</w:t>
      </w:r>
      <w:r>
        <w:rPr>
          <w:color w:val="auto"/>
          <w:highlight w:val="none"/>
        </w:rPr>
        <w:t>100分的，采购单位应当免收履约保证金；</w:t>
      </w:r>
    </w:p>
    <w:p>
      <w:pPr>
        <w:rPr>
          <w:color w:val="auto"/>
          <w:highlight w:val="none"/>
        </w:rPr>
      </w:pPr>
      <w:r>
        <w:rPr>
          <w:rFonts w:hint="eastAsia"/>
          <w:color w:val="auto"/>
          <w:highlight w:val="none"/>
        </w:rPr>
        <w:t>供应商可登录政采云平台</w:t>
      </w:r>
      <w:r>
        <w:rPr>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pacing w:line="276" w:lineRule="auto"/>
        <w:rPr>
          <w:b/>
          <w:smallCaps/>
          <w:color w:val="auto"/>
          <w:sz w:val="28"/>
          <w:szCs w:val="28"/>
          <w:highlight w:val="none"/>
        </w:rPr>
      </w:pPr>
      <w:r>
        <w:rPr>
          <w:color w:val="auto"/>
          <w:highlight w:val="none"/>
        </w:rPr>
        <w:br w:type="page"/>
      </w:r>
    </w:p>
    <w:p>
      <w:pPr>
        <w:pStyle w:val="5"/>
        <w:rPr>
          <w:color w:val="auto"/>
          <w:highlight w:val="none"/>
        </w:rPr>
      </w:pPr>
      <w:r>
        <w:rPr>
          <w:rFonts w:hint="eastAsia"/>
          <w:color w:val="auto"/>
          <w:highlight w:val="none"/>
        </w:rPr>
        <w:t>八、电子交易活动的中止</w:t>
      </w:r>
    </w:p>
    <w:p>
      <w:pPr>
        <w:pStyle w:val="6"/>
        <w:rPr>
          <w:color w:val="auto"/>
          <w:highlight w:val="none"/>
        </w:rPr>
      </w:pPr>
      <w:r>
        <w:rPr>
          <w:color w:val="auto"/>
          <w:highlight w:val="none"/>
        </w:rPr>
        <w:t>27. 电子交易活动的中止。</w:t>
      </w:r>
    </w:p>
    <w:p>
      <w:pPr>
        <w:rPr>
          <w:color w:val="auto"/>
          <w:highlight w:val="none"/>
        </w:rPr>
      </w:pPr>
      <w:r>
        <w:rPr>
          <w:color w:val="auto"/>
          <w:highlight w:val="none"/>
        </w:rPr>
        <w:t>采购过程中出现以下情形，导致电子交易平台无法正常运行，或者无法保证电子交易的公平、公正和安全时，采购机构可中止电子交易活动：</w:t>
      </w:r>
    </w:p>
    <w:p>
      <w:pPr>
        <w:rPr>
          <w:color w:val="auto"/>
          <w:highlight w:val="none"/>
        </w:rPr>
      </w:pPr>
      <w:r>
        <w:rPr>
          <w:color w:val="auto"/>
          <w:highlight w:val="none"/>
        </w:rPr>
        <w:t xml:space="preserve">27.1电子交易平台发生故障而无法登录访问的； </w:t>
      </w:r>
    </w:p>
    <w:p>
      <w:pPr>
        <w:rPr>
          <w:color w:val="auto"/>
          <w:highlight w:val="none"/>
        </w:rPr>
      </w:pPr>
      <w:r>
        <w:rPr>
          <w:color w:val="auto"/>
          <w:highlight w:val="none"/>
        </w:rPr>
        <w:t>27.2电子交易平台应用或数据库出现错误，不能进行正常操作的；</w:t>
      </w:r>
    </w:p>
    <w:p>
      <w:pPr>
        <w:rPr>
          <w:color w:val="auto"/>
          <w:highlight w:val="none"/>
        </w:rPr>
      </w:pPr>
      <w:r>
        <w:rPr>
          <w:color w:val="auto"/>
          <w:highlight w:val="none"/>
        </w:rPr>
        <w:t>27.3电子交易平台发现严重安全漏洞，有潜在泄密危险的；</w:t>
      </w:r>
    </w:p>
    <w:p>
      <w:pPr>
        <w:rPr>
          <w:color w:val="auto"/>
          <w:highlight w:val="none"/>
        </w:rPr>
      </w:pPr>
      <w:r>
        <w:rPr>
          <w:color w:val="auto"/>
          <w:highlight w:val="none"/>
        </w:rPr>
        <w:t xml:space="preserve">27.4病毒发作导致不能进行正常操作的； </w:t>
      </w:r>
    </w:p>
    <w:p>
      <w:pPr>
        <w:rPr>
          <w:color w:val="auto"/>
          <w:highlight w:val="none"/>
        </w:rPr>
      </w:pPr>
      <w:r>
        <w:rPr>
          <w:color w:val="auto"/>
          <w:highlight w:val="none"/>
        </w:rPr>
        <w:t>27.5其他无法保证电子交易的公平、公正和安全的情况。</w:t>
      </w:r>
    </w:p>
    <w:p>
      <w:pPr>
        <w:rPr>
          <w:color w:val="auto"/>
          <w:highlight w:val="none"/>
        </w:rPr>
      </w:pPr>
      <w:r>
        <w:rPr>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rPr>
          <w:color w:val="auto"/>
          <w:highlight w:val="none"/>
        </w:rPr>
      </w:pPr>
      <w:r>
        <w:rPr>
          <w:rFonts w:hint="eastAsia"/>
          <w:color w:val="auto"/>
          <w:highlight w:val="none"/>
        </w:rPr>
        <w:t>九、验收</w:t>
      </w:r>
    </w:p>
    <w:p>
      <w:pPr>
        <w:pStyle w:val="6"/>
        <w:rPr>
          <w:color w:val="auto"/>
          <w:highlight w:val="none"/>
        </w:rPr>
      </w:pPr>
      <w:r>
        <w:rPr>
          <w:color w:val="auto"/>
          <w:highlight w:val="none"/>
        </w:rPr>
        <w:t>29.验收</w:t>
      </w:r>
    </w:p>
    <w:p>
      <w:pPr>
        <w:rPr>
          <w:color w:val="auto"/>
          <w:highlight w:val="none"/>
        </w:rPr>
      </w:pPr>
      <w:r>
        <w:rPr>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auto"/>
          <w:highlight w:val="none"/>
        </w:rPr>
        <w:t>安装前，申请进行初验收。</w:t>
      </w:r>
    </w:p>
    <w:p>
      <w:pPr>
        <w:rPr>
          <w:color w:val="auto"/>
          <w:highlight w:val="none"/>
        </w:rPr>
      </w:pPr>
      <w:r>
        <w:rPr>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采购需求</w:t>
      </w:r>
    </w:p>
    <w:p>
      <w:pPr>
        <w:snapToGrid w:val="0"/>
        <w:rPr>
          <w:rStyle w:val="51"/>
          <w:color w:val="auto"/>
          <w:highlight w:val="none"/>
        </w:rPr>
      </w:pPr>
      <w:r>
        <w:rPr>
          <w:rStyle w:val="51"/>
          <w:rFonts w:hint="eastAsia"/>
          <w:color w:val="auto"/>
          <w:highlight w:val="none"/>
        </w:rPr>
        <w:t>属于实质性要求条款的，请用符号“▲”标明，否则属于非实质性要求。</w:t>
      </w:r>
    </w:p>
    <w:p>
      <w:pPr>
        <w:snapToGrid w:val="0"/>
        <w:rPr>
          <w:rStyle w:val="51"/>
          <w:color w:val="auto"/>
          <w:highlight w:val="none"/>
        </w:rPr>
      </w:pPr>
      <w:r>
        <w:rPr>
          <w:rStyle w:val="51"/>
          <w:rFonts w:hint="eastAsia"/>
          <w:color w:val="auto"/>
          <w:highlight w:val="none"/>
        </w:rPr>
        <w:t>“</w:t>
      </w:r>
      <w:r>
        <w:rPr>
          <w:rStyle w:val="51"/>
          <w:rFonts w:hint="eastAsia"/>
          <w:color w:val="auto"/>
          <w:highlight w:val="none"/>
          <w:lang w:eastAsia="zh-CN"/>
        </w:rPr>
        <w:t>★</w:t>
      </w:r>
      <w:r>
        <w:rPr>
          <w:rStyle w:val="51"/>
          <w:rFonts w:hint="eastAsia"/>
          <w:color w:val="auto"/>
          <w:highlight w:val="none"/>
        </w:rPr>
        <w:t>”系产品采购项目中单一产品或核心产品。</w:t>
      </w:r>
    </w:p>
    <w:p>
      <w:pPr>
        <w:pStyle w:val="5"/>
        <w:numPr>
          <w:ilvl w:val="0"/>
          <w:numId w:val="1"/>
        </w:numPr>
        <w:rPr>
          <w:color w:val="auto"/>
          <w:highlight w:val="none"/>
        </w:rPr>
      </w:pPr>
      <w:r>
        <w:rPr>
          <w:color w:val="auto"/>
          <w:highlight w:val="none"/>
        </w:rPr>
        <w:t>招标一览表</w:t>
      </w:r>
    </w:p>
    <w:p>
      <w:pPr>
        <w:snapToGrid w:val="0"/>
        <w:spacing w:line="360" w:lineRule="auto"/>
        <w:rPr>
          <w:rFonts w:cs="仿宋"/>
          <w:color w:val="auto"/>
          <w:highlight w:val="none"/>
        </w:rPr>
      </w:pPr>
      <w:r>
        <w:rPr>
          <w:rFonts w:hint="eastAsia" w:cs="仿宋"/>
          <w:b/>
          <w:color w:val="auto"/>
          <w:highlight w:val="none"/>
        </w:rPr>
        <w:t>标项：</w:t>
      </w:r>
      <w:r>
        <w:rPr>
          <w:rFonts w:hint="eastAsia" w:cs="仿宋"/>
          <w:b/>
          <w:color w:val="auto"/>
          <w:highlight w:val="none"/>
          <w:u w:val="single"/>
        </w:rPr>
        <w:t xml:space="preserve"> 1 </w:t>
      </w:r>
    </w:p>
    <w:tbl>
      <w:tblPr>
        <w:tblStyle w:val="26"/>
        <w:tblW w:w="8587" w:type="dxa"/>
        <w:jc w:val="center"/>
        <w:tblLayout w:type="fixed"/>
        <w:tblCellMar>
          <w:top w:w="0" w:type="dxa"/>
          <w:left w:w="0" w:type="dxa"/>
          <w:bottom w:w="0" w:type="dxa"/>
          <w:right w:w="0" w:type="dxa"/>
        </w:tblCellMar>
      </w:tblPr>
      <w:tblGrid>
        <w:gridCol w:w="775"/>
        <w:gridCol w:w="2056"/>
        <w:gridCol w:w="1850"/>
        <w:gridCol w:w="861"/>
        <w:gridCol w:w="1015"/>
        <w:gridCol w:w="1015"/>
        <w:gridCol w:w="1015"/>
      </w:tblGrid>
      <w:tr>
        <w:tblPrEx>
          <w:tblCellMar>
            <w:top w:w="0" w:type="dxa"/>
            <w:left w:w="0" w:type="dxa"/>
            <w:bottom w:w="0" w:type="dxa"/>
            <w:right w:w="0" w:type="dxa"/>
          </w:tblCellMar>
        </w:tblPrEx>
        <w:trPr>
          <w:cantSplit/>
          <w:trHeight w:val="954" w:hRule="atLeast"/>
          <w:jc w:val="center"/>
        </w:trPr>
        <w:tc>
          <w:tcPr>
            <w:tcW w:w="7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序号</w:t>
            </w:r>
          </w:p>
        </w:tc>
        <w:tc>
          <w:tcPr>
            <w:tcW w:w="20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名称</w:t>
            </w:r>
          </w:p>
        </w:tc>
        <w:tc>
          <w:tcPr>
            <w:tcW w:w="1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规格型号与参数</w:t>
            </w:r>
          </w:p>
        </w:tc>
        <w:tc>
          <w:tcPr>
            <w:tcW w:w="8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数量</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val="en-US" w:eastAsia="zh-CN"/>
              </w:rPr>
            </w:pPr>
            <w:r>
              <w:rPr>
                <w:rFonts w:hint="eastAsia" w:cs="仿宋"/>
                <w:color w:val="auto"/>
                <w:highlight w:val="none"/>
                <w:lang w:val="en-US" w:eastAsia="zh-CN"/>
              </w:rPr>
              <w:t>项目采购类型</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val="en-US" w:eastAsia="zh-CN"/>
              </w:rPr>
            </w:pPr>
            <w:r>
              <w:rPr>
                <w:rFonts w:hint="eastAsia" w:cs="仿宋"/>
                <w:color w:val="auto"/>
                <w:highlight w:val="none"/>
                <w:lang w:val="en-US" w:eastAsia="zh-CN"/>
              </w:rPr>
              <w:t>所属行业划分</w:t>
            </w:r>
          </w:p>
        </w:tc>
      </w:tr>
      <w:tr>
        <w:tblPrEx>
          <w:tblCellMar>
            <w:top w:w="0" w:type="dxa"/>
            <w:left w:w="0" w:type="dxa"/>
            <w:bottom w:w="0" w:type="dxa"/>
            <w:right w:w="0" w:type="dxa"/>
          </w:tblCellMar>
        </w:tblPrEx>
        <w:trPr>
          <w:cantSplit/>
          <w:trHeight w:val="989" w:hRule="atLeast"/>
          <w:jc w:val="center"/>
        </w:trPr>
        <w:tc>
          <w:tcPr>
            <w:tcW w:w="7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1</w:t>
            </w:r>
          </w:p>
        </w:tc>
        <w:tc>
          <w:tcPr>
            <w:tcW w:w="205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杭州市萧山区文化旅游体育发展服务中心智慧场馆提升项目</w:t>
            </w:r>
          </w:p>
        </w:tc>
        <w:tc>
          <w:tcPr>
            <w:tcW w:w="1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详见招标需求</w:t>
            </w:r>
          </w:p>
        </w:tc>
        <w:tc>
          <w:tcPr>
            <w:tcW w:w="86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val="en-US" w:eastAsia="zh-CN"/>
              </w:rPr>
              <w:t>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eastAsia="zh-CN"/>
              </w:rPr>
            </w:pPr>
            <w:r>
              <w:rPr>
                <w:rFonts w:hint="eastAsia" w:cs="仿宋"/>
                <w:color w:val="auto"/>
                <w:highlight w:val="none"/>
                <w:lang w:eastAsia="zh-CN"/>
              </w:rPr>
              <w:t>1</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val="en-US" w:eastAsia="zh-CN"/>
              </w:rPr>
            </w:pPr>
            <w:r>
              <w:rPr>
                <w:rFonts w:hint="eastAsia" w:cs="仿宋"/>
                <w:color w:val="auto"/>
                <w:highlight w:val="none"/>
                <w:lang w:val="en-US" w:eastAsia="zh-CN"/>
              </w:rPr>
              <w:t>货物</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cs="仿宋"/>
                <w:color w:val="auto"/>
                <w:highlight w:val="none"/>
                <w:lang w:val="en-US" w:eastAsia="zh-CN"/>
              </w:rPr>
            </w:pPr>
            <w:r>
              <w:rPr>
                <w:rFonts w:hint="eastAsia" w:cs="仿宋"/>
                <w:color w:val="auto"/>
                <w:highlight w:val="none"/>
                <w:lang w:val="en-US" w:eastAsia="zh-CN"/>
              </w:rPr>
              <w:t>工业</w:t>
            </w:r>
          </w:p>
        </w:tc>
      </w:tr>
    </w:tbl>
    <w:p>
      <w:pPr>
        <w:rPr>
          <w:color w:val="auto"/>
          <w:highlight w:val="none"/>
        </w:rPr>
      </w:pPr>
    </w:p>
    <w:p>
      <w:pPr>
        <w:pStyle w:val="5"/>
        <w:numPr>
          <w:ilvl w:val="0"/>
          <w:numId w:val="0"/>
        </w:numPr>
        <w:ind w:leftChars="0"/>
        <w:jc w:val="center"/>
        <w:rPr>
          <w:color w:val="auto"/>
          <w:highlight w:val="none"/>
        </w:rPr>
      </w:pPr>
      <w:r>
        <w:rPr>
          <w:rFonts w:hint="eastAsia"/>
          <w:color w:val="auto"/>
          <w:highlight w:val="none"/>
        </w:rPr>
        <w:t>二、招标需求</w:t>
      </w:r>
    </w:p>
    <w:p>
      <w:pPr>
        <w:pStyle w:val="2"/>
        <w:widowControl w:val="0"/>
        <w:adjustRightInd w:val="0"/>
        <w:spacing w:after="120" w:afterLines="0" w:line="240" w:lineRule="auto"/>
        <w:ind w:firstLine="0" w:firstLineChars="0"/>
        <w:jc w:val="left"/>
        <w:outlineLvl w:val="1"/>
        <w:rPr>
          <w:rFonts w:hint="eastAsia" w:ascii="仿宋" w:hAnsi="仿宋" w:eastAsia="仿宋" w:cs="仿宋"/>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（一）项目概述</w:t>
      </w:r>
    </w:p>
    <w:p>
      <w:pPr>
        <w:widowControl w:val="0"/>
        <w:spacing w:after="0" w:line="360" w:lineRule="auto"/>
        <w:jc w:val="left"/>
        <w:outlineLvl w:val="2"/>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1.项目背景</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全面落实推进杭州市萧山区文化旅游体育发展服务中心服务大提升实施工作，满足整体改造后业务增长需要、提升经营管理水平，融合发展服务中心内各领域资源形成完整生态，进一步提高发展服务中心场地资源的利用率，需建设发展服务中心智慧场馆管理平台工程，构建数字化运营管理平台和业务管理系统，将物联网化设备及系统软件的深度集成，将RFID技术、智能硬件等设备融入业务场景，建成技术领先、管理先进、体验良好的智慧场馆管理平台。再塑客户运动消费流程，实现发展服务中心的有序开放与动线管控；通过物联网设备的智慧运行，向市民提供全流程的智慧运动体验，为中心的运营的数据沉淀，为发展服务中心高质量发展打好基础。</w:t>
      </w:r>
    </w:p>
    <w:p>
      <w:pPr>
        <w:widowControl w:val="0"/>
        <w:spacing w:after="0" w:line="360" w:lineRule="auto"/>
        <w:jc w:val="left"/>
        <w:outlineLvl w:val="2"/>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2.建设目标</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bookmarkStart w:id="2" w:name="_Hlk37676933"/>
      <w:r>
        <w:rPr>
          <w:rFonts w:hint="eastAsia" w:ascii="仿宋" w:hAnsi="仿宋" w:eastAsia="仿宋" w:cs="仿宋"/>
          <w:color w:val="auto"/>
          <w:kern w:val="2"/>
          <w:sz w:val="24"/>
          <w:szCs w:val="24"/>
          <w:highlight w:val="none"/>
        </w:rPr>
        <w:t>项目遵循《</w:t>
      </w:r>
      <w:r>
        <w:rPr>
          <w:rFonts w:hint="eastAsia" w:ascii="仿宋" w:hAnsi="仿宋" w:eastAsia="仿宋" w:cs="仿宋"/>
          <w:color w:val="auto"/>
          <w:kern w:val="2"/>
          <w:sz w:val="24"/>
          <w:szCs w:val="24"/>
          <w:highlight w:val="none"/>
          <w:lang w:val="en-US" w:eastAsia="zh-CN"/>
        </w:rPr>
        <w:t>浙江省体育局关于开展公共体育场馆服务大提升完成情况核查评价的通知</w:t>
      </w:r>
      <w:r>
        <w:rPr>
          <w:rFonts w:hint="eastAsia" w:ascii="仿宋" w:hAnsi="仿宋" w:eastAsia="仿宋" w:cs="仿宋"/>
          <w:color w:val="auto"/>
          <w:kern w:val="2"/>
          <w:sz w:val="24"/>
          <w:szCs w:val="24"/>
          <w:highlight w:val="none"/>
        </w:rPr>
        <w:t>》的相关要求，推动大数据、云计算、物联网等新一代信息技术在体育行业的深度融合应用，促进体育场馆场智能化的整合应用，进一步深化体育领域“最多跑一次”改革步伐，将全民健身公共服务信息化、智能化建设作为“最多跑一次”改革向公共服务领域延伸扩面的重要内容，通过数字体育助力新时期全民健身公共服务，切实提高杭州市萧山区文化旅游体育发展服务中心体育公共服务资源的数字化、智能化管理水平。利用现代信息技术手段，加强体育公共服务资源的信息化、智能化建设，建立“一站式”服务平台，为群众提供方便快捷的菜单式服务。</w:t>
      </w:r>
      <w:bookmarkEnd w:id="2"/>
    </w:p>
    <w:p>
      <w:pPr>
        <w:widowControl w:val="0"/>
        <w:spacing w:after="0" w:line="360" w:lineRule="auto"/>
        <w:jc w:val="left"/>
        <w:outlineLvl w:val="2"/>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3.项目建设要求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以便利群众运动健身为目标，</w:t>
      </w:r>
      <w:r>
        <w:rPr>
          <w:rFonts w:hint="eastAsia" w:ascii="仿宋" w:hAnsi="仿宋" w:eastAsia="仿宋" w:cs="仿宋"/>
          <w:color w:val="auto"/>
          <w:kern w:val="2"/>
          <w:sz w:val="24"/>
          <w:szCs w:val="24"/>
          <w:highlight w:val="none"/>
          <w:lang w:eastAsia="zh-Hans"/>
        </w:rPr>
        <w:t>以为发展服务中心打造</w:t>
      </w:r>
      <w:r>
        <w:rPr>
          <w:rFonts w:hint="eastAsia" w:ascii="仿宋" w:hAnsi="仿宋" w:eastAsia="仿宋" w:cs="仿宋"/>
          <w:color w:val="auto"/>
          <w:kern w:val="2"/>
          <w:sz w:val="24"/>
          <w:szCs w:val="24"/>
          <w:highlight w:val="none"/>
        </w:rPr>
        <w:t>“量体裁衣，按需应变”的支撑体系</w:t>
      </w:r>
      <w:r>
        <w:rPr>
          <w:rFonts w:hint="eastAsia" w:ascii="仿宋" w:hAnsi="仿宋" w:eastAsia="仿宋" w:cs="仿宋"/>
          <w:color w:val="auto"/>
          <w:kern w:val="2"/>
          <w:sz w:val="24"/>
          <w:szCs w:val="24"/>
          <w:highlight w:val="none"/>
          <w:lang w:eastAsia="zh-Hans"/>
        </w:rPr>
        <w:t>为宗旨</w:t>
      </w:r>
      <w:r>
        <w:rPr>
          <w:rFonts w:hint="eastAsia" w:ascii="仿宋" w:hAnsi="仿宋" w:eastAsia="仿宋" w:cs="仿宋"/>
          <w:color w:val="auto"/>
          <w:kern w:val="2"/>
          <w:sz w:val="24"/>
          <w:szCs w:val="24"/>
          <w:highlight w:val="none"/>
        </w:rPr>
        <w:t>,建设“智慧场馆管理平台”，集成“</w:t>
      </w:r>
      <w:r>
        <w:rPr>
          <w:rFonts w:hint="eastAsia" w:ascii="仿宋" w:hAnsi="仿宋" w:eastAsia="仿宋" w:cs="仿宋"/>
          <w:color w:val="auto"/>
          <w:kern w:val="2"/>
          <w:sz w:val="24"/>
          <w:szCs w:val="24"/>
          <w:highlight w:val="none"/>
          <w:lang w:val="en-US" w:eastAsia="zh-CN"/>
        </w:rPr>
        <w:t>体育场</w:t>
      </w:r>
      <w:r>
        <w:rPr>
          <w:rFonts w:hint="eastAsia" w:ascii="仿宋" w:hAnsi="仿宋" w:eastAsia="仿宋" w:cs="仿宋"/>
          <w:color w:val="auto"/>
          <w:kern w:val="2"/>
          <w:sz w:val="24"/>
          <w:szCs w:val="24"/>
          <w:highlight w:val="none"/>
        </w:rPr>
        <w:t>馆管理系统”、“移动应用便民服务系统”、“智能物联服务系统”以及相关智能硬件设备。通过计算机网络技术，将各个分离的智能硬件、系统功能和交互信息等集成相互关联，构建信息化系统平台，为群众提供线上化、自助化、智能化</w:t>
      </w:r>
      <w:r>
        <w:rPr>
          <w:rFonts w:hint="eastAsia" w:ascii="仿宋" w:hAnsi="仿宋" w:eastAsia="仿宋" w:cs="仿宋"/>
          <w:color w:val="auto"/>
          <w:kern w:val="2"/>
          <w:sz w:val="24"/>
          <w:szCs w:val="24"/>
          <w:highlight w:val="none"/>
          <w:lang w:eastAsia="zh-Hans"/>
        </w:rPr>
        <w:t>的</w:t>
      </w:r>
      <w:r>
        <w:rPr>
          <w:rFonts w:hint="eastAsia" w:ascii="仿宋" w:hAnsi="仿宋" w:eastAsia="仿宋" w:cs="仿宋"/>
          <w:color w:val="auto"/>
          <w:kern w:val="2"/>
          <w:sz w:val="24"/>
          <w:szCs w:val="24"/>
          <w:highlight w:val="none"/>
        </w:rPr>
        <w:t>服务。</w:t>
      </w:r>
    </w:p>
    <w:p>
      <w:pPr>
        <w:widowControl w:val="0"/>
        <w:spacing w:after="0" w:line="360" w:lineRule="auto"/>
        <w:jc w:val="left"/>
        <w:outlineLvl w:val="3"/>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3.1</w:t>
      </w:r>
      <w:r>
        <w:rPr>
          <w:rFonts w:hint="eastAsia" w:ascii="仿宋" w:hAnsi="仿宋" w:eastAsia="仿宋" w:cs="仿宋"/>
          <w:b/>
          <w:color w:val="auto"/>
          <w:kern w:val="2"/>
          <w:sz w:val="24"/>
          <w:szCs w:val="24"/>
          <w:highlight w:val="none"/>
        </w:rPr>
        <w:t>智慧场馆管理系统功能需求</w:t>
      </w:r>
    </w:p>
    <w:p>
      <w:pPr>
        <w:widowControl w:val="0"/>
        <w:spacing w:after="0" w:line="360" w:lineRule="auto"/>
        <w:jc w:val="left"/>
        <w:outlineLvl w:val="4"/>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3.1.1</w:t>
      </w:r>
      <w:r>
        <w:rPr>
          <w:rFonts w:hint="eastAsia" w:ascii="仿宋" w:hAnsi="仿宋" w:eastAsia="仿宋" w:cs="仿宋"/>
          <w:b/>
          <w:bCs/>
          <w:color w:val="auto"/>
          <w:kern w:val="2"/>
          <w:sz w:val="24"/>
          <w:szCs w:val="24"/>
          <w:highlight w:val="none"/>
        </w:rPr>
        <w:t>会员管理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会员体系为管理系统的基础，至少满足固定权益和浮动权益两种会员权益方式，以满足不同的会员维护需求。支持一个会员多个账户管理模式，并支持对会员账号进行管理层面的操作，主要包括：会员注册和卡类办理、充值、账户管理、操作记录与查询、会员维护。</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•记录会员账号的相关重要操作，包含账号创建、充值、消费扣款、过户、挂失、冻结、短信提醒等</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•支持为会员账号中的不同账户采用不同形式的充值方式</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3.1.2场地预定管理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对场地预定类（包括但不限于篮球、网球、羽毛球、乒乓球等，能满足其他场地的预定）项目进行管理，并记录所有预定订单信息。</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•可视化的界面呈现各体育项目的场地预定状态，可查看任意时间段内的场地预订情况和具体预订人的信息</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•支持对未使用/使用中/已使用的场地预定订单进行开场、退场、换场操作</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•对接入灯控的场地进行控制，随时随地控制灯光开关</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•支持选择场馆、项目、日期范围、预订频率、场次时间进行可预定场地的筛选后进行提前锁定操作</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•支持预订人、手机号、场馆、项目、场地名称、场次时间、预订时间、撤销时间、订单状态、来源等信息复合搜索订单数据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•详细记录包含预订人、场次时间、使用时间、撤销时间、订单状态、订单时间、场馆名称、场地名称、订单来源、备注、预订金额、入场码等信息</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•会员信息的查询与修改</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3.1.3票务管理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对游泳次票业务进行操作管理。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•根据业务需求，次票类型支持绑定手环或者不绑定手环</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•支持对移动应用系统售卖的次票进行消费核销并记录</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•支持根据会员、场馆、项目、次票、操作人、订单时间等条件复合筛选订单</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•记录订单的会员名、订单时间、订单号、项目、场馆、票名称、数量、金额、操作人等信息。</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3.1.4时间卡（年卡等）/次卡业务管理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对时间卡（年卡等）、次卡类产品进行售卖管理。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•输入会员信息，选择所需时间卡（年卡等）/次卡，支付后完成办理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•可根据需要对时间卡（年卡等）/次卡进行批量延期</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•记录时间卡（年卡等）/次卡的相关属性，如状态、办理日期、激活日期、到期时间、剩余时间/次数、核销记录等</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3.1.5数据统计分析</w:t>
      </w:r>
    </w:p>
    <w:p>
      <w:pPr>
        <w:widowControl w:val="0"/>
        <w:spacing w:after="0" w:line="360" w:lineRule="auto"/>
        <w:jc w:val="left"/>
        <w:outlineLvl w:val="5"/>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3.1.5.1运营数据可视化</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统计相关运营数据，需包含以下数据项并实现可视化呈现。</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•注册会员、实名会员数量；会员性别/年龄比例</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•近7日预订所有项目预订时长和预订率，各时段的预订率趋势</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•今日服务总人数、昨日服务总人数、近7日服务人数、累计服务人数、各馆近7日服务人次图、各馆近7日各时段平均服务人次</w:t>
      </w:r>
    </w:p>
    <w:p>
      <w:pPr>
        <w:widowControl w:val="0"/>
        <w:spacing w:after="0" w:line="360" w:lineRule="auto"/>
        <w:jc w:val="left"/>
        <w:outlineLvl w:val="5"/>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3.1.5.2运营数据报表</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从会员、运营、营收维度统计分析，需包含以下数据项并实现可视化呈现。</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•统计总注册人数、统计一段时间内注册人数新增的趋势图</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•统计总实名人数，统计一段时间内实名人数新增的趋势图</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•统计总人脸采集的人数，统计一段时间内人脸采集新增的趋势图</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•会员各级别人数统计</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•统计所有会员累计充值金额的分布，直观地展示会员的净值情况</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•统计所有会员的年龄分布和性别分布，为提供服务决策做参考</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•可统计某段时间内的累计充值排名</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•可统计某段时间内的馆内消费排名</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•根据闸机、客流统计摄像头等智能设备准确地统计实时统计今日运动人次</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•统计任意场馆、时间段内各个项目的预订小时数和占比，同时统计预订率的排名</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•统计任意场馆中的不同票、卡在任意时间段内的办理情况</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•统计场馆中的不同运动卡在任意时间段内的使用次数和占比</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•统计任意时间段内各个场馆、各个业务的营业收入和占比</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•统计任意时间段内在各个场馆的消费和占比</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•统计任意时间段场馆内各个业务的消费金额和占比</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3.1.6参数设置管理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•支持场馆基本信息、设施服务信息、图片信息和业务信息以及场馆地图位置信息设置。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•新增、编辑和删除员工账号，自定义账号功能权限</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•支持退订规则、放场时间的设置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•时间卡（年卡等）/次卡支持使用时段、有效期、激活时间、单次限时、当天限次、培训、定时上架等个性化设置，可设置年龄、体检时效、在线签约的办理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•次票支持使用时段、限时、折扣选择、定时上架等个性化设置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•支持协议创建和编辑，将场馆业务与协议关联，从而实现移动端不同业务关联匹配不同协议的需求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•场馆可发布文字公告，自定义展示时间</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3.1.7黑名单管理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•拉黑规则支持自定义用户在几天内，恶意退场或不开场次数达到几次就被拉黑；惩罚措施支持自定义用户在几天内延迟预订或禁止预订。</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•管理员可手动拉黑和解除拉黑</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3.1.8 财务统计管理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应具备业务统计、营业收入等财务核算、分类筛查及打印等管理功能，具有设置不同管理权限的功能。</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•用于收银统计和交账。可根据场馆、提交人、日期段查询，按支付方式和收入项呈现收入数据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•用于统计在场馆消费情况。可根据场馆、提交人、日期段来查询，按消费项和支付方式呈现消费数据</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•记录场馆微信和支付宝收入款项，用于支付宝和微信账单核对</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3.2移动应用系统</w:t>
      </w:r>
      <w:r>
        <w:rPr>
          <w:rFonts w:hint="eastAsia" w:ascii="仿宋" w:hAnsi="仿宋" w:eastAsia="仿宋" w:cs="仿宋"/>
          <w:b/>
          <w:color w:val="auto"/>
          <w:kern w:val="2"/>
          <w:sz w:val="24"/>
          <w:szCs w:val="24"/>
          <w:highlight w:val="none"/>
        </w:rPr>
        <w:t>功能需求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以微信小程序作为杭州市萧山区文化旅游体育发展服务中心对群众线上服务的窗口，完成所有的消费付款、查看个人信息等操作，需要满足以下功能要求： </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3.2.1场馆以及运动项目信息查询</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•支持查看场馆图片、名称、营业时间、项目、电话（可拨打）、公告等信息，场馆地址显示并可调用地图导航</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3.2.2会员卡充值</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•支持线上自助完成</w:t>
      </w:r>
      <w:r>
        <w:rPr>
          <w:rFonts w:hint="eastAsia" w:ascii="仿宋" w:hAnsi="仿宋" w:eastAsia="仿宋" w:cs="仿宋"/>
          <w:color w:val="auto"/>
          <w:kern w:val="2"/>
          <w:sz w:val="24"/>
          <w:szCs w:val="24"/>
          <w:highlight w:val="none"/>
          <w:lang w:val="en-US" w:eastAsia="zh-CN"/>
        </w:rPr>
        <w:t>会员</w:t>
      </w:r>
      <w:r>
        <w:rPr>
          <w:rFonts w:hint="eastAsia" w:ascii="仿宋" w:hAnsi="仿宋" w:eastAsia="仿宋" w:cs="仿宋"/>
          <w:color w:val="auto"/>
          <w:kern w:val="2"/>
          <w:sz w:val="24"/>
          <w:szCs w:val="24"/>
          <w:highlight w:val="none"/>
        </w:rPr>
        <w:t>卡充值，获取对应的会员等级和权益</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3.2.3场地预定</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•支持自助选择日期、场馆、项目和场次，可选择充值余额或者微信支付</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3.2.4线上购票</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•展示开放在线上售卖的次票，提供次票使用时间、限时、使用规则等信息，可选择余额、微信支付</w:t>
      </w:r>
      <w:r>
        <w:rPr>
          <w:rFonts w:hint="eastAsia" w:ascii="仿宋" w:hAnsi="仿宋" w:eastAsia="仿宋" w:cs="仿宋"/>
          <w:color w:val="auto"/>
          <w:kern w:val="2"/>
          <w:sz w:val="24"/>
          <w:szCs w:val="24"/>
          <w:highlight w:val="none"/>
          <w:lang w:eastAsia="zh-CN"/>
        </w:rPr>
        <w:t>。</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3.2.5线上购卡（时间卡/次卡）</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•线上办理时间卡（年卡等）/次卡支持储值卡余额支付、微信支付</w:t>
      </w:r>
      <w:r>
        <w:rPr>
          <w:rFonts w:hint="eastAsia" w:ascii="仿宋" w:hAnsi="仿宋" w:eastAsia="仿宋" w:cs="仿宋"/>
          <w:color w:val="auto"/>
          <w:kern w:val="2"/>
          <w:sz w:val="24"/>
          <w:szCs w:val="24"/>
          <w:highlight w:val="none"/>
          <w:lang w:eastAsia="zh-CN"/>
        </w:rPr>
        <w:t>。</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3.2.6线上实名认证</w:t>
      </w:r>
    </w:p>
    <w:p>
      <w:pPr>
        <w:widowControl w:val="0"/>
        <w:spacing w:after="0" w:line="360" w:lineRule="auto"/>
        <w:jc w:val="left"/>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•实现通过核验对比身份证，姓名和手机号三方信息完成线上实名认证</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3.2.7人脸上传</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•支持自助上传人脸照片</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3.2.8意见反馈</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•健身群众可在线反馈设施保修、场馆服务等意见。</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3.2.9 停车缴费</w:t>
      </w:r>
    </w:p>
    <w:p>
      <w:pPr>
        <w:widowControl w:val="0"/>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•小程序停车缴费、车位剩余展示、部分停车数据分析。</w:t>
      </w:r>
    </w:p>
    <w:p>
      <w:pPr>
        <w:widowControl w:val="0"/>
        <w:ind w:firstLine="480"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•对接停车系统，关联场馆业务，实现包含收费、车辆识别、车辆统计等功能。</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3.3 场馆大数据展示系统</w:t>
      </w:r>
      <w:r>
        <w:rPr>
          <w:rFonts w:hint="eastAsia" w:ascii="仿宋" w:hAnsi="仿宋" w:eastAsia="仿宋" w:cs="仿宋"/>
          <w:b/>
          <w:color w:val="auto"/>
          <w:kern w:val="2"/>
          <w:sz w:val="24"/>
          <w:szCs w:val="24"/>
          <w:highlight w:val="none"/>
        </w:rPr>
        <w:t>功能需求</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3.3.1场馆整体经营态势大屏</w:t>
      </w:r>
    </w:p>
    <w:p>
      <w:pPr>
        <w:widowControl w:val="0"/>
        <w:adjustRightInd w:val="0"/>
        <w:snapToGrid w:val="0"/>
        <w:spacing w:line="36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面向场馆管理者或行业监管者，动态地展示场馆运营情况，包含经营营收、健身人群、实时客流等数据整合分析。</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3.3.2 设备可视化管理平台</w:t>
      </w:r>
    </w:p>
    <w:p>
      <w:pPr>
        <w:widowControl w:val="0"/>
        <w:adjustRightInd w:val="0"/>
        <w:snapToGrid w:val="0"/>
        <w:spacing w:line="36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实现环境监测设备、智慧安防设备、智能出入口设备等物联网设施设备的可视化管理。即时查看设施设备运行、损坏等情况。</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3.4智能设备</w:t>
      </w:r>
      <w:r>
        <w:rPr>
          <w:rFonts w:hint="eastAsia" w:ascii="仿宋" w:hAnsi="仿宋" w:eastAsia="仿宋" w:cs="仿宋"/>
          <w:b/>
          <w:color w:val="auto"/>
          <w:kern w:val="2"/>
          <w:sz w:val="24"/>
          <w:szCs w:val="24"/>
          <w:highlight w:val="none"/>
        </w:rPr>
        <w:t>功能需求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完成“智慧场馆管理平台”与自助场地预定/超时补费机、灯光控制设备、</w:t>
      </w:r>
      <w:r>
        <w:rPr>
          <w:rFonts w:hint="eastAsia" w:cs="仿宋"/>
          <w:color w:val="auto"/>
          <w:kern w:val="2"/>
          <w:sz w:val="24"/>
          <w:szCs w:val="24"/>
          <w:highlight w:val="none"/>
          <w:lang w:eastAsia="zh-CN"/>
        </w:rPr>
        <w:t>智能储物柜</w:t>
      </w:r>
      <w:r>
        <w:rPr>
          <w:rFonts w:hint="eastAsia" w:ascii="仿宋" w:hAnsi="仿宋" w:eastAsia="仿宋" w:cs="仿宋"/>
          <w:color w:val="auto"/>
          <w:kern w:val="2"/>
          <w:sz w:val="24"/>
          <w:szCs w:val="24"/>
          <w:highlight w:val="none"/>
        </w:rPr>
        <w:t>、客流统计摄像头、自助购票手环一体机等智能设备的对接以及相关管理。</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3.4.1自助购票手环一体机</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用于游泳馆供泳客自助购买散票并自助领取手环，以及时间卡（年卡等）/次卡/</w:t>
      </w:r>
      <w:r>
        <w:rPr>
          <w:rFonts w:hint="eastAsia" w:ascii="仿宋" w:hAnsi="仿宋" w:eastAsia="仿宋" w:cs="仿宋"/>
          <w:color w:val="auto"/>
          <w:kern w:val="2"/>
          <w:sz w:val="24"/>
          <w:szCs w:val="24"/>
          <w:highlight w:val="none"/>
          <w:lang w:val="en-US" w:eastAsia="zh-CN"/>
        </w:rPr>
        <w:t>会员</w:t>
      </w:r>
      <w:r>
        <w:rPr>
          <w:rFonts w:hint="eastAsia" w:ascii="仿宋" w:hAnsi="仿宋" w:eastAsia="仿宋" w:cs="仿宋"/>
          <w:color w:val="auto"/>
          <w:kern w:val="2"/>
          <w:sz w:val="24"/>
          <w:szCs w:val="24"/>
          <w:highlight w:val="none"/>
        </w:rPr>
        <w:t>卡用户进行身份核验自助领取手环。自助手环发放状态具备监控功能，提醒剩余手环数量</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3.4.2自助场地预定机/超时补费机</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供羽毛球等球类项目客户现场完成自助场地预定、游泳超时补费等业务操作</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3.4.3</w:t>
      </w:r>
      <w:r>
        <w:rPr>
          <w:rFonts w:hint="eastAsia" w:cs="仿宋"/>
          <w:b/>
          <w:bCs/>
          <w:color w:val="auto"/>
          <w:kern w:val="2"/>
          <w:sz w:val="24"/>
          <w:szCs w:val="24"/>
          <w:highlight w:val="none"/>
          <w:lang w:val="en-US" w:eastAsia="zh-CN"/>
        </w:rPr>
        <w:t>智能储物柜</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用于游泳馆的智能型更衣柜，实现泳客自助选择任意更衣柜进行绑定，并可监控更衣柜状态。新增</w:t>
      </w:r>
      <w:r>
        <w:rPr>
          <w:rFonts w:hint="eastAsia" w:ascii="仿宋" w:hAnsi="仿宋" w:eastAsia="仿宋" w:cs="仿宋"/>
          <w:color w:val="auto"/>
          <w:kern w:val="2"/>
          <w:sz w:val="24"/>
          <w:szCs w:val="24"/>
          <w:highlight w:val="none"/>
          <w:lang w:val="en-US" w:eastAsia="zh-CN"/>
        </w:rPr>
        <w:t>1200</w:t>
      </w:r>
      <w:r>
        <w:rPr>
          <w:rFonts w:hint="eastAsia" w:ascii="仿宋" w:hAnsi="仿宋" w:eastAsia="仿宋" w:cs="仿宋"/>
          <w:color w:val="auto"/>
          <w:kern w:val="2"/>
          <w:sz w:val="24"/>
          <w:szCs w:val="24"/>
          <w:highlight w:val="none"/>
        </w:rPr>
        <w:t>门全新</w:t>
      </w:r>
      <w:r>
        <w:rPr>
          <w:rFonts w:hint="eastAsia" w:cs="仿宋"/>
          <w:color w:val="auto"/>
          <w:kern w:val="2"/>
          <w:sz w:val="24"/>
          <w:szCs w:val="24"/>
          <w:highlight w:val="none"/>
          <w:lang w:eastAsia="zh-CN"/>
        </w:rPr>
        <w:t>智能储物柜</w:t>
      </w:r>
      <w:r>
        <w:rPr>
          <w:rFonts w:hint="eastAsia" w:ascii="仿宋" w:hAnsi="仿宋" w:eastAsia="仿宋" w:cs="仿宋"/>
          <w:color w:val="auto"/>
          <w:kern w:val="2"/>
          <w:sz w:val="24"/>
          <w:szCs w:val="24"/>
          <w:highlight w:val="none"/>
        </w:rPr>
        <w:t>。配备电源以备断电时应急处理。</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3.4.4智能灯光控制设备</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实现与场地预定订单关联自动完成开关灯光，并支持人工操作开灯和设置开灯时长。</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3.4.5客流统计摄像头</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用于统计各运动场地的运动人次，采用人脸客流摄像头支持年龄、性别属性分析功能。实现场馆内各主入口运动人数统计，并在数据大屏实时展现。</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3.4.6一进一出闸机（含手环回收）</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安装于游泳馆，管理泳客进出，组合成两进两出四个通道，</w:t>
      </w:r>
      <w:r>
        <w:rPr>
          <w:rFonts w:hint="eastAsia" w:ascii="仿宋" w:hAnsi="仿宋" w:eastAsia="仿宋" w:cs="仿宋"/>
          <w:color w:val="auto"/>
          <w:kern w:val="2"/>
          <w:sz w:val="24"/>
          <w:szCs w:val="24"/>
          <w:highlight w:val="none"/>
          <w:lang w:val="en-US" w:eastAsia="zh-CN"/>
        </w:rPr>
        <w:t>实现归还手环后方可出闸。</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3.4.7机架式服务器</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用于本地运行智能衣柜管理系统</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3.4.8室内电子导览</w:t>
      </w:r>
      <w:r>
        <w:rPr>
          <w:rFonts w:hint="eastAsia" w:cs="仿宋"/>
          <w:b/>
          <w:bCs/>
          <w:color w:val="auto"/>
          <w:kern w:val="2"/>
          <w:sz w:val="24"/>
          <w:szCs w:val="24"/>
          <w:highlight w:val="none"/>
          <w:lang w:val="en-US" w:eastAsia="zh-CN"/>
        </w:rPr>
        <w:t>器</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安装于</w:t>
      </w:r>
      <w:r>
        <w:rPr>
          <w:rFonts w:hint="eastAsia" w:ascii="仿宋" w:hAnsi="仿宋" w:eastAsia="仿宋" w:cs="仿宋"/>
          <w:color w:val="auto"/>
          <w:kern w:val="2"/>
          <w:sz w:val="24"/>
          <w:szCs w:val="24"/>
          <w:highlight w:val="none"/>
          <w:lang w:val="en-US" w:eastAsia="zh-CN"/>
        </w:rPr>
        <w:t>综合健身馆一层服务大厅内</w:t>
      </w:r>
      <w:r>
        <w:rPr>
          <w:rFonts w:hint="eastAsia" w:ascii="仿宋" w:hAnsi="仿宋" w:eastAsia="仿宋" w:cs="仿宋"/>
          <w:color w:val="auto"/>
          <w:kern w:val="2"/>
          <w:sz w:val="24"/>
          <w:szCs w:val="24"/>
          <w:highlight w:val="none"/>
        </w:rPr>
        <w:t>，方便健身客户快捷查询中心场馆布局、培训及周边配置信息。</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3.4.9 空气监测仪</w:t>
      </w:r>
    </w:p>
    <w:p>
      <w:pPr>
        <w:widowControl w:val="0"/>
        <w:autoSpaceDE w:val="0"/>
        <w:autoSpaceDN w:val="0"/>
        <w:adjustRightInd w:val="0"/>
        <w:spacing w:after="120" w:afterLines="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安装于综合健身馆内，用于监测馆内空气质量，并于数据大屏实时展现</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3.5系统主要性能要求</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3.5.1 安全性能指标要求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）支持核心数据化信息存储加密，加密对数据访问透明；</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）支持数据化信息在网络传输中加密；</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）加、解密操作对性能影响不超过5％；</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）能够检测数据化信息在传输及存储中完整性遭到破坏；</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）采用统一认证中心，对用户数据权限进行统一校验管控。</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3.5.2可用性能指标要求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1）用户访问单页面响应时间应小于100毫秒，单页面完整打开时间小于3秒；</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2）系统支持峰值2000个并发用户，正常200个并发用户的性能要求；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3）单个管理用户登录后台页面的平均时间小于0.5秒，单项系统配置的平均时间小于1分钟；</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4）系统应做到7×24小时的系统在线，要求保证系统每月累计非计划停机小于2小时；</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3.5.3云服务器配置要求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实例规格：ecs.n1.xlarge（共享计算型）</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8 vCPU  16 GiB </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CPU：8核（处理器Intel Xeon E5-2682v4 / Intel Xeon(Skylake) Platinum 8163）</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带宽： 100M</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系统盘： SSD 40G</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数据盘：不低于 SSD 100G</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操作系统： Debian 9.13 64位</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3.5.4数据库类型要求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为了确保数据库的存取速度和读写性能，为大数据挖掘分析做准备，“体育中心多层级智慧场馆管理平台”数据库需采用关系型数据库与NoSQL非关系型数据库相结合的方式部署实施，例如Mysql、Redis、MongoDB或者HBase等，需提供数据库截图及部署承诺。</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3.5.</w:t>
      </w:r>
      <w:r>
        <w:rPr>
          <w:rFonts w:hint="eastAsia" w:cs="仿宋"/>
          <w:b/>
          <w:bCs/>
          <w:color w:val="auto"/>
          <w:kern w:val="2"/>
          <w:sz w:val="24"/>
          <w:szCs w:val="24"/>
          <w:highlight w:val="none"/>
          <w:lang w:val="en-US" w:eastAsia="zh-CN"/>
        </w:rPr>
        <w:t>5</w:t>
      </w:r>
      <w:r>
        <w:rPr>
          <w:rFonts w:hint="eastAsia" w:ascii="仿宋" w:hAnsi="仿宋" w:eastAsia="仿宋" w:cs="仿宋"/>
          <w:b/>
          <w:bCs/>
          <w:color w:val="auto"/>
          <w:kern w:val="2"/>
          <w:sz w:val="24"/>
          <w:szCs w:val="24"/>
          <w:highlight w:val="none"/>
          <w:lang w:val="en-US" w:eastAsia="zh-CN"/>
        </w:rPr>
        <w:t xml:space="preserve"> “浙里办”体育公共服务平台对接</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智慧场馆管理平台需实现对接“浙里办”中的体育公共服务平台，用户可通过体育公共服务平台预定</w:t>
      </w:r>
      <w:r>
        <w:rPr>
          <w:rFonts w:hint="eastAsia" w:ascii="仿宋" w:hAnsi="仿宋" w:eastAsia="仿宋" w:cs="仿宋"/>
          <w:color w:val="auto"/>
          <w:kern w:val="2"/>
          <w:sz w:val="24"/>
          <w:szCs w:val="24"/>
          <w:highlight w:val="none"/>
          <w:lang w:val="en-US" w:eastAsia="zh-CN"/>
        </w:rPr>
        <w:t>发展服务</w:t>
      </w:r>
      <w:r>
        <w:rPr>
          <w:rFonts w:hint="eastAsia" w:ascii="仿宋" w:hAnsi="仿宋" w:eastAsia="仿宋" w:cs="仿宋"/>
          <w:color w:val="auto"/>
          <w:kern w:val="2"/>
          <w:sz w:val="24"/>
          <w:szCs w:val="24"/>
          <w:highlight w:val="none"/>
        </w:rPr>
        <w:t>中心的运动场地</w:t>
      </w:r>
      <w:r>
        <w:rPr>
          <w:rFonts w:hint="eastAsia" w:ascii="仿宋" w:hAnsi="仿宋" w:eastAsia="仿宋" w:cs="仿宋"/>
          <w:color w:val="auto"/>
          <w:kern w:val="2"/>
          <w:sz w:val="24"/>
          <w:szCs w:val="24"/>
          <w:highlight w:val="none"/>
          <w:lang w:val="en-US" w:eastAsia="zh-CN"/>
        </w:rPr>
        <w:t>进行预定、</w:t>
      </w:r>
      <w:r>
        <w:rPr>
          <w:rFonts w:hint="eastAsia" w:ascii="仿宋" w:hAnsi="仿宋" w:eastAsia="仿宋" w:cs="仿宋"/>
          <w:color w:val="auto"/>
          <w:kern w:val="2"/>
          <w:sz w:val="24"/>
          <w:szCs w:val="24"/>
          <w:highlight w:val="none"/>
        </w:rPr>
        <w:t>购票，需提供部署承诺书。</w:t>
      </w:r>
    </w:p>
    <w:p>
      <w:pPr>
        <w:widowControl w:val="0"/>
        <w:spacing w:after="0" w:line="360" w:lineRule="auto"/>
        <w:jc w:val="left"/>
        <w:outlineLvl w:val="4"/>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3.5.</w:t>
      </w:r>
      <w:r>
        <w:rPr>
          <w:rFonts w:hint="eastAsia" w:cs="仿宋"/>
          <w:b/>
          <w:bCs/>
          <w:color w:val="auto"/>
          <w:kern w:val="2"/>
          <w:sz w:val="24"/>
          <w:szCs w:val="24"/>
          <w:highlight w:val="none"/>
          <w:lang w:val="en-US" w:eastAsia="zh-CN"/>
        </w:rPr>
        <w:t>6</w:t>
      </w:r>
      <w:r>
        <w:rPr>
          <w:rFonts w:hint="eastAsia" w:ascii="仿宋" w:hAnsi="仿宋" w:eastAsia="仿宋" w:cs="仿宋"/>
          <w:b/>
          <w:bCs/>
          <w:color w:val="auto"/>
          <w:kern w:val="2"/>
          <w:sz w:val="24"/>
          <w:szCs w:val="24"/>
          <w:highlight w:val="none"/>
          <w:lang w:val="en-US" w:eastAsia="zh-CN"/>
        </w:rPr>
        <w:t>“亚运在线”系统对接</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智慧场馆管理平台需实现对接“</w:t>
      </w:r>
      <w:r>
        <w:rPr>
          <w:rFonts w:hint="eastAsia" w:ascii="仿宋" w:hAnsi="仿宋" w:eastAsia="仿宋" w:cs="仿宋"/>
          <w:color w:val="auto"/>
          <w:kern w:val="2"/>
          <w:sz w:val="24"/>
          <w:szCs w:val="24"/>
          <w:highlight w:val="none"/>
          <w:lang w:val="en-US" w:eastAsia="zh-CN"/>
        </w:rPr>
        <w:t>亚运在线</w:t>
      </w:r>
      <w:r>
        <w:rPr>
          <w:rFonts w:hint="eastAsia" w:ascii="仿宋" w:hAnsi="仿宋" w:eastAsia="仿宋" w:cs="仿宋"/>
          <w:color w:val="auto"/>
          <w:kern w:val="2"/>
          <w:sz w:val="24"/>
          <w:szCs w:val="24"/>
          <w:highlight w:val="none"/>
        </w:rPr>
        <w:t>”中的体育公共服务平台，用户可通过体育公共服务平台预定</w:t>
      </w:r>
      <w:r>
        <w:rPr>
          <w:rFonts w:hint="eastAsia" w:ascii="仿宋" w:hAnsi="仿宋" w:eastAsia="仿宋" w:cs="仿宋"/>
          <w:color w:val="auto"/>
          <w:kern w:val="2"/>
          <w:sz w:val="24"/>
          <w:szCs w:val="24"/>
          <w:highlight w:val="none"/>
          <w:lang w:val="en-US" w:eastAsia="zh-CN"/>
        </w:rPr>
        <w:t>发展服务</w:t>
      </w:r>
      <w:r>
        <w:rPr>
          <w:rFonts w:hint="eastAsia" w:ascii="仿宋" w:hAnsi="仿宋" w:eastAsia="仿宋" w:cs="仿宋"/>
          <w:color w:val="auto"/>
          <w:kern w:val="2"/>
          <w:sz w:val="24"/>
          <w:szCs w:val="24"/>
          <w:highlight w:val="none"/>
        </w:rPr>
        <w:t>中心的运动场地</w:t>
      </w:r>
      <w:r>
        <w:rPr>
          <w:rFonts w:hint="eastAsia" w:ascii="仿宋" w:hAnsi="仿宋" w:eastAsia="仿宋" w:cs="仿宋"/>
          <w:color w:val="auto"/>
          <w:kern w:val="2"/>
          <w:sz w:val="24"/>
          <w:szCs w:val="24"/>
          <w:highlight w:val="none"/>
          <w:lang w:val="en-US" w:eastAsia="zh-CN"/>
        </w:rPr>
        <w:t>进行预定、</w:t>
      </w:r>
      <w:r>
        <w:rPr>
          <w:rFonts w:hint="eastAsia" w:ascii="仿宋" w:hAnsi="仿宋" w:eastAsia="仿宋" w:cs="仿宋"/>
          <w:color w:val="auto"/>
          <w:kern w:val="2"/>
          <w:sz w:val="24"/>
          <w:szCs w:val="24"/>
          <w:highlight w:val="none"/>
        </w:rPr>
        <w:t>购票，需提供部署承诺书。</w:t>
      </w:r>
    </w:p>
    <w:p>
      <w:pPr>
        <w:widowControl w:val="0"/>
        <w:spacing w:after="0" w:line="360" w:lineRule="auto"/>
        <w:jc w:val="left"/>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▲3.5.</w:t>
      </w:r>
      <w:r>
        <w:rPr>
          <w:rFonts w:hint="eastAsia" w:cs="仿宋"/>
          <w:b/>
          <w:bCs/>
          <w:color w:val="auto"/>
          <w:kern w:val="2"/>
          <w:sz w:val="24"/>
          <w:szCs w:val="24"/>
          <w:highlight w:val="none"/>
          <w:lang w:val="en-US" w:eastAsia="zh-CN"/>
        </w:rPr>
        <w:t>7</w:t>
      </w:r>
      <w:r>
        <w:rPr>
          <w:rFonts w:hint="eastAsia" w:ascii="仿宋" w:hAnsi="仿宋" w:eastAsia="仿宋" w:cs="仿宋"/>
          <w:b/>
          <w:bCs/>
          <w:color w:val="auto"/>
          <w:kern w:val="2"/>
          <w:sz w:val="24"/>
          <w:szCs w:val="24"/>
          <w:highlight w:val="none"/>
          <w:lang w:val="en-US" w:eastAsia="zh-CN"/>
        </w:rPr>
        <w:t xml:space="preserve"> 其他要求</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1）中标方需配合场馆方申请微信商户号</w:t>
      </w:r>
    </w:p>
    <w:p>
      <w:pPr>
        <w:widowControl w:val="0"/>
        <w:spacing w:after="0"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2）中标方需实现线上预约的全部费用全额到财政专户</w:t>
      </w:r>
    </w:p>
    <w:p>
      <w:pPr>
        <w:widowControl w:val="0"/>
        <w:autoSpaceDE w:val="0"/>
        <w:autoSpaceDN w:val="0"/>
        <w:adjustRightInd w:val="0"/>
        <w:spacing w:after="120" w:afterLines="0"/>
        <w:ind w:left="0" w:leftChars="0"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以上内容需投标方提供承诺书</w:t>
      </w:r>
    </w:p>
    <w:p>
      <w:pPr>
        <w:widowControl w:val="0"/>
        <w:autoSpaceDE w:val="0"/>
        <w:autoSpaceDN w:val="0"/>
        <w:adjustRightInd w:val="0"/>
        <w:spacing w:after="120" w:afterLines="0"/>
        <w:jc w:val="left"/>
        <w:rPr>
          <w:rFonts w:hint="eastAsia" w:ascii="仿宋" w:hAnsi="仿宋" w:eastAsia="仿宋" w:cs="仿宋"/>
          <w:color w:val="auto"/>
          <w:kern w:val="0"/>
          <w:sz w:val="24"/>
          <w:szCs w:val="24"/>
          <w:highlight w:val="none"/>
          <w:lang w:val="en-US" w:eastAsia="zh-CN" w:bidi="ar-SA"/>
        </w:rPr>
      </w:pPr>
    </w:p>
    <w:p>
      <w:pPr>
        <w:widowControl w:val="0"/>
        <w:autoSpaceDE w:val="0"/>
        <w:autoSpaceDN w:val="0"/>
        <w:adjustRightInd w:val="0"/>
        <w:spacing w:after="120" w:afterLines="0"/>
        <w:ind w:firstLine="0" w:firstLineChars="0"/>
        <w:jc w:val="left"/>
        <w:outlineLvl w:val="1"/>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b/>
          <w:color w:val="auto"/>
          <w:kern w:val="0"/>
          <w:sz w:val="24"/>
          <w:szCs w:val="24"/>
          <w:highlight w:val="none"/>
          <w:lang w:val="en-US" w:eastAsia="zh-CN" w:bidi="ar-SA"/>
        </w:rPr>
        <w:t>项目采购清单</w:t>
      </w:r>
    </w:p>
    <w:p>
      <w:pPr>
        <w:widowControl w:val="0"/>
        <w:autoSpaceDE w:val="0"/>
        <w:autoSpaceDN w:val="0"/>
        <w:adjustRightInd w:val="0"/>
        <w:spacing w:after="120" w:afterLines="0"/>
        <w:ind w:firstLine="241" w:firstLineChars="100"/>
        <w:jc w:val="left"/>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 软件系统</w:t>
      </w:r>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18"/>
        <w:gridCol w:w="1417"/>
        <w:gridCol w:w="4253"/>
        <w:gridCol w:w="85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418"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141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功能名称</w:t>
            </w:r>
          </w:p>
        </w:tc>
        <w:tc>
          <w:tcPr>
            <w:tcW w:w="425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技术规格</w:t>
            </w:r>
          </w:p>
        </w:tc>
        <w:tc>
          <w:tcPr>
            <w:tcW w:w="85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w:t>
            </w:r>
          </w:p>
        </w:tc>
        <w:tc>
          <w:tcPr>
            <w:tcW w:w="84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418" w:type="dxa"/>
            <w:vMerge w:val="restart"/>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智慧场馆</w:t>
            </w:r>
            <w:r>
              <w:rPr>
                <w:rFonts w:hint="eastAsia" w:ascii="仿宋" w:hAnsi="仿宋" w:eastAsia="仿宋" w:cs="仿宋"/>
                <w:color w:val="auto"/>
                <w:kern w:val="2"/>
                <w:sz w:val="24"/>
                <w:szCs w:val="24"/>
                <w:highlight w:val="none"/>
                <w:lang w:val="en-US" w:eastAsia="zh-CN"/>
              </w:rPr>
              <w:t>建设</w:t>
            </w:r>
            <w:r>
              <w:rPr>
                <w:rFonts w:hint="eastAsia" w:ascii="仿宋" w:hAnsi="仿宋" w:eastAsia="仿宋" w:cs="仿宋"/>
                <w:color w:val="auto"/>
                <w:kern w:val="2"/>
                <w:sz w:val="24"/>
                <w:szCs w:val="24"/>
                <w:highlight w:val="none"/>
              </w:rPr>
              <w:t>平台</w:t>
            </w:r>
          </w:p>
        </w:tc>
        <w:tc>
          <w:tcPr>
            <w:tcW w:w="141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智慧场馆管理系统</w:t>
            </w:r>
          </w:p>
        </w:tc>
        <w:tc>
          <w:tcPr>
            <w:tcW w:w="425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详</w:t>
            </w:r>
            <w:r>
              <w:rPr>
                <w:rFonts w:hint="eastAsia" w:ascii="仿宋" w:hAnsi="仿宋" w:eastAsia="仿宋" w:cs="仿宋"/>
                <w:color w:val="auto"/>
                <w:kern w:val="2"/>
                <w:sz w:val="24"/>
                <w:szCs w:val="24"/>
                <w:highlight w:val="none"/>
                <w:lang w:val="en-US" w:eastAsia="zh-CN"/>
              </w:rPr>
              <w:t>见</w:t>
            </w:r>
            <w:r>
              <w:rPr>
                <w:rFonts w:hint="eastAsia" w:ascii="仿宋" w:hAnsi="仿宋" w:eastAsia="仿宋" w:cs="仿宋"/>
                <w:color w:val="auto"/>
                <w:kern w:val="2"/>
                <w:sz w:val="24"/>
                <w:szCs w:val="24"/>
                <w:highlight w:val="none"/>
              </w:rPr>
              <w:t>智慧场馆管理系统功能需求</w:t>
            </w:r>
          </w:p>
        </w:tc>
        <w:tc>
          <w:tcPr>
            <w:tcW w:w="85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套</w:t>
            </w:r>
          </w:p>
        </w:tc>
        <w:tc>
          <w:tcPr>
            <w:tcW w:w="84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p>
        </w:tc>
        <w:tc>
          <w:tcPr>
            <w:tcW w:w="1418" w:type="dxa"/>
            <w:vMerge w:val="continue"/>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p>
        </w:tc>
        <w:tc>
          <w:tcPr>
            <w:tcW w:w="141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移动应用</w:t>
            </w:r>
          </w:p>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系统</w:t>
            </w:r>
          </w:p>
        </w:tc>
        <w:tc>
          <w:tcPr>
            <w:tcW w:w="425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详见移动应用系统功能需求</w:t>
            </w:r>
          </w:p>
        </w:tc>
        <w:tc>
          <w:tcPr>
            <w:tcW w:w="85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套</w:t>
            </w:r>
          </w:p>
        </w:tc>
        <w:tc>
          <w:tcPr>
            <w:tcW w:w="84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p>
        </w:tc>
        <w:tc>
          <w:tcPr>
            <w:tcW w:w="1418" w:type="dxa"/>
            <w:vMerge w:val="continue"/>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p>
        </w:tc>
        <w:tc>
          <w:tcPr>
            <w:tcW w:w="141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场馆大数据展示系统</w:t>
            </w:r>
          </w:p>
        </w:tc>
        <w:tc>
          <w:tcPr>
            <w:tcW w:w="425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详见</w:t>
            </w:r>
            <w:r>
              <w:rPr>
                <w:rFonts w:hint="eastAsia" w:ascii="仿宋" w:hAnsi="仿宋" w:eastAsia="仿宋" w:cs="仿宋"/>
                <w:color w:val="auto"/>
                <w:kern w:val="2"/>
                <w:sz w:val="24"/>
                <w:szCs w:val="24"/>
                <w:highlight w:val="none"/>
                <w:lang w:val="en-US" w:eastAsia="zh-CN"/>
              </w:rPr>
              <w:t>场馆大数据展示系统功能</w:t>
            </w:r>
            <w:r>
              <w:rPr>
                <w:rFonts w:hint="eastAsia" w:ascii="仿宋" w:hAnsi="仿宋" w:eastAsia="仿宋" w:cs="仿宋"/>
                <w:color w:val="auto"/>
                <w:kern w:val="2"/>
                <w:sz w:val="24"/>
                <w:szCs w:val="24"/>
                <w:highlight w:val="none"/>
              </w:rPr>
              <w:t>要求</w:t>
            </w:r>
          </w:p>
        </w:tc>
        <w:tc>
          <w:tcPr>
            <w:tcW w:w="85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套</w:t>
            </w:r>
          </w:p>
        </w:tc>
        <w:tc>
          <w:tcPr>
            <w:tcW w:w="843"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1</w:t>
            </w:r>
          </w:p>
        </w:tc>
      </w:tr>
    </w:tbl>
    <w:p>
      <w:pPr>
        <w:widowControl w:val="0"/>
        <w:autoSpaceDE w:val="0"/>
        <w:autoSpaceDN w:val="0"/>
        <w:adjustRightInd w:val="0"/>
        <w:spacing w:after="120" w:afterLines="0"/>
        <w:jc w:val="left"/>
        <w:rPr>
          <w:rFonts w:hint="eastAsia" w:ascii="仿宋" w:hAnsi="仿宋" w:eastAsia="仿宋" w:cs="仿宋"/>
          <w:color w:val="auto"/>
          <w:kern w:val="0"/>
          <w:sz w:val="24"/>
          <w:szCs w:val="24"/>
          <w:highlight w:val="none"/>
          <w:lang w:val="en-US" w:eastAsia="zh-CN" w:bidi="ar-SA"/>
        </w:rPr>
      </w:pPr>
    </w:p>
    <w:p>
      <w:pPr>
        <w:widowControl w:val="0"/>
        <w:autoSpaceDE w:val="0"/>
        <w:autoSpaceDN w:val="0"/>
        <w:adjustRightInd w:val="0"/>
        <w:spacing w:after="120" w:afterLines="0"/>
        <w:ind w:firstLine="241" w:firstLineChars="100"/>
        <w:jc w:val="left"/>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 智能硬件设备</w:t>
      </w:r>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178"/>
        <w:gridCol w:w="5136"/>
        <w:gridCol w:w="70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bookmarkStart w:id="3" w:name="_Toc643610534"/>
            <w:r>
              <w:rPr>
                <w:rFonts w:hint="eastAsia" w:ascii="仿宋" w:hAnsi="仿宋" w:eastAsia="仿宋" w:cs="仿宋"/>
                <w:color w:val="auto"/>
                <w:kern w:val="2"/>
                <w:sz w:val="24"/>
                <w:szCs w:val="24"/>
                <w:highlight w:val="none"/>
              </w:rPr>
              <w:t>序号</w:t>
            </w:r>
          </w:p>
        </w:tc>
        <w:tc>
          <w:tcPr>
            <w:tcW w:w="2178"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设备</w:t>
            </w:r>
            <w:r>
              <w:rPr>
                <w:rFonts w:hint="eastAsia" w:ascii="仿宋" w:hAnsi="仿宋" w:eastAsia="仿宋" w:cs="仿宋"/>
                <w:color w:val="auto"/>
                <w:kern w:val="2"/>
                <w:sz w:val="24"/>
                <w:szCs w:val="24"/>
                <w:highlight w:val="none"/>
              </w:rPr>
              <w:t>名称</w:t>
            </w:r>
          </w:p>
        </w:tc>
        <w:tc>
          <w:tcPr>
            <w:tcW w:w="5136"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规格参数</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1</w:t>
            </w:r>
          </w:p>
        </w:tc>
        <w:tc>
          <w:tcPr>
            <w:tcW w:w="2178" w:type="dxa"/>
            <w:noWrap w:val="0"/>
            <w:vAlign w:val="center"/>
          </w:tcPr>
          <w:p>
            <w:pPr>
              <w:widowControl w:val="0"/>
              <w:spacing w:after="0"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kern w:val="2"/>
                <w:sz w:val="24"/>
                <w:szCs w:val="24"/>
                <w:highlight w:val="none"/>
                <w:lang w:val="en-US" w:eastAsia="zh-CN"/>
              </w:rPr>
              <w:t>自助场地预定机/超时补费机</w:t>
            </w:r>
          </w:p>
        </w:tc>
        <w:tc>
          <w:tcPr>
            <w:tcW w:w="5136" w:type="dxa"/>
            <w:noWrap w:val="0"/>
            <w:vAlign w:val="center"/>
          </w:tcPr>
          <w:p>
            <w:pPr>
              <w:widowControl w:val="0"/>
              <w:spacing w:after="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主要功能</w:t>
            </w:r>
            <w:r>
              <w:rPr>
                <w:rFonts w:hint="eastAsia" w:ascii="仿宋" w:hAnsi="仿宋" w:eastAsia="仿宋" w:cs="仿宋"/>
                <w:color w:val="auto"/>
                <w:kern w:val="2"/>
                <w:sz w:val="24"/>
                <w:szCs w:val="24"/>
                <w:highlight w:val="none"/>
                <w:lang w:val="zh-CN"/>
              </w:rPr>
              <w:t>：包含设备主机、读卡器、二维码扫描器、小票打印机、人脸识别模块。可用于</w:t>
            </w:r>
            <w:r>
              <w:rPr>
                <w:rFonts w:hint="eastAsia" w:ascii="仿宋" w:hAnsi="仿宋" w:eastAsia="仿宋" w:cs="仿宋"/>
                <w:color w:val="auto"/>
                <w:kern w:val="2"/>
                <w:sz w:val="24"/>
                <w:szCs w:val="24"/>
                <w:highlight w:val="none"/>
                <w:lang w:val="en-US" w:eastAsia="zh-CN"/>
              </w:rPr>
              <w:t>游泳馆超时需补费泳客补交超时费</w:t>
            </w:r>
            <w:r>
              <w:rPr>
                <w:rFonts w:hint="eastAsia" w:ascii="仿宋" w:hAnsi="仿宋" w:eastAsia="仿宋" w:cs="仿宋"/>
                <w:color w:val="auto"/>
                <w:kern w:val="0"/>
                <w:sz w:val="24"/>
                <w:szCs w:val="24"/>
                <w:highlight w:val="none"/>
                <w:lang w:val="en-US" w:eastAsia="zh-CN"/>
              </w:rPr>
              <w:t>及羽毛球项目自助开场</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参数要求：</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en-US" w:eastAsia="zh-CN"/>
              </w:rPr>
              <w:t>不小于</w:t>
            </w:r>
            <w:r>
              <w:rPr>
                <w:rFonts w:hint="eastAsia" w:ascii="仿宋" w:hAnsi="仿宋" w:eastAsia="仿宋" w:cs="仿宋"/>
                <w:color w:val="auto"/>
                <w:kern w:val="2"/>
                <w:sz w:val="24"/>
                <w:szCs w:val="24"/>
                <w:highlight w:val="none"/>
                <w:lang w:val="zh-CN"/>
              </w:rPr>
              <w:t>23寸BOE液晶显示屏</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显 示 面 积 ：</w:t>
            </w:r>
            <w:r>
              <w:rPr>
                <w:rFonts w:hint="eastAsia" w:ascii="仿宋" w:hAnsi="仿宋" w:eastAsia="仿宋" w:cs="仿宋"/>
                <w:color w:val="auto"/>
                <w:kern w:val="2"/>
                <w:sz w:val="24"/>
                <w:szCs w:val="24"/>
                <w:highlight w:val="none"/>
                <w:lang w:val="en-US" w:eastAsia="zh-CN"/>
              </w:rPr>
              <w:t>不小于</w:t>
            </w:r>
            <w:r>
              <w:rPr>
                <w:rFonts w:hint="eastAsia" w:ascii="仿宋" w:hAnsi="仿宋" w:eastAsia="仿宋" w:cs="仿宋"/>
                <w:color w:val="auto"/>
                <w:kern w:val="2"/>
                <w:sz w:val="24"/>
                <w:szCs w:val="24"/>
                <w:highlight w:val="none"/>
                <w:lang w:val="zh-CN"/>
              </w:rPr>
              <w:t xml:space="preserve">527.04 × 296.46 mm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屏幕分辨率 ：</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zh-CN"/>
              </w:rPr>
              <w:t xml:space="preserve">1920*1080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xml:space="preserve">可视角度 ：全视角 89/89/89/89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亮度：</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25</w:t>
            </w:r>
            <w:r>
              <w:rPr>
                <w:rFonts w:hint="eastAsia" w:ascii="仿宋" w:hAnsi="仿宋" w:eastAsia="仿宋" w:cs="仿宋"/>
                <w:color w:val="auto"/>
                <w:kern w:val="2"/>
                <w:sz w:val="24"/>
                <w:szCs w:val="24"/>
                <w:highlight w:val="none"/>
                <w:lang w:val="zh-CN"/>
              </w:rPr>
              <w:t xml:space="preserve">0cd/㎡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色 彩 ：</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zh-CN"/>
              </w:rPr>
              <w:t xml:space="preserve">16.7m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对比度 ：</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zh-CN"/>
              </w:rPr>
              <w:t xml:space="preserve">1000:1   </w:t>
            </w:r>
          </w:p>
          <w:p>
            <w:pPr>
              <w:widowControl w:val="0"/>
              <w:spacing w:after="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xml:space="preserve">钢化玻璃防刮玻璃材质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4.35+0.3(Cover3mm&amp;SCA0.25mm&amp;Sensor1.1mm);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分辨率</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 25ppi (Min.)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玻璃穿透率</w:t>
            </w: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zh-CN"/>
              </w:rPr>
              <w:t>大于</w:t>
            </w:r>
            <w:r>
              <w:rPr>
                <w:rFonts w:hint="eastAsia" w:ascii="仿宋" w:hAnsi="仿宋" w:eastAsia="仿宋" w:cs="仿宋"/>
                <w:color w:val="auto"/>
                <w:kern w:val="2"/>
                <w:sz w:val="24"/>
                <w:szCs w:val="24"/>
                <w:highlight w:val="none"/>
              </w:rPr>
              <w:t xml:space="preserve"> 85 %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玻璃雾度值</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3% (Maximum)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处理器：</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I3</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内存：</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4G</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硬盘：</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64G固态</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80热勉打印机： 带自动切纸功能，80mm纸，打印速度：最高170mm/s</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嵌入式二维扫描器:一维条码1-D:Code 128, EAN-13, EAN-8, Code 39, UPC-A, UPC-E, Codabar, Interleaved 2 of 5, ITF-6, ITF-14, ISBN, Code 93, UCC/EAN-128,GS1 Databar, Matrix 2 of 5, Code 11, Industrial 2 of 5, Standard 2 of 5,Plessey, MSI-Plessey 等所有常见一维码</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二维条码2-D:汉信码， PDF417, MicroPDF417, Data Matrix, Maxicode, QR code, Micro QR, Aztec， GM码等所有常见二维码,条码精度Minimum Resolution：≥5 mil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摄像头传感器：1/2.7 iNCH CMOS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像元尺寸：3.0*3.0，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最大分辨率 ：</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1920*1080V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角度：100度无畸变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红外灯：850红外波段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速度： </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0.1S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白平衡：自动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对焦方式：手动调焦、定焦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输出：USB2.0         </w:t>
            </w:r>
          </w:p>
          <w:p>
            <w:pPr>
              <w:widowControl w:val="0"/>
              <w:spacing w:after="0" w:line="30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视频格式：MJPEG\YUY2    </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2</w:t>
            </w:r>
          </w:p>
        </w:tc>
        <w:tc>
          <w:tcPr>
            <w:tcW w:w="2178" w:type="dxa"/>
            <w:noWrap w:val="0"/>
            <w:vAlign w:val="center"/>
          </w:tcPr>
          <w:p>
            <w:pPr>
              <w:widowControl/>
              <w:spacing w:after="0"/>
              <w:jc w:val="left"/>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自助购票手环一体机</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主要功能：供泳客自助购散票并自助领取手环，以及年卡/次卡/储值卡用户进行身份核验自助领取手环。</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参数要求：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机身材质：304 不锈钢+烤漆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供电方式：AC220V-DC12V/5A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手环容量：≥100 个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发手环速度：不慢于2s-10s/个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还手环速度：不慢于 2s/个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人机操作方式：工业触摸平板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显示屏：350 亮度 8 寸 IPS 全视角显示屏，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分辨率：≥1280*800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CPU：≥4 核处理器，主频 1.8GHz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内置语音：有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是否支持二维码验证：支持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摄像头个数：≥2 个（配合软件可实现人脸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验证）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通讯方式：RJ45、WIFI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工作环境：温度：0℃~+45℃，湿度(RH)：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20%~80%</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3</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硅胶手环</w:t>
            </w:r>
          </w:p>
        </w:tc>
        <w:tc>
          <w:tcPr>
            <w:tcW w:w="5136" w:type="dxa"/>
            <w:noWrap w:val="0"/>
            <w:vAlign w:val="center"/>
          </w:tcPr>
          <w:p>
            <w:pPr>
              <w:widowControl w:val="0"/>
              <w:spacing w:after="0" w:line="30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u w:val="none"/>
                <w:lang w:bidi="ar"/>
              </w:rPr>
              <w:t>内含芯片，手环上可按照要求印刷品牌名及LOGO。</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条</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4</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空气监测仪</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主要功能</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用于监测场地内的实时空气质量</w:t>
            </w:r>
          </w:p>
          <w:p>
            <w:pPr>
              <w:widowControl/>
              <w:spacing w:after="0"/>
              <w:jc w:val="left"/>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材质 - PC (聚碳酸酯)</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颜色 - 白色</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尺寸 - 153*153*36mm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重量 - 420g-650g</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认证 - CE、RESET、FCC</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工作温度 - 0 - 45 °C</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工作湿度 - 20 - 85 % （非凝露）</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工作电流 - 200 Ma</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5</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客流统计摄像头</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主要功能：统计</w:t>
            </w:r>
            <w:r>
              <w:rPr>
                <w:rFonts w:hint="eastAsia" w:ascii="仿宋" w:hAnsi="仿宋" w:eastAsia="仿宋" w:cs="仿宋"/>
                <w:color w:val="auto"/>
                <w:kern w:val="2"/>
                <w:sz w:val="24"/>
                <w:szCs w:val="24"/>
                <w:highlight w:val="none"/>
                <w:lang w:val="en-US" w:eastAsia="zh-CN"/>
              </w:rPr>
              <w:t>羽毛球场、</w:t>
            </w:r>
            <w:r>
              <w:rPr>
                <w:rFonts w:hint="eastAsia" w:ascii="仿宋" w:hAnsi="仿宋" w:eastAsia="仿宋" w:cs="仿宋"/>
                <w:color w:val="auto"/>
                <w:kern w:val="2"/>
                <w:sz w:val="24"/>
                <w:szCs w:val="24"/>
                <w:highlight w:val="none"/>
                <w:lang w:val="zh-CN"/>
              </w:rPr>
              <w:t>游泳馆、</w:t>
            </w:r>
            <w:r>
              <w:rPr>
                <w:rFonts w:hint="eastAsia" w:ascii="仿宋" w:hAnsi="仿宋" w:eastAsia="仿宋" w:cs="仿宋"/>
                <w:color w:val="auto"/>
                <w:kern w:val="2"/>
                <w:sz w:val="24"/>
                <w:szCs w:val="24"/>
                <w:highlight w:val="none"/>
                <w:lang w:val="en-US" w:eastAsia="zh-CN"/>
              </w:rPr>
              <w:t>等</w:t>
            </w:r>
            <w:r>
              <w:rPr>
                <w:rFonts w:hint="eastAsia" w:ascii="仿宋" w:hAnsi="仿宋" w:eastAsia="仿宋" w:cs="仿宋"/>
                <w:color w:val="auto"/>
                <w:kern w:val="2"/>
                <w:sz w:val="24"/>
                <w:szCs w:val="24"/>
                <w:highlight w:val="none"/>
                <w:lang w:val="zh-CN"/>
              </w:rPr>
              <w:t>场地的</w:t>
            </w:r>
            <w:r>
              <w:rPr>
                <w:rFonts w:hint="eastAsia" w:ascii="仿宋" w:hAnsi="仿宋" w:eastAsia="仿宋" w:cs="仿宋"/>
                <w:color w:val="auto"/>
                <w:kern w:val="2"/>
                <w:sz w:val="24"/>
                <w:szCs w:val="24"/>
                <w:highlight w:val="none"/>
              </w:rPr>
              <w:t>客流数据，并支持分析年龄、性别。</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具有400万像素 CMOS传感器。</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具有不小于1/1.8”靶面尺寸。</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内置GPU芯片。</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最低照度彩色不大于0.0002 lx，黑白不大于0.0001 lx。</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自带白光补光灯，补光距离不小于60米。</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白光补光灯支持远程开启和关闭，并可分别调节远光灯和近光灯的亮度。</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设备水平中心分辨力不小于1500TVL。</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支持H.264、H.265、MJPEG视频编码格式，且具有High Profile编码能力。</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需支持四码流技术，主码流分辨率不小于2560x1440@25fps，子码流不小于704x576@25fps，第三码流不小于1920x1080@25fps，第四码流不小于704x576@25fps。</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支持亮度异常、清晰度异常、花屏、雪花、偏色、画面冻结、增益失衡、画面抖动、条纹干扰、信号丢失、视频遮挡、光晕、紫边等故障报警功能。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同一静止场景相同图像质量下，设备在H.265编码方式时，开启智能编码功能和不开启智能编码相比，码率节约80%。</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可同时支持人脸比对、人脸属性分析、客流统计及人员重复进出次数统计功能。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支持单场景同时检出不少于30张人脸图片，并支持面部跟踪。</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支持侧脸过滤功能，可过滤上下、左右角度达到预设值的人脸。</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支持双向统计客流量及统计重复客流数量，并将统计结果实时叠加在监控画面上。</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需具有1个RJ45网络接口、1路CVBS视频输出、3路报警输入、2路报警输出接口、2个音频输入、1个音频输出接口。</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支持开启、关闭eMMC保护功能。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需支持IP67防尘防水。</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需同时支持DC12V和POE供电，且在不小于DC12V±30%范围内变化时可以正常工作。</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6</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val="0"/>
                <w:bCs w:val="0"/>
                <w:color w:val="auto"/>
                <w:kern w:val="2"/>
                <w:sz w:val="24"/>
                <w:szCs w:val="24"/>
                <w:highlight w:val="none"/>
                <w:lang w:val="en-US" w:eastAsia="zh-CN"/>
              </w:rPr>
              <w:t>一进一出闸机</w:t>
            </w:r>
          </w:p>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（含手环回收）</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主要功能：</w:t>
            </w:r>
            <w:r>
              <w:rPr>
                <w:rFonts w:hint="eastAsia" w:ascii="仿宋" w:hAnsi="仿宋" w:eastAsia="仿宋" w:cs="仿宋"/>
                <w:color w:val="auto"/>
                <w:kern w:val="2"/>
                <w:sz w:val="24"/>
                <w:szCs w:val="24"/>
                <w:highlight w:val="none"/>
                <w:lang w:val="en-US" w:eastAsia="zh-CN"/>
              </w:rPr>
              <w:t>检票供泳客进出</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 生产工艺：激光切割、模具冲孔、全数控加工、精悍、精磨工艺</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 结构材料：框架304拉丝不锈钢，上盖1.5mm 箱体1.2mm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3. 箱体尺寸：L1400*W300*H980mm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通道净宽：560mm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 驱动方式：24V直流有刷电机</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6.检测方式：4组军用级红外对射</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7.开关时间：</w:t>
            </w:r>
            <w:r>
              <w:rPr>
                <w:rFonts w:hint="eastAsia" w:ascii="仿宋" w:hAnsi="仿宋" w:eastAsia="仿宋" w:cs="仿宋"/>
                <w:color w:val="auto"/>
                <w:kern w:val="2"/>
                <w:sz w:val="24"/>
                <w:szCs w:val="24"/>
                <w:highlight w:val="none"/>
                <w:lang w:val="en-US" w:eastAsia="zh-CN"/>
              </w:rPr>
              <w:t>不慢于</w:t>
            </w:r>
            <w:r>
              <w:rPr>
                <w:rFonts w:hint="eastAsia" w:ascii="仿宋" w:hAnsi="仿宋" w:eastAsia="仿宋" w:cs="仿宋"/>
                <w:color w:val="auto"/>
                <w:kern w:val="2"/>
                <w:sz w:val="24"/>
                <w:szCs w:val="24"/>
                <w:highlight w:val="none"/>
              </w:rPr>
              <w:t>0.5S</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8.通行速度： </w:t>
            </w:r>
            <w:r>
              <w:rPr>
                <w:rFonts w:hint="eastAsia" w:ascii="仿宋" w:hAnsi="仿宋" w:eastAsia="仿宋" w:cs="仿宋"/>
                <w:color w:val="auto"/>
                <w:kern w:val="2"/>
                <w:sz w:val="24"/>
                <w:szCs w:val="24"/>
                <w:highlight w:val="none"/>
                <w:lang w:val="en-US" w:eastAsia="zh-CN"/>
              </w:rPr>
              <w:t>不小于</w:t>
            </w:r>
            <w:r>
              <w:rPr>
                <w:rFonts w:hint="eastAsia" w:ascii="仿宋" w:hAnsi="仿宋" w:eastAsia="仿宋" w:cs="仿宋"/>
                <w:color w:val="auto"/>
                <w:kern w:val="2"/>
                <w:sz w:val="24"/>
                <w:szCs w:val="24"/>
                <w:highlight w:val="none"/>
              </w:rPr>
              <w:t>60人/分钟 （常开状态）；</w:t>
            </w:r>
            <w:r>
              <w:rPr>
                <w:rFonts w:hint="eastAsia" w:ascii="仿宋" w:hAnsi="仿宋" w:eastAsia="仿宋" w:cs="仿宋"/>
                <w:color w:val="auto"/>
                <w:kern w:val="2"/>
                <w:sz w:val="24"/>
                <w:szCs w:val="24"/>
                <w:highlight w:val="none"/>
                <w:lang w:val="en-US" w:eastAsia="zh-CN"/>
              </w:rPr>
              <w:t>不小</w:t>
            </w:r>
            <w:r>
              <w:rPr>
                <w:rFonts w:hint="eastAsia" w:ascii="仿宋" w:hAnsi="仿宋" w:eastAsia="仿宋" w:cs="仿宋"/>
                <w:color w:val="auto"/>
                <w:kern w:val="2"/>
                <w:sz w:val="24"/>
                <w:szCs w:val="24"/>
                <w:highlight w:val="none"/>
              </w:rPr>
              <w:t>40人/分钟（常闭状态）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9.使用寿命：正常使用</w:t>
            </w:r>
            <w:r>
              <w:rPr>
                <w:rFonts w:hint="eastAsia" w:ascii="仿宋" w:hAnsi="仿宋" w:eastAsia="仿宋" w:cs="仿宋"/>
                <w:color w:val="auto"/>
                <w:kern w:val="2"/>
                <w:sz w:val="24"/>
                <w:szCs w:val="24"/>
                <w:highlight w:val="none"/>
                <w:lang w:val="en-US" w:eastAsia="zh-CN"/>
              </w:rPr>
              <w:t>不少于</w:t>
            </w:r>
            <w:r>
              <w:rPr>
                <w:rFonts w:hint="eastAsia" w:ascii="仿宋" w:hAnsi="仿宋" w:eastAsia="仿宋" w:cs="仿宋"/>
                <w:color w:val="auto"/>
                <w:kern w:val="2"/>
                <w:sz w:val="24"/>
                <w:szCs w:val="24"/>
                <w:highlight w:val="none"/>
              </w:rPr>
              <w:t>300万次无故障</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10.手环回收机：</w:t>
            </w:r>
            <w:r>
              <w:rPr>
                <w:rFonts w:hint="eastAsia" w:ascii="仿宋" w:hAnsi="仿宋" w:eastAsia="仿宋" w:cs="仿宋"/>
                <w:color w:val="auto"/>
                <w:kern w:val="2"/>
                <w:sz w:val="24"/>
                <w:szCs w:val="24"/>
                <w:highlight w:val="none"/>
              </w:rPr>
              <w:t>尺寸：长291mm*宽200mm*高980mm</w:t>
            </w:r>
          </w:p>
          <w:p>
            <w:pPr>
              <w:widowControl/>
              <w:spacing w:after="0"/>
              <w:jc w:val="left"/>
              <w:textAlignment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材质：304  1.2拉丝不锈钢</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套</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7</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小票机</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主要功能：打印消费票据</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打印方式：直接行式热敏</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打印宽度：80mm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接口类型：USB+串口</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8</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扫码器</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主要功能：识别二维码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图像传感器 CMOS</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像素 640×480</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条码灵敏度：倾斜(pitch) ±50°、旋转(tilt) 360°、偏转(skew) ±50°</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通讯接口 USB(HID-KBW、HID-POS)</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工作电压 5VDC±5%</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识别码制：一维码/二维码</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9</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读卡器</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主要功能：读取IC卡内容</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供电方式：USB取电</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感应距离：3mm-10mm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工作频率：13.56MHZ/125KHZ（兼容IC/ID卡）</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10</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val="0"/>
                <w:bCs w:val="0"/>
                <w:color w:val="auto"/>
                <w:kern w:val="2"/>
                <w:sz w:val="24"/>
                <w:szCs w:val="24"/>
                <w:highlight w:val="none"/>
                <w:lang w:val="en-US" w:eastAsia="zh-CN"/>
              </w:rPr>
              <w:t>智能</w:t>
            </w:r>
            <w:r>
              <w:rPr>
                <w:rFonts w:hint="eastAsia" w:cs="仿宋"/>
                <w:b w:val="0"/>
                <w:bCs w:val="0"/>
                <w:color w:val="auto"/>
                <w:kern w:val="2"/>
                <w:sz w:val="24"/>
                <w:szCs w:val="24"/>
                <w:highlight w:val="none"/>
                <w:lang w:val="en-US" w:eastAsia="zh-CN"/>
              </w:rPr>
              <w:t>储物柜</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主要功能：供泳客自助选取更衣柜</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1.材质：采用ABS工程塑料。具有永不生锈、防腐耐潮、无毒无味、环保并容易清洁。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2.产品标准：智能柜专用隐藏走线顶板≥35mm，智能柜专隐藏走线侧板≥20mm，底板≥30mm，门板≥30mm，后板≥10mm（门板、后板单片产品均为整块、无上下拼接），产品壁厚0.4-0.6cm</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3.工艺：采用钢制模具注塑而成，弧形结构井字状加强筋。</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4.技术：采用大型注塑机通过温度、压力、时间，注塑成形。</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5.颜色：色母溶于原料，可根据用户要求生产。</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6.底座：独立安装可以根据地势不平进行调整。</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7.连接件：紧固件材质为PC件，紧固件具有拉住紧固作用，具有永不生锈、便于维护更新。</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8.门板与框架链接采用高强度尼龙铰链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9.每门配置：储物盒（方便放眼镜、手机、钥匙等），门后板上有挂钩两个（方便挂塑料袋、毛巾），每门层1块。 2层柜配置挂衣杆，每门配置透光拉手、拉手处固定位置贴提示用。</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10.每门有固定位置贴门牌号，门牌号边为嵌入式不容易拉撕掉</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11.独立成列，每排柜子边上304不锈钢加固、外侧边上封板增加美观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12.单门尺寸：</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二层柜-单门高960mm/宽380mm/深500mm（合计480门）</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三层柜-单门高630mm/宽380mm/深500mm（合计 720门）</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智能柜控描述：</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1、CPU处理器：RK3288/4核主频1.6Ghz-ARM Cortex-A17架构</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2、操作系统：Android 7.1 -已完全ROOT</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3、运行内存：不小于2GB-4片512MB DDR3共2GB</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4、EMMC：不小于12GB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5、GPU：ARM Mali-T764-OpenGLES1.1/2.0/3.0  OPEN VG1.1, OPENCL, Directx11</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6、尺寸：10.1寸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7、接口：MIPI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8、分辨率：800*1280-比例16:9</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9、触摸形式：电容式-3点触摸钢化玻璃材质</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10、亮度：≥450 cd/㎡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11、视角：全视角-IPS</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12、串口：1路RS232，1路RS485接口 232接口为XH2.54MM-4P弯针带锁座子，包含5V/0.2A电源输出：485接口为XH2.54MM-3P弯针带锁座子</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13、USB：3路HOST 1路DEVICE 对外引出3路USB HOST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14、音频：内置1路MIC和1路SPK 单声道4Ω/3W功放，SPK接插件PH1.25MM-2P座子</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15、百兆以太网接口：1路 10/100Mbps自适应网络接口</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16、HDMI接口：1路 HDMI2.0通用接口</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17、TF：1路 TF卡接口</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18、SIM卡：1路 标准SIM卡</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19、GPIO：4路 IO接口，支持5V默认IO输入，接插件PH2.0MM-6P</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20、蓝牙模块：1路 AP6256蓝牙、WIFI二合一模块。支持蓝牙4.2协议</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21、WIFI模块接口：1路 </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功能描述：</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1、支持多种识别方式开柜</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2、可在线查看柜子使用状态。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3、可整体查看柜子使用情况。总共多少柜子，占用多少等等</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4、可远程开柜</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5、可查看柜子详细使用日志记录</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6、具有离线开柜功能。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7、具有开放易用API接口，可于第三方软件公司对接。</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8、具有定时清理占用储物柜功能。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9、可选择远程推送轮播图功能。</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10、具有故障轮询功能，在用户多次开柜未果的情况下，可短信提示管理员处理。</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智能锁具：</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1、塑料外壳，防水耐用，合金机械结构抗拉防震</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2、开锁时间≤于0.5秒，工作温度：-30℃-80℃</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3、带检测开关</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4、工作电压12V，瞬间电流1A-1.5A</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5、开门推力：≥1.3KG（可调）</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6、机械寿命：设计荷载条件下大于50万次</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7、合金丝寿命：额定工作条件下大于150万次</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插锁版：</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1、定制款</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2、板子尺寸160x170,</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3、插孔数量26，</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4、工作电压12V，最大承受电流1.5A</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5、每插孔均支持按键应急开锁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6、插孔支持锁具开关状态反馈</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7、每个插孔均支持双色灯指示锁状态</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8、配置12V的变压器</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门</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智能灯光控制设备</w:t>
            </w:r>
          </w:p>
        </w:tc>
        <w:tc>
          <w:tcPr>
            <w:tcW w:w="5136" w:type="dxa"/>
            <w:noWrap w:val="0"/>
            <w:vAlign w:val="center"/>
          </w:tcPr>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主要功能：连接</w:t>
            </w:r>
            <w:r>
              <w:rPr>
                <w:rFonts w:hint="eastAsia" w:ascii="仿宋" w:hAnsi="仿宋" w:eastAsia="仿宋" w:cs="仿宋"/>
                <w:color w:val="auto"/>
                <w:kern w:val="2"/>
                <w:sz w:val="24"/>
                <w:szCs w:val="24"/>
                <w:highlight w:val="none"/>
                <w:lang w:val="zh-CN"/>
              </w:rPr>
              <w:t>羽毛球场地</w:t>
            </w:r>
            <w:r>
              <w:rPr>
                <w:rFonts w:hint="eastAsia" w:ascii="仿宋" w:hAnsi="仿宋" w:eastAsia="仿宋" w:cs="仿宋"/>
                <w:color w:val="auto"/>
                <w:kern w:val="2"/>
                <w:sz w:val="24"/>
                <w:szCs w:val="24"/>
                <w:highlight w:val="none"/>
              </w:rPr>
              <w:t>灯具，实现根据订单控制灯光开启和关闭。</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工作电压：DC12V</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工作温度：-40-55°</w:t>
            </w:r>
          </w:p>
          <w:p>
            <w:pPr>
              <w:widowControl/>
              <w:spacing w:after="0"/>
              <w:jc w:val="left"/>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产品净重：460G</w:t>
            </w:r>
          </w:p>
          <w:p>
            <w:pPr>
              <w:widowControl/>
              <w:spacing w:after="0"/>
              <w:jc w:val="left"/>
              <w:textAlignment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尺寸：200*110*60mm</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12</w:t>
            </w:r>
          </w:p>
        </w:tc>
        <w:tc>
          <w:tcPr>
            <w:tcW w:w="2178" w:type="dxa"/>
            <w:noWrap w:val="0"/>
            <w:vAlign w:val="center"/>
          </w:tcPr>
          <w:p>
            <w:pPr>
              <w:widowControl w:val="0"/>
              <w:spacing w:after="0" w:line="300" w:lineRule="auto"/>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室内电子导览</w:t>
            </w:r>
            <w:r>
              <w:rPr>
                <w:rFonts w:hint="eastAsia" w:cs="仿宋"/>
                <w:b w:val="0"/>
                <w:bCs w:val="0"/>
                <w:color w:val="auto"/>
                <w:kern w:val="2"/>
                <w:sz w:val="24"/>
                <w:szCs w:val="24"/>
                <w:highlight w:val="none"/>
                <w:lang w:val="en-US" w:eastAsia="zh-CN"/>
              </w:rPr>
              <w:t>器</w:t>
            </w:r>
          </w:p>
        </w:tc>
        <w:tc>
          <w:tcPr>
            <w:tcW w:w="5136" w:type="dxa"/>
            <w:noWrap w:val="0"/>
            <w:vAlign w:val="center"/>
          </w:tcPr>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主要功能：展示发展服务中心基础信息</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参数要求：</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红外触摸屏：43寸16：9</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真10点触摸</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透光率：96％ 以上/</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分辨率:4096*4096/</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厚度：&lt;5mm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响应速度:&lt;6.5ms/</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表面硬度：7级/</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操作电压：DC 12V</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操作温度：-20℃ ～50℃/</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操作电流：85mA                           </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通讯控制：USB接口</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智能信息发布查询终端：≥43英寸</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屏幕比例16:9/</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可视角度&gt;178°</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分辨率1920*1080/</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刷新率60Hz/</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对比度1000:1/</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亮度350cd/m2/---600cd/m2/</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响应时间&lt;6ms</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主板CPU：</w:t>
            </w:r>
            <w:r>
              <w:rPr>
                <w:rFonts w:hint="eastAsia" w:ascii="仿宋" w:hAnsi="仿宋" w:eastAsia="仿宋" w:cs="仿宋"/>
                <w:color w:val="auto"/>
                <w:kern w:val="2"/>
                <w:sz w:val="24"/>
                <w:szCs w:val="24"/>
                <w:highlight w:val="none"/>
                <w:lang w:val="en-US" w:eastAsia="zh-CN"/>
              </w:rPr>
              <w:t>不低于</w:t>
            </w:r>
            <w:r>
              <w:rPr>
                <w:rFonts w:hint="eastAsia" w:ascii="仿宋" w:hAnsi="仿宋" w:eastAsia="仿宋" w:cs="仿宋"/>
                <w:color w:val="auto"/>
                <w:kern w:val="2"/>
                <w:sz w:val="24"/>
                <w:szCs w:val="24"/>
                <w:highlight w:val="none"/>
              </w:rPr>
              <w:t>I5处理器，</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双核四线程</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主频2.4GHz；</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内存：DDR3 1600/1333 4G；</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硬盘：</w:t>
            </w:r>
            <w:r>
              <w:rPr>
                <w:rFonts w:hint="eastAsia" w:ascii="仿宋" w:hAnsi="仿宋" w:eastAsia="仿宋" w:cs="仿宋"/>
                <w:color w:val="auto"/>
                <w:kern w:val="2"/>
                <w:sz w:val="24"/>
                <w:szCs w:val="24"/>
                <w:highlight w:val="none"/>
                <w:lang w:val="en-US" w:eastAsia="zh-CN"/>
              </w:rPr>
              <w:t>不低于</w:t>
            </w:r>
            <w:r>
              <w:rPr>
                <w:rFonts w:hint="eastAsia" w:ascii="仿宋" w:hAnsi="仿宋" w:eastAsia="仿宋" w:cs="仿宋"/>
                <w:color w:val="auto"/>
                <w:kern w:val="2"/>
                <w:sz w:val="24"/>
                <w:szCs w:val="24"/>
                <w:highlight w:val="none"/>
              </w:rPr>
              <w:t>256G</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固态硬盘</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软件定制</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1.支持分布式应用</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2.支持多台触摸屏同时使用</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3.可自定义展示内容</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4.支持多种类型的图片动画展示</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5.支持视频、音乐、动画、三维图形展示</w:t>
            </w:r>
          </w:p>
          <w:p>
            <w:pPr>
              <w:widowControl w:val="0"/>
              <w:spacing w:after="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6.支持后台运行</w:t>
            </w:r>
          </w:p>
          <w:p>
            <w:pPr>
              <w:widowControl w:val="0"/>
              <w:spacing w:after="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支持远程服务</w:t>
            </w:r>
          </w:p>
        </w:tc>
        <w:tc>
          <w:tcPr>
            <w:tcW w:w="700"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台</w:t>
            </w:r>
          </w:p>
        </w:tc>
        <w:tc>
          <w:tcPr>
            <w:tcW w:w="767" w:type="dxa"/>
            <w:noWrap w:val="0"/>
            <w:vAlign w:val="center"/>
          </w:tcPr>
          <w:p>
            <w:pPr>
              <w:widowControl w:val="0"/>
              <w:spacing w:after="0" w:line="30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r>
    </w:tbl>
    <w:p>
      <w:pPr>
        <w:widowControl w:val="0"/>
        <w:autoSpaceDE w:val="0"/>
        <w:autoSpaceDN w:val="0"/>
        <w:adjustRightInd w:val="0"/>
        <w:spacing w:after="120" w:afterLines="0"/>
        <w:ind w:firstLine="0" w:firstLineChars="0"/>
        <w:jc w:val="left"/>
        <w:outlineLvl w:val="9"/>
        <w:rPr>
          <w:rFonts w:hint="eastAsia" w:ascii="仿宋" w:hAnsi="仿宋" w:eastAsia="仿宋" w:cs="仿宋"/>
          <w:b/>
          <w:bCs/>
          <w:color w:val="auto"/>
          <w:kern w:val="0"/>
          <w:sz w:val="22"/>
          <w:szCs w:val="22"/>
          <w:highlight w:val="none"/>
          <w:lang w:val="en-US" w:eastAsia="zh-CN" w:bidi="ar-SA"/>
        </w:rPr>
      </w:pPr>
    </w:p>
    <w:p>
      <w:pPr>
        <w:widowControl w:val="0"/>
        <w:spacing w:after="0" w:line="360" w:lineRule="auto"/>
        <w:ind w:firstLine="420"/>
        <w:jc w:val="both"/>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本项目的核心产品为：</w:t>
      </w:r>
      <w:r>
        <w:rPr>
          <w:rFonts w:hint="eastAsia" w:cs="仿宋"/>
          <w:b/>
          <w:bCs/>
          <w:color w:val="auto"/>
          <w:kern w:val="2"/>
          <w:sz w:val="24"/>
          <w:szCs w:val="24"/>
          <w:highlight w:val="none"/>
          <w:lang w:val="en-US" w:eastAsia="zh-CN"/>
        </w:rPr>
        <w:t>智能储物柜、</w:t>
      </w:r>
      <w:r>
        <w:rPr>
          <w:rFonts w:hint="eastAsia" w:ascii="仿宋" w:hAnsi="仿宋" w:eastAsia="仿宋" w:cs="仿宋"/>
          <w:b/>
          <w:bCs/>
          <w:color w:val="auto"/>
          <w:kern w:val="2"/>
          <w:sz w:val="24"/>
          <w:szCs w:val="24"/>
          <w:highlight w:val="none"/>
          <w:lang w:val="en-US" w:eastAsia="zh-CN"/>
        </w:rPr>
        <w:t>自助购票手环一体机</w:t>
      </w:r>
      <w:r>
        <w:rPr>
          <w:rFonts w:hint="eastAsia" w:cs="仿宋"/>
          <w:b/>
          <w:bCs/>
          <w:color w:val="auto"/>
          <w:kern w:val="2"/>
          <w:sz w:val="24"/>
          <w:szCs w:val="24"/>
          <w:highlight w:val="none"/>
          <w:lang w:val="en-US" w:eastAsia="zh-CN"/>
        </w:rPr>
        <w:t>、一进一出闸机（含手环回收）</w:t>
      </w:r>
      <w:r>
        <w:rPr>
          <w:rFonts w:hint="eastAsia" w:ascii="仿宋" w:hAnsi="仿宋" w:eastAsia="仿宋" w:cs="仿宋"/>
          <w:b/>
          <w:bCs/>
          <w:color w:val="auto"/>
          <w:kern w:val="2"/>
          <w:sz w:val="24"/>
          <w:szCs w:val="24"/>
          <w:highlight w:val="none"/>
          <w:lang w:val="en-US" w:eastAsia="zh-CN"/>
        </w:rPr>
        <w:t>（</w:t>
      </w:r>
      <w:r>
        <w:rPr>
          <w:rFonts w:hint="eastAsia" w:cs="仿宋"/>
          <w:b/>
          <w:bCs/>
          <w:color w:val="auto"/>
          <w:kern w:val="2"/>
          <w:sz w:val="24"/>
          <w:szCs w:val="24"/>
          <w:highlight w:val="none"/>
          <w:lang w:val="en-US" w:eastAsia="zh-CN"/>
        </w:rPr>
        <w:t>三</w:t>
      </w:r>
      <w:r>
        <w:rPr>
          <w:rFonts w:hint="eastAsia" w:ascii="仿宋" w:hAnsi="仿宋" w:eastAsia="仿宋" w:cs="仿宋"/>
          <w:b/>
          <w:bCs/>
          <w:color w:val="auto"/>
          <w:kern w:val="2"/>
          <w:sz w:val="24"/>
          <w:szCs w:val="24"/>
          <w:highlight w:val="none"/>
          <w:lang w:val="en-US" w:eastAsia="zh-CN"/>
        </w:rPr>
        <w:t>项均为同品牌则将被认定为同一家投标单位）。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val="0"/>
        <w:spacing w:after="0"/>
        <w:jc w:val="both"/>
        <w:rPr>
          <w:rFonts w:hint="eastAsia" w:ascii="仿宋" w:hAnsi="仿宋" w:eastAsia="仿宋" w:cs="仿宋"/>
          <w:color w:val="auto"/>
          <w:kern w:val="2"/>
          <w:sz w:val="24"/>
          <w:szCs w:val="24"/>
          <w:highlight w:val="none"/>
          <w:lang w:val="en-US" w:eastAsia="zh-CN"/>
        </w:rPr>
      </w:pPr>
    </w:p>
    <w:p>
      <w:pPr>
        <w:widowControl w:val="0"/>
        <w:autoSpaceDE w:val="0"/>
        <w:autoSpaceDN w:val="0"/>
        <w:adjustRightInd w:val="0"/>
        <w:spacing w:after="120" w:afterLines="0"/>
        <w:ind w:firstLine="0" w:firstLineChars="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（三）项目实施要求</w:t>
      </w:r>
    </w:p>
    <w:p>
      <w:pPr>
        <w:widowControl w:val="0"/>
        <w:spacing w:after="0" w:line="360" w:lineRule="auto"/>
        <w:ind w:firstLine="42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1）需要配合体育中心整体改造进度，提供完整的项目实施管理计划、项目进度计划；项目实施过程严格按照批准后的计划进行，如有变化需遵循项目整体变更控制；</w:t>
      </w:r>
    </w:p>
    <w:p>
      <w:pPr>
        <w:widowControl w:val="0"/>
        <w:spacing w:after="0" w:line="360" w:lineRule="auto"/>
        <w:ind w:firstLine="42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2）要求提供详细的项目沟通计划，按时提交项目周报，定期汇报项目实际进度；</w:t>
      </w:r>
    </w:p>
    <w:p>
      <w:pPr>
        <w:widowControl w:val="0"/>
        <w:spacing w:after="0" w:line="360" w:lineRule="auto"/>
        <w:ind w:firstLine="42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 要求成立独立的项目团队开展项目的开发和实施工作</w:t>
      </w:r>
    </w:p>
    <w:p>
      <w:pPr>
        <w:widowControl w:val="0"/>
        <w:spacing w:after="0" w:line="360" w:lineRule="auto"/>
        <w:ind w:firstLine="42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4）投标方必须针对上述要求列出详细人员计划，包括人员姓名、简历、资质和在本项目中的职责分工。</w:t>
      </w:r>
    </w:p>
    <w:p>
      <w:pPr>
        <w:widowControl w:val="0"/>
        <w:autoSpaceDE w:val="0"/>
        <w:autoSpaceDN w:val="0"/>
        <w:adjustRightInd w:val="0"/>
        <w:spacing w:after="120" w:afterLines="0"/>
        <w:ind w:firstLine="0" w:firstLineChars="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（四）售后服务要求</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1）本项目质保期从项目整体验收合格之日起，系统软件质保两年，智能硬件设备质保一年，服务周期为全天候、不间断的7*24小时；</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中标单位必须免费提供原厂商设备保修和售后维护服务，由于设备本身质量原因造成的任何损伤或损坏，中标单位须免费负责维修，如同一故障问题重复维修三次仍无法恢复正常，乙方需免费更换设备。系统软件功能在质保期内免费升级；</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3）在质保期内，在接到问题反馈后，中标单位应在1小时内响应，</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小时内回复。对于影响系统正常运行的严重故障（包括由系统软硬件等原因引起的），远程处理无法解决时，中标单位相关技术人员必须在</w:t>
      </w:r>
      <w:r>
        <w:rPr>
          <w:rFonts w:hint="eastAsia"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小时内赶到现场，查找原因，提出解决方案，并</w:t>
      </w:r>
      <w:r>
        <w:rPr>
          <w:rFonts w:hint="eastAsia" w:ascii="仿宋" w:hAnsi="仿宋" w:eastAsia="仿宋" w:cs="仿宋"/>
          <w:color w:val="auto"/>
          <w:kern w:val="2"/>
          <w:sz w:val="24"/>
          <w:szCs w:val="24"/>
          <w:highlight w:val="none"/>
          <w:lang w:eastAsia="zh-Hans"/>
        </w:rPr>
        <w:t>进行修复</w:t>
      </w:r>
      <w:r>
        <w:rPr>
          <w:rFonts w:hint="eastAsia" w:ascii="仿宋" w:hAnsi="仿宋" w:eastAsia="仿宋" w:cs="仿宋"/>
          <w:color w:val="auto"/>
          <w:kern w:val="2"/>
          <w:sz w:val="24"/>
          <w:szCs w:val="24"/>
          <w:highlight w:val="none"/>
        </w:rPr>
        <w:t>工作直至故障修复完毕，完全恢复正常服务为止，一般要求在12小时之内修复，并需要提供确保承诺实现的措施；</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4）要求提供完整详细的故障维护应急响应机制说明文档，并进行应急响应演练。</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中标单位需成立专业的售后维护团队，并列出详细人员计划，包括人员姓名、简历、资质和职责分工。项目运维过程中，投标方应严格按照投标文件中承诺提供的维护人员，未经采购人书面同意，中标单位不得擅自更换投标文件中提供的维护人员；</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6）维护支持方式包括并不限于：电话、网络（微信/钉钉）、邮箱以及项目现场；</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7）在质保期结束前，须由中标单位技术人员进行一次全面检查，并提供检查报告；</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8）系统运营维护内容：</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·保证有专人解答项目现场提出的疑问，指导现场人员正确操作系统</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·配合处理采购人提出的临时性需求</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·协助采购人完成软件升级以及新硬件接入的上线工作</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·如遇重大节日或长假（包括但不限于元旦、春节、五一及十一等），应提前对系统涉及到的软件进行巡检</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·保证有专人对系统出现的故障问题进行受理响应</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·保证专人对硬件设备的问题，协调第三方厂家进行快速定位并解决</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·定期进行数据备份与压缩</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·定期对数据进行安全性检查</w:t>
      </w:r>
    </w:p>
    <w:p>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·定期对平台产生的各种日志进行分析，了解平台运行状况，确保稳定运行</w:t>
      </w:r>
    </w:p>
    <w:p>
      <w:pPr>
        <w:widowControl w:val="0"/>
        <w:spacing w:after="0" w:line="360" w:lineRule="auto"/>
        <w:ind w:firstLine="48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9）质保期到期后，软件的后期维护费用按</w:t>
      </w:r>
      <w:r>
        <w:rPr>
          <w:rFonts w:hint="eastAsia" w:ascii="仿宋" w:hAnsi="仿宋" w:eastAsia="仿宋" w:cs="仿宋"/>
          <w:color w:val="auto"/>
          <w:kern w:val="2"/>
          <w:sz w:val="24"/>
          <w:szCs w:val="24"/>
          <w:highlight w:val="none"/>
          <w:lang w:val="en-US" w:eastAsia="zh-CN"/>
        </w:rPr>
        <w:t>双方签订</w:t>
      </w:r>
      <w:r>
        <w:rPr>
          <w:rFonts w:hint="eastAsia" w:ascii="仿宋" w:hAnsi="仿宋" w:eastAsia="仿宋" w:cs="仿宋"/>
          <w:color w:val="auto"/>
          <w:kern w:val="2"/>
          <w:sz w:val="24"/>
          <w:szCs w:val="24"/>
          <w:highlight w:val="none"/>
        </w:rPr>
        <w:t>中软件价格的</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%/年收取，硬件产品终生维修，硬件产品若可寄回产家维修，乙方只收部件成本费，免</w:t>
      </w:r>
      <w:r>
        <w:rPr>
          <w:rFonts w:hint="eastAsia" w:ascii="仿宋" w:hAnsi="仿宋" w:eastAsia="仿宋" w:cs="仿宋"/>
          <w:color w:val="auto"/>
          <w:kern w:val="2"/>
          <w:sz w:val="24"/>
          <w:szCs w:val="24"/>
          <w:highlight w:val="none"/>
          <w:lang w:eastAsia="zh-Hans"/>
        </w:rPr>
        <w:t>收</w:t>
      </w:r>
      <w:r>
        <w:rPr>
          <w:rFonts w:hint="eastAsia" w:ascii="仿宋" w:hAnsi="仿宋" w:eastAsia="仿宋" w:cs="仿宋"/>
          <w:color w:val="auto"/>
          <w:kern w:val="2"/>
          <w:sz w:val="24"/>
          <w:szCs w:val="24"/>
          <w:highlight w:val="none"/>
        </w:rPr>
        <w:t>人工</w:t>
      </w:r>
      <w:r>
        <w:rPr>
          <w:rFonts w:hint="eastAsia" w:ascii="仿宋" w:hAnsi="仿宋" w:eastAsia="仿宋" w:cs="仿宋"/>
          <w:color w:val="auto"/>
          <w:kern w:val="2"/>
          <w:sz w:val="24"/>
          <w:szCs w:val="24"/>
          <w:highlight w:val="none"/>
          <w:lang w:eastAsia="zh-Hans"/>
        </w:rPr>
        <w:t>费用</w:t>
      </w:r>
      <w:r>
        <w:rPr>
          <w:rFonts w:hint="eastAsia" w:ascii="仿宋" w:hAnsi="仿宋" w:eastAsia="仿宋" w:cs="仿宋"/>
          <w:color w:val="auto"/>
          <w:kern w:val="2"/>
          <w:sz w:val="24"/>
          <w:szCs w:val="24"/>
          <w:highlight w:val="none"/>
        </w:rPr>
        <w:t>。对于</w:t>
      </w:r>
      <w:r>
        <w:rPr>
          <w:rFonts w:hint="eastAsia" w:ascii="仿宋" w:hAnsi="仿宋" w:eastAsia="仿宋" w:cs="仿宋"/>
          <w:color w:val="auto"/>
          <w:kern w:val="2"/>
          <w:sz w:val="24"/>
          <w:szCs w:val="24"/>
          <w:highlight w:val="none"/>
          <w:lang w:eastAsia="zh-Hans"/>
        </w:rPr>
        <w:t>不便于</w:t>
      </w:r>
      <w:r>
        <w:rPr>
          <w:rFonts w:hint="eastAsia" w:ascii="仿宋" w:hAnsi="仿宋" w:eastAsia="仿宋" w:cs="仿宋"/>
          <w:color w:val="auto"/>
          <w:kern w:val="2"/>
          <w:sz w:val="24"/>
          <w:szCs w:val="24"/>
          <w:highlight w:val="none"/>
        </w:rPr>
        <w:t>寄修的硬件部件，乙方</w:t>
      </w:r>
      <w:r>
        <w:rPr>
          <w:rFonts w:hint="eastAsia" w:ascii="仿宋" w:hAnsi="仿宋" w:eastAsia="仿宋" w:cs="仿宋"/>
          <w:color w:val="auto"/>
          <w:kern w:val="2"/>
          <w:sz w:val="24"/>
          <w:szCs w:val="24"/>
          <w:highlight w:val="none"/>
          <w:lang w:eastAsia="zh-Hans"/>
        </w:rPr>
        <w:t>应根据甲方的要求</w:t>
      </w:r>
      <w:r>
        <w:rPr>
          <w:rFonts w:hint="eastAsia" w:ascii="仿宋" w:hAnsi="仿宋" w:eastAsia="仿宋" w:cs="仿宋"/>
          <w:color w:val="auto"/>
          <w:kern w:val="2"/>
          <w:sz w:val="24"/>
          <w:szCs w:val="24"/>
          <w:highlight w:val="none"/>
        </w:rPr>
        <w:t>到现场维修，甲方支付相应的成本费用和在《中央国家机关和事业单位差旅费管理办法》规定内的差旅费。</w:t>
      </w:r>
    </w:p>
    <w:p>
      <w:pPr>
        <w:widowControl w:val="0"/>
        <w:autoSpaceDE w:val="0"/>
        <w:autoSpaceDN w:val="0"/>
        <w:adjustRightInd w:val="0"/>
        <w:spacing w:after="120" w:afterLines="0"/>
        <w:ind w:firstLine="0" w:firstLineChars="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（五）验收要求</w:t>
      </w:r>
    </w:p>
    <w:p>
      <w:pPr>
        <w:widowControl w:val="0"/>
        <w:spacing w:after="0" w:line="360" w:lineRule="auto"/>
        <w:jc w:val="left"/>
        <w:outlineLvl w:val="2"/>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5.1 系统软件验收标准及要求</w:t>
      </w:r>
    </w:p>
    <w:p>
      <w:pPr>
        <w:widowControl/>
        <w:overflowPunct w:val="0"/>
        <w:autoSpaceDE w:val="0"/>
        <w:autoSpaceDN w:val="0"/>
        <w:adjustRightInd w:val="0"/>
        <w:snapToGrid w:val="0"/>
        <w:spacing w:line="460" w:lineRule="exact"/>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1）验收标准：本项目采用现场验收方式验收,验收标准以符合相关附件所提供的功能和采购人的要求为准。</w:t>
      </w:r>
    </w:p>
    <w:p>
      <w:pPr>
        <w:widowControl/>
        <w:overflowPunct w:val="0"/>
        <w:autoSpaceDE w:val="0"/>
        <w:autoSpaceDN w:val="0"/>
        <w:adjustRightInd w:val="0"/>
        <w:snapToGrid w:val="0"/>
        <w:spacing w:line="460" w:lineRule="exact"/>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验收包括并不限于采购人、成交供应商双方人员共同参与。系统软件功能开发或配置完成后，经成交供应商内部测试通过，即可按照项目进度配合采购人进行系统初验，所有系统软件功能模块符合本采购文件要求且正常运行，即视为初验通过。</w:t>
      </w:r>
    </w:p>
    <w:p>
      <w:pPr>
        <w:keepNext w:val="0"/>
        <w:keepLines w:val="0"/>
        <w:pageBreakBefore w:val="0"/>
        <w:widowControl/>
        <w:kinsoku/>
        <w:wordWrap/>
        <w:overflowPunct w:val="0"/>
        <w:topLinePunct w:val="0"/>
        <w:autoSpaceDE w:val="0"/>
        <w:autoSpaceDN w:val="0"/>
        <w:bidi w:val="0"/>
        <w:adjustRightInd w:val="0"/>
        <w:snapToGrid w:val="0"/>
        <w:spacing w:line="460" w:lineRule="exact"/>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3）初验完成后，系统整体试运行十个工作日后，待初验遗留问题解决，成交供应商确认系统具备正常运行条件，即通知中标最终验收。当系统通过测试时即终验完毕，采购人向成交供应商签发终验报告。</w:t>
      </w:r>
    </w:p>
    <w:p>
      <w:pPr>
        <w:keepNext w:val="0"/>
        <w:keepLines w:val="0"/>
        <w:pageBreakBefore w:val="0"/>
        <w:widowControl w:val="0"/>
        <w:kinsoku/>
        <w:wordWrap/>
        <w:topLinePunct w:val="0"/>
        <w:autoSpaceDE w:val="0"/>
        <w:autoSpaceDN w:val="0"/>
        <w:bidi w:val="0"/>
        <w:adjustRightInd w:val="0"/>
        <w:spacing w:after="120" w:afterLines="0" w:line="460" w:lineRule="exact"/>
        <w:ind w:left="0" w:leftChars="0" w:firstLine="0" w:firstLineChars="0"/>
        <w:jc w:val="left"/>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5.2 智能硬件设备验收要求</w:t>
      </w:r>
    </w:p>
    <w:p>
      <w:pPr>
        <w:keepNext w:val="0"/>
        <w:keepLines w:val="0"/>
        <w:pageBreakBefore w:val="0"/>
        <w:widowControl w:val="0"/>
        <w:kinsoku/>
        <w:wordWrap/>
        <w:topLinePunct w:val="0"/>
        <w:bidi w:val="0"/>
        <w:spacing w:after="0" w:line="460" w:lineRule="exact"/>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5.2.1外观检验</w:t>
      </w:r>
    </w:p>
    <w:p>
      <w:pPr>
        <w:keepNext w:val="0"/>
        <w:keepLines w:val="0"/>
        <w:pageBreakBefore w:val="0"/>
        <w:widowControl w:val="0"/>
        <w:kinsoku/>
        <w:wordWrap/>
        <w:topLinePunct w:val="0"/>
        <w:bidi w:val="0"/>
        <w:spacing w:after="0" w:line="460" w:lineRule="exact"/>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1）对设备及外包装进行拍照记录,检查设备的外包装是否完好,有无破损,浸湿,受潮,变形等情况,对外包装箱的表面及封装状态进行检查；</w:t>
      </w:r>
    </w:p>
    <w:p>
      <w:pPr>
        <w:keepNext w:val="0"/>
        <w:keepLines w:val="0"/>
        <w:pageBreakBefore w:val="0"/>
        <w:widowControl w:val="0"/>
        <w:kinsoku/>
        <w:wordWrap/>
        <w:topLinePunct w:val="0"/>
        <w:bidi w:val="0"/>
        <w:spacing w:after="0" w:line="460" w:lineRule="exact"/>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2）检查设备和附件表面有无残损,锈蚀,碰伤等情况；</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3）若发现包装有破损,设备和附件有损伤,锈蚀,使用过的迹象等问题,应作详细记录,并重点拍照留据,及时向供货方办理退换手续。</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5.2.2数量检验</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1）数量检查时应以供货合同和装箱单为依据,检查硬件设备规格,型号,配置及数量,并逐件清查核对；</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2）认真检查随机资料是否齐全,如说明书,产品检验合格证书,保修单等,计算机的相关技术资料应包括驱动程序等软件在内；</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3）要注意检查设备的序列号和出厂编号,必要时可以进行网上核对；</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4）认真作好开箱清点记录,写明地点,时间,参加人员,箱号,品名,应到和实到数量,如发现短缺,错发等问题,要及时作好记录并保留相关材料。</w:t>
      </w:r>
    </w:p>
    <w:p>
      <w:pPr>
        <w:widowControl w:val="0"/>
        <w:spacing w:after="0" w:line="360" w:lineRule="auto"/>
        <w:jc w:val="left"/>
        <w:outlineLvl w:val="3"/>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5.2.3质量检验</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1）设备加电测试之前,应检查所接电源,确保和设备电源要求一致；</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 设备应能够正常启动,运行期间无故障报错信息,应对设备进行至少24小时不间断的加电测试；</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 要严格按照合同条款,使用说明书,用户手册的规定和程序进行安装、调试；</w:t>
      </w:r>
    </w:p>
    <w:p>
      <w:pPr>
        <w:widowControl w:val="0"/>
        <w:spacing w:after="0" w:line="360" w:lineRule="auto"/>
        <w:ind w:firstLine="480"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 对照产品说明书,检查设备的技术指标和硬件配置是否达到要求；</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5） 设备试运行验收时要认真作好记录.若设备出现质量问题,应将详细情况书面通知中标单位。</w:t>
      </w:r>
    </w:p>
    <w:p>
      <w:pPr>
        <w:widowControl w:val="0"/>
        <w:autoSpaceDE w:val="0"/>
        <w:autoSpaceDN w:val="0"/>
        <w:adjustRightInd w:val="0"/>
        <w:spacing w:after="120" w:afterLines="0"/>
        <w:ind w:firstLine="0" w:firstLineChars="0"/>
        <w:jc w:val="left"/>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（六）培训计划要求</w:t>
      </w:r>
    </w:p>
    <w:p>
      <w:pPr>
        <w:widowControl w:val="0"/>
        <w:autoSpaceDE w:val="0"/>
        <w:autoSpaceDN w:val="0"/>
        <w:adjustRightInd w:val="0"/>
        <w:spacing w:after="120" w:afterLines="0"/>
        <w:ind w:firstLine="241" w:firstLineChars="100"/>
        <w:jc w:val="left"/>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6.1 培训要求</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标单位制定有针对性的技术培训，培训内容包含：系统软件操作使用培训、硬件设备操作使用培训、系统软件维护培训、故障应急处理培训等。帮助采购人在管理意识，系统管理，使用方法，日常维护方法进行人员培养和技能提升，从而确保系统的后续应用效果，让项目达到预期目标。</w:t>
      </w:r>
    </w:p>
    <w:p>
      <w:pPr>
        <w:widowControl w:val="0"/>
        <w:autoSpaceDE w:val="0"/>
        <w:autoSpaceDN w:val="0"/>
        <w:adjustRightInd w:val="0"/>
        <w:spacing w:after="120" w:afterLines="0"/>
        <w:ind w:firstLine="241" w:firstLineChars="100"/>
        <w:jc w:val="left"/>
        <w:outlineLvl w:val="2"/>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6.2 培训目标</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参与培训人员应能掌握如下技能：</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1）充分理解整个系统的工作原理和运行方式；</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2）熟练操作平台软件的各项功能；</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3）懂得系统的日常维护和基本故障判断；</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安装系统软件，能进行功能、参数的设置；</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 不合格者需要重新学习、培训，直至符合上岗操作要求。</w:t>
      </w:r>
    </w:p>
    <w:p>
      <w:pPr>
        <w:widowControl w:val="0"/>
        <w:spacing w:after="0"/>
        <w:jc w:val="center"/>
        <w:outlineLvl w:val="0"/>
        <w:rPr>
          <w:rFonts w:hint="eastAsia" w:ascii="仿宋" w:hAnsi="仿宋" w:eastAsia="仿宋" w:cs="仿宋"/>
          <w:b/>
          <w:bCs/>
          <w:color w:val="auto"/>
          <w:kern w:val="2"/>
          <w:sz w:val="24"/>
          <w:szCs w:val="24"/>
          <w:highlight w:val="none"/>
          <w:lang w:val="en-US" w:eastAsia="zh-CN"/>
        </w:rPr>
      </w:pPr>
    </w:p>
    <w:p>
      <w:pPr>
        <w:widowControl w:val="0"/>
        <w:spacing w:after="0"/>
        <w:jc w:val="center"/>
        <w:outlineLvl w:val="0"/>
        <w:rPr>
          <w:rFonts w:hint="eastAsia" w:ascii="仿宋" w:hAnsi="仿宋" w:eastAsia="仿宋" w:cs="仿宋"/>
          <w:b/>
          <w:bCs/>
          <w:color w:val="auto"/>
          <w:kern w:val="2"/>
          <w:sz w:val="24"/>
          <w:szCs w:val="24"/>
          <w:highlight w:val="none"/>
          <w:lang w:val="en-US" w:eastAsia="zh-TW"/>
        </w:rPr>
      </w:pPr>
      <w:r>
        <w:rPr>
          <w:rFonts w:hint="eastAsia" w:cs="仿宋"/>
          <w:b/>
          <w:bCs/>
          <w:color w:val="auto"/>
          <w:kern w:val="2"/>
          <w:sz w:val="24"/>
          <w:szCs w:val="24"/>
          <w:highlight w:val="none"/>
          <w:lang w:val="en-US" w:eastAsia="zh-CN"/>
        </w:rPr>
        <w:t>三</w:t>
      </w:r>
      <w:r>
        <w:rPr>
          <w:rFonts w:hint="eastAsia" w:ascii="仿宋" w:hAnsi="仿宋" w:eastAsia="仿宋" w:cs="仿宋"/>
          <w:b/>
          <w:bCs/>
          <w:color w:val="auto"/>
          <w:kern w:val="2"/>
          <w:sz w:val="24"/>
          <w:szCs w:val="24"/>
          <w:highlight w:val="none"/>
          <w:lang w:val="en-US" w:eastAsia="zh-CN"/>
        </w:rPr>
        <w:t>、商务要求</w:t>
      </w:r>
    </w:p>
    <w:p>
      <w:pPr>
        <w:widowControl w:val="0"/>
        <w:spacing w:after="0" w:line="360" w:lineRule="auto"/>
        <w:ind w:firstLine="482" w:firstLineChars="200"/>
        <w:jc w:val="both"/>
        <w:outlineLvl w:val="1"/>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（一）项目投标报价要求</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供货单位要包质量、包数量、包运输和包安装调试。项目实施过程中老旧设备的拆除由供应商负责，同时协助本中心处理相关拆除设备搬运至指定地点。具体包括货物报价和标准附件、备品备件、专用工具、运输、装卸、保险、安装调试、检测、培训、验收合格、技术支持、售后服务、质保期维护所需的各种费用以及必要的保险费用和各项税金等投标人完成本项目所需的一切费用</w:t>
      </w:r>
      <w:r>
        <w:rPr>
          <w:rFonts w:hint="eastAsia" w:cs="仿宋"/>
          <w:color w:val="auto"/>
          <w:kern w:val="2"/>
          <w:sz w:val="24"/>
          <w:szCs w:val="24"/>
          <w:highlight w:val="none"/>
          <w:lang w:val="en-US" w:eastAsia="zh-CN"/>
        </w:rPr>
        <w:t>总和</w:t>
      </w:r>
      <w:r>
        <w:rPr>
          <w:rFonts w:hint="eastAsia" w:ascii="仿宋" w:hAnsi="仿宋" w:eastAsia="仿宋" w:cs="仿宋"/>
          <w:color w:val="auto"/>
          <w:kern w:val="2"/>
          <w:sz w:val="24"/>
          <w:szCs w:val="24"/>
          <w:highlight w:val="none"/>
        </w:rPr>
        <w:t>。今后不作调整。</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2、按招标项目的技术要求，投标人根据项目特点和企业条件确定投标报价。投标人所报的投标报价为整个项目的总报价，如有漏项，视同已包含在其它项目中，合同总价和单价不做调整。</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3、按国家规定由中标人缴纳的各种税收已包含在投标总价内，由中标人向税务机关缴纳。</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4、本次招标为国内公开招标，请投标人报人民币交货价；</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5、投标人报价超过预算的投标作无效标处理。</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6、中标人应与所有相关的部门相联系，获得相关认可，以便设备能及时投入使用。</w:t>
      </w:r>
    </w:p>
    <w:p>
      <w:pPr>
        <w:widowControl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7、中标人应遵守有关部门的管理，并遵照相关规定。</w:t>
      </w:r>
    </w:p>
    <w:p>
      <w:pPr>
        <w:widowControl w:val="0"/>
        <w:spacing w:after="0" w:line="360" w:lineRule="auto"/>
        <w:ind w:firstLine="422"/>
        <w:jc w:val="both"/>
        <w:outlineLvl w:val="1"/>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（二）工期</w:t>
      </w:r>
    </w:p>
    <w:p>
      <w:pPr>
        <w:widowControl w:val="0"/>
        <w:spacing w:after="0" w:line="360" w:lineRule="auto"/>
        <w:ind w:firstLine="482" w:firstLineChars="200"/>
        <w:jc w:val="both"/>
        <w:rPr>
          <w:rFonts w:hint="eastAsia" w:ascii="仿宋" w:hAnsi="仿宋" w:eastAsia="仿宋" w:cs="仿宋"/>
          <w:b/>
          <w:color w:val="auto"/>
          <w:kern w:val="1"/>
          <w:sz w:val="24"/>
          <w:szCs w:val="24"/>
          <w:highlight w:val="none"/>
        </w:rPr>
      </w:pPr>
      <w:r>
        <w:rPr>
          <w:rFonts w:hint="eastAsia" w:cs="仿宋"/>
          <w:b/>
          <w:bCs/>
          <w:color w:val="auto"/>
          <w:highlight w:val="none"/>
        </w:rPr>
        <w:t>▲</w:t>
      </w:r>
      <w:r>
        <w:rPr>
          <w:rFonts w:hint="eastAsia" w:ascii="仿宋" w:hAnsi="仿宋" w:eastAsia="仿宋" w:cs="仿宋"/>
          <w:b/>
          <w:color w:val="auto"/>
          <w:kern w:val="1"/>
          <w:sz w:val="24"/>
          <w:szCs w:val="24"/>
          <w:highlight w:val="none"/>
        </w:rPr>
        <w:t>工期：自接到采购人通知后</w:t>
      </w:r>
      <w:r>
        <w:rPr>
          <w:rFonts w:hint="eastAsia" w:ascii="仿宋" w:hAnsi="仿宋" w:eastAsia="仿宋" w:cs="仿宋"/>
          <w:b/>
          <w:color w:val="auto"/>
          <w:kern w:val="1"/>
          <w:sz w:val="24"/>
          <w:szCs w:val="24"/>
          <w:highlight w:val="none"/>
          <w:lang w:val="en-US" w:eastAsia="zh-CN"/>
        </w:rPr>
        <w:t>90</w:t>
      </w:r>
      <w:r>
        <w:rPr>
          <w:rFonts w:hint="eastAsia" w:ascii="仿宋" w:hAnsi="仿宋" w:eastAsia="仿宋" w:cs="仿宋"/>
          <w:b/>
          <w:color w:val="auto"/>
          <w:kern w:val="1"/>
          <w:sz w:val="24"/>
          <w:szCs w:val="24"/>
          <w:highlight w:val="none"/>
        </w:rPr>
        <w:t>天内，完成智慧场馆管理平台软硬件开发实施与交付。</w:t>
      </w:r>
    </w:p>
    <w:p>
      <w:pPr>
        <w:widowControl/>
        <w:overflowPunct w:val="0"/>
        <w:autoSpaceDE w:val="0"/>
        <w:autoSpaceDN w:val="0"/>
        <w:adjustRightInd w:val="0"/>
        <w:spacing w:before="50" w:line="360" w:lineRule="auto"/>
        <w:ind w:left="210" w:firstLine="42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交货和安装地点：采购人指定地点。</w:t>
      </w:r>
    </w:p>
    <w:p>
      <w:pPr>
        <w:widowControl w:val="0"/>
        <w:tabs>
          <w:tab w:val="left" w:pos="1680"/>
        </w:tabs>
        <w:spacing w:after="0" w:line="360" w:lineRule="auto"/>
        <w:ind w:firstLine="422"/>
        <w:jc w:val="both"/>
        <w:outlineLvl w:val="1"/>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（三）保修期</w:t>
      </w:r>
    </w:p>
    <w:p>
      <w:pPr>
        <w:widowControl/>
        <w:overflowPunct w:val="0"/>
        <w:autoSpaceDE w:val="0"/>
        <w:autoSpaceDN w:val="0"/>
        <w:adjustRightInd w:val="0"/>
        <w:spacing w:before="50" w:line="360" w:lineRule="auto"/>
        <w:ind w:left="210" w:firstLine="420"/>
        <w:jc w:val="left"/>
        <w:textAlignment w:val="baseline"/>
        <w:rPr>
          <w:rFonts w:hint="eastAsia" w:ascii="仿宋" w:hAnsi="仿宋" w:eastAsia="仿宋" w:cs="仿宋"/>
          <w:b/>
          <w:bCs/>
          <w:color w:val="auto"/>
          <w:kern w:val="0"/>
          <w:sz w:val="24"/>
          <w:szCs w:val="24"/>
          <w:highlight w:val="none"/>
          <w:lang w:val="en-US" w:eastAsia="zh-CN" w:bidi="ar-SA"/>
        </w:rPr>
      </w:pPr>
      <w:r>
        <w:rPr>
          <w:rFonts w:hint="eastAsia" w:cs="仿宋"/>
          <w:b/>
          <w:bCs/>
          <w:color w:val="auto"/>
          <w:highlight w:val="none"/>
        </w:rPr>
        <w:t>▲</w:t>
      </w:r>
      <w:r>
        <w:rPr>
          <w:rFonts w:hint="eastAsia" w:ascii="仿宋" w:hAnsi="仿宋" w:eastAsia="仿宋" w:cs="仿宋"/>
          <w:b/>
          <w:bCs/>
          <w:color w:val="auto"/>
          <w:kern w:val="0"/>
          <w:sz w:val="24"/>
          <w:szCs w:val="24"/>
          <w:highlight w:val="none"/>
          <w:lang w:val="en-US" w:eastAsia="zh-CN" w:bidi="ar-SA"/>
        </w:rPr>
        <w:t>保修期的约定：从项目整体验收合格之日起，系统软件质保两年，智能硬件设备质保一年（厂家有更高标准的按更高标准执行）。</w:t>
      </w:r>
    </w:p>
    <w:p>
      <w:pPr>
        <w:widowControl w:val="0"/>
        <w:numPr>
          <w:ilvl w:val="0"/>
          <w:numId w:val="0"/>
        </w:numPr>
        <w:spacing w:after="0" w:line="360" w:lineRule="auto"/>
        <w:ind w:firstLine="482" w:firstLineChars="200"/>
        <w:jc w:val="both"/>
        <w:outlineLvl w:val="1"/>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rPr>
        <w:t>付款方式</w:t>
      </w:r>
    </w:p>
    <w:bookmarkEnd w:id="3"/>
    <w:p>
      <w:pPr>
        <w:spacing w:line="500" w:lineRule="exact"/>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合同签订7个工作日内，采购人支付合同总价的40%作为预付款，设备安装完毕并通过验收合格后，采购人向中标单位支付余款。</w:t>
      </w:r>
      <w:r>
        <w:rPr>
          <w:rFonts w:hint="eastAsia" w:cs="仿宋"/>
          <w:color w:val="auto"/>
          <w:kern w:val="2"/>
          <w:sz w:val="24"/>
          <w:szCs w:val="24"/>
          <w:highlight w:val="none"/>
          <w:lang w:val="en-US" w:eastAsia="zh-CN"/>
        </w:rPr>
        <w:t>（上述款项均在预算资金下达后支付）</w:t>
      </w:r>
    </w:p>
    <w:p>
      <w:pPr>
        <w:spacing w:line="500" w:lineRule="exact"/>
        <w:rPr>
          <w:rFonts w:hint="eastAsia" w:cs="仿宋"/>
          <w:b/>
          <w:bCs/>
          <w:color w:val="auto"/>
          <w:highlight w:val="none"/>
        </w:rPr>
      </w:pPr>
    </w:p>
    <w:p>
      <w:pPr>
        <w:spacing w:line="500" w:lineRule="exact"/>
        <w:rPr>
          <w:rFonts w:cs="仿宋"/>
          <w:b/>
          <w:bCs/>
          <w:color w:val="auto"/>
          <w:highlight w:val="none"/>
        </w:rPr>
      </w:pPr>
      <w:r>
        <w:rPr>
          <w:rFonts w:hint="eastAsia" w:cs="仿宋"/>
          <w:b/>
          <w:bCs/>
          <w:color w:val="auto"/>
          <w:highlight w:val="none"/>
        </w:rPr>
        <w:t>注：</w:t>
      </w:r>
    </w:p>
    <w:p>
      <w:pPr>
        <w:spacing w:line="500" w:lineRule="exact"/>
        <w:rPr>
          <w:rFonts w:cs="仿宋"/>
          <w:b/>
          <w:bCs/>
          <w:color w:val="auto"/>
          <w:highlight w:val="none"/>
        </w:rPr>
      </w:pPr>
      <w:r>
        <w:rPr>
          <w:rFonts w:hint="eastAsia" w:cs="仿宋"/>
          <w:b/>
          <w:bCs/>
          <w:color w:val="auto"/>
          <w:highlight w:val="none"/>
          <w:lang w:val="en-US" w:eastAsia="zh-CN"/>
        </w:rPr>
        <w:t>1</w:t>
      </w:r>
      <w:r>
        <w:rPr>
          <w:rFonts w:hint="eastAsia" w:cs="仿宋"/>
          <w:b/>
          <w:bCs/>
          <w:color w:val="auto"/>
          <w:highlight w:val="none"/>
        </w:rPr>
        <w:t>、打▲内容为实质性要求，不允许有负偏离，否则将以涉及无效投标条款作无效投标。</w:t>
      </w:r>
    </w:p>
    <w:p>
      <w:pPr>
        <w:spacing w:line="500" w:lineRule="exact"/>
        <w:rPr>
          <w:color w:val="auto"/>
          <w:highlight w:val="none"/>
        </w:rPr>
      </w:pPr>
      <w:r>
        <w:rPr>
          <w:rFonts w:hint="eastAsia" w:cs="仿宋"/>
          <w:b/>
          <w:bCs/>
          <w:color w:val="auto"/>
          <w:highlight w:val="none"/>
          <w:lang w:val="en-US" w:eastAsia="zh-CN"/>
        </w:rPr>
        <w:t>2</w:t>
      </w:r>
      <w:r>
        <w:rPr>
          <w:rFonts w:hint="eastAsia" w:cs="仿宋"/>
          <w:b/>
          <w:bCs/>
          <w:color w:val="auto"/>
          <w:highlight w:val="none"/>
        </w:rPr>
        <w:t>、中标人所提供的货物、服务须与投标承诺一致，不得以次充好、偷工减料，若在项目验收中发现有上述情况，将向有关部门举报，根据相关规定进行处理。</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第四部分</w:t>
      </w:r>
      <w:r>
        <w:rPr>
          <w:color w:val="auto"/>
          <w:highlight w:val="none"/>
        </w:rPr>
        <w:t xml:space="preserve">   </w:t>
      </w:r>
      <w:bookmarkStart w:id="4" w:name="_Toc184310343"/>
      <w:bookmarkEnd w:id="4"/>
      <w:bookmarkStart w:id="5" w:name="_Toc184310342"/>
      <w:bookmarkEnd w:id="5"/>
      <w:bookmarkStart w:id="6" w:name="_Toc184308048"/>
      <w:bookmarkEnd w:id="6"/>
      <w:bookmarkStart w:id="7" w:name="_Toc184308088"/>
      <w:bookmarkEnd w:id="7"/>
      <w:bookmarkStart w:id="8" w:name="_Toc184313286"/>
      <w:bookmarkEnd w:id="8"/>
      <w:bookmarkStart w:id="9" w:name="_Toc184313266"/>
      <w:bookmarkEnd w:id="9"/>
      <w:bookmarkStart w:id="10" w:name="_Toc184313263"/>
      <w:bookmarkEnd w:id="10"/>
      <w:bookmarkStart w:id="11" w:name="_Toc184313288"/>
      <w:bookmarkEnd w:id="11"/>
      <w:bookmarkStart w:id="12" w:name="_Toc184313251"/>
      <w:bookmarkEnd w:id="12"/>
      <w:bookmarkStart w:id="13" w:name="_Toc184313301"/>
      <w:bookmarkEnd w:id="13"/>
      <w:bookmarkStart w:id="14" w:name="_Toc184308054"/>
      <w:bookmarkEnd w:id="14"/>
      <w:bookmarkStart w:id="15" w:name="_Toc184314462"/>
      <w:bookmarkEnd w:id="15"/>
      <w:bookmarkStart w:id="16" w:name="_Toc184310340"/>
      <w:bookmarkEnd w:id="16"/>
      <w:bookmarkStart w:id="17" w:name="_Toc184308045"/>
      <w:bookmarkEnd w:id="17"/>
      <w:bookmarkStart w:id="18" w:name="_Toc184310279"/>
      <w:bookmarkEnd w:id="18"/>
      <w:bookmarkStart w:id="19" w:name="_Toc184308079"/>
      <w:bookmarkEnd w:id="19"/>
      <w:bookmarkStart w:id="20" w:name="_Toc184314426"/>
      <w:bookmarkEnd w:id="20"/>
      <w:bookmarkStart w:id="21" w:name="_Toc184310308"/>
      <w:bookmarkEnd w:id="21"/>
      <w:bookmarkStart w:id="22" w:name="_Toc184312116"/>
      <w:bookmarkEnd w:id="22"/>
      <w:bookmarkStart w:id="23" w:name="_Toc184312139"/>
      <w:bookmarkEnd w:id="23"/>
      <w:bookmarkStart w:id="24" w:name="_Toc184314472"/>
      <w:bookmarkEnd w:id="24"/>
      <w:bookmarkStart w:id="25" w:name="_Toc184308089"/>
      <w:bookmarkEnd w:id="25"/>
      <w:bookmarkStart w:id="26" w:name="_Toc184308090"/>
      <w:bookmarkEnd w:id="26"/>
      <w:bookmarkStart w:id="27" w:name="_Toc184313304"/>
      <w:bookmarkEnd w:id="27"/>
      <w:bookmarkStart w:id="28" w:name="_Toc184313272"/>
      <w:bookmarkEnd w:id="28"/>
      <w:bookmarkStart w:id="29" w:name="_Toc184314417"/>
      <w:bookmarkEnd w:id="29"/>
      <w:bookmarkStart w:id="30" w:name="_Toc184312122"/>
      <w:bookmarkEnd w:id="30"/>
      <w:bookmarkStart w:id="31" w:name="_Toc184314442"/>
      <w:bookmarkEnd w:id="31"/>
      <w:bookmarkStart w:id="32" w:name="_Toc184308094"/>
      <w:bookmarkEnd w:id="32"/>
      <w:bookmarkStart w:id="33" w:name="_Toc184312088"/>
      <w:bookmarkEnd w:id="33"/>
      <w:bookmarkStart w:id="34" w:name="_Toc184313239"/>
      <w:bookmarkEnd w:id="34"/>
      <w:bookmarkStart w:id="35" w:name="_Toc184308057"/>
      <w:bookmarkEnd w:id="35"/>
      <w:bookmarkStart w:id="36" w:name="_Toc184314411"/>
      <w:bookmarkEnd w:id="36"/>
      <w:bookmarkStart w:id="37" w:name="_Toc184313306"/>
      <w:bookmarkEnd w:id="37"/>
      <w:bookmarkStart w:id="38" w:name="_Toc184308095"/>
      <w:bookmarkEnd w:id="38"/>
      <w:bookmarkStart w:id="39" w:name="_Toc184313257"/>
      <w:bookmarkEnd w:id="39"/>
      <w:bookmarkStart w:id="40" w:name="_Toc184308041"/>
      <w:bookmarkEnd w:id="40"/>
      <w:bookmarkStart w:id="41" w:name="_Toc184313282"/>
      <w:bookmarkEnd w:id="41"/>
      <w:bookmarkStart w:id="42" w:name="_Toc184314443"/>
      <w:bookmarkEnd w:id="42"/>
      <w:bookmarkStart w:id="43" w:name="_Toc184310278"/>
      <w:bookmarkEnd w:id="43"/>
      <w:bookmarkStart w:id="44" w:name="_Toc184312105"/>
      <w:bookmarkEnd w:id="44"/>
      <w:bookmarkStart w:id="45" w:name="_Toc184313295"/>
      <w:bookmarkEnd w:id="45"/>
      <w:bookmarkStart w:id="46" w:name="_Toc184314465"/>
      <w:bookmarkEnd w:id="46"/>
      <w:bookmarkStart w:id="47" w:name="_Toc184314480"/>
      <w:bookmarkEnd w:id="47"/>
      <w:bookmarkStart w:id="48" w:name="_Toc184312117"/>
      <w:bookmarkEnd w:id="48"/>
      <w:bookmarkStart w:id="49" w:name="_Toc184310336"/>
      <w:bookmarkEnd w:id="49"/>
      <w:bookmarkStart w:id="50" w:name="_Toc184314471"/>
      <w:bookmarkEnd w:id="50"/>
      <w:bookmarkStart w:id="51" w:name="_Toc184312096"/>
      <w:bookmarkEnd w:id="51"/>
      <w:bookmarkStart w:id="52" w:name="_Toc184308083"/>
      <w:bookmarkEnd w:id="52"/>
      <w:bookmarkStart w:id="53" w:name="_Toc184312110"/>
      <w:bookmarkEnd w:id="53"/>
      <w:bookmarkStart w:id="54" w:name="_Toc184313247"/>
      <w:bookmarkEnd w:id="54"/>
      <w:bookmarkStart w:id="55" w:name="_Toc184308042"/>
      <w:bookmarkEnd w:id="55"/>
      <w:bookmarkStart w:id="56" w:name="_Toc184310322"/>
      <w:bookmarkEnd w:id="56"/>
      <w:bookmarkStart w:id="57" w:name="_Toc184314433"/>
      <w:bookmarkEnd w:id="57"/>
      <w:bookmarkStart w:id="58" w:name="_Toc184312100"/>
      <w:bookmarkEnd w:id="58"/>
      <w:bookmarkStart w:id="59" w:name="_Toc184310301"/>
      <w:bookmarkEnd w:id="59"/>
      <w:bookmarkStart w:id="60" w:name="_Toc184310303"/>
      <w:bookmarkEnd w:id="60"/>
      <w:bookmarkStart w:id="61" w:name="_Toc184312138"/>
      <w:bookmarkEnd w:id="61"/>
      <w:bookmarkStart w:id="62" w:name="_Toc184310273"/>
      <w:bookmarkEnd w:id="62"/>
      <w:bookmarkStart w:id="63" w:name="_Toc184313303"/>
      <w:bookmarkEnd w:id="63"/>
      <w:bookmarkStart w:id="64" w:name="_Toc184312136"/>
      <w:bookmarkEnd w:id="64"/>
      <w:bookmarkStart w:id="65" w:name="_Toc184313293"/>
      <w:bookmarkEnd w:id="65"/>
      <w:bookmarkStart w:id="66" w:name="_Toc184308084"/>
      <w:bookmarkEnd w:id="66"/>
      <w:bookmarkStart w:id="67" w:name="_Toc184313268"/>
      <w:bookmarkEnd w:id="67"/>
      <w:bookmarkStart w:id="68" w:name="_Toc184313280"/>
      <w:bookmarkEnd w:id="68"/>
      <w:bookmarkStart w:id="69" w:name="_Toc184310294"/>
      <w:bookmarkEnd w:id="69"/>
      <w:bookmarkStart w:id="70" w:name="_Toc184313243"/>
      <w:bookmarkEnd w:id="70"/>
      <w:bookmarkStart w:id="71" w:name="_Toc184308074"/>
      <w:bookmarkEnd w:id="71"/>
      <w:bookmarkStart w:id="72" w:name="_Toc184314479"/>
      <w:bookmarkEnd w:id="72"/>
      <w:bookmarkStart w:id="73" w:name="_Toc184313261"/>
      <w:bookmarkEnd w:id="73"/>
      <w:bookmarkStart w:id="74" w:name="_Toc184310304"/>
      <w:bookmarkEnd w:id="74"/>
      <w:bookmarkStart w:id="75" w:name="_Toc184310315"/>
      <w:bookmarkEnd w:id="75"/>
      <w:bookmarkStart w:id="76" w:name="_Toc184308039"/>
      <w:bookmarkEnd w:id="76"/>
      <w:bookmarkStart w:id="77" w:name="_Toc184312076"/>
      <w:bookmarkEnd w:id="77"/>
      <w:bookmarkStart w:id="78" w:name="_Toc184308075"/>
      <w:bookmarkEnd w:id="78"/>
      <w:bookmarkStart w:id="79" w:name="_Toc184310281"/>
      <w:bookmarkEnd w:id="79"/>
      <w:bookmarkStart w:id="80" w:name="_Toc184312093"/>
      <w:bookmarkEnd w:id="80"/>
      <w:bookmarkStart w:id="81" w:name="_Toc184313291"/>
      <w:bookmarkEnd w:id="81"/>
      <w:bookmarkStart w:id="82" w:name="_Toc184310306"/>
      <w:bookmarkEnd w:id="82"/>
      <w:bookmarkStart w:id="83" w:name="_Toc184310277"/>
      <w:bookmarkEnd w:id="83"/>
      <w:bookmarkStart w:id="84" w:name="_Toc184308064"/>
      <w:bookmarkEnd w:id="84"/>
      <w:bookmarkStart w:id="85" w:name="_Toc184310272"/>
      <w:bookmarkEnd w:id="85"/>
      <w:bookmarkStart w:id="86" w:name="_Toc184310334"/>
      <w:bookmarkEnd w:id="86"/>
      <w:bookmarkStart w:id="87" w:name="_Toc184312102"/>
      <w:bookmarkEnd w:id="87"/>
      <w:bookmarkStart w:id="88" w:name="_Toc184313287"/>
      <w:bookmarkEnd w:id="88"/>
      <w:bookmarkStart w:id="89" w:name="_Toc184312103"/>
      <w:bookmarkEnd w:id="89"/>
      <w:bookmarkStart w:id="90" w:name="_Toc184308062"/>
      <w:bookmarkEnd w:id="90"/>
      <w:bookmarkStart w:id="91" w:name="_Toc184310338"/>
      <w:bookmarkEnd w:id="91"/>
      <w:bookmarkStart w:id="92" w:name="_Toc184308058"/>
      <w:bookmarkEnd w:id="92"/>
      <w:bookmarkStart w:id="93" w:name="_Toc184308068"/>
      <w:bookmarkEnd w:id="93"/>
      <w:bookmarkStart w:id="94" w:name="_Toc184310339"/>
      <w:bookmarkEnd w:id="94"/>
      <w:bookmarkStart w:id="95" w:name="_Toc184314450"/>
      <w:bookmarkEnd w:id="95"/>
      <w:bookmarkStart w:id="96" w:name="_Toc184314425"/>
      <w:bookmarkEnd w:id="96"/>
      <w:bookmarkStart w:id="97" w:name="_Toc184314449"/>
      <w:bookmarkEnd w:id="97"/>
      <w:bookmarkStart w:id="98" w:name="_Toc184314428"/>
      <w:bookmarkEnd w:id="98"/>
      <w:bookmarkStart w:id="99" w:name="_Toc184312070"/>
      <w:bookmarkEnd w:id="99"/>
      <w:bookmarkStart w:id="100" w:name="_Toc184310289"/>
      <w:bookmarkEnd w:id="100"/>
      <w:bookmarkStart w:id="101" w:name="_Toc184314458"/>
      <w:bookmarkEnd w:id="101"/>
      <w:bookmarkStart w:id="102" w:name="_Toc184308073"/>
      <w:bookmarkEnd w:id="102"/>
      <w:bookmarkStart w:id="103" w:name="_Toc184313292"/>
      <w:bookmarkEnd w:id="103"/>
      <w:bookmarkStart w:id="104" w:name="_Toc184313279"/>
      <w:bookmarkEnd w:id="104"/>
      <w:bookmarkStart w:id="105" w:name="_Toc184310321"/>
      <w:bookmarkEnd w:id="105"/>
      <w:bookmarkStart w:id="106" w:name="_Toc184313244"/>
      <w:bookmarkEnd w:id="106"/>
      <w:bookmarkStart w:id="107" w:name="_Toc184308072"/>
      <w:bookmarkEnd w:id="107"/>
      <w:bookmarkStart w:id="108" w:name="_Toc184314412"/>
      <w:bookmarkEnd w:id="108"/>
      <w:bookmarkStart w:id="109" w:name="_Toc184314470"/>
      <w:bookmarkEnd w:id="109"/>
      <w:bookmarkStart w:id="110" w:name="_Toc184313294"/>
      <w:bookmarkEnd w:id="110"/>
      <w:bookmarkStart w:id="111" w:name="_Toc184310291"/>
      <w:bookmarkEnd w:id="111"/>
      <w:bookmarkStart w:id="112" w:name="_Toc184312137"/>
      <w:bookmarkEnd w:id="112"/>
      <w:bookmarkStart w:id="113" w:name="_Toc184314481"/>
      <w:bookmarkEnd w:id="113"/>
      <w:bookmarkStart w:id="114" w:name="_Toc184308040"/>
      <w:bookmarkEnd w:id="114"/>
      <w:bookmarkStart w:id="115" w:name="_Toc184314454"/>
      <w:bookmarkEnd w:id="115"/>
      <w:bookmarkStart w:id="116" w:name="_Toc184312079"/>
      <w:bookmarkEnd w:id="116"/>
      <w:bookmarkStart w:id="117" w:name="_Toc184313264"/>
      <w:bookmarkEnd w:id="117"/>
      <w:bookmarkStart w:id="118" w:name="_Toc184312092"/>
      <w:bookmarkEnd w:id="118"/>
      <w:bookmarkStart w:id="119" w:name="_Toc184308059"/>
      <w:bookmarkEnd w:id="119"/>
      <w:bookmarkStart w:id="120" w:name="_Toc184308103"/>
      <w:bookmarkEnd w:id="120"/>
      <w:bookmarkStart w:id="121" w:name="_Toc184310287"/>
      <w:bookmarkEnd w:id="121"/>
      <w:bookmarkStart w:id="122" w:name="_Toc184310290"/>
      <w:bookmarkEnd w:id="122"/>
      <w:bookmarkStart w:id="123" w:name="_Toc184308047"/>
      <w:bookmarkEnd w:id="123"/>
      <w:bookmarkStart w:id="124" w:name="_Toc184312094"/>
      <w:bookmarkEnd w:id="124"/>
      <w:bookmarkStart w:id="125" w:name="_Toc184310325"/>
      <w:bookmarkEnd w:id="125"/>
      <w:bookmarkStart w:id="126" w:name="_Toc184314459"/>
      <w:bookmarkEnd w:id="126"/>
      <w:bookmarkStart w:id="127" w:name="_Toc184310285"/>
      <w:bookmarkEnd w:id="127"/>
      <w:bookmarkStart w:id="128" w:name="_Toc184314438"/>
      <w:bookmarkEnd w:id="128"/>
      <w:bookmarkStart w:id="129" w:name="_Toc184313269"/>
      <w:bookmarkEnd w:id="129"/>
      <w:bookmarkStart w:id="130" w:name="_Toc184313249"/>
      <w:bookmarkEnd w:id="130"/>
      <w:bookmarkStart w:id="131" w:name="_Toc184308104"/>
      <w:bookmarkEnd w:id="131"/>
      <w:bookmarkStart w:id="132" w:name="_Toc184310293"/>
      <w:bookmarkEnd w:id="132"/>
      <w:bookmarkStart w:id="133" w:name="_Toc184314444"/>
      <w:bookmarkEnd w:id="133"/>
      <w:bookmarkStart w:id="134" w:name="_Toc184308081"/>
      <w:bookmarkEnd w:id="134"/>
      <w:bookmarkStart w:id="135" w:name="_Toc184308065"/>
      <w:bookmarkEnd w:id="135"/>
      <w:bookmarkStart w:id="136" w:name="_Toc184308046"/>
      <w:bookmarkEnd w:id="136"/>
      <w:bookmarkStart w:id="137" w:name="_Toc184314420"/>
      <w:bookmarkEnd w:id="137"/>
      <w:bookmarkStart w:id="138" w:name="_Toc184312127"/>
      <w:bookmarkEnd w:id="138"/>
      <w:bookmarkStart w:id="139" w:name="_Toc184313276"/>
      <w:bookmarkEnd w:id="139"/>
      <w:bookmarkStart w:id="140" w:name="_Toc184313238"/>
      <w:bookmarkEnd w:id="140"/>
      <w:bookmarkStart w:id="141" w:name="_Toc184310297"/>
      <w:bookmarkEnd w:id="141"/>
      <w:bookmarkStart w:id="142" w:name="_Toc184308077"/>
      <w:bookmarkEnd w:id="142"/>
      <w:bookmarkStart w:id="143" w:name="_Toc184313240"/>
      <w:bookmarkEnd w:id="143"/>
      <w:bookmarkStart w:id="144" w:name="_Toc184313242"/>
      <w:bookmarkEnd w:id="144"/>
      <w:bookmarkStart w:id="145" w:name="_Toc184308096"/>
      <w:bookmarkEnd w:id="145"/>
      <w:bookmarkStart w:id="146" w:name="_Toc184310276"/>
      <w:bookmarkEnd w:id="146"/>
      <w:bookmarkStart w:id="147" w:name="_Toc184310329"/>
      <w:bookmarkEnd w:id="147"/>
      <w:bookmarkStart w:id="148" w:name="_Toc184313298"/>
      <w:bookmarkEnd w:id="148"/>
      <w:bookmarkStart w:id="149" w:name="_Toc184314473"/>
      <w:bookmarkEnd w:id="149"/>
      <w:bookmarkStart w:id="150" w:name="_Toc184314457"/>
      <w:bookmarkEnd w:id="150"/>
      <w:bookmarkStart w:id="151" w:name="_Toc184310275"/>
      <w:bookmarkEnd w:id="151"/>
      <w:bookmarkStart w:id="152" w:name="_Toc184312114"/>
      <w:bookmarkEnd w:id="152"/>
      <w:bookmarkStart w:id="153" w:name="_Toc184314469"/>
      <w:bookmarkEnd w:id="153"/>
      <w:bookmarkStart w:id="154" w:name="_Toc184308060"/>
      <w:bookmarkEnd w:id="154"/>
      <w:bookmarkStart w:id="155" w:name="_Toc184313254"/>
      <w:bookmarkEnd w:id="155"/>
      <w:bookmarkStart w:id="156" w:name="_Toc184314474"/>
      <w:bookmarkEnd w:id="156"/>
      <w:bookmarkStart w:id="157" w:name="_Toc184310323"/>
      <w:bookmarkEnd w:id="157"/>
      <w:bookmarkStart w:id="158" w:name="_Toc184312132"/>
      <w:bookmarkEnd w:id="158"/>
      <w:bookmarkStart w:id="159" w:name="_Toc184314432"/>
      <w:bookmarkEnd w:id="159"/>
      <w:bookmarkStart w:id="160" w:name="_Toc184310328"/>
      <w:bookmarkEnd w:id="160"/>
      <w:bookmarkStart w:id="161" w:name="_Toc184314468"/>
      <w:bookmarkEnd w:id="161"/>
      <w:bookmarkStart w:id="162" w:name="_Toc184310320"/>
      <w:bookmarkEnd w:id="162"/>
      <w:bookmarkStart w:id="163" w:name="_Toc184314466"/>
      <w:bookmarkEnd w:id="163"/>
      <w:bookmarkStart w:id="164" w:name="_Toc184308086"/>
      <w:bookmarkEnd w:id="164"/>
      <w:bookmarkStart w:id="165" w:name="_Toc184313300"/>
      <w:bookmarkEnd w:id="165"/>
      <w:bookmarkStart w:id="166" w:name="_Toc184314475"/>
      <w:bookmarkEnd w:id="166"/>
      <w:bookmarkStart w:id="167" w:name="_Toc184314421"/>
      <w:bookmarkEnd w:id="167"/>
      <w:bookmarkStart w:id="168" w:name="_Toc184308069"/>
      <w:bookmarkEnd w:id="168"/>
      <w:bookmarkStart w:id="169" w:name="_Toc184312077"/>
      <w:bookmarkEnd w:id="169"/>
      <w:bookmarkStart w:id="170" w:name="_Toc184313277"/>
      <w:bookmarkEnd w:id="170"/>
      <w:bookmarkStart w:id="171" w:name="_Toc184310284"/>
      <w:bookmarkEnd w:id="171"/>
      <w:bookmarkStart w:id="172" w:name="_Toc184308071"/>
      <w:bookmarkEnd w:id="172"/>
      <w:bookmarkStart w:id="173" w:name="_Toc184314439"/>
      <w:bookmarkEnd w:id="173"/>
      <w:bookmarkStart w:id="174" w:name="_Toc184310305"/>
      <w:bookmarkEnd w:id="174"/>
      <w:bookmarkStart w:id="175" w:name="_Toc184313260"/>
      <w:bookmarkEnd w:id="175"/>
      <w:bookmarkStart w:id="176" w:name="_Toc184314416"/>
      <w:bookmarkEnd w:id="176"/>
      <w:bookmarkStart w:id="177" w:name="_Toc184312080"/>
      <w:bookmarkEnd w:id="177"/>
      <w:bookmarkStart w:id="178" w:name="_Toc184310286"/>
      <w:bookmarkEnd w:id="178"/>
      <w:bookmarkStart w:id="179" w:name="_Toc184312087"/>
      <w:bookmarkEnd w:id="179"/>
      <w:bookmarkStart w:id="180" w:name="_Toc184310326"/>
      <w:bookmarkEnd w:id="180"/>
      <w:bookmarkStart w:id="181" w:name="_Toc184310296"/>
      <w:bookmarkEnd w:id="181"/>
      <w:bookmarkStart w:id="182" w:name="_Toc184308085"/>
      <w:bookmarkEnd w:id="182"/>
      <w:bookmarkStart w:id="183" w:name="_Toc184313274"/>
      <w:bookmarkEnd w:id="183"/>
      <w:bookmarkStart w:id="184" w:name="_Toc184312091"/>
      <w:bookmarkEnd w:id="184"/>
      <w:bookmarkStart w:id="185" w:name="_Toc184308053"/>
      <w:bookmarkEnd w:id="185"/>
      <w:bookmarkStart w:id="186" w:name="_Toc184308067"/>
      <w:bookmarkEnd w:id="186"/>
      <w:bookmarkStart w:id="187" w:name="_Toc184310316"/>
      <w:bookmarkEnd w:id="187"/>
      <w:bookmarkStart w:id="188" w:name="_Toc184314460"/>
      <w:bookmarkEnd w:id="188"/>
      <w:bookmarkStart w:id="189" w:name="_Toc184312129"/>
      <w:bookmarkEnd w:id="189"/>
      <w:bookmarkStart w:id="190" w:name="_Toc184308080"/>
      <w:bookmarkEnd w:id="190"/>
      <w:bookmarkStart w:id="191" w:name="_Toc184313246"/>
      <w:bookmarkEnd w:id="191"/>
      <w:bookmarkStart w:id="192" w:name="_Toc184310341"/>
      <w:bookmarkEnd w:id="192"/>
      <w:bookmarkStart w:id="193" w:name="_Toc184314482"/>
      <w:bookmarkEnd w:id="193"/>
      <w:bookmarkStart w:id="194" w:name="_Toc184314455"/>
      <w:bookmarkEnd w:id="194"/>
      <w:bookmarkStart w:id="195" w:name="_Toc184312126"/>
      <w:bookmarkEnd w:id="195"/>
      <w:bookmarkStart w:id="196" w:name="_Toc184310300"/>
      <w:bookmarkEnd w:id="196"/>
      <w:bookmarkStart w:id="197" w:name="_Toc184314414"/>
      <w:bookmarkEnd w:id="197"/>
      <w:bookmarkStart w:id="198" w:name="_Toc184314440"/>
      <w:bookmarkEnd w:id="198"/>
      <w:bookmarkStart w:id="199" w:name="_Toc184314427"/>
      <w:bookmarkEnd w:id="199"/>
      <w:bookmarkStart w:id="200" w:name="_Toc184310337"/>
      <w:bookmarkEnd w:id="200"/>
      <w:bookmarkStart w:id="201" w:name="_Toc184312074"/>
      <w:bookmarkEnd w:id="201"/>
      <w:bookmarkStart w:id="202" w:name="_Toc184314447"/>
      <w:bookmarkEnd w:id="202"/>
      <w:bookmarkStart w:id="203" w:name="_Toc184312068"/>
      <w:bookmarkEnd w:id="203"/>
      <w:bookmarkStart w:id="204" w:name="_Toc184313285"/>
      <w:bookmarkEnd w:id="204"/>
      <w:bookmarkStart w:id="205" w:name="_Toc184312123"/>
      <w:bookmarkEnd w:id="205"/>
      <w:bookmarkStart w:id="206" w:name="_Toc184313273"/>
      <w:bookmarkEnd w:id="206"/>
      <w:bookmarkStart w:id="207" w:name="_Toc184308051"/>
      <w:bookmarkEnd w:id="207"/>
      <w:bookmarkStart w:id="208" w:name="_Toc184314448"/>
      <w:bookmarkEnd w:id="208"/>
      <w:bookmarkStart w:id="209" w:name="_Toc184313270"/>
      <w:bookmarkEnd w:id="209"/>
      <w:bookmarkStart w:id="210" w:name="_Toc184310310"/>
      <w:bookmarkEnd w:id="210"/>
      <w:bookmarkStart w:id="211" w:name="_Toc184310280"/>
      <w:bookmarkEnd w:id="211"/>
      <w:bookmarkStart w:id="212" w:name="_Toc184310331"/>
      <w:bookmarkEnd w:id="212"/>
      <w:bookmarkStart w:id="213" w:name="_Toc184310317"/>
      <w:bookmarkEnd w:id="213"/>
      <w:bookmarkStart w:id="214" w:name="_Toc184310319"/>
      <w:bookmarkEnd w:id="214"/>
      <w:bookmarkStart w:id="215" w:name="_Toc184314424"/>
      <w:bookmarkEnd w:id="215"/>
      <w:bookmarkStart w:id="216" w:name="_Toc184312108"/>
      <w:bookmarkEnd w:id="216"/>
      <w:bookmarkStart w:id="217" w:name="_Toc184312130"/>
      <w:bookmarkEnd w:id="217"/>
      <w:bookmarkStart w:id="218" w:name="_Toc184313299"/>
      <w:bookmarkEnd w:id="218"/>
      <w:bookmarkStart w:id="219" w:name="_Toc184312125"/>
      <w:bookmarkEnd w:id="219"/>
      <w:bookmarkStart w:id="220" w:name="_Toc184314434"/>
      <w:bookmarkEnd w:id="220"/>
      <w:bookmarkStart w:id="221" w:name="_Toc184313281"/>
      <w:bookmarkEnd w:id="221"/>
      <w:bookmarkStart w:id="222" w:name="_Toc184308055"/>
      <w:bookmarkEnd w:id="222"/>
      <w:bookmarkStart w:id="223" w:name="_Toc184310307"/>
      <w:bookmarkEnd w:id="223"/>
      <w:bookmarkStart w:id="224" w:name="_Toc184312106"/>
      <w:bookmarkEnd w:id="224"/>
      <w:bookmarkStart w:id="225" w:name="_Toc184312124"/>
      <w:bookmarkEnd w:id="225"/>
      <w:bookmarkStart w:id="226" w:name="_Toc184312085"/>
      <w:bookmarkEnd w:id="226"/>
      <w:bookmarkStart w:id="227" w:name="_Toc184314453"/>
      <w:bookmarkEnd w:id="227"/>
      <w:bookmarkStart w:id="228" w:name="_Toc184308049"/>
      <w:bookmarkEnd w:id="228"/>
      <w:bookmarkStart w:id="229" w:name="_Toc184312109"/>
      <w:bookmarkEnd w:id="229"/>
      <w:bookmarkStart w:id="230" w:name="_Toc184313271"/>
      <w:bookmarkEnd w:id="230"/>
      <w:bookmarkStart w:id="231" w:name="_Toc184313278"/>
      <w:bookmarkEnd w:id="231"/>
      <w:bookmarkStart w:id="232" w:name="_Toc184314476"/>
      <w:bookmarkEnd w:id="232"/>
      <w:bookmarkStart w:id="233" w:name="_Toc184314419"/>
      <w:bookmarkEnd w:id="233"/>
      <w:bookmarkStart w:id="234" w:name="_Toc184312069"/>
      <w:bookmarkEnd w:id="234"/>
      <w:bookmarkStart w:id="235" w:name="_Toc184312119"/>
      <w:bookmarkEnd w:id="235"/>
      <w:bookmarkStart w:id="236" w:name="_Toc184310333"/>
      <w:bookmarkEnd w:id="236"/>
      <w:bookmarkStart w:id="237" w:name="_Toc184310314"/>
      <w:bookmarkEnd w:id="237"/>
      <w:bookmarkStart w:id="238" w:name="_Toc184310313"/>
      <w:bookmarkEnd w:id="238"/>
      <w:bookmarkStart w:id="239" w:name="_Toc184312072"/>
      <w:bookmarkEnd w:id="239"/>
      <w:bookmarkStart w:id="240" w:name="_Toc184312134"/>
      <w:bookmarkEnd w:id="240"/>
      <w:bookmarkStart w:id="241" w:name="_Toc184308107"/>
      <w:bookmarkEnd w:id="241"/>
      <w:bookmarkStart w:id="242" w:name="_Toc184310344"/>
      <w:bookmarkEnd w:id="242"/>
      <w:bookmarkStart w:id="243" w:name="_Toc184313284"/>
      <w:bookmarkEnd w:id="243"/>
      <w:bookmarkStart w:id="244" w:name="_Toc184314477"/>
      <w:bookmarkEnd w:id="244"/>
      <w:bookmarkStart w:id="245" w:name="_Toc184310298"/>
      <w:bookmarkEnd w:id="245"/>
      <w:bookmarkStart w:id="246" w:name="_Toc184308102"/>
      <w:bookmarkEnd w:id="246"/>
      <w:bookmarkStart w:id="247" w:name="_Toc184313255"/>
      <w:bookmarkEnd w:id="247"/>
      <w:bookmarkStart w:id="248" w:name="_Toc184314452"/>
      <w:bookmarkEnd w:id="248"/>
      <w:bookmarkStart w:id="249" w:name="_Toc184312121"/>
      <w:bookmarkEnd w:id="249"/>
      <w:bookmarkStart w:id="250" w:name="_Toc184312067"/>
      <w:bookmarkEnd w:id="250"/>
      <w:bookmarkStart w:id="251" w:name="_Toc184313256"/>
      <w:bookmarkEnd w:id="251"/>
      <w:bookmarkStart w:id="252" w:name="_Toc184313302"/>
      <w:bookmarkEnd w:id="252"/>
      <w:bookmarkStart w:id="253" w:name="_Toc184313290"/>
      <w:bookmarkEnd w:id="253"/>
      <w:bookmarkStart w:id="254" w:name="_Toc184310288"/>
      <w:bookmarkEnd w:id="254"/>
      <w:bookmarkStart w:id="255" w:name="_Toc184308037"/>
      <w:bookmarkEnd w:id="255"/>
      <w:bookmarkStart w:id="256" w:name="_Toc184312112"/>
      <w:bookmarkEnd w:id="256"/>
      <w:bookmarkStart w:id="257" w:name="_Toc184312097"/>
      <w:bookmarkEnd w:id="257"/>
      <w:bookmarkStart w:id="258" w:name="_Toc184310282"/>
      <w:bookmarkEnd w:id="258"/>
      <w:bookmarkStart w:id="259" w:name="_Toc184312089"/>
      <w:bookmarkEnd w:id="259"/>
      <w:bookmarkStart w:id="260" w:name="_Toc184310324"/>
      <w:bookmarkEnd w:id="260"/>
      <w:bookmarkStart w:id="261" w:name="_Toc184312101"/>
      <w:bookmarkEnd w:id="261"/>
      <w:bookmarkStart w:id="262" w:name="_Toc184310309"/>
      <w:bookmarkEnd w:id="262"/>
      <w:bookmarkStart w:id="263" w:name="_Toc184313307"/>
      <w:bookmarkEnd w:id="263"/>
      <w:bookmarkStart w:id="264" w:name="_Toc184312071"/>
      <w:bookmarkEnd w:id="264"/>
      <w:bookmarkStart w:id="265" w:name="_Toc184313250"/>
      <w:bookmarkEnd w:id="265"/>
      <w:bookmarkStart w:id="266" w:name="_Toc184308106"/>
      <w:bookmarkEnd w:id="266"/>
      <w:bookmarkStart w:id="267" w:name="_Toc184312128"/>
      <w:bookmarkEnd w:id="267"/>
      <w:bookmarkStart w:id="268" w:name="_Toc184313308"/>
      <w:bookmarkEnd w:id="268"/>
      <w:bookmarkStart w:id="269" w:name="_Toc184308093"/>
      <w:bookmarkEnd w:id="269"/>
      <w:bookmarkStart w:id="270" w:name="_Toc184310330"/>
      <w:bookmarkEnd w:id="270"/>
      <w:bookmarkStart w:id="271" w:name="_Toc184308061"/>
      <w:bookmarkEnd w:id="271"/>
      <w:bookmarkStart w:id="272" w:name="_Toc184310332"/>
      <w:bookmarkEnd w:id="272"/>
      <w:bookmarkStart w:id="273" w:name="_Toc184313296"/>
      <w:bookmarkEnd w:id="273"/>
      <w:bookmarkStart w:id="274" w:name="_Toc184314437"/>
      <w:bookmarkEnd w:id="274"/>
      <w:bookmarkStart w:id="275" w:name="_Toc184308078"/>
      <w:bookmarkEnd w:id="275"/>
      <w:bookmarkStart w:id="276" w:name="_Toc184313310"/>
      <w:bookmarkEnd w:id="276"/>
      <w:bookmarkStart w:id="277" w:name="_Toc184314467"/>
      <w:bookmarkEnd w:id="277"/>
      <w:bookmarkStart w:id="278" w:name="_Toc184310295"/>
      <w:bookmarkEnd w:id="278"/>
      <w:bookmarkStart w:id="279" w:name="_Toc184314410"/>
      <w:bookmarkEnd w:id="279"/>
      <w:bookmarkStart w:id="280" w:name="_Toc184308091"/>
      <w:bookmarkEnd w:id="280"/>
      <w:bookmarkStart w:id="281" w:name="_Toc184312131"/>
      <w:bookmarkEnd w:id="281"/>
      <w:bookmarkStart w:id="282" w:name="_Toc184312113"/>
      <w:bookmarkEnd w:id="282"/>
      <w:bookmarkStart w:id="283" w:name="_Toc184313289"/>
      <w:bookmarkEnd w:id="283"/>
      <w:bookmarkStart w:id="284" w:name="_Toc184308098"/>
      <w:bookmarkEnd w:id="284"/>
      <w:bookmarkStart w:id="285" w:name="_Toc184313241"/>
      <w:bookmarkEnd w:id="285"/>
      <w:bookmarkStart w:id="286" w:name="_Toc184314441"/>
      <w:bookmarkEnd w:id="286"/>
      <w:bookmarkStart w:id="287" w:name="_Toc184312133"/>
      <w:bookmarkEnd w:id="287"/>
      <w:bookmarkStart w:id="288" w:name="_Toc184314456"/>
      <w:bookmarkEnd w:id="288"/>
      <w:bookmarkStart w:id="289" w:name="_Toc184314445"/>
      <w:bookmarkEnd w:id="289"/>
      <w:bookmarkStart w:id="290" w:name="_Toc184314435"/>
      <w:bookmarkEnd w:id="290"/>
      <w:bookmarkStart w:id="291" w:name="_Toc184308038"/>
      <w:bookmarkEnd w:id="291"/>
      <w:bookmarkStart w:id="292" w:name="_Toc184308056"/>
      <w:bookmarkEnd w:id="292"/>
      <w:bookmarkStart w:id="293" w:name="_Toc184313297"/>
      <w:bookmarkEnd w:id="293"/>
      <w:bookmarkStart w:id="294" w:name="_Toc184310335"/>
      <w:bookmarkEnd w:id="294"/>
      <w:bookmarkStart w:id="295" w:name="_Toc184314461"/>
      <w:bookmarkEnd w:id="295"/>
      <w:bookmarkStart w:id="296" w:name="_Toc184313253"/>
      <w:bookmarkEnd w:id="296"/>
      <w:bookmarkStart w:id="297" w:name="_Toc184314423"/>
      <w:bookmarkEnd w:id="297"/>
      <w:bookmarkStart w:id="298" w:name="_Toc184314418"/>
      <w:bookmarkEnd w:id="298"/>
      <w:bookmarkStart w:id="299" w:name="_Toc184314464"/>
      <w:bookmarkEnd w:id="299"/>
      <w:bookmarkStart w:id="300" w:name="_Toc184310292"/>
      <w:bookmarkEnd w:id="300"/>
      <w:bookmarkStart w:id="301" w:name="_Toc184308108"/>
      <w:bookmarkEnd w:id="301"/>
      <w:bookmarkStart w:id="302" w:name="_Toc184312082"/>
      <w:bookmarkEnd w:id="302"/>
      <w:bookmarkStart w:id="303" w:name="_Toc184312135"/>
      <w:bookmarkEnd w:id="303"/>
      <w:bookmarkStart w:id="304" w:name="_Toc184314413"/>
      <w:bookmarkEnd w:id="304"/>
      <w:bookmarkStart w:id="305" w:name="_Toc184314436"/>
      <w:bookmarkEnd w:id="305"/>
      <w:bookmarkStart w:id="306" w:name="_Toc184314422"/>
      <w:bookmarkEnd w:id="306"/>
      <w:bookmarkStart w:id="307" w:name="_Toc184308036"/>
      <w:bookmarkEnd w:id="307"/>
      <w:bookmarkStart w:id="308" w:name="_Toc184313252"/>
      <w:bookmarkEnd w:id="308"/>
      <w:bookmarkStart w:id="309" w:name="_Toc184313245"/>
      <w:bookmarkEnd w:id="309"/>
      <w:bookmarkStart w:id="310" w:name="_Toc184314430"/>
      <w:bookmarkEnd w:id="310"/>
      <w:bookmarkStart w:id="311" w:name="_Toc184312118"/>
      <w:bookmarkEnd w:id="311"/>
      <w:bookmarkStart w:id="312" w:name="_Toc184312098"/>
      <w:bookmarkEnd w:id="312"/>
      <w:bookmarkStart w:id="313" w:name="_Toc184313248"/>
      <w:bookmarkEnd w:id="313"/>
      <w:bookmarkStart w:id="314" w:name="_Toc184312104"/>
      <w:bookmarkEnd w:id="314"/>
      <w:bookmarkStart w:id="315" w:name="_Toc184308099"/>
      <w:bookmarkEnd w:id="315"/>
      <w:bookmarkStart w:id="316" w:name="_Toc184312099"/>
      <w:bookmarkEnd w:id="316"/>
      <w:bookmarkStart w:id="317" w:name="_Toc184314429"/>
      <w:bookmarkEnd w:id="317"/>
      <w:bookmarkStart w:id="318" w:name="_Toc184308101"/>
      <w:bookmarkEnd w:id="318"/>
      <w:bookmarkStart w:id="319" w:name="_Toc184314431"/>
      <w:bookmarkEnd w:id="319"/>
      <w:bookmarkStart w:id="320" w:name="_Toc184313258"/>
      <w:bookmarkEnd w:id="320"/>
      <w:bookmarkStart w:id="321" w:name="_Toc184308092"/>
      <w:bookmarkEnd w:id="321"/>
      <w:bookmarkStart w:id="322" w:name="_Toc184310283"/>
      <w:bookmarkEnd w:id="322"/>
      <w:bookmarkStart w:id="323" w:name="_Toc184310302"/>
      <w:bookmarkEnd w:id="323"/>
      <w:bookmarkStart w:id="324" w:name="_Toc184310312"/>
      <w:bookmarkEnd w:id="324"/>
      <w:bookmarkStart w:id="325" w:name="_Toc184313305"/>
      <w:bookmarkEnd w:id="325"/>
      <w:bookmarkStart w:id="326" w:name="_Toc184312073"/>
      <w:bookmarkEnd w:id="326"/>
      <w:bookmarkStart w:id="327" w:name="_Toc184312086"/>
      <w:bookmarkEnd w:id="327"/>
      <w:bookmarkStart w:id="328" w:name="_Toc184308050"/>
      <w:bookmarkEnd w:id="328"/>
      <w:bookmarkStart w:id="329" w:name="_Toc184308043"/>
      <w:bookmarkEnd w:id="329"/>
      <w:bookmarkStart w:id="330" w:name="_Toc184310311"/>
      <w:bookmarkEnd w:id="330"/>
      <w:bookmarkStart w:id="331" w:name="_Toc184308066"/>
      <w:bookmarkEnd w:id="331"/>
      <w:bookmarkStart w:id="332" w:name="_Toc184312075"/>
      <w:bookmarkEnd w:id="332"/>
      <w:bookmarkStart w:id="333" w:name="_Toc184313262"/>
      <w:bookmarkEnd w:id="333"/>
      <w:bookmarkStart w:id="334" w:name="_Toc184308082"/>
      <w:bookmarkEnd w:id="334"/>
      <w:bookmarkStart w:id="335" w:name="_Toc184312111"/>
      <w:bookmarkEnd w:id="335"/>
      <w:bookmarkStart w:id="336" w:name="_Toc184314415"/>
      <w:bookmarkEnd w:id="336"/>
      <w:bookmarkStart w:id="337" w:name="_Toc184308105"/>
      <w:bookmarkEnd w:id="337"/>
      <w:bookmarkStart w:id="338" w:name="_Toc184308063"/>
      <w:bookmarkEnd w:id="338"/>
      <w:bookmarkStart w:id="339" w:name="_Toc184312083"/>
      <w:bookmarkEnd w:id="339"/>
      <w:bookmarkStart w:id="340" w:name="_Toc184308100"/>
      <w:bookmarkEnd w:id="340"/>
      <w:bookmarkStart w:id="341" w:name="_Toc184313267"/>
      <w:bookmarkEnd w:id="341"/>
      <w:bookmarkStart w:id="342" w:name="_Toc184313275"/>
      <w:bookmarkEnd w:id="342"/>
      <w:bookmarkStart w:id="343" w:name="_Toc184312115"/>
      <w:bookmarkEnd w:id="343"/>
      <w:bookmarkStart w:id="344" w:name="_Toc184308070"/>
      <w:bookmarkEnd w:id="344"/>
      <w:bookmarkStart w:id="345" w:name="_Toc184310274"/>
      <w:bookmarkEnd w:id="345"/>
      <w:bookmarkStart w:id="346" w:name="_Toc184314478"/>
      <w:bookmarkEnd w:id="346"/>
      <w:bookmarkStart w:id="347" w:name="_Toc184308087"/>
      <w:bookmarkEnd w:id="347"/>
      <w:bookmarkStart w:id="348" w:name="_Toc184312084"/>
      <w:bookmarkEnd w:id="348"/>
      <w:bookmarkStart w:id="349" w:name="_Toc184314463"/>
      <w:bookmarkEnd w:id="349"/>
      <w:bookmarkStart w:id="350" w:name="_Toc184312081"/>
      <w:bookmarkEnd w:id="350"/>
      <w:bookmarkStart w:id="351" w:name="_Toc184314446"/>
      <w:bookmarkEnd w:id="351"/>
      <w:bookmarkStart w:id="352" w:name="_Toc184310318"/>
      <w:bookmarkEnd w:id="352"/>
      <w:bookmarkStart w:id="353" w:name="_Toc184314451"/>
      <w:bookmarkEnd w:id="353"/>
      <w:bookmarkStart w:id="354" w:name="_Toc184312078"/>
      <w:bookmarkEnd w:id="354"/>
      <w:bookmarkStart w:id="355" w:name="_Toc184312120"/>
      <w:bookmarkEnd w:id="355"/>
      <w:bookmarkStart w:id="356" w:name="_Toc184313259"/>
      <w:bookmarkEnd w:id="356"/>
      <w:bookmarkStart w:id="357" w:name="_Toc184312095"/>
      <w:bookmarkEnd w:id="357"/>
      <w:bookmarkStart w:id="358" w:name="_Toc184308052"/>
      <w:bookmarkEnd w:id="358"/>
      <w:bookmarkStart w:id="359" w:name="_Toc184310327"/>
      <w:bookmarkEnd w:id="359"/>
      <w:bookmarkStart w:id="360" w:name="_Toc184313309"/>
      <w:bookmarkEnd w:id="360"/>
      <w:bookmarkStart w:id="361" w:name="_Toc184308097"/>
      <w:bookmarkEnd w:id="361"/>
      <w:bookmarkStart w:id="362" w:name="_Toc184310299"/>
      <w:bookmarkEnd w:id="362"/>
      <w:bookmarkStart w:id="363" w:name="_Toc184312107"/>
      <w:bookmarkEnd w:id="363"/>
      <w:bookmarkStart w:id="364" w:name="_Toc184313265"/>
      <w:bookmarkEnd w:id="364"/>
      <w:bookmarkStart w:id="365" w:name="_Toc184308076"/>
      <w:bookmarkEnd w:id="365"/>
      <w:bookmarkStart w:id="366" w:name="_Toc184312090"/>
      <w:bookmarkEnd w:id="366"/>
      <w:bookmarkStart w:id="367" w:name="_Toc184308044"/>
      <w:bookmarkEnd w:id="367"/>
      <w:bookmarkStart w:id="368" w:name="_Toc184313283"/>
      <w:bookmarkEnd w:id="368"/>
      <w:r>
        <w:rPr>
          <w:rFonts w:hint="eastAsia"/>
          <w:color w:val="auto"/>
          <w:highlight w:val="none"/>
        </w:rPr>
        <w:t>评标办法</w:t>
      </w:r>
    </w:p>
    <w:p>
      <w:pPr>
        <w:pStyle w:val="5"/>
        <w:rPr>
          <w:color w:val="auto"/>
          <w:highlight w:val="none"/>
        </w:rPr>
      </w:pPr>
      <w:r>
        <w:rPr>
          <w:rFonts w:hint="eastAsia"/>
          <w:color w:val="auto"/>
          <w:highlight w:val="none"/>
        </w:rPr>
        <w:t>评标办法前附表</w:t>
      </w:r>
    </w:p>
    <w:p>
      <w:pPr>
        <w:rPr>
          <w:b/>
          <w:color w:val="auto"/>
          <w:highlight w:val="none"/>
        </w:rPr>
      </w:pPr>
      <w:r>
        <w:rPr>
          <w:rFonts w:hint="eastAsia"/>
          <w:b/>
          <w:color w:val="auto"/>
          <w:highlight w:val="none"/>
        </w:rPr>
        <w:t>商务技术分（70分）</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188"/>
        <w:gridCol w:w="810"/>
        <w:gridCol w:w="521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0" w:type="pct"/>
            <w:shd w:val="clear" w:color="auto" w:fill="CCE8CF"/>
            <w:noWrap w:val="0"/>
            <w:vAlign w:val="center"/>
          </w:tcPr>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序号</w:t>
            </w:r>
          </w:p>
        </w:tc>
        <w:tc>
          <w:tcPr>
            <w:tcW w:w="700" w:type="pct"/>
            <w:shd w:val="clear" w:color="auto" w:fill="CCE8CF"/>
            <w:noWrap w:val="0"/>
            <w:vAlign w:val="center"/>
          </w:tcPr>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评分内容</w:t>
            </w:r>
          </w:p>
        </w:tc>
        <w:tc>
          <w:tcPr>
            <w:tcW w:w="477" w:type="pct"/>
            <w:shd w:val="clear" w:color="auto" w:fill="CCE8CF"/>
            <w:noWrap w:val="0"/>
            <w:vAlign w:val="center"/>
          </w:tcPr>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w:t>
            </w:r>
          </w:p>
        </w:tc>
        <w:tc>
          <w:tcPr>
            <w:tcW w:w="3071" w:type="pct"/>
            <w:shd w:val="clear" w:color="auto" w:fill="CCE8CF"/>
            <w:noWrap w:val="0"/>
            <w:vAlign w:val="center"/>
          </w:tcPr>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410" w:type="pct"/>
            <w:shd w:val="clear" w:color="auto" w:fill="CCE8CF"/>
            <w:noWrap w:val="0"/>
            <w:vAlign w:val="center"/>
          </w:tcPr>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0" w:type="pct"/>
            <w:vMerge w:val="restar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700" w:type="pct"/>
            <w:vMerge w:val="restart"/>
            <w:noWrap w:val="0"/>
            <w:vAlign w:val="center"/>
          </w:tcPr>
          <w:p>
            <w:pPr>
              <w:widowControl w:val="0"/>
              <w:spacing w:after="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商务资信部分</w:t>
            </w:r>
          </w:p>
          <w:p>
            <w:pPr>
              <w:widowControl w:val="0"/>
              <w:spacing w:before="60" w:after="60"/>
              <w:jc w:val="center"/>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分）</w:t>
            </w:r>
          </w:p>
        </w:tc>
        <w:tc>
          <w:tcPr>
            <w:tcW w:w="477" w:type="pct"/>
            <w:vMerge w:val="restar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资信与业绩（</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分）</w:t>
            </w: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投标人同时提供有效期内ISO9001质量管理体系认证证书、ISO/IEC20000信息技术服务管理体系认证证书和ISO/IEC27001信息安全管理体系认证证书得3分。</w:t>
            </w:r>
          </w:p>
          <w:p>
            <w:pPr>
              <w:widowControl w:val="0"/>
              <w:spacing w:before="60" w:after="60"/>
              <w:jc w:val="both"/>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提供证书原件扫描件并加盖公章，未提供不得分。</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0" w:type="pct"/>
            <w:vMerge w:val="continue"/>
            <w:noWrap w:val="0"/>
            <w:vAlign w:val="center"/>
          </w:tcPr>
          <w:p>
            <w:pPr>
              <w:widowControl w:val="0"/>
              <w:spacing w:before="60" w:after="60"/>
              <w:jc w:val="center"/>
              <w:rPr>
                <w:rFonts w:hint="eastAsia" w:ascii="仿宋" w:hAnsi="仿宋" w:eastAsia="仿宋" w:cs="仿宋"/>
                <w:bCs/>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投标人提供参与过</w:t>
            </w:r>
            <w:r>
              <w:rPr>
                <w:rFonts w:hint="eastAsia" w:cs="仿宋"/>
                <w:color w:val="auto"/>
                <w:kern w:val="2"/>
                <w:sz w:val="24"/>
                <w:szCs w:val="24"/>
                <w:highlight w:val="none"/>
                <w:lang w:val="en-US" w:eastAsia="zh-CN"/>
              </w:rPr>
              <w:t>编制</w:t>
            </w:r>
            <w:r>
              <w:rPr>
                <w:rFonts w:hint="eastAsia" w:ascii="仿宋" w:hAnsi="仿宋" w:eastAsia="仿宋" w:cs="仿宋"/>
                <w:color w:val="auto"/>
                <w:kern w:val="2"/>
                <w:sz w:val="24"/>
                <w:szCs w:val="24"/>
                <w:highlight w:val="none"/>
                <w:lang w:val="en-US" w:eastAsia="zh-CN"/>
              </w:rPr>
              <w:t>相关体育智慧场馆建设规范</w:t>
            </w:r>
            <w:r>
              <w:rPr>
                <w:rFonts w:hint="eastAsia" w:cs="仿宋"/>
                <w:color w:val="auto"/>
                <w:kern w:val="2"/>
                <w:sz w:val="24"/>
                <w:szCs w:val="24"/>
                <w:highlight w:val="none"/>
                <w:lang w:val="en-US" w:eastAsia="zh-CN"/>
              </w:rPr>
              <w:t>标准</w:t>
            </w:r>
            <w:r>
              <w:rPr>
                <w:rFonts w:hint="eastAsia" w:ascii="仿宋" w:hAnsi="仿宋" w:eastAsia="仿宋" w:cs="仿宋"/>
                <w:color w:val="auto"/>
                <w:kern w:val="2"/>
                <w:sz w:val="24"/>
                <w:szCs w:val="24"/>
                <w:highlight w:val="none"/>
                <w:lang w:val="en-US" w:eastAsia="zh-CN"/>
              </w:rPr>
              <w:t>的案例的得2分，未提供不得分</w:t>
            </w:r>
            <w:r>
              <w:rPr>
                <w:rFonts w:hint="eastAsia" w:cs="仿宋"/>
                <w:color w:val="auto"/>
                <w:kern w:val="2"/>
                <w:sz w:val="24"/>
                <w:szCs w:val="24"/>
                <w:highlight w:val="none"/>
                <w:lang w:val="en-US" w:eastAsia="zh-CN"/>
              </w:rPr>
              <w:t>。（提供</w:t>
            </w:r>
            <w:r>
              <w:rPr>
                <w:rFonts w:hint="eastAsia" w:ascii="仿宋" w:hAnsi="仿宋" w:eastAsia="仿宋" w:cs="仿宋"/>
                <w:color w:val="auto"/>
                <w:kern w:val="2"/>
                <w:sz w:val="24"/>
                <w:szCs w:val="24"/>
                <w:highlight w:val="none"/>
                <w:lang w:val="en-US" w:eastAsia="zh-CN"/>
              </w:rPr>
              <w:t>相关体育智慧场馆建设规范</w:t>
            </w:r>
            <w:r>
              <w:rPr>
                <w:rFonts w:hint="eastAsia" w:cs="仿宋"/>
                <w:color w:val="auto"/>
                <w:kern w:val="2"/>
                <w:sz w:val="24"/>
                <w:szCs w:val="24"/>
                <w:highlight w:val="none"/>
                <w:lang w:val="en-US" w:eastAsia="zh-CN"/>
              </w:rPr>
              <w:t>标准案例证明材料，内容包括主要页面、名称及参编单位等信息）</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投标人同时提供智慧场馆管理系统、门票销售系统软件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智能储物柜管理系统</w:t>
            </w:r>
            <w:r>
              <w:rPr>
                <w:rFonts w:hint="eastAsia" w:ascii="仿宋" w:hAnsi="仿宋" w:eastAsia="仿宋" w:cs="仿宋"/>
                <w:color w:val="auto"/>
                <w:kern w:val="2"/>
                <w:sz w:val="24"/>
                <w:szCs w:val="24"/>
                <w:highlight w:val="none"/>
              </w:rPr>
              <w:t>和场馆运营平台软件计算机软件著作权登记证书的得2分。提供证书复印件加盖公章，否则无效。</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700" w:type="pct"/>
            <w:vMerge w:val="continue"/>
            <w:noWrap w:val="0"/>
            <w:vAlign w:val="center"/>
          </w:tcPr>
          <w:p>
            <w:pPr>
              <w:widowControl/>
              <w:spacing w:before="60" w:after="60"/>
              <w:jc w:val="center"/>
              <w:rPr>
                <w:rFonts w:hint="eastAsia" w:ascii="仿宋" w:hAnsi="仿宋" w:eastAsia="仿宋" w:cs="仿宋"/>
                <w:bCs/>
                <w:color w:val="auto"/>
                <w:kern w:val="2"/>
                <w:sz w:val="24"/>
                <w:szCs w:val="24"/>
                <w:highlight w:val="none"/>
              </w:rPr>
            </w:pPr>
          </w:p>
        </w:tc>
        <w:tc>
          <w:tcPr>
            <w:tcW w:w="477" w:type="pct"/>
            <w:vMerge w:val="continue"/>
            <w:noWrap w:val="0"/>
            <w:vAlign w:val="center"/>
          </w:tcPr>
          <w:p>
            <w:pPr>
              <w:widowControl/>
              <w:spacing w:before="60" w:after="60"/>
              <w:jc w:val="center"/>
              <w:rPr>
                <w:rFonts w:hint="eastAsia" w:ascii="仿宋" w:hAnsi="仿宋" w:eastAsia="仿宋" w:cs="仿宋"/>
                <w:bCs/>
                <w:color w:val="auto"/>
                <w:kern w:val="2"/>
                <w:sz w:val="24"/>
                <w:szCs w:val="24"/>
                <w:highlight w:val="none"/>
              </w:rPr>
            </w:pP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投标人提供自2017年1月1日起至今智慧体育场馆建设相关项目实施案例，每提供1个案例合同得</w:t>
            </w:r>
            <w:r>
              <w:rPr>
                <w:rFonts w:hint="eastAsia" w:ascii="仿宋" w:hAnsi="仿宋" w:eastAsia="仿宋" w:cs="仿宋"/>
                <w:color w:val="auto"/>
                <w:kern w:val="2"/>
                <w:sz w:val="24"/>
                <w:szCs w:val="24"/>
                <w:highlight w:val="none"/>
                <w:lang w:val="en-US" w:eastAsia="zh-CN"/>
              </w:rPr>
              <w:t>0.</w:t>
            </w:r>
            <w:r>
              <w:rPr>
                <w:rFonts w:hint="eastAsia"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分，最高得3分。同时提供合同复印件并加盖公章，未提供的或未按要求盖章的视为无效。</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40" w:type="pct"/>
            <w:vMerge w:val="restart"/>
            <w:noWrap w:val="0"/>
            <w:vAlign w:val="center"/>
          </w:tcPr>
          <w:p>
            <w:pPr>
              <w:widowControl/>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700" w:type="pct"/>
            <w:vMerge w:val="restart"/>
            <w:noWrap w:val="0"/>
            <w:vAlign w:val="center"/>
          </w:tcPr>
          <w:p>
            <w:pPr>
              <w:widowControl/>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技术部分（6</w:t>
            </w:r>
            <w:r>
              <w:rPr>
                <w:rFonts w:hint="eastAsia" w:ascii="仿宋" w:hAnsi="仿宋" w:eastAsia="仿宋"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rPr>
              <w:t>分）</w:t>
            </w:r>
          </w:p>
        </w:tc>
        <w:tc>
          <w:tcPr>
            <w:tcW w:w="477" w:type="pct"/>
            <w:vMerge w:val="restart"/>
            <w:noWrap w:val="0"/>
            <w:vAlign w:val="center"/>
          </w:tcPr>
          <w:p>
            <w:pPr>
              <w:widowControl/>
              <w:spacing w:before="60" w:after="6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演示（1</w:t>
            </w:r>
            <w:r>
              <w:rPr>
                <w:rFonts w:hint="eastAsia"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智慧场馆管理系统：</w:t>
            </w:r>
          </w:p>
          <w:p>
            <w:pPr>
              <w:widowControl w:val="0"/>
              <w:spacing w:line="240" w:lineRule="auto"/>
              <w:ind w:left="0" w:leftChars="0" w:firstLine="0" w:firstLineChars="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1）场地灯光系统（</w:t>
            </w:r>
            <w:r>
              <w:rPr>
                <w:rFonts w:hint="eastAsia" w:cs="仿宋"/>
                <w:color w:val="auto"/>
                <w:kern w:val="1"/>
                <w:sz w:val="24"/>
                <w:szCs w:val="24"/>
                <w:highlight w:val="none"/>
                <w:lang w:val="en-US" w:eastAsia="zh-CN" w:bidi="ar-SA"/>
              </w:rPr>
              <w:t>1</w:t>
            </w:r>
            <w:r>
              <w:rPr>
                <w:rFonts w:hint="eastAsia" w:ascii="仿宋" w:hAnsi="仿宋" w:eastAsia="仿宋" w:cs="仿宋"/>
                <w:color w:val="auto"/>
                <w:kern w:val="1"/>
                <w:sz w:val="24"/>
                <w:szCs w:val="24"/>
                <w:highlight w:val="none"/>
                <w:lang w:val="en-US" w:eastAsia="zh-CN" w:bidi="ar-SA"/>
              </w:rPr>
              <w:t>分）</w:t>
            </w:r>
          </w:p>
          <w:p>
            <w:pPr>
              <w:widowControl w:val="0"/>
              <w:spacing w:after="0" w:line="240" w:lineRule="auto"/>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支持可设置场地灯光核销后自动开灯及可设置场地使用结束后自动关灯</w:t>
            </w:r>
          </w:p>
          <w:p>
            <w:pPr>
              <w:widowControl w:val="0"/>
              <w:spacing w:after="0" w:line="240" w:lineRule="auto"/>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支持自定义每日自动开关灯时间</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）运动</w:t>
            </w:r>
            <w:r>
              <w:rPr>
                <w:rFonts w:hint="eastAsia" w:ascii="仿宋" w:hAnsi="仿宋" w:eastAsia="仿宋" w:cs="仿宋"/>
                <w:color w:val="auto"/>
                <w:kern w:val="2"/>
                <w:sz w:val="24"/>
                <w:szCs w:val="24"/>
                <w:highlight w:val="none"/>
                <w:lang w:val="en-US" w:eastAsia="zh-CN"/>
              </w:rPr>
              <w:t>数据</w:t>
            </w:r>
            <w:r>
              <w:rPr>
                <w:rFonts w:hint="eastAsia" w:ascii="仿宋" w:hAnsi="仿宋" w:eastAsia="仿宋" w:cs="仿宋"/>
                <w:color w:val="auto"/>
                <w:kern w:val="2"/>
                <w:sz w:val="24"/>
                <w:szCs w:val="24"/>
                <w:highlight w:val="none"/>
              </w:rPr>
              <w:t>统计模块（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p>
          <w:p>
            <w:pPr>
              <w:widowControl w:val="0"/>
              <w:spacing w:before="60" w:after="6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支持可统计所有运动卡（年卡、次卡）在某个时间点的剩余权益情况，并转化成对应金额。并在统计报表中可查看卡名称、卡类型、有效卡数量、剩余权益、权益单位、剩余金额</w:t>
            </w:r>
          </w:p>
          <w:p>
            <w:pPr>
              <w:widowControl w:val="0"/>
              <w:numPr>
                <w:ilvl w:val="0"/>
                <w:numId w:val="2"/>
              </w:numPr>
              <w:autoSpaceDE w:val="0"/>
              <w:autoSpaceDN w:val="0"/>
              <w:adjustRightInd w:val="0"/>
              <w:spacing w:after="120" w:afterLines="0"/>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订场、退场规则（</w:t>
            </w:r>
            <w:r>
              <w:rPr>
                <w:rFonts w:hint="eastAsia" w:cs="仿宋"/>
                <w:color w:val="auto"/>
                <w:kern w:val="2"/>
                <w:sz w:val="24"/>
                <w:szCs w:val="24"/>
                <w:highlight w:val="none"/>
                <w:lang w:val="en-US" w:eastAsia="zh-CN" w:bidi="ar-SA"/>
              </w:rPr>
              <w:t>1分</w:t>
            </w:r>
            <w:r>
              <w:rPr>
                <w:rFonts w:hint="eastAsia" w:ascii="仿宋" w:hAnsi="仿宋" w:eastAsia="仿宋" w:cs="仿宋"/>
                <w:color w:val="auto"/>
                <w:kern w:val="2"/>
                <w:sz w:val="24"/>
                <w:szCs w:val="24"/>
                <w:highlight w:val="none"/>
                <w:lang w:val="en-US" w:eastAsia="zh-CN" w:bidi="ar-SA"/>
              </w:rPr>
              <w:t>）</w:t>
            </w:r>
          </w:p>
          <w:p>
            <w:pPr>
              <w:widowControl w:val="0"/>
              <w:numPr>
                <w:ilvl w:val="0"/>
                <w:numId w:val="0"/>
              </w:numPr>
              <w:spacing w:after="0"/>
              <w:jc w:val="both"/>
              <w:rPr>
                <w:rFonts w:hint="eastAsia" w:ascii="仿宋" w:hAnsi="仿宋" w:eastAsia="仿宋" w:cs="仿宋"/>
                <w:i w:val="0"/>
                <w:iCs w:val="0"/>
                <w:caps w:val="0"/>
                <w:color w:val="auto"/>
                <w:spacing w:val="0"/>
                <w:kern w:val="2"/>
                <w:sz w:val="24"/>
                <w:szCs w:val="24"/>
                <w:highlight w:val="none"/>
                <w:shd w:val="clear" w:fill="FFFFFF"/>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支持设置订场规则提醒，开启后，用户</w:t>
            </w:r>
            <w:r>
              <w:rPr>
                <w:rFonts w:hint="eastAsia" w:ascii="仿宋" w:hAnsi="仿宋" w:eastAsia="仿宋" w:cs="仿宋"/>
                <w:i w:val="0"/>
                <w:iCs w:val="0"/>
                <w:caps w:val="0"/>
                <w:color w:val="auto"/>
                <w:spacing w:val="0"/>
                <w:kern w:val="2"/>
                <w:sz w:val="24"/>
                <w:szCs w:val="24"/>
                <w:highlight w:val="none"/>
                <w:shd w:val="clear" w:fill="FFFFFF"/>
              </w:rPr>
              <w:t>提交订单前会弹窗提醒预订规则</w:t>
            </w:r>
          </w:p>
          <w:p>
            <w:pPr>
              <w:widowControl w:val="0"/>
              <w:autoSpaceDE w:val="0"/>
              <w:autoSpaceDN w:val="0"/>
              <w:adjustRightInd w:val="0"/>
              <w:spacing w:after="120" w:afterLines="0"/>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·支持可设置默认退场方案或特殊退场方案</w:t>
            </w:r>
          </w:p>
          <w:p>
            <w:pPr>
              <w:widowControl w:val="0"/>
              <w:spacing w:before="60" w:after="60"/>
              <w:ind w:firstLine="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4）黑名单管理模块（1分）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·会员黑名单管理：拉黑规则需要支持自定义用户在几天内，退场或不开场次数达到几次就被拉黑；惩罚措施支持自定义用户在几天内延迟预订或禁止预订。</w:t>
            </w:r>
          </w:p>
          <w:p>
            <w:pPr>
              <w:widowControl w:val="0"/>
              <w:numPr>
                <w:ilvl w:val="0"/>
                <w:numId w:val="0"/>
              </w:numPr>
              <w:autoSpaceDE w:val="0"/>
              <w:autoSpaceDN w:val="0"/>
              <w:adjustRightInd w:val="0"/>
              <w:spacing w:after="120" w:afterLine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5）智能硬件对接系统（</w:t>
            </w:r>
            <w:r>
              <w:rPr>
                <w:rFonts w:hint="eastAsia"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分）</w:t>
            </w:r>
          </w:p>
          <w:p>
            <w:pPr>
              <w:widowControl w:val="0"/>
              <w:numPr>
                <w:ilvl w:val="0"/>
                <w:numId w:val="0"/>
              </w:numPr>
              <w:spacing w:after="0"/>
              <w:ind w:leftChars="0"/>
              <w:jc w:val="both"/>
              <w:rPr>
                <w:rFonts w:hint="eastAsia" w:ascii="仿宋" w:hAnsi="仿宋" w:eastAsia="仿宋" w:cs="仿宋"/>
                <w:i w:val="0"/>
                <w:iCs w:val="0"/>
                <w:caps w:val="0"/>
                <w:color w:val="auto"/>
                <w:spacing w:val="0"/>
                <w:kern w:val="2"/>
                <w:sz w:val="24"/>
                <w:szCs w:val="24"/>
                <w:highlight w:val="none"/>
                <w:shd w:val="clear" w:fill="FFFFFF"/>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支持锁定智能衣柜，</w:t>
            </w:r>
            <w:r>
              <w:rPr>
                <w:rFonts w:hint="eastAsia" w:ascii="仿宋" w:hAnsi="仿宋" w:eastAsia="仿宋" w:cs="仿宋"/>
                <w:i w:val="0"/>
                <w:iCs w:val="0"/>
                <w:caps w:val="0"/>
                <w:color w:val="auto"/>
                <w:spacing w:val="0"/>
                <w:kern w:val="2"/>
                <w:sz w:val="24"/>
                <w:szCs w:val="24"/>
                <w:highlight w:val="none"/>
                <w:shd w:val="clear" w:fill="FFFFFF"/>
              </w:rPr>
              <w:t>锁定后此衣柜不可使用，常用于衣柜损坏</w:t>
            </w:r>
          </w:p>
          <w:p>
            <w:pPr>
              <w:widowControl w:val="0"/>
              <w:autoSpaceDE w:val="0"/>
              <w:autoSpaceDN w:val="0"/>
              <w:adjustRightInd w:val="0"/>
              <w:spacing w:after="120" w:afterLines="0"/>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·智能闸机支持自定义过闸方式，需支持二维码、实体卡、手环、人脸等验证方式</w:t>
            </w:r>
          </w:p>
          <w:p>
            <w:pPr>
              <w:widowControl w:val="0"/>
              <w:spacing w:before="60" w:after="60"/>
              <w:ind w:firstLine="0" w:firstLineChars="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1"/>
                <w:sz w:val="24"/>
                <w:szCs w:val="24"/>
                <w:highlight w:val="none"/>
                <w:lang w:val="en-US" w:eastAsia="zh-CN" w:bidi="ar-SA"/>
              </w:rPr>
              <w:t>注：“智慧场馆管理系统”</w:t>
            </w:r>
            <w:r>
              <w:rPr>
                <w:rFonts w:hint="eastAsia" w:ascii="仿宋" w:hAnsi="仿宋" w:eastAsia="仿宋" w:cs="仿宋"/>
                <w:b/>
                <w:color w:val="auto"/>
                <w:kern w:val="1"/>
                <w:sz w:val="24"/>
                <w:szCs w:val="24"/>
                <w:highlight w:val="none"/>
                <w:lang w:val="en-US" w:eastAsia="zh-CN" w:bidi="ar-SA"/>
              </w:rPr>
              <w:t>功能</w:t>
            </w:r>
            <w:r>
              <w:rPr>
                <w:rFonts w:hint="eastAsia" w:cs="仿宋"/>
                <w:b/>
                <w:color w:val="auto"/>
                <w:kern w:val="0"/>
                <w:sz w:val="24"/>
                <w:szCs w:val="24"/>
                <w:highlight w:val="none"/>
                <w:lang w:val="en-US" w:eastAsia="zh-CN" w:bidi="ar-SA"/>
              </w:rPr>
              <w:t>需投标人通过电脑进行现场演示</w:t>
            </w:r>
            <w:r>
              <w:rPr>
                <w:rFonts w:hint="eastAsia" w:ascii="仿宋" w:hAnsi="仿宋" w:eastAsia="仿宋" w:cs="仿宋"/>
                <w:b/>
                <w:color w:val="auto"/>
                <w:kern w:val="1"/>
                <w:sz w:val="24"/>
                <w:szCs w:val="24"/>
                <w:highlight w:val="none"/>
                <w:lang w:val="en-US" w:eastAsia="zh-CN" w:bidi="ar-SA"/>
              </w:rPr>
              <w:t>，</w:t>
            </w:r>
            <w:r>
              <w:rPr>
                <w:rFonts w:hint="eastAsia" w:cs="仿宋"/>
                <w:b/>
                <w:color w:val="auto"/>
                <w:kern w:val="1"/>
                <w:sz w:val="24"/>
                <w:szCs w:val="24"/>
                <w:highlight w:val="none"/>
                <w:lang w:val="en-US" w:eastAsia="zh-CN" w:bidi="ar-SA"/>
              </w:rPr>
              <w:t>逐一按顺序演示以上功能，</w:t>
            </w:r>
            <w:r>
              <w:rPr>
                <w:rFonts w:hint="eastAsia" w:ascii="仿宋" w:hAnsi="仿宋" w:eastAsia="仿宋" w:cs="仿宋"/>
                <w:b/>
                <w:color w:val="auto"/>
                <w:kern w:val="1"/>
                <w:sz w:val="24"/>
                <w:szCs w:val="24"/>
                <w:highlight w:val="none"/>
                <w:lang w:val="en-US" w:eastAsia="zh-CN" w:bidi="ar-SA"/>
              </w:rPr>
              <w:t>演示时长控制在5分钟内。</w:t>
            </w:r>
            <w:r>
              <w:rPr>
                <w:rFonts w:hint="eastAsia" w:cs="仿宋"/>
                <w:b/>
                <w:bCs/>
                <w:color w:val="auto"/>
                <w:sz w:val="24"/>
                <w:szCs w:val="24"/>
                <w:highlight w:val="none"/>
                <w:lang w:val="en-US" w:eastAsia="zh-CN"/>
              </w:rPr>
              <w:t>演示功能不全或不符合要求或未提供演示的不得分。</w:t>
            </w:r>
          </w:p>
        </w:tc>
        <w:tc>
          <w:tcPr>
            <w:tcW w:w="410" w:type="pct"/>
            <w:noWrap w:val="0"/>
            <w:vAlign w:val="center"/>
          </w:tcPr>
          <w:p>
            <w:pPr>
              <w:widowControl w:val="0"/>
              <w:spacing w:before="60" w:after="60"/>
              <w:jc w:val="center"/>
              <w:rPr>
                <w:rFonts w:hint="eastAsia" w:ascii="仿宋" w:hAnsi="仿宋" w:eastAsia="仿宋" w:cs="仿宋"/>
                <w:bCs/>
                <w:color w:val="auto"/>
                <w:kern w:val="2"/>
                <w:sz w:val="24"/>
                <w:szCs w:val="24"/>
                <w:highlight w:val="none"/>
                <w:lang w:eastAsia="zh-CN"/>
              </w:rPr>
            </w:pPr>
            <w:r>
              <w:rPr>
                <w:rFonts w:hint="eastAsia" w:ascii="仿宋" w:hAnsi="仿宋" w:eastAsia="仿宋" w:cs="仿宋"/>
                <w:color w:val="auto"/>
                <w:kern w:val="2"/>
                <w:sz w:val="24"/>
                <w:szCs w:val="24"/>
                <w:highlight w:val="none"/>
              </w:rPr>
              <w:t>0-</w:t>
            </w:r>
            <w:r>
              <w:rPr>
                <w:rFonts w:hint="eastAsia" w:cs="仿宋"/>
                <w:color w:val="auto"/>
                <w:kern w:val="2"/>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智慧管理系统移动端：</w:t>
            </w:r>
          </w:p>
          <w:p>
            <w:pPr>
              <w:widowControl/>
              <w:spacing w:after="0" w:line="24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线上充值</w:t>
            </w:r>
            <w:r>
              <w:rPr>
                <w:rFonts w:hint="eastAsia" w:ascii="仿宋" w:hAnsi="仿宋" w:eastAsia="仿宋" w:cs="仿宋"/>
                <w:color w:val="auto"/>
                <w:kern w:val="2"/>
                <w:sz w:val="24"/>
                <w:szCs w:val="24"/>
                <w:highlight w:val="none"/>
              </w:rPr>
              <w:t>（1分）</w:t>
            </w:r>
          </w:p>
          <w:p>
            <w:pPr>
              <w:keepNext w:val="0"/>
              <w:keepLines w:val="0"/>
              <w:widowControl/>
              <w:suppressLineNumbers w:val="0"/>
              <w:spacing w:after="0" w:line="240" w:lineRule="auto"/>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·支持在线</w:t>
            </w:r>
            <w:r>
              <w:rPr>
                <w:rFonts w:hint="eastAsia" w:ascii="仿宋" w:hAnsi="仿宋" w:eastAsia="仿宋" w:cs="仿宋"/>
                <w:color w:val="auto"/>
                <w:kern w:val="2"/>
                <w:sz w:val="24"/>
                <w:szCs w:val="24"/>
                <w:highlight w:val="none"/>
                <w:lang w:val="en-US" w:eastAsia="zh-CN"/>
              </w:rPr>
              <w:t>进行</w:t>
            </w:r>
            <w:r>
              <w:rPr>
                <w:rFonts w:hint="eastAsia" w:ascii="仿宋" w:hAnsi="仿宋" w:eastAsia="仿宋" w:cs="仿宋"/>
                <w:color w:val="auto"/>
                <w:kern w:val="2"/>
                <w:sz w:val="24"/>
                <w:szCs w:val="24"/>
                <w:highlight w:val="none"/>
              </w:rPr>
              <w:t>会员余额充值</w:t>
            </w:r>
            <w:r>
              <w:rPr>
                <w:rFonts w:hint="eastAsia" w:ascii="仿宋" w:hAnsi="仿宋" w:eastAsia="仿宋" w:cs="仿宋"/>
                <w:color w:val="auto"/>
                <w:kern w:val="0"/>
                <w:sz w:val="24"/>
                <w:szCs w:val="24"/>
                <w:highlight w:val="none"/>
                <w:lang w:val="en-US" w:eastAsia="zh-CN" w:bidi="ar"/>
              </w:rPr>
              <w:t>。</w:t>
            </w:r>
          </w:p>
          <w:p>
            <w:pPr>
              <w:widowControl w:val="0"/>
              <w:spacing w:after="0" w:line="240" w:lineRule="auto"/>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2）线上实名认证</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p>
          <w:p>
            <w:pPr>
              <w:widowControl/>
              <w:spacing w:after="0" w:line="240" w:lineRule="auto"/>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·支持</w:t>
            </w:r>
            <w:r>
              <w:rPr>
                <w:rFonts w:hint="eastAsia" w:ascii="仿宋" w:hAnsi="仿宋" w:eastAsia="仿宋" w:cs="仿宋"/>
                <w:color w:val="auto"/>
                <w:kern w:val="2"/>
                <w:sz w:val="24"/>
                <w:szCs w:val="24"/>
                <w:highlight w:val="none"/>
                <w:lang w:val="en-US" w:eastAsia="zh-CN"/>
              </w:rPr>
              <w:t>线上提交</w:t>
            </w:r>
            <w:r>
              <w:rPr>
                <w:rFonts w:hint="eastAsia" w:ascii="仿宋" w:hAnsi="仿宋" w:eastAsia="仿宋" w:cs="仿宋"/>
                <w:color w:val="auto"/>
                <w:kern w:val="2"/>
                <w:sz w:val="24"/>
                <w:szCs w:val="24"/>
                <w:highlight w:val="none"/>
              </w:rPr>
              <w:t>身份证，姓名</w:t>
            </w:r>
            <w:r>
              <w:rPr>
                <w:rFonts w:hint="eastAsia" w:ascii="仿宋" w:hAnsi="仿宋" w:eastAsia="仿宋" w:cs="仿宋"/>
                <w:color w:val="auto"/>
                <w:kern w:val="2"/>
                <w:sz w:val="24"/>
                <w:szCs w:val="24"/>
                <w:highlight w:val="none"/>
                <w:lang w:val="en-US" w:eastAsia="zh-CN"/>
              </w:rPr>
              <w:t>实现二要素实名</w:t>
            </w:r>
            <w:r>
              <w:rPr>
                <w:rFonts w:hint="eastAsia" w:ascii="仿宋" w:hAnsi="仿宋" w:eastAsia="仿宋" w:cs="仿宋"/>
                <w:color w:val="auto"/>
                <w:kern w:val="2"/>
                <w:sz w:val="24"/>
                <w:szCs w:val="24"/>
                <w:highlight w:val="none"/>
              </w:rPr>
              <w:t>认证</w:t>
            </w:r>
          </w:p>
          <w:p>
            <w:pPr>
              <w:widowControl w:val="0"/>
              <w:spacing w:line="240" w:lineRule="auto"/>
              <w:ind w:left="0" w:leftChars="0" w:firstLine="0" w:firstLineChars="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3）广告宣传（1分）</w:t>
            </w:r>
          </w:p>
          <w:p>
            <w:pPr>
              <w:widowControl w:val="0"/>
              <w:spacing w:after="0" w:line="24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·演示点击</w:t>
            </w:r>
            <w:r>
              <w:rPr>
                <w:rFonts w:hint="eastAsia" w:ascii="仿宋" w:hAnsi="仿宋" w:eastAsia="仿宋" w:cs="仿宋"/>
                <w:color w:val="auto"/>
                <w:kern w:val="2"/>
                <w:sz w:val="24"/>
                <w:szCs w:val="24"/>
                <w:highlight w:val="none"/>
                <w:lang w:val="en-US" w:eastAsia="zh-CN"/>
              </w:rPr>
              <w:t>移动应用端</w:t>
            </w:r>
            <w:r>
              <w:rPr>
                <w:rFonts w:hint="eastAsia" w:ascii="仿宋" w:hAnsi="仿宋" w:eastAsia="仿宋" w:cs="仿宋"/>
                <w:color w:val="auto"/>
                <w:kern w:val="2"/>
                <w:sz w:val="24"/>
                <w:szCs w:val="24"/>
                <w:highlight w:val="none"/>
              </w:rPr>
              <w:t>首页广告轮播图跳转到具体的产品页面，并可购买</w:t>
            </w:r>
          </w:p>
          <w:p>
            <w:pPr>
              <w:widowControl w:val="0"/>
              <w:spacing w:line="240" w:lineRule="auto"/>
              <w:ind w:left="0" w:leftChars="0" w:firstLine="0" w:firstLineChars="0"/>
              <w:jc w:val="both"/>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bidi="ar-SA"/>
              </w:rPr>
              <w:t>4）意见反馈（1分）</w:t>
            </w:r>
          </w:p>
          <w:p>
            <w:pPr>
              <w:widowControl w:val="0"/>
              <w:spacing w:after="0" w:line="240" w:lineRule="auto"/>
              <w:jc w:val="both"/>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rPr>
              <w:t>·演示通过</w:t>
            </w:r>
            <w:r>
              <w:rPr>
                <w:rFonts w:hint="eastAsia" w:ascii="仿宋" w:hAnsi="仿宋" w:eastAsia="仿宋" w:cs="仿宋"/>
                <w:color w:val="auto"/>
                <w:kern w:val="2"/>
                <w:sz w:val="24"/>
                <w:szCs w:val="24"/>
                <w:highlight w:val="none"/>
                <w:lang w:val="en-US" w:eastAsia="zh-CN"/>
              </w:rPr>
              <w:t>移动端提交图文类的描述进行场馆经营过程中反馈意见</w:t>
            </w:r>
          </w:p>
          <w:p>
            <w:pPr>
              <w:widowControl w:val="0"/>
              <w:autoSpaceDE w:val="0"/>
              <w:autoSpaceDN w:val="0"/>
              <w:adjustRightInd w:val="0"/>
              <w:spacing w:after="120" w:afterLines="0"/>
              <w:ind w:firstLine="241" w:firstLineChars="1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注：“智慧管理系统移动端”</w:t>
            </w:r>
            <w:r>
              <w:rPr>
                <w:rFonts w:hint="eastAsia" w:ascii="仿宋" w:hAnsi="仿宋" w:eastAsia="仿宋" w:cs="仿宋"/>
                <w:b/>
                <w:color w:val="auto"/>
                <w:kern w:val="0"/>
                <w:sz w:val="24"/>
                <w:szCs w:val="24"/>
                <w:highlight w:val="none"/>
                <w:lang w:val="en-US" w:eastAsia="zh-CN" w:bidi="ar-SA"/>
              </w:rPr>
              <w:t>功能</w:t>
            </w:r>
            <w:r>
              <w:rPr>
                <w:rFonts w:hint="eastAsia" w:cs="仿宋"/>
                <w:b/>
                <w:color w:val="auto"/>
                <w:kern w:val="0"/>
                <w:sz w:val="24"/>
                <w:szCs w:val="24"/>
                <w:highlight w:val="none"/>
                <w:lang w:val="en-US" w:eastAsia="zh-CN" w:bidi="ar-SA"/>
              </w:rPr>
              <w:t>需投标人通过相关移动设备进行现场演示</w:t>
            </w:r>
            <w:r>
              <w:rPr>
                <w:rFonts w:hint="eastAsia" w:ascii="仿宋" w:hAnsi="仿宋" w:eastAsia="仿宋" w:cs="仿宋"/>
                <w:b/>
                <w:color w:val="auto"/>
                <w:kern w:val="1"/>
                <w:sz w:val="24"/>
                <w:szCs w:val="24"/>
                <w:highlight w:val="none"/>
                <w:lang w:val="en-US" w:eastAsia="zh-CN" w:bidi="ar-SA"/>
              </w:rPr>
              <w:t>，</w:t>
            </w:r>
            <w:r>
              <w:rPr>
                <w:rFonts w:hint="eastAsia" w:cs="仿宋"/>
                <w:b/>
                <w:color w:val="auto"/>
                <w:kern w:val="1"/>
                <w:sz w:val="24"/>
                <w:szCs w:val="24"/>
                <w:highlight w:val="none"/>
                <w:lang w:val="en-US" w:eastAsia="zh-CN" w:bidi="ar-SA"/>
              </w:rPr>
              <w:t>逐一按顺序演示以上功能，</w:t>
            </w:r>
            <w:r>
              <w:rPr>
                <w:rFonts w:hint="eastAsia" w:ascii="仿宋" w:hAnsi="仿宋" w:eastAsia="仿宋" w:cs="仿宋"/>
                <w:b/>
                <w:color w:val="auto"/>
                <w:kern w:val="1"/>
                <w:sz w:val="24"/>
                <w:szCs w:val="24"/>
                <w:highlight w:val="none"/>
                <w:lang w:val="en-US" w:eastAsia="zh-CN" w:bidi="ar-SA"/>
              </w:rPr>
              <w:t>演示时长控制在5分钟内。</w:t>
            </w:r>
            <w:r>
              <w:rPr>
                <w:rFonts w:hint="eastAsia" w:cs="仿宋"/>
                <w:b/>
                <w:bCs/>
                <w:color w:val="auto"/>
                <w:sz w:val="24"/>
                <w:szCs w:val="24"/>
                <w:highlight w:val="none"/>
                <w:lang w:val="en-US" w:eastAsia="zh-CN"/>
              </w:rPr>
              <w:t>演示功能不全或不符合要求或未提供演示的不得分。</w:t>
            </w:r>
          </w:p>
        </w:tc>
        <w:tc>
          <w:tcPr>
            <w:tcW w:w="410" w:type="pct"/>
            <w:noWrap w:val="0"/>
            <w:vAlign w:val="center"/>
          </w:tcPr>
          <w:p>
            <w:pPr>
              <w:widowControl w:val="0"/>
              <w:spacing w:before="60" w:after="6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智能设备系统：</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1）自助手环机（</w:t>
            </w:r>
            <w:r>
              <w:rPr>
                <w:rFonts w:hint="eastAsia"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·演示使用会员账户余额自助选票和购票，并自动领取手环</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·演示使用微信/支付宝第三方支付进行选票和购票，并自动领取手环</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2）翼闸闸机（</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p>
          <w:p>
            <w:pPr>
              <w:widowControl w:val="0"/>
              <w:autoSpaceDE w:val="0"/>
              <w:autoSpaceDN w:val="0"/>
              <w:adjustRightInd w:val="0"/>
              <w:spacing w:after="120" w:afterLines="0"/>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lang w:val="en-US" w:eastAsia="zh-CN" w:bidi="ar-SA"/>
              </w:rPr>
              <w:t>演示用户出场时在闸机上刷手环验证信息后，手环掉落至手环回收器，闸机开闸，用户离场</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3）智能衣柜（</w:t>
            </w:r>
            <w:r>
              <w:rPr>
                <w:rFonts w:hint="eastAsia"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演示用户刷手环自助选取衣柜</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演示柜门未关闭，用户无法</w:t>
            </w:r>
            <w:r>
              <w:rPr>
                <w:rFonts w:hint="eastAsia" w:ascii="仿宋" w:hAnsi="仿宋" w:eastAsia="仿宋" w:cs="仿宋"/>
                <w:color w:val="auto"/>
                <w:kern w:val="2"/>
                <w:sz w:val="24"/>
                <w:szCs w:val="24"/>
                <w:highlight w:val="none"/>
                <w:lang w:val="en-US" w:eastAsia="zh-CN"/>
              </w:rPr>
              <w:t>在闸机上</w:t>
            </w:r>
            <w:r>
              <w:rPr>
                <w:rFonts w:hint="eastAsia" w:ascii="仿宋" w:hAnsi="仿宋" w:eastAsia="仿宋" w:cs="仿宋"/>
                <w:color w:val="auto"/>
                <w:kern w:val="2"/>
                <w:sz w:val="24"/>
                <w:szCs w:val="24"/>
                <w:highlight w:val="none"/>
              </w:rPr>
              <w:t>刷手环通过闸机</w:t>
            </w:r>
          </w:p>
          <w:p>
            <w:pPr>
              <w:widowControl w:val="0"/>
              <w:autoSpaceDE w:val="0"/>
              <w:autoSpaceDN w:val="0"/>
              <w:adjustRightInd w:val="0"/>
              <w:spacing w:after="120" w:afterLines="0"/>
              <w:ind w:firstLine="241"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注：“智能设备”</w:t>
            </w:r>
            <w:r>
              <w:rPr>
                <w:rFonts w:hint="eastAsia" w:ascii="仿宋" w:hAnsi="仿宋" w:eastAsia="仿宋" w:cs="仿宋"/>
                <w:b/>
                <w:color w:val="auto"/>
                <w:kern w:val="1"/>
                <w:sz w:val="24"/>
                <w:szCs w:val="24"/>
                <w:highlight w:val="none"/>
                <w:lang w:val="en-US" w:eastAsia="zh-CN" w:bidi="ar-SA"/>
              </w:rPr>
              <w:t>演示需</w:t>
            </w:r>
            <w:r>
              <w:rPr>
                <w:rFonts w:hint="eastAsia" w:cs="仿宋"/>
                <w:b/>
                <w:color w:val="auto"/>
                <w:kern w:val="1"/>
                <w:sz w:val="24"/>
                <w:szCs w:val="24"/>
                <w:highlight w:val="none"/>
                <w:lang w:val="en-US" w:eastAsia="zh-CN" w:bidi="ar-SA"/>
              </w:rPr>
              <w:t>投标人以视频的形式提供</w:t>
            </w:r>
            <w:r>
              <w:rPr>
                <w:rFonts w:hint="eastAsia" w:ascii="仿宋" w:hAnsi="仿宋" w:eastAsia="仿宋" w:cs="仿宋"/>
                <w:b/>
                <w:color w:val="auto"/>
                <w:kern w:val="1"/>
                <w:sz w:val="24"/>
                <w:szCs w:val="24"/>
                <w:highlight w:val="none"/>
                <w:lang w:val="en-US" w:eastAsia="zh-CN" w:bidi="ar-SA"/>
              </w:rPr>
              <w:t>，演示时长控制在5分钟内。</w:t>
            </w:r>
            <w:r>
              <w:rPr>
                <w:rFonts w:hint="eastAsia" w:cs="仿宋"/>
                <w:b/>
                <w:bCs/>
                <w:color w:val="auto"/>
                <w:sz w:val="24"/>
                <w:szCs w:val="24"/>
                <w:highlight w:val="none"/>
                <w:lang w:val="en-US" w:eastAsia="zh-CN"/>
              </w:rPr>
              <w:t>演示功能不全或不符合要求或未提供演示的不得分。</w:t>
            </w:r>
          </w:p>
        </w:tc>
        <w:tc>
          <w:tcPr>
            <w:tcW w:w="410" w:type="pct"/>
            <w:noWrap w:val="0"/>
            <w:vAlign w:val="center"/>
          </w:tcPr>
          <w:p>
            <w:pPr>
              <w:widowControl w:val="0"/>
              <w:spacing w:before="60" w:after="60"/>
              <w:jc w:val="center"/>
              <w:rPr>
                <w:rFonts w:hint="eastAsia" w:ascii="仿宋" w:hAnsi="仿宋" w:eastAsia="仿宋" w:cs="仿宋"/>
                <w:bCs/>
                <w:color w:val="auto"/>
                <w:kern w:val="2"/>
                <w:sz w:val="24"/>
                <w:szCs w:val="24"/>
                <w:highlight w:val="none"/>
                <w:lang w:eastAsia="zh-CN"/>
              </w:rPr>
            </w:pPr>
            <w:r>
              <w:rPr>
                <w:rFonts w:hint="eastAsia" w:ascii="仿宋" w:hAnsi="仿宋" w:eastAsia="仿宋" w:cs="仿宋"/>
                <w:color w:val="auto"/>
                <w:kern w:val="2"/>
                <w:sz w:val="24"/>
                <w:szCs w:val="24"/>
                <w:highlight w:val="none"/>
              </w:rPr>
              <w:t>0-</w:t>
            </w:r>
            <w:r>
              <w:rPr>
                <w:rFonts w:hint="eastAsia" w:cs="仿宋"/>
                <w:color w:val="auto"/>
                <w:kern w:val="2"/>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技术响应性（</w:t>
            </w:r>
            <w:r>
              <w:rPr>
                <w:rFonts w:hint="eastAsia" w:cs="仿宋"/>
                <w:color w:val="auto"/>
                <w:kern w:val="2"/>
                <w:sz w:val="24"/>
                <w:szCs w:val="24"/>
                <w:highlight w:val="none"/>
                <w:lang w:val="en-US" w:eastAsia="zh-CN"/>
              </w:rPr>
              <w:t>13</w:t>
            </w:r>
            <w:r>
              <w:rPr>
                <w:rFonts w:hint="eastAsia" w:ascii="仿宋" w:hAnsi="仿宋" w:eastAsia="仿宋" w:cs="仿宋"/>
                <w:color w:val="auto"/>
                <w:kern w:val="2"/>
                <w:sz w:val="24"/>
                <w:szCs w:val="24"/>
                <w:highlight w:val="none"/>
              </w:rPr>
              <w:t>分）</w:t>
            </w:r>
          </w:p>
        </w:tc>
        <w:tc>
          <w:tcPr>
            <w:tcW w:w="3071" w:type="pct"/>
            <w:noWrap w:val="0"/>
            <w:vAlign w:val="center"/>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投标产品全部满足招标文件技术需求的得</w:t>
            </w:r>
            <w:r>
              <w:rPr>
                <w:rFonts w:hint="eastAsia" w:cs="仿宋"/>
                <w:color w:val="auto"/>
                <w:kern w:val="2"/>
                <w:sz w:val="24"/>
                <w:szCs w:val="24"/>
                <w:highlight w:val="none"/>
                <w:lang w:val="en-US" w:eastAsia="zh-CN"/>
              </w:rPr>
              <w:t>13</w:t>
            </w:r>
            <w:r>
              <w:rPr>
                <w:rFonts w:hint="eastAsia" w:ascii="仿宋" w:hAnsi="仿宋" w:eastAsia="仿宋" w:cs="仿宋"/>
                <w:color w:val="auto"/>
                <w:kern w:val="2"/>
                <w:sz w:val="24"/>
                <w:szCs w:val="24"/>
                <w:highlight w:val="none"/>
              </w:rPr>
              <w:t>分，每一条未带“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”的技术指标负偏离扣1分，每一条带“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”的技术指标负偏离扣2分，本项</w:t>
            </w:r>
            <w:r>
              <w:rPr>
                <w:rFonts w:hint="eastAsia" w:cs="仿宋"/>
                <w:color w:val="auto"/>
                <w:kern w:val="2"/>
                <w:sz w:val="24"/>
                <w:szCs w:val="24"/>
                <w:highlight w:val="none"/>
                <w:lang w:val="en-US" w:eastAsia="zh-CN"/>
              </w:rPr>
              <w:t>13</w:t>
            </w:r>
            <w:r>
              <w:rPr>
                <w:rFonts w:hint="eastAsia" w:ascii="仿宋" w:hAnsi="仿宋" w:eastAsia="仿宋" w:cs="仿宋"/>
                <w:color w:val="auto"/>
                <w:kern w:val="2"/>
                <w:sz w:val="24"/>
                <w:szCs w:val="24"/>
                <w:highlight w:val="none"/>
              </w:rPr>
              <w:t>分扣完为止。</w:t>
            </w:r>
          </w:p>
        </w:tc>
        <w:tc>
          <w:tcPr>
            <w:tcW w:w="410" w:type="pct"/>
            <w:noWrap w:val="0"/>
            <w:vAlign w:val="center"/>
          </w:tcPr>
          <w:p>
            <w:pPr>
              <w:widowControl w:val="0"/>
              <w:spacing w:before="60" w:after="6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0-</w:t>
            </w:r>
            <w:r>
              <w:rPr>
                <w:rFonts w:hint="eastAsia" w:cs="仿宋"/>
                <w:color w:val="auto"/>
                <w:kern w:val="2"/>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tabs>
                <w:tab w:val="left" w:pos="30"/>
              </w:tabs>
              <w:spacing w:before="60" w:after="60"/>
              <w:jc w:val="left"/>
              <w:rPr>
                <w:rFonts w:hint="eastAsia" w:ascii="仿宋" w:hAnsi="仿宋" w:eastAsia="仿宋" w:cs="仿宋"/>
                <w:color w:val="auto"/>
                <w:kern w:val="2"/>
                <w:sz w:val="24"/>
                <w:szCs w:val="24"/>
                <w:highlight w:val="none"/>
              </w:rPr>
            </w:pPr>
          </w:p>
        </w:tc>
        <w:tc>
          <w:tcPr>
            <w:tcW w:w="477" w:type="pct"/>
            <w:vMerge w:val="restart"/>
            <w:noWrap w:val="0"/>
            <w:vAlign w:val="center"/>
          </w:tcPr>
          <w:p>
            <w:pPr>
              <w:widowControl w:val="0"/>
              <w:tabs>
                <w:tab w:val="left" w:pos="30"/>
              </w:tabs>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技术服务要求（</w:t>
            </w:r>
            <w:r>
              <w:rPr>
                <w:rFonts w:hint="eastAsia"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val="zh-CN"/>
              </w:rPr>
              <w:t>）</w:t>
            </w: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项目的理解程度（5分)：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根据投标人提供的对项目的整体分析理解、功能要求实现的方案进行评定。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符合采购需求，针对性强的得5分；方案基本可行、</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符合采购需求，针对性较强的得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分；方案一般，基本符合采购需求，针对性一般的得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分；方案不完整、不符合采购需求，没有针对性的不得分。</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tabs>
                <w:tab w:val="left" w:pos="30"/>
              </w:tabs>
              <w:spacing w:before="60" w:after="60"/>
              <w:jc w:val="left"/>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tabs>
                <w:tab w:val="left" w:pos="30"/>
              </w:tabs>
              <w:spacing w:before="60" w:after="60"/>
              <w:jc w:val="center"/>
              <w:rPr>
                <w:rFonts w:hint="eastAsia" w:ascii="仿宋" w:hAnsi="仿宋" w:eastAsia="仿宋" w:cs="仿宋"/>
                <w:color w:val="auto"/>
                <w:kern w:val="2"/>
                <w:sz w:val="24"/>
                <w:szCs w:val="24"/>
                <w:highlight w:val="none"/>
                <w:lang w:val="zh-CN"/>
              </w:rPr>
            </w:pP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重点、难点分析（5分）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对</w:t>
            </w:r>
            <w:r>
              <w:rPr>
                <w:rFonts w:hint="eastAsia" w:ascii="仿宋" w:hAnsi="仿宋" w:eastAsia="仿宋" w:cs="仿宋"/>
                <w:color w:val="auto"/>
                <w:kern w:val="2"/>
                <w:sz w:val="24"/>
                <w:szCs w:val="24"/>
                <w:highlight w:val="none"/>
              </w:rPr>
              <w:t>本项目</w:t>
            </w:r>
            <w:r>
              <w:rPr>
                <w:rFonts w:hint="eastAsia" w:ascii="仿宋" w:hAnsi="仿宋" w:eastAsia="仿宋" w:cs="仿宋"/>
                <w:color w:val="auto"/>
                <w:kern w:val="2"/>
                <w:sz w:val="24"/>
                <w:szCs w:val="24"/>
                <w:highlight w:val="none"/>
                <w:lang w:val="zh-CN"/>
              </w:rPr>
              <w:t>重点、难点技术环节进行描述和分析</w:t>
            </w:r>
            <w:r>
              <w:rPr>
                <w:rFonts w:hint="eastAsia" w:ascii="仿宋" w:hAnsi="仿宋" w:eastAsia="仿宋" w:cs="仿宋"/>
                <w:color w:val="auto"/>
                <w:kern w:val="2"/>
                <w:sz w:val="24"/>
                <w:szCs w:val="24"/>
                <w:highlight w:val="none"/>
              </w:rPr>
              <w:t>进行评定。</w:t>
            </w:r>
            <w:r>
              <w:rPr>
                <w:rFonts w:hint="eastAsia" w:ascii="仿宋" w:hAnsi="仿宋" w:eastAsia="仿宋" w:cs="仿宋"/>
                <w:color w:val="auto"/>
                <w:sz w:val="24"/>
                <w:szCs w:val="24"/>
                <w:highlight w:val="none"/>
                <w:lang w:val="en-US" w:eastAsia="zh-CN"/>
              </w:rPr>
              <w:t>投标人分析全面、</w:t>
            </w:r>
            <w:r>
              <w:rPr>
                <w:rFonts w:hint="eastAsia" w:ascii="仿宋" w:hAnsi="仿宋" w:eastAsia="仿宋" w:cs="仿宋"/>
                <w:color w:val="auto"/>
                <w:sz w:val="24"/>
                <w:szCs w:val="24"/>
                <w:highlight w:val="none"/>
                <w:shd w:val="clear"/>
                <w:lang w:val="en-US" w:eastAsia="zh-CN"/>
              </w:rPr>
              <w:t>方案</w:t>
            </w:r>
            <w:r>
              <w:rPr>
                <w:rFonts w:hint="eastAsia" w:cs="仿宋"/>
                <w:color w:val="auto"/>
                <w:sz w:val="24"/>
                <w:szCs w:val="24"/>
                <w:highlight w:val="none"/>
                <w:shd w:val="clear"/>
                <w:lang w:val="en-US" w:eastAsia="zh-CN"/>
              </w:rPr>
              <w:t>内容详实</w:t>
            </w:r>
            <w:r>
              <w:rPr>
                <w:rFonts w:hint="eastAsia" w:ascii="仿宋" w:hAnsi="仿宋" w:eastAsia="仿宋" w:cs="仿宋"/>
                <w:color w:val="auto"/>
                <w:sz w:val="24"/>
                <w:szCs w:val="24"/>
                <w:highlight w:val="none"/>
                <w:shd w:val="clear"/>
                <w:lang w:val="en-US" w:eastAsia="zh-CN"/>
              </w:rPr>
              <w:t>、合理可行的得</w:t>
            </w:r>
            <w:r>
              <w:rPr>
                <w:rFonts w:hint="eastAsia" w:cs="仿宋"/>
                <w:color w:val="auto"/>
                <w:sz w:val="24"/>
                <w:szCs w:val="24"/>
                <w:highlight w:val="none"/>
                <w:shd w:val="clear"/>
                <w:lang w:val="en-US" w:eastAsia="zh-CN"/>
              </w:rPr>
              <w:t>5</w:t>
            </w:r>
            <w:r>
              <w:rPr>
                <w:rFonts w:hint="eastAsia" w:ascii="仿宋" w:hAnsi="仿宋" w:eastAsia="仿宋" w:cs="仿宋"/>
                <w:color w:val="auto"/>
                <w:sz w:val="24"/>
                <w:szCs w:val="24"/>
                <w:highlight w:val="none"/>
                <w:shd w:val="clear"/>
                <w:lang w:val="en-US" w:eastAsia="zh-CN"/>
              </w:rPr>
              <w:t>分；分析</w:t>
            </w:r>
            <w:r>
              <w:rPr>
                <w:rFonts w:hint="eastAsia" w:cs="仿宋"/>
                <w:color w:val="auto"/>
                <w:sz w:val="24"/>
                <w:szCs w:val="24"/>
                <w:highlight w:val="none"/>
                <w:shd w:val="clear"/>
                <w:lang w:val="en-US" w:eastAsia="zh-CN"/>
              </w:rPr>
              <w:t>一般</w:t>
            </w:r>
            <w:r>
              <w:rPr>
                <w:rFonts w:hint="eastAsia" w:ascii="仿宋" w:hAnsi="仿宋" w:eastAsia="仿宋" w:cs="仿宋"/>
                <w:color w:val="auto"/>
                <w:sz w:val="24"/>
                <w:szCs w:val="24"/>
                <w:highlight w:val="none"/>
                <w:shd w:val="clear"/>
                <w:lang w:val="en-US" w:eastAsia="zh-CN"/>
              </w:rPr>
              <w:t>、方案内容</w:t>
            </w:r>
            <w:r>
              <w:rPr>
                <w:rFonts w:hint="eastAsia" w:cs="仿宋"/>
                <w:color w:val="auto"/>
                <w:sz w:val="24"/>
                <w:szCs w:val="24"/>
                <w:highlight w:val="none"/>
                <w:shd w:val="clear"/>
                <w:lang w:val="en-US" w:eastAsia="zh-CN"/>
              </w:rPr>
              <w:t>较为完善</w:t>
            </w:r>
            <w:r>
              <w:rPr>
                <w:rFonts w:hint="eastAsia" w:ascii="仿宋" w:hAnsi="仿宋" w:eastAsia="仿宋" w:cs="仿宋"/>
                <w:color w:val="auto"/>
                <w:sz w:val="24"/>
                <w:szCs w:val="24"/>
                <w:highlight w:val="none"/>
                <w:shd w:val="clear"/>
                <w:lang w:val="en-US" w:eastAsia="zh-CN"/>
              </w:rPr>
              <w:t>、可行性一般得</w:t>
            </w:r>
            <w:r>
              <w:rPr>
                <w:rFonts w:hint="eastAsia" w:cs="仿宋"/>
                <w:color w:val="auto"/>
                <w:sz w:val="24"/>
                <w:szCs w:val="24"/>
                <w:highlight w:val="none"/>
                <w:shd w:val="clear"/>
                <w:lang w:val="en-US" w:eastAsia="zh-CN"/>
              </w:rPr>
              <w:t>3</w:t>
            </w:r>
            <w:r>
              <w:rPr>
                <w:rFonts w:hint="eastAsia" w:ascii="仿宋" w:hAnsi="仿宋" w:eastAsia="仿宋" w:cs="仿宋"/>
                <w:color w:val="auto"/>
                <w:sz w:val="24"/>
                <w:szCs w:val="24"/>
                <w:highlight w:val="none"/>
                <w:shd w:val="clear"/>
                <w:lang w:val="en-US" w:eastAsia="zh-CN"/>
              </w:rPr>
              <w:t>分；分析</w:t>
            </w:r>
            <w:r>
              <w:rPr>
                <w:rFonts w:hint="eastAsia" w:cs="仿宋"/>
                <w:color w:val="auto"/>
                <w:sz w:val="24"/>
                <w:szCs w:val="24"/>
                <w:highlight w:val="none"/>
                <w:shd w:val="clear"/>
                <w:lang w:val="en-US" w:eastAsia="zh-CN"/>
              </w:rPr>
              <w:t>不全</w:t>
            </w:r>
            <w:r>
              <w:rPr>
                <w:rFonts w:hint="eastAsia" w:ascii="仿宋" w:hAnsi="仿宋" w:eastAsia="仿宋" w:cs="仿宋"/>
                <w:color w:val="auto"/>
                <w:sz w:val="24"/>
                <w:szCs w:val="24"/>
                <w:highlight w:val="none"/>
                <w:shd w:val="clear"/>
                <w:lang w:val="en-US" w:eastAsia="zh-CN"/>
              </w:rPr>
              <w:t>、方案内容</w:t>
            </w:r>
            <w:r>
              <w:rPr>
                <w:rFonts w:hint="eastAsia" w:cs="仿宋"/>
                <w:color w:val="auto"/>
                <w:sz w:val="24"/>
                <w:szCs w:val="24"/>
                <w:highlight w:val="none"/>
                <w:shd w:val="clear"/>
                <w:lang w:val="en-US" w:eastAsia="zh-CN"/>
              </w:rPr>
              <w:t>简单</w:t>
            </w:r>
            <w:r>
              <w:rPr>
                <w:rFonts w:hint="eastAsia" w:ascii="仿宋" w:hAnsi="仿宋" w:eastAsia="仿宋" w:cs="仿宋"/>
                <w:color w:val="auto"/>
                <w:sz w:val="24"/>
                <w:szCs w:val="24"/>
                <w:highlight w:val="none"/>
                <w:shd w:val="clear"/>
                <w:lang w:val="en-US" w:eastAsia="zh-CN"/>
              </w:rPr>
              <w:t>、可行性有待提高的得</w:t>
            </w:r>
            <w:r>
              <w:rPr>
                <w:rFonts w:hint="eastAsia" w:cs="仿宋"/>
                <w:color w:val="auto"/>
                <w:sz w:val="24"/>
                <w:szCs w:val="24"/>
                <w:highlight w:val="none"/>
                <w:shd w:val="clear"/>
                <w:lang w:val="en-US" w:eastAsia="zh-CN"/>
              </w:rPr>
              <w:t>1分</w:t>
            </w:r>
            <w:r>
              <w:rPr>
                <w:rFonts w:hint="eastAsia" w:ascii="仿宋" w:hAnsi="仿宋" w:eastAsia="仿宋" w:cs="仿宋"/>
                <w:color w:val="auto"/>
                <w:sz w:val="24"/>
                <w:szCs w:val="24"/>
                <w:highlight w:val="none"/>
                <w:shd w:val="clear"/>
                <w:lang w:val="en-US" w:eastAsia="zh-CN"/>
              </w:rPr>
              <w:t>；方案不符合采购要求的</w:t>
            </w:r>
            <w:r>
              <w:rPr>
                <w:rFonts w:hint="eastAsia" w:cs="仿宋"/>
                <w:color w:val="auto"/>
                <w:sz w:val="24"/>
                <w:szCs w:val="24"/>
                <w:highlight w:val="none"/>
                <w:shd w:val="clear"/>
                <w:lang w:val="en-US" w:eastAsia="zh-CN"/>
              </w:rPr>
              <w:t>或未提供的不得</w:t>
            </w:r>
            <w:r>
              <w:rPr>
                <w:rFonts w:hint="eastAsia" w:ascii="仿宋" w:hAnsi="仿宋" w:eastAsia="仿宋" w:cs="仿宋"/>
                <w:color w:val="auto"/>
                <w:sz w:val="24"/>
                <w:szCs w:val="24"/>
                <w:highlight w:val="none"/>
                <w:shd w:val="clear"/>
                <w:lang w:val="en-US" w:eastAsia="zh-CN"/>
              </w:rPr>
              <w:t>分。</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tabs>
                <w:tab w:val="left" w:pos="30"/>
              </w:tabs>
              <w:spacing w:before="60" w:after="60"/>
              <w:jc w:val="left"/>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tabs>
                <w:tab w:val="left" w:pos="30"/>
              </w:tabs>
              <w:spacing w:before="60" w:after="60"/>
              <w:jc w:val="center"/>
              <w:rPr>
                <w:rFonts w:hint="eastAsia" w:ascii="仿宋" w:hAnsi="仿宋" w:eastAsia="仿宋" w:cs="仿宋"/>
                <w:color w:val="auto"/>
                <w:kern w:val="2"/>
                <w:sz w:val="24"/>
                <w:szCs w:val="24"/>
                <w:highlight w:val="none"/>
                <w:lang w:val="zh-CN"/>
              </w:rPr>
            </w:pP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系统</w:t>
            </w:r>
            <w:r>
              <w:rPr>
                <w:rFonts w:hint="eastAsia" w:ascii="仿宋" w:hAnsi="仿宋" w:eastAsia="仿宋" w:cs="仿宋"/>
                <w:color w:val="auto"/>
                <w:kern w:val="2"/>
                <w:sz w:val="24"/>
                <w:szCs w:val="24"/>
                <w:highlight w:val="none"/>
              </w:rPr>
              <w:t>深化设计和完善（5分）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对本项目</w:t>
            </w:r>
            <w:r>
              <w:rPr>
                <w:rFonts w:hint="eastAsia" w:ascii="仿宋" w:hAnsi="仿宋" w:eastAsia="仿宋" w:cs="仿宋"/>
                <w:color w:val="auto"/>
                <w:kern w:val="2"/>
                <w:sz w:val="24"/>
                <w:szCs w:val="24"/>
                <w:highlight w:val="none"/>
                <w:lang w:val="zh-CN"/>
              </w:rPr>
              <w:t>系统</w:t>
            </w:r>
            <w:r>
              <w:rPr>
                <w:rFonts w:hint="eastAsia" w:ascii="仿宋" w:hAnsi="仿宋" w:eastAsia="仿宋" w:cs="仿宋"/>
                <w:color w:val="auto"/>
                <w:kern w:val="2"/>
                <w:sz w:val="24"/>
                <w:szCs w:val="24"/>
                <w:highlight w:val="none"/>
              </w:rPr>
              <w:t>深化设计和完善，出具</w:t>
            </w:r>
            <w:r>
              <w:rPr>
                <w:rFonts w:hint="eastAsia" w:ascii="仿宋" w:hAnsi="仿宋" w:eastAsia="仿宋" w:cs="仿宋"/>
                <w:color w:val="auto"/>
                <w:kern w:val="2"/>
                <w:sz w:val="24"/>
                <w:szCs w:val="24"/>
                <w:highlight w:val="none"/>
                <w:lang w:val="zh-CN"/>
              </w:rPr>
              <w:t>完整、先进、合理、经济、安全、切实可行的解决方案。</w:t>
            </w:r>
            <w:r>
              <w:rPr>
                <w:rFonts w:hint="eastAsia" w:ascii="仿宋" w:hAnsi="仿宋" w:eastAsia="仿宋" w:cs="仿宋"/>
                <w:color w:val="auto"/>
                <w:sz w:val="24"/>
                <w:szCs w:val="24"/>
                <w:highlight w:val="none"/>
                <w:lang w:val="en-US" w:eastAsia="zh-CN"/>
              </w:rPr>
              <w:t>总体方案的功能实现以及配置的合理性等方面与项目对应需求的满足程度。</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符合采购需求，针对性强的得5分；方案基本可行、</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符合采购需求，针对性较强的得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分；方案一般，基本符合采购需求，针对性一般的得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分；方案不完整、不符合采购需求，没有针对性的不得分。</w:t>
            </w:r>
            <w:r>
              <w:rPr>
                <w:rFonts w:hint="eastAsia" w:ascii="仿宋" w:hAnsi="仿宋" w:eastAsia="仿宋" w:cs="仿宋"/>
                <w:b/>
                <w:bCs/>
                <w:color w:val="auto"/>
                <w:kern w:val="2"/>
                <w:sz w:val="24"/>
                <w:szCs w:val="24"/>
                <w:highlight w:val="none"/>
                <w:lang w:val="zh-CN"/>
              </w:rPr>
              <w:t>（</w:t>
            </w:r>
            <w:r>
              <w:rPr>
                <w:rFonts w:hint="eastAsia" w:ascii="仿宋" w:hAnsi="仿宋" w:eastAsia="仿宋" w:cs="仿宋"/>
                <w:b/>
                <w:bCs/>
                <w:color w:val="auto"/>
                <w:kern w:val="2"/>
                <w:sz w:val="24"/>
                <w:szCs w:val="24"/>
                <w:highlight w:val="none"/>
              </w:rPr>
              <w:t>需</w:t>
            </w:r>
            <w:r>
              <w:rPr>
                <w:rFonts w:hint="eastAsia" w:ascii="仿宋" w:hAnsi="仿宋" w:eastAsia="仿宋" w:cs="仿宋"/>
                <w:b/>
                <w:bCs/>
                <w:color w:val="auto"/>
                <w:kern w:val="2"/>
                <w:sz w:val="24"/>
                <w:szCs w:val="24"/>
                <w:highlight w:val="none"/>
                <w:lang w:val="zh-CN"/>
              </w:rPr>
              <w:t>提供各</w:t>
            </w:r>
            <w:r>
              <w:rPr>
                <w:rFonts w:hint="eastAsia" w:ascii="仿宋" w:hAnsi="仿宋" w:eastAsia="仿宋" w:cs="仿宋"/>
                <w:b/>
                <w:bCs/>
                <w:color w:val="auto"/>
                <w:kern w:val="2"/>
                <w:sz w:val="24"/>
                <w:szCs w:val="24"/>
                <w:highlight w:val="none"/>
              </w:rPr>
              <w:t>软件</w:t>
            </w:r>
            <w:r>
              <w:rPr>
                <w:rFonts w:hint="eastAsia" w:ascii="仿宋" w:hAnsi="仿宋" w:eastAsia="仿宋" w:cs="仿宋"/>
                <w:b/>
                <w:bCs/>
                <w:color w:val="auto"/>
                <w:kern w:val="2"/>
                <w:sz w:val="24"/>
                <w:szCs w:val="24"/>
                <w:highlight w:val="none"/>
                <w:lang w:val="zh-CN"/>
              </w:rPr>
              <w:t>功能模块对应的实际系统截图</w:t>
            </w:r>
            <w:r>
              <w:rPr>
                <w:rFonts w:hint="eastAsia" w:cs="仿宋"/>
                <w:b/>
                <w:bCs/>
                <w:color w:val="auto"/>
                <w:kern w:val="2"/>
                <w:sz w:val="24"/>
                <w:szCs w:val="24"/>
                <w:highlight w:val="none"/>
                <w:lang w:val="zh-CN"/>
              </w:rPr>
              <w:t>，</w:t>
            </w:r>
            <w:r>
              <w:rPr>
                <w:rFonts w:hint="eastAsia" w:cs="仿宋"/>
                <w:b/>
                <w:bCs/>
                <w:color w:val="auto"/>
                <w:kern w:val="2"/>
                <w:sz w:val="24"/>
                <w:szCs w:val="24"/>
                <w:highlight w:val="none"/>
                <w:lang w:val="en-US" w:eastAsia="zh-CN"/>
              </w:rPr>
              <w:t>否则不得分</w:t>
            </w:r>
            <w:r>
              <w:rPr>
                <w:rFonts w:hint="eastAsia" w:ascii="仿宋" w:hAnsi="仿宋" w:eastAsia="仿宋" w:cs="仿宋"/>
                <w:b/>
                <w:bCs/>
                <w:color w:val="auto"/>
                <w:kern w:val="2"/>
                <w:sz w:val="24"/>
                <w:szCs w:val="24"/>
                <w:highlight w:val="none"/>
                <w:lang w:val="zh-CN"/>
              </w:rPr>
              <w:t>）</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项目实施方案（5分）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根据投标人的项目实施方案的科学性、合理性、规范性和可操作性、提供的项目进度规划的安排以及项目组人员安排合理性进行评定。</w:t>
            </w:r>
            <w:r>
              <w:rPr>
                <w:rFonts w:hint="eastAsia" w:ascii="仿宋" w:hAnsi="仿宋" w:eastAsia="仿宋" w:cs="仿宋"/>
                <w:color w:val="auto"/>
                <w:sz w:val="24"/>
                <w:szCs w:val="24"/>
                <w:highlight w:val="none"/>
                <w:lang w:val="en-US" w:eastAsia="zh-CN"/>
              </w:rPr>
              <w:t>整体服务进度合理</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服务措施保障完整的得</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r>
              <w:rPr>
                <w:rFonts w:hint="eastAsia" w:cs="仿宋"/>
                <w:color w:val="auto"/>
                <w:sz w:val="24"/>
                <w:szCs w:val="24"/>
                <w:highlight w:val="none"/>
                <w:lang w:val="en-US" w:eastAsia="zh-CN"/>
              </w:rPr>
              <w:t>有</w:t>
            </w:r>
            <w:r>
              <w:rPr>
                <w:rFonts w:hint="eastAsia" w:ascii="仿宋" w:hAnsi="仿宋" w:eastAsia="仿宋" w:cs="仿宋"/>
                <w:color w:val="auto"/>
                <w:sz w:val="24"/>
                <w:szCs w:val="24"/>
                <w:highlight w:val="none"/>
                <w:lang w:val="en-US" w:eastAsia="zh-CN"/>
              </w:rPr>
              <w:t>进度安排</w:t>
            </w:r>
            <w:r>
              <w:rPr>
                <w:rFonts w:hint="eastAsia" w:cs="仿宋"/>
                <w:color w:val="auto"/>
                <w:sz w:val="24"/>
                <w:szCs w:val="24"/>
                <w:highlight w:val="none"/>
                <w:lang w:val="en-US" w:eastAsia="zh-CN"/>
              </w:rPr>
              <w:t>但</w:t>
            </w:r>
            <w:r>
              <w:rPr>
                <w:rFonts w:hint="eastAsia" w:ascii="仿宋" w:hAnsi="仿宋" w:eastAsia="仿宋" w:cs="仿宋"/>
                <w:color w:val="auto"/>
                <w:sz w:val="24"/>
                <w:szCs w:val="24"/>
                <w:highlight w:val="none"/>
                <w:lang w:val="en-US" w:eastAsia="zh-CN"/>
              </w:rPr>
              <w:t>措施保障</w:t>
            </w:r>
            <w:r>
              <w:rPr>
                <w:rFonts w:hint="eastAsia" w:cs="仿宋"/>
                <w:color w:val="auto"/>
                <w:sz w:val="24"/>
                <w:szCs w:val="24"/>
                <w:highlight w:val="none"/>
                <w:lang w:val="en-US" w:eastAsia="zh-CN"/>
              </w:rPr>
              <w:t>欠佳</w:t>
            </w:r>
            <w:r>
              <w:rPr>
                <w:rFonts w:hint="eastAsia" w:ascii="仿宋" w:hAnsi="仿宋" w:eastAsia="仿宋" w:cs="仿宋"/>
                <w:color w:val="auto"/>
                <w:sz w:val="24"/>
                <w:szCs w:val="24"/>
                <w:highlight w:val="none"/>
                <w:lang w:val="en-US" w:eastAsia="zh-CN"/>
              </w:rPr>
              <w:t>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分；进度混乱、保障措施不到位</w:t>
            </w:r>
            <w:r>
              <w:rPr>
                <w:rFonts w:hint="eastAsia" w:cs="仿宋"/>
                <w:color w:val="auto"/>
                <w:sz w:val="24"/>
                <w:szCs w:val="24"/>
                <w:highlight w:val="none"/>
                <w:lang w:val="en-US" w:eastAsia="zh-CN"/>
              </w:rPr>
              <w:t>的得1分</w:t>
            </w:r>
            <w:r>
              <w:rPr>
                <w:rFonts w:hint="eastAsia" w:ascii="仿宋" w:hAnsi="仿宋" w:eastAsia="仿宋" w:cs="仿宋"/>
                <w:color w:val="auto"/>
                <w:sz w:val="24"/>
                <w:szCs w:val="24"/>
                <w:highlight w:val="none"/>
                <w:lang w:val="en-US" w:eastAsia="zh-CN"/>
              </w:rPr>
              <w:t>；未提供的</w:t>
            </w:r>
            <w:r>
              <w:rPr>
                <w:rFonts w:hint="eastAsia" w:cs="仿宋"/>
                <w:color w:val="auto"/>
                <w:sz w:val="24"/>
                <w:szCs w:val="24"/>
                <w:highlight w:val="none"/>
                <w:lang w:val="en-US" w:eastAsia="zh-CN"/>
              </w:rPr>
              <w:t>不得分</w:t>
            </w:r>
            <w:r>
              <w:rPr>
                <w:rFonts w:hint="eastAsia" w:ascii="仿宋" w:hAnsi="仿宋" w:eastAsia="仿宋" w:cs="仿宋"/>
                <w:color w:val="auto"/>
                <w:sz w:val="24"/>
                <w:szCs w:val="24"/>
                <w:highlight w:val="none"/>
                <w:lang w:val="en-US" w:eastAsia="zh-CN"/>
              </w:rPr>
              <w:t>。</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售后服务方案（5分）：</w:t>
            </w:r>
          </w:p>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人提供的售后服务方案及服务承诺的可行性、完整性，售后服务响应时间、到达现场时间承诺、故障修复速度是否满足或优于招标人要求，服务承诺落实的保障措施，质保期内外的后续技术支持和维护能力情况等</w:t>
            </w:r>
            <w:r>
              <w:rPr>
                <w:rFonts w:hint="eastAsia" w:cs="仿宋"/>
                <w:color w:val="auto"/>
                <w:kern w:val="2"/>
                <w:sz w:val="24"/>
                <w:szCs w:val="24"/>
                <w:highlight w:val="none"/>
                <w:lang w:eastAsia="zh-CN"/>
              </w:rPr>
              <w:t>。</w:t>
            </w:r>
            <w:r>
              <w:rPr>
                <w:rFonts w:hint="eastAsia" w:ascii="仿宋" w:hAnsi="仿宋" w:eastAsia="仿宋" w:cs="仿宋"/>
                <w:color w:val="auto"/>
                <w:kern w:val="2"/>
                <w:sz w:val="24"/>
                <w:szCs w:val="24"/>
                <w:highlight w:val="none"/>
              </w:rPr>
              <w:t>投标设备的配件、附件、备品备件的准备和保障措施情况，其他有关资料和材料的完整性、合理性和可操作性等进行评定。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符合采购需求，针对性强的得5分；方案基本可行、</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符合采购需求，针对性较强的得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分；方案一般，基本符合采购需求，针对性一般的得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分；方案不完整、不符合采购需求，没有针对性的不得分。</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top"/>
          </w:tcPr>
          <w:p>
            <w:pPr>
              <w:widowControl w:val="0"/>
              <w:spacing w:before="60" w:after="60"/>
              <w:jc w:val="both"/>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应急方案（5分）：</w:t>
            </w:r>
          </w:p>
          <w:p>
            <w:pPr>
              <w:widowControl w:val="0"/>
              <w:spacing w:before="60" w:after="60"/>
              <w:jc w:val="both"/>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投标人应根据可能发生的故障问题，提供有效可行的系统及设备应急方案，以保障设备正常稳定运行，综合评定。应急方案</w:t>
            </w:r>
            <w:r>
              <w:rPr>
                <w:rFonts w:hint="eastAsia" w:cs="仿宋"/>
                <w:snapToGrid w:val="0"/>
                <w:color w:val="auto"/>
                <w:kern w:val="2"/>
                <w:sz w:val="24"/>
                <w:szCs w:val="24"/>
                <w:highlight w:val="none"/>
                <w:lang w:val="en-US" w:eastAsia="zh-CN" w:bidi="ar-SA"/>
              </w:rPr>
              <w:t>全面详实</w:t>
            </w:r>
            <w:r>
              <w:rPr>
                <w:rFonts w:hint="eastAsia" w:ascii="仿宋" w:hAnsi="仿宋" w:eastAsia="仿宋" w:cs="仿宋"/>
                <w:snapToGrid w:val="0"/>
                <w:color w:val="auto"/>
                <w:kern w:val="2"/>
                <w:sz w:val="24"/>
                <w:szCs w:val="24"/>
                <w:highlight w:val="none"/>
                <w:lang w:val="en-US" w:eastAsia="zh-CN" w:bidi="ar-SA"/>
              </w:rPr>
              <w:t>，贴合符合项目需求的得5分；应急方案</w:t>
            </w:r>
            <w:r>
              <w:rPr>
                <w:rFonts w:hint="eastAsia" w:cs="仿宋"/>
                <w:snapToGrid w:val="0"/>
                <w:color w:val="auto"/>
                <w:kern w:val="2"/>
                <w:sz w:val="24"/>
                <w:szCs w:val="24"/>
                <w:highlight w:val="none"/>
                <w:lang w:val="en-US" w:eastAsia="zh-CN" w:bidi="ar-SA"/>
              </w:rPr>
              <w:t>较完善</w:t>
            </w:r>
            <w:r>
              <w:rPr>
                <w:rFonts w:hint="eastAsia" w:ascii="仿宋" w:hAnsi="仿宋" w:eastAsia="仿宋" w:cs="仿宋"/>
                <w:snapToGrid w:val="0"/>
                <w:color w:val="auto"/>
                <w:kern w:val="2"/>
                <w:sz w:val="24"/>
                <w:szCs w:val="24"/>
                <w:highlight w:val="none"/>
                <w:lang w:val="en-US" w:eastAsia="zh-CN" w:bidi="ar-SA"/>
              </w:rPr>
              <w:t>,</w:t>
            </w:r>
            <w:r>
              <w:rPr>
                <w:rFonts w:hint="eastAsia" w:cs="仿宋"/>
                <w:snapToGrid w:val="0"/>
                <w:color w:val="auto"/>
                <w:kern w:val="2"/>
                <w:sz w:val="24"/>
                <w:szCs w:val="24"/>
                <w:highlight w:val="none"/>
                <w:lang w:val="en-US" w:eastAsia="zh-CN" w:bidi="ar-SA"/>
              </w:rPr>
              <w:t>较为符合</w:t>
            </w:r>
            <w:r>
              <w:rPr>
                <w:rFonts w:hint="eastAsia" w:ascii="仿宋" w:hAnsi="仿宋" w:eastAsia="仿宋" w:cs="仿宋"/>
                <w:snapToGrid w:val="0"/>
                <w:color w:val="auto"/>
                <w:kern w:val="2"/>
                <w:sz w:val="24"/>
                <w:szCs w:val="24"/>
                <w:highlight w:val="none"/>
                <w:lang w:val="en-US" w:eastAsia="zh-CN" w:bidi="ar-SA"/>
              </w:rPr>
              <w:t>项目需求的得3分；</w:t>
            </w:r>
            <w:r>
              <w:rPr>
                <w:rFonts w:hint="eastAsia" w:cs="仿宋"/>
                <w:snapToGrid w:val="0"/>
                <w:color w:val="auto"/>
                <w:kern w:val="2"/>
                <w:sz w:val="24"/>
                <w:szCs w:val="24"/>
                <w:highlight w:val="none"/>
                <w:lang w:val="en-US" w:eastAsia="zh-CN" w:bidi="ar-SA"/>
              </w:rPr>
              <w:t>应急方案内容简单，基本</w:t>
            </w:r>
            <w:r>
              <w:rPr>
                <w:rFonts w:hint="eastAsia" w:ascii="仿宋" w:hAnsi="仿宋" w:eastAsia="仿宋" w:cs="仿宋"/>
                <w:snapToGrid w:val="0"/>
                <w:color w:val="auto"/>
                <w:kern w:val="2"/>
                <w:sz w:val="24"/>
                <w:szCs w:val="24"/>
                <w:highlight w:val="none"/>
                <w:lang w:val="en-US" w:eastAsia="zh-CN" w:bidi="ar-SA"/>
              </w:rPr>
              <w:t>符合项目需求的得1分；未提供方案</w:t>
            </w:r>
            <w:r>
              <w:rPr>
                <w:rFonts w:hint="eastAsia" w:cs="仿宋"/>
                <w:snapToGrid w:val="0"/>
                <w:color w:val="auto"/>
                <w:kern w:val="2"/>
                <w:sz w:val="24"/>
                <w:szCs w:val="24"/>
                <w:highlight w:val="none"/>
                <w:lang w:val="en-US" w:eastAsia="zh-CN" w:bidi="ar-SA"/>
              </w:rPr>
              <w:t>的不得分。</w:t>
            </w:r>
          </w:p>
        </w:tc>
        <w:tc>
          <w:tcPr>
            <w:tcW w:w="410" w:type="pct"/>
            <w:noWrap w:val="0"/>
            <w:vAlign w:val="center"/>
          </w:tcPr>
          <w:p>
            <w:pPr>
              <w:widowControl w:val="0"/>
              <w:spacing w:before="60" w:after="6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0-</w:t>
            </w:r>
            <w:r>
              <w:rPr>
                <w:rFonts w:hint="eastAsia" w:cs="仿宋"/>
                <w:color w:val="auto"/>
                <w:kern w:val="2"/>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700"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477" w:type="pct"/>
            <w:vMerge w:val="continue"/>
            <w:noWrap w:val="0"/>
            <w:vAlign w:val="center"/>
          </w:tcPr>
          <w:p>
            <w:pPr>
              <w:widowControl w:val="0"/>
              <w:spacing w:before="60" w:after="60"/>
              <w:jc w:val="center"/>
              <w:rPr>
                <w:rFonts w:hint="eastAsia" w:ascii="仿宋" w:hAnsi="仿宋" w:eastAsia="仿宋" w:cs="仿宋"/>
                <w:color w:val="auto"/>
                <w:kern w:val="2"/>
                <w:sz w:val="24"/>
                <w:szCs w:val="24"/>
                <w:highlight w:val="none"/>
              </w:rPr>
            </w:pPr>
          </w:p>
        </w:tc>
        <w:tc>
          <w:tcPr>
            <w:tcW w:w="3071" w:type="pct"/>
            <w:noWrap w:val="0"/>
            <w:vAlign w:val="top"/>
          </w:tcPr>
          <w:p>
            <w:pPr>
              <w:widowControl w:val="0"/>
              <w:spacing w:before="60" w:after="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培训服务方案（</w:t>
            </w:r>
            <w:r>
              <w:rPr>
                <w:rFonts w:hint="eastAsia"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分）：</w:t>
            </w:r>
          </w:p>
          <w:p>
            <w:pPr>
              <w:widowControl w:val="0"/>
              <w:spacing w:before="60" w:after="6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根据投标人的培训方案合理性、可行性进行评定。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符合采购需求，针对性强的得5分；方案基本可行、</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符合采购需求，针对性较强的得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分；方案一般，基本符合采购需求，针对性一般的得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分；方案不完整、不符合采购需求，没有针对性的不得分。</w:t>
            </w:r>
          </w:p>
        </w:tc>
        <w:tc>
          <w:tcPr>
            <w:tcW w:w="410" w:type="pct"/>
            <w:noWrap w:val="0"/>
            <w:vAlign w:val="center"/>
          </w:tcPr>
          <w:p>
            <w:pPr>
              <w:widowControl w:val="0"/>
              <w:spacing w:before="60" w:after="6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w:t>
            </w:r>
            <w:r>
              <w:rPr>
                <w:rFonts w:hint="eastAsia" w:cs="仿宋"/>
                <w:color w:val="auto"/>
                <w:kern w:val="2"/>
                <w:sz w:val="24"/>
                <w:szCs w:val="24"/>
                <w:highlight w:val="none"/>
                <w:lang w:val="en-US" w:eastAsia="zh-CN"/>
              </w:rPr>
              <w:t>5</w:t>
            </w:r>
          </w:p>
        </w:tc>
      </w:tr>
    </w:tbl>
    <w:p>
      <w:pPr>
        <w:spacing w:line="360" w:lineRule="auto"/>
        <w:rPr>
          <w:rFonts w:hint="eastAsia" w:cs="仿宋_GB2312"/>
          <w:b/>
          <w:color w:val="auto"/>
          <w:highlight w:val="none"/>
        </w:rPr>
      </w:pPr>
    </w:p>
    <w:p>
      <w:pPr>
        <w:rPr>
          <w:rFonts w:hint="eastAsia" w:cs="仿宋_GB2312"/>
          <w:b/>
          <w:color w:val="auto"/>
          <w:highlight w:val="none"/>
        </w:rPr>
      </w:pPr>
      <w:r>
        <w:rPr>
          <w:rFonts w:hint="eastAsia" w:cs="仿宋_GB2312"/>
          <w:b/>
          <w:color w:val="auto"/>
          <w:highlight w:val="none"/>
        </w:rPr>
        <w:br w:type="page"/>
      </w:r>
    </w:p>
    <w:p>
      <w:pPr>
        <w:spacing w:line="360" w:lineRule="auto"/>
        <w:rPr>
          <w:rFonts w:cs="仿宋_GB2312"/>
          <w:b/>
          <w:color w:val="auto"/>
          <w:highlight w:val="none"/>
        </w:rPr>
      </w:pPr>
      <w:r>
        <w:rPr>
          <w:rFonts w:hint="eastAsia" w:cs="仿宋_GB2312"/>
          <w:b/>
          <w:color w:val="auto"/>
          <w:highlight w:val="none"/>
        </w:rPr>
        <w:t>价格分（30分）</w:t>
      </w:r>
    </w:p>
    <w:tbl>
      <w:tblPr>
        <w:tblStyle w:val="27"/>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575"/>
        <w:gridCol w:w="890"/>
        <w:gridCol w:w="4362"/>
        <w:gridCol w:w="75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32" w:type="dxa"/>
            <w:vAlign w:val="center"/>
          </w:tcPr>
          <w:p>
            <w:pPr>
              <w:spacing w:after="0"/>
              <w:jc w:val="center"/>
              <w:rPr>
                <w:rFonts w:hint="eastAsia" w:eastAsia="仿宋"/>
                <w:color w:val="auto"/>
                <w:highlight w:val="none"/>
                <w:lang w:eastAsia="zh-CN"/>
              </w:rPr>
            </w:pPr>
            <w:r>
              <w:rPr>
                <w:rFonts w:hint="eastAsia" w:cs="仿宋_GB2312"/>
                <w:color w:val="auto"/>
                <w:highlight w:val="none"/>
                <w:lang w:val="en-US" w:eastAsia="zh-CN"/>
              </w:rPr>
              <w:t>3</w:t>
            </w:r>
          </w:p>
        </w:tc>
        <w:tc>
          <w:tcPr>
            <w:tcW w:w="575" w:type="dxa"/>
            <w:vAlign w:val="center"/>
          </w:tcPr>
          <w:p>
            <w:pPr>
              <w:pStyle w:val="46"/>
              <w:numPr>
                <w:ilvl w:val="0"/>
                <w:numId w:val="0"/>
              </w:numPr>
              <w:spacing w:after="0"/>
              <w:ind w:leftChars="0"/>
              <w:jc w:val="both"/>
              <w:rPr>
                <w:rFonts w:hint="default" w:eastAsia="仿宋"/>
                <w:color w:val="auto"/>
                <w:highlight w:val="none"/>
                <w:lang w:val="en-US" w:eastAsia="zh-CN"/>
              </w:rPr>
            </w:pPr>
            <w:r>
              <w:rPr>
                <w:rFonts w:hint="eastAsia" w:cs="仿宋_GB2312"/>
                <w:color w:val="auto"/>
                <w:highlight w:val="none"/>
              </w:rPr>
              <w:t>价格分</w:t>
            </w:r>
          </w:p>
        </w:tc>
        <w:tc>
          <w:tcPr>
            <w:tcW w:w="890" w:type="dxa"/>
            <w:vAlign w:val="center"/>
          </w:tcPr>
          <w:p>
            <w:pPr>
              <w:spacing w:after="0"/>
              <w:rPr>
                <w:color w:val="auto"/>
                <w:highlight w:val="none"/>
              </w:rPr>
            </w:pPr>
            <w:r>
              <w:rPr>
                <w:rFonts w:hint="eastAsia"/>
                <w:color w:val="auto"/>
                <w:highlight w:val="none"/>
              </w:rPr>
              <w:t>价格权值</w:t>
            </w:r>
          </w:p>
        </w:tc>
        <w:tc>
          <w:tcPr>
            <w:tcW w:w="4362" w:type="dxa"/>
            <w:vAlign w:val="center"/>
          </w:tcPr>
          <w:p>
            <w:pPr>
              <w:spacing w:after="0"/>
              <w:rPr>
                <w:color w:val="auto"/>
                <w:highlight w:val="none"/>
              </w:rPr>
            </w:pPr>
            <w:r>
              <w:rPr>
                <w:rFonts w:hint="eastAsia"/>
                <w:color w:val="auto"/>
                <w:highlight w:val="none"/>
              </w:rPr>
              <w:t>最低有效投标价格为评标基准价</w:t>
            </w:r>
          </w:p>
          <w:p>
            <w:pPr>
              <w:spacing w:after="0"/>
              <w:ind w:right="-173" w:rightChars="-72"/>
              <w:rPr>
                <w:color w:val="auto"/>
                <w:highlight w:val="none"/>
              </w:rPr>
            </w:pPr>
            <w:r>
              <w:rPr>
                <w:rFonts w:hint="eastAsia"/>
                <w:color w:val="auto"/>
                <w:highlight w:val="none"/>
              </w:rPr>
              <w:t xml:space="preserve">投标报价得分=(评标基准价／投标报价)×价格权值×100 </w:t>
            </w:r>
          </w:p>
          <w:p>
            <w:pPr>
              <w:spacing w:after="0"/>
              <w:rPr>
                <w:color w:val="auto"/>
                <w:highlight w:val="none"/>
              </w:rPr>
            </w:pPr>
            <w:r>
              <w:rPr>
                <w:rFonts w:hint="eastAsia"/>
                <w:color w:val="auto"/>
                <w:highlight w:val="none"/>
              </w:rPr>
              <w:t>（计算得分保留小数点后2位）</w:t>
            </w:r>
          </w:p>
        </w:tc>
        <w:tc>
          <w:tcPr>
            <w:tcW w:w="750" w:type="dxa"/>
            <w:vAlign w:val="center"/>
          </w:tcPr>
          <w:p>
            <w:pPr>
              <w:spacing w:after="0"/>
              <w:rPr>
                <w:color w:val="auto"/>
                <w:highlight w:val="none"/>
              </w:rPr>
            </w:pPr>
            <w:r>
              <w:rPr>
                <w:rFonts w:hint="eastAsia"/>
                <w:color w:val="auto"/>
                <w:highlight w:val="none"/>
              </w:rPr>
              <w:t>30</w:t>
            </w:r>
          </w:p>
        </w:tc>
        <w:tc>
          <w:tcPr>
            <w:tcW w:w="880" w:type="dxa"/>
            <w:vAlign w:val="center"/>
          </w:tcPr>
          <w:p>
            <w:pPr>
              <w:spacing w:after="0"/>
              <w:rPr>
                <w:color w:val="auto"/>
                <w:highlight w:val="none"/>
              </w:rPr>
            </w:pPr>
            <w:r>
              <w:rPr>
                <w:rFonts w:hint="eastAsia"/>
                <w:color w:val="auto"/>
                <w:highlight w:val="none"/>
              </w:rPr>
              <w:t>客观分</w:t>
            </w:r>
          </w:p>
        </w:tc>
      </w:tr>
    </w:tbl>
    <w:p>
      <w:pPr>
        <w:spacing w:line="360" w:lineRule="auto"/>
        <w:rPr>
          <w:rFonts w:cs="仿宋_GB2312"/>
          <w:color w:val="auto"/>
          <w:highlight w:val="none"/>
        </w:rPr>
      </w:pPr>
      <w:r>
        <w:rPr>
          <w:rFonts w:hint="eastAsia" w:cs="仿宋_GB2312"/>
          <w:b/>
          <w:color w:val="auto"/>
          <w:highlight w:val="none"/>
        </w:rPr>
        <w:t>备注：</w:t>
      </w:r>
      <w:r>
        <w:rPr>
          <w:rFonts w:hint="eastAsia" w:cs="仿宋_GB2312"/>
          <w:color w:val="auto"/>
          <w:highlight w:val="none"/>
        </w:rPr>
        <w:t>1、评分条款中涉及的业绩、荣誉、人员、社保等分公司均有效。</w:t>
      </w:r>
    </w:p>
    <w:p>
      <w:pPr>
        <w:spacing w:line="360" w:lineRule="auto"/>
        <w:rPr>
          <w:rFonts w:cs="仿宋_GB2312"/>
          <w:color w:val="auto"/>
          <w:highlight w:val="none"/>
        </w:rPr>
      </w:pPr>
      <w:r>
        <w:rPr>
          <w:rFonts w:hint="eastAsia" w:cs="仿宋_GB2312"/>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cs="仿宋_GB2312"/>
          <w:color w:val="auto"/>
          <w:highlight w:val="none"/>
        </w:rPr>
      </w:pPr>
      <w:r>
        <w:rPr>
          <w:rFonts w:hint="eastAsia" w:cs="仿宋_GB2312"/>
          <w:color w:val="auto"/>
          <w:highlight w:val="none"/>
        </w:rPr>
        <w:t>3、投标人编制投标文件（商务技术文件部分）时，建议按此目录（序号和内容）提供评标标准相应的商务技术资料。</w:t>
      </w:r>
    </w:p>
    <w:p>
      <w:pPr>
        <w:pStyle w:val="2"/>
        <w:ind w:left="0" w:leftChars="0" w:firstLine="0" w:firstLineChars="0"/>
        <w:rPr>
          <w:rFonts w:hint="eastAsia" w:eastAsia="仿宋"/>
          <w:lang w:val="en-US" w:eastAsia="zh-CN"/>
        </w:rPr>
      </w:pPr>
      <w:r>
        <w:rPr>
          <w:rFonts w:hint="eastAsia" w:cs="仿宋_GB2312"/>
          <w:color w:val="auto"/>
          <w:highlight w:val="none"/>
          <w:lang w:val="en-US" w:eastAsia="zh-CN"/>
        </w:rPr>
        <w:t>4、联合体可以以其中任意一方具备的条件作为评标依据。例如A和B组成联合体，评审时只认可其中一方作为商务打分依据，A和B分数不可叠加。</w:t>
      </w:r>
    </w:p>
    <w:p>
      <w:pPr>
        <w:rPr>
          <w:color w:val="auto"/>
          <w:highlight w:val="none"/>
        </w:rPr>
      </w:pPr>
    </w:p>
    <w:p>
      <w:pPr>
        <w:pStyle w:val="5"/>
        <w:rPr>
          <w:color w:val="auto"/>
          <w:highlight w:val="none"/>
        </w:rPr>
      </w:pPr>
      <w:r>
        <w:rPr>
          <w:rFonts w:hint="eastAsia"/>
          <w:color w:val="auto"/>
          <w:highlight w:val="none"/>
        </w:rPr>
        <w:t>一、评标方法</w:t>
      </w:r>
    </w:p>
    <w:p>
      <w:pPr>
        <w:spacing w:line="360" w:lineRule="auto"/>
        <w:ind w:firstLine="472" w:firstLineChars="196"/>
        <w:rPr>
          <w:rFonts w:ascii="仿宋_GB2312" w:eastAsia="仿宋_GB2312" w:cs="Arial"/>
          <w:color w:val="auto"/>
          <w:highlight w:val="none"/>
        </w:rPr>
      </w:pPr>
      <w:r>
        <w:rPr>
          <w:rStyle w:val="32"/>
          <w:color w:val="auto"/>
          <w:highlight w:val="none"/>
        </w:rPr>
        <w:t>1.</w:t>
      </w:r>
      <w:r>
        <w:rPr>
          <w:rStyle w:val="32"/>
          <w:rFonts w:hint="eastAsia"/>
          <w:color w:val="auto"/>
          <w:highlight w:val="none"/>
        </w:rPr>
        <w:t>本项目采用综合评分法。</w:t>
      </w:r>
      <w:r>
        <w:rPr>
          <w:rFonts w:hint="eastAsia" w:ascii="仿宋_GB2312" w:eastAsia="仿宋_GB2312" w:cs="Arial"/>
          <w:color w:val="auto"/>
          <w:highlight w:val="none"/>
        </w:rPr>
        <w:t>综合评分法，是指投标文件满足招标文件全部实质性要求，且按照评审因素的量化指标评审得分最高的投标人为中标候选人的评标方法。</w:t>
      </w:r>
    </w:p>
    <w:p>
      <w:pPr>
        <w:pStyle w:val="5"/>
        <w:rPr>
          <w:rFonts w:cs="Arial"/>
          <w:color w:val="auto"/>
          <w:sz w:val="24"/>
          <w:highlight w:val="none"/>
        </w:rPr>
      </w:pPr>
      <w:r>
        <w:rPr>
          <w:rFonts w:hint="eastAsia"/>
          <w:color w:val="auto"/>
          <w:highlight w:val="none"/>
        </w:rPr>
        <w:t>二、评标标准</w:t>
      </w:r>
    </w:p>
    <w:p>
      <w:pPr>
        <w:spacing w:line="360" w:lineRule="auto"/>
        <w:ind w:firstLine="472" w:firstLineChars="196"/>
        <w:rPr>
          <w:rFonts w:ascii="仿宋_GB2312" w:hAnsi="仿宋_GB2312" w:eastAsia="仿宋_GB2312" w:cs="仿宋_GB2312"/>
          <w:b/>
          <w:color w:val="auto"/>
          <w:highlight w:val="none"/>
        </w:rPr>
      </w:pPr>
      <w:r>
        <w:rPr>
          <w:rStyle w:val="32"/>
          <w:color w:val="auto"/>
          <w:highlight w:val="none"/>
        </w:rPr>
        <w:t xml:space="preserve">2. </w:t>
      </w:r>
      <w:r>
        <w:rPr>
          <w:rStyle w:val="32"/>
          <w:rFonts w:hint="eastAsia"/>
          <w:color w:val="auto"/>
          <w:highlight w:val="none"/>
        </w:rPr>
        <w:t>评标标准：</w:t>
      </w:r>
      <w:r>
        <w:rPr>
          <w:rFonts w:hint="eastAsia" w:ascii="仿宋_GB2312" w:eastAsia="仿宋_GB2312" w:cs="Arial"/>
          <w:color w:val="auto"/>
          <w:highlight w:val="none"/>
        </w:rPr>
        <w:t>见评标办法前附表。</w:t>
      </w:r>
    </w:p>
    <w:p>
      <w:pPr>
        <w:pStyle w:val="5"/>
        <w:rPr>
          <w:color w:val="auto"/>
          <w:highlight w:val="none"/>
        </w:rPr>
      </w:pPr>
      <w:r>
        <w:rPr>
          <w:rFonts w:hint="eastAsia"/>
          <w:color w:val="auto"/>
          <w:highlight w:val="none"/>
        </w:rPr>
        <w:t>三、评标程序</w:t>
      </w:r>
    </w:p>
    <w:p>
      <w:pPr>
        <w:spacing w:line="360" w:lineRule="auto"/>
        <w:ind w:firstLine="472" w:firstLineChars="196"/>
        <w:rPr>
          <w:rFonts w:ascii="仿宋_GB2312" w:eastAsia="仿宋_GB2312" w:cs="Arial"/>
          <w:color w:val="auto"/>
          <w:highlight w:val="none"/>
        </w:rPr>
      </w:pPr>
      <w:r>
        <w:rPr>
          <w:rStyle w:val="32"/>
          <w:color w:val="auto"/>
          <w:highlight w:val="none"/>
        </w:rPr>
        <w:t>3.1符合性审查。</w:t>
      </w:r>
      <w:r>
        <w:rPr>
          <w:rFonts w:ascii="仿宋_GB2312" w:eastAsia="仿宋_GB2312" w:cs="Arial"/>
          <w:color w:val="auto"/>
          <w:highlight w:val="none"/>
        </w:rPr>
        <w:t>评标委员会应当对符合资格的投标人的投标文件进行符合性审查，以确定其是否满足招标文件的实质性要求。</w:t>
      </w:r>
      <w:r>
        <w:rPr>
          <w:rFonts w:hint="eastAsia" w:ascii="仿宋_GB2312" w:eastAsia="仿宋_GB2312" w:cs="Arial"/>
          <w:color w:val="auto"/>
          <w:highlight w:val="none"/>
        </w:rPr>
        <w:t>不</w:t>
      </w:r>
      <w:r>
        <w:rPr>
          <w:rFonts w:ascii="仿宋_GB2312" w:eastAsia="仿宋_GB2312" w:cs="Arial"/>
          <w:color w:val="auto"/>
          <w:highlight w:val="none"/>
        </w:rPr>
        <w:t>满足招标文件的实质性要求</w:t>
      </w:r>
      <w:r>
        <w:rPr>
          <w:rFonts w:hint="eastAsia" w:ascii="仿宋_GB2312" w:eastAsia="仿宋_GB2312" w:cs="Arial"/>
          <w:color w:val="auto"/>
          <w:highlight w:val="none"/>
        </w:rPr>
        <w:t>的，投标无效。</w:t>
      </w:r>
    </w:p>
    <w:p>
      <w:pPr>
        <w:spacing w:line="360" w:lineRule="auto"/>
        <w:ind w:firstLine="472" w:firstLineChars="196"/>
        <w:rPr>
          <w:rFonts w:ascii="仿宋_GB2312" w:eastAsia="仿宋_GB2312" w:cs="Arial"/>
          <w:color w:val="auto"/>
          <w:highlight w:val="none"/>
        </w:rPr>
      </w:pPr>
      <w:r>
        <w:rPr>
          <w:rStyle w:val="32"/>
          <w:color w:val="auto"/>
          <w:highlight w:val="none"/>
        </w:rPr>
        <w:t xml:space="preserve">3.2 </w:t>
      </w:r>
      <w:r>
        <w:rPr>
          <w:rStyle w:val="32"/>
          <w:rFonts w:hint="eastAsia"/>
          <w:color w:val="auto"/>
          <w:highlight w:val="none"/>
        </w:rPr>
        <w:t>比较与评价。</w:t>
      </w:r>
      <w:r>
        <w:rPr>
          <w:rFonts w:ascii="仿宋_GB2312" w:eastAsia="仿宋_GB2312" w:cs="Arial"/>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auto"/>
          <w:highlight w:val="none"/>
        </w:rPr>
      </w:pPr>
      <w:r>
        <w:rPr>
          <w:rStyle w:val="32"/>
          <w:color w:val="auto"/>
          <w:highlight w:val="none"/>
        </w:rPr>
        <w:t>3.3汇总商务技术得分。</w:t>
      </w:r>
      <w:r>
        <w:rPr>
          <w:rFonts w:hint="eastAsia" w:ascii="仿宋_GB2312" w:eastAsia="仿宋_GB2312" w:cs="Arial"/>
          <w:color w:val="auto"/>
          <w:highlight w:val="none"/>
        </w:rPr>
        <w:t>评标委员会各成员应当独立对每个投标人的商务和技术文件进行评价，并汇总商务技术得分情况。</w:t>
      </w:r>
    </w:p>
    <w:p>
      <w:pPr>
        <w:pStyle w:val="6"/>
        <w:rPr>
          <w:color w:val="auto"/>
          <w:highlight w:val="none"/>
        </w:rPr>
      </w:pPr>
      <w:r>
        <w:rPr>
          <w:color w:val="auto"/>
          <w:highlight w:val="none"/>
        </w:rPr>
        <w:tab/>
      </w:r>
      <w:r>
        <w:rPr>
          <w:color w:val="auto"/>
          <w:highlight w:val="none"/>
        </w:rPr>
        <w:t>3.4报价评审。</w:t>
      </w:r>
    </w:p>
    <w:p>
      <w:pPr>
        <w:pStyle w:val="60"/>
        <w:rPr>
          <w:color w:val="auto"/>
          <w:highlight w:val="none"/>
        </w:rPr>
      </w:pPr>
      <w:r>
        <w:rPr>
          <w:color w:val="auto"/>
          <w:highlight w:val="none"/>
        </w:rPr>
        <w:t>3.4.1投标文件报价出现前后不一致的，按照下列规定修正：</w:t>
      </w:r>
    </w:p>
    <w:p>
      <w:pPr>
        <w:pStyle w:val="60"/>
        <w:rPr>
          <w:color w:val="auto"/>
          <w:highlight w:val="none"/>
        </w:rPr>
      </w:pPr>
      <w:r>
        <w:rPr>
          <w:color w:val="auto"/>
          <w:highlight w:val="none"/>
        </w:rPr>
        <w:t>3.4.1.1投标文件中开标一览表(报价表)内容与投标文件中相应内容不一致的，以开标一览表(报价表)为准;</w:t>
      </w:r>
    </w:p>
    <w:p>
      <w:pPr>
        <w:pStyle w:val="60"/>
        <w:rPr>
          <w:color w:val="auto"/>
          <w:highlight w:val="none"/>
        </w:rPr>
      </w:pPr>
      <w:r>
        <w:rPr>
          <w:color w:val="auto"/>
          <w:highlight w:val="none"/>
        </w:rPr>
        <w:t>3.4.1.2大写金额和小写金额不一致的，以大写金额为准;</w:t>
      </w:r>
    </w:p>
    <w:p>
      <w:pPr>
        <w:pStyle w:val="60"/>
        <w:rPr>
          <w:color w:val="auto"/>
          <w:highlight w:val="none"/>
        </w:rPr>
      </w:pPr>
      <w:r>
        <w:rPr>
          <w:color w:val="auto"/>
          <w:highlight w:val="none"/>
        </w:rPr>
        <w:t>3.4.1.3单价金额小数点或者百分比有明显错位的，以开标一览表的总价为准，并修改单价;</w:t>
      </w:r>
    </w:p>
    <w:p>
      <w:pPr>
        <w:pStyle w:val="60"/>
        <w:rPr>
          <w:color w:val="auto"/>
          <w:highlight w:val="none"/>
        </w:rPr>
      </w:pPr>
      <w:r>
        <w:rPr>
          <w:color w:val="auto"/>
          <w:highlight w:val="none"/>
        </w:rPr>
        <w:t>3.4.1.4总价金额与按单价汇总金额不一致的，以单价金额计算结果为准。</w:t>
      </w:r>
    </w:p>
    <w:p>
      <w:pPr>
        <w:pStyle w:val="60"/>
        <w:rPr>
          <w:color w:val="auto"/>
          <w:highlight w:val="none"/>
        </w:rPr>
      </w:pPr>
      <w:r>
        <w:rPr>
          <w:color w:val="auto"/>
          <w:highlight w:val="none"/>
        </w:rPr>
        <w:t>3.4.1.5同时出现两种以上不一致的，按照3.4.1</w:t>
      </w:r>
      <w:r>
        <w:rPr>
          <w:rFonts w:hint="eastAsia"/>
          <w:color w:val="auto"/>
          <w:highlight w:val="none"/>
        </w:rPr>
        <w:t>规定的顺序修正。修正后的报价按照财政部第</w:t>
      </w:r>
      <w:r>
        <w:rPr>
          <w:color w:val="auto"/>
          <w:highlight w:val="none"/>
        </w:rPr>
        <w:t xml:space="preserve">87号令 </w:t>
      </w:r>
      <w:r>
        <w:rPr>
          <w:rFonts w:hint="eastAsia"/>
          <w:color w:val="auto"/>
          <w:highlight w:val="none"/>
        </w:rPr>
        <w:t>《政府采购货物和服务招标投标管理办法》第五十一条第二款的规定经投标人确认后产生约束力。</w:t>
      </w:r>
    </w:p>
    <w:p>
      <w:pPr>
        <w:snapToGrid w:val="0"/>
        <w:spacing w:line="360" w:lineRule="auto"/>
        <w:ind w:firstLine="480" w:firstLineChars="200"/>
        <w:rPr>
          <w:rFonts w:cs="仿宋"/>
          <w:color w:val="auto"/>
          <w:highlight w:val="none"/>
        </w:rPr>
      </w:pPr>
      <w:r>
        <w:rPr>
          <w:rFonts w:cs="仿宋"/>
          <w:color w:val="auto"/>
          <w:highlight w:val="none"/>
        </w:rPr>
        <w:t>3.4.2</w:t>
      </w:r>
      <w:r>
        <w:rPr>
          <w:rFonts w:hint="eastAsia" w:cs="仿宋"/>
          <w:color w:val="auto"/>
          <w:highlight w:val="none"/>
        </w:rPr>
        <w:t>投标文件出现不是唯一的、有选择性投标报价的，投标无效。</w:t>
      </w:r>
    </w:p>
    <w:p>
      <w:pPr>
        <w:snapToGrid w:val="0"/>
        <w:spacing w:line="360" w:lineRule="auto"/>
        <w:ind w:firstLine="480" w:firstLineChars="200"/>
        <w:rPr>
          <w:rFonts w:cs="仿宋"/>
          <w:color w:val="auto"/>
          <w:highlight w:val="none"/>
        </w:rPr>
      </w:pPr>
      <w:r>
        <w:rPr>
          <w:rFonts w:cs="仿宋"/>
          <w:color w:val="auto"/>
          <w:highlight w:val="none"/>
        </w:rPr>
        <w:t>3.4.3</w:t>
      </w:r>
      <w:r>
        <w:rPr>
          <w:rFonts w:hint="eastAsia" w:cs="仿宋"/>
          <w:color w:val="auto"/>
          <w:highlight w:val="none"/>
        </w:rPr>
        <w:t>投标报价超过招标文件中规定的预算金额或者最高限价的，投标无效。</w:t>
      </w:r>
    </w:p>
    <w:p>
      <w:pPr>
        <w:pStyle w:val="60"/>
        <w:rPr>
          <w:color w:val="auto"/>
          <w:highlight w:val="none"/>
        </w:rPr>
      </w:pPr>
      <w:r>
        <w:rPr>
          <w:color w:val="auto"/>
          <w:highlight w:val="none"/>
        </w:rPr>
        <w:t>3.4.4</w:t>
      </w:r>
      <w:r>
        <w:rPr>
          <w:rFonts w:hint="eastAsia"/>
          <w:color w:val="auto"/>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color w:val="auto"/>
          <w:highlight w:val="none"/>
        </w:rPr>
        <w:t>;投标人不能证明其报价合理性的，评标委员会应当将其作为无效投标处理。</w:t>
      </w:r>
    </w:p>
    <w:p>
      <w:pPr>
        <w:pStyle w:val="60"/>
        <w:rPr>
          <w:color w:val="auto"/>
          <w:highlight w:val="none"/>
        </w:rPr>
      </w:pPr>
      <w:r>
        <w:rPr>
          <w:color w:val="auto"/>
          <w:highlight w:val="none"/>
        </w:rPr>
        <w:t>3.4.5</w:t>
      </w:r>
      <w:r>
        <w:rPr>
          <w:rFonts w:hint="eastAsia"/>
          <w:color w:val="auto"/>
          <w:highlight w:val="none"/>
        </w:rPr>
        <w:t>对于未预留份额专门面向中小企业的政府采购货物或服务项目，以及预留份额政府采购货物或服务项目中的非预留部分标项，对小型和微型企业的投标报价给予2</w:t>
      </w:r>
      <w:r>
        <w:rPr>
          <w:color w:val="auto"/>
          <w:highlight w:val="none"/>
        </w:rPr>
        <w:t>0%的扣除，用扣除后的价格参与评审。接受大中型企业与小</w:t>
      </w:r>
      <w:r>
        <w:rPr>
          <w:rFonts w:hint="eastAsia"/>
          <w:color w:val="auto"/>
          <w:highlight w:val="none"/>
        </w:rPr>
        <w:t>微企业组成联合体或者允许大中型企业向一家或者多家小微企业分包的政府采购货物或服务项目，对于联合协议或者分包意向协议约定小微企业的合同份额占到合同总金额</w:t>
      </w:r>
      <w:r>
        <w:rPr>
          <w:color w:val="auto"/>
          <w:highlight w:val="none"/>
        </w:rPr>
        <w:t>30%以上的，对联合体或者大中型企业的报价给予</w:t>
      </w:r>
      <w:r>
        <w:rPr>
          <w:rFonts w:hint="eastAsia"/>
          <w:color w:val="auto"/>
          <w:highlight w:val="none"/>
        </w:rPr>
        <w:t>6</w:t>
      </w:r>
      <w:r>
        <w:rPr>
          <w:color w:val="auto"/>
          <w:highlight w:val="none"/>
        </w:rPr>
        <w:t>%的扣除，用扣除后的价格参加评审。组成联合体或者接受分包的小</w:t>
      </w:r>
      <w:r>
        <w:rPr>
          <w:rFonts w:hint="eastAsia"/>
          <w:color w:val="auto"/>
          <w:highlight w:val="none"/>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auto"/>
          <w:highlight w:val="none"/>
        </w:rPr>
      </w:pPr>
      <w:r>
        <w:rPr>
          <w:rStyle w:val="32"/>
          <w:color w:val="auto"/>
          <w:highlight w:val="none"/>
        </w:rPr>
        <w:t>3.5</w:t>
      </w:r>
      <w:r>
        <w:rPr>
          <w:rStyle w:val="32"/>
          <w:rFonts w:hint="eastAsia"/>
          <w:color w:val="auto"/>
          <w:highlight w:val="none"/>
        </w:rPr>
        <w:t>排序与推荐。</w:t>
      </w:r>
      <w:r>
        <w:rPr>
          <w:rFonts w:ascii="仿宋_GB2312" w:eastAsia="仿宋_GB2312" w:cs="Arial"/>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auto"/>
          <w:highlight w:val="none"/>
        </w:rPr>
        <w:t>。</w:t>
      </w:r>
    </w:p>
    <w:p>
      <w:pPr>
        <w:spacing w:line="360" w:lineRule="auto"/>
        <w:rPr>
          <w:rFonts w:ascii="仿宋_GB2312" w:eastAsia="仿宋_GB2312" w:cs="Arial"/>
          <w:b/>
          <w:color w:val="auto"/>
          <w:highlight w:val="none"/>
        </w:rPr>
      </w:pPr>
      <w:r>
        <w:rPr>
          <w:rFonts w:hint="eastAsia" w:ascii="仿宋_GB2312" w:eastAsia="仿宋_GB2312" w:cs="Arial"/>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auto"/>
          <w:highlight w:val="none"/>
        </w:rPr>
      </w:pPr>
      <w:r>
        <w:rPr>
          <w:rStyle w:val="32"/>
          <w:color w:val="auto"/>
          <w:highlight w:val="none"/>
        </w:rPr>
        <w:t>3.6编写评标报告。</w:t>
      </w:r>
      <w:r>
        <w:rPr>
          <w:rFonts w:ascii="仿宋_GB2312" w:eastAsia="仿宋_GB2312" w:cs="Arial"/>
          <w:color w:val="auto"/>
          <w:highlight w:val="none"/>
        </w:rPr>
        <w:t>评标委员会根据全体评标成员签字的原始评标记录和评标结果编写评标报告。</w:t>
      </w:r>
      <w:r>
        <w:rPr>
          <w:rFonts w:hint="eastAsia" w:ascii="仿宋_GB2312" w:eastAsia="仿宋_GB2312"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color w:val="auto"/>
          <w:highlight w:val="none"/>
        </w:rPr>
      </w:pPr>
      <w:r>
        <w:rPr>
          <w:rFonts w:hint="eastAsia"/>
          <w:color w:val="auto"/>
          <w:highlight w:val="none"/>
        </w:rPr>
        <w:t>四、评标中的其他事项</w:t>
      </w:r>
    </w:p>
    <w:p>
      <w:pPr>
        <w:pStyle w:val="60"/>
        <w:rPr>
          <w:color w:val="auto"/>
          <w:highlight w:val="none"/>
        </w:rPr>
      </w:pPr>
      <w:r>
        <w:rPr>
          <w:rStyle w:val="32"/>
          <w:color w:val="auto"/>
          <w:highlight w:val="none"/>
        </w:rPr>
        <w:t>4.1</w:t>
      </w:r>
      <w:r>
        <w:rPr>
          <w:rStyle w:val="32"/>
          <w:rFonts w:hint="eastAsia"/>
          <w:color w:val="auto"/>
          <w:highlight w:val="none"/>
        </w:rPr>
        <w:t>投标人澄清、说明或者补正。</w:t>
      </w: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ascii="仿宋_GB2312" w:hAnsi="仿宋" w:eastAsia="仿宋_GB2312" w:cs="仿宋_GB2312"/>
          <w:color w:val="auto"/>
          <w:szCs w:val="21"/>
          <w:highlight w:val="none"/>
        </w:rPr>
      </w:pPr>
      <w:r>
        <w:rPr>
          <w:rStyle w:val="32"/>
          <w:color w:val="auto"/>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4.2.2投标文件未按照招标文件要求签署、盖章的；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auto"/>
          <w:highlight w:val="none"/>
        </w:rPr>
        <w:t>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4.2.4投标文件含有采购人不能接受的附加条件的；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4.2.5投标文件中承诺的投标有效期少于招标文件中载明的投标有效期的；</w:t>
      </w:r>
    </w:p>
    <w:p>
      <w:pPr>
        <w:snapToGrid w:val="0"/>
        <w:spacing w:line="360" w:lineRule="auto"/>
        <w:ind w:firstLine="120" w:firstLineChars="50"/>
        <w:rPr>
          <w:rFonts w:ascii="仿宋_GB2312" w:eastAsia="仿宋_GB2312" w:cs="Arial"/>
          <w:color w:val="auto"/>
          <w:highlight w:val="none"/>
        </w:rPr>
      </w:pPr>
      <w:r>
        <w:rPr>
          <w:rFonts w:ascii="仿宋_GB2312" w:eastAsia="仿宋_GB2312" w:cs="Arial"/>
          <w:color w:val="auto"/>
          <w:highlight w:val="none"/>
        </w:rPr>
        <w:t xml:space="preserve">  </w:t>
      </w:r>
      <w:r>
        <w:rPr>
          <w:rFonts w:hint="eastAsia" w:ascii="仿宋_GB2312" w:eastAsia="仿宋_GB2312" w:cs="Arial"/>
          <w:color w:val="auto"/>
          <w:highlight w:val="none"/>
        </w:rPr>
        <w:t xml:space="preserve"> </w:t>
      </w:r>
      <w:r>
        <w:rPr>
          <w:rFonts w:ascii="仿宋_GB2312" w:eastAsia="仿宋_GB2312" w:cs="Arial"/>
          <w:color w:val="auto"/>
          <w:highlight w:val="none"/>
        </w:rPr>
        <w:t>4.2.6投标文件出现不是唯一的、有选择性投标报价的;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4.2.7投标报价超过招标文件中规定的预算金额或者最高限价的;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4.2.9投标人对根据修正原则修正后的报价不确认的；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4.2.10投标人提供虚假材料投标的；</w:t>
      </w:r>
    </w:p>
    <w:p>
      <w:pPr>
        <w:spacing w:line="360" w:lineRule="auto"/>
        <w:ind w:firstLine="240" w:firstLineChars="100"/>
        <w:rPr>
          <w:rFonts w:ascii="仿宋_GB2312" w:eastAsia="仿宋_GB2312" w:cs="Arial"/>
          <w:color w:val="auto"/>
          <w:highlight w:val="none"/>
        </w:rPr>
      </w:pPr>
      <w:r>
        <w:rPr>
          <w:rFonts w:ascii="仿宋_GB2312" w:eastAsia="仿宋_GB2312" w:cs="Arial"/>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4.2.12投标人仅提交备份投标文件，</w:t>
      </w:r>
      <w:r>
        <w:rPr>
          <w:rFonts w:hint="eastAsia" w:ascii="仿宋_GB2312" w:eastAsia="仿宋_GB2312" w:cs="Arial"/>
          <w:color w:val="auto"/>
          <w:highlight w:val="none"/>
        </w:rPr>
        <w:t>未</w:t>
      </w:r>
      <w:r>
        <w:rPr>
          <w:rFonts w:ascii="仿宋_GB2312" w:eastAsia="仿宋_GB2312" w:cs="Arial"/>
          <w:color w:val="auto"/>
          <w:highlight w:val="none"/>
        </w:rPr>
        <w:t>在电子交易平台传输递交投标文件的，投标无效；</w:t>
      </w:r>
    </w:p>
    <w:p>
      <w:pPr>
        <w:ind w:firstLine="480" w:firstLineChars="200"/>
        <w:rPr>
          <w:b/>
          <w:bCs/>
          <w:color w:val="auto"/>
          <w:highlight w:val="none"/>
        </w:rPr>
      </w:pPr>
      <w:r>
        <w:rPr>
          <w:color w:val="auto"/>
          <w:highlight w:val="none"/>
        </w:rPr>
        <w:t xml:space="preserve">4.2.13 </w:t>
      </w:r>
      <w:r>
        <w:rPr>
          <w:rFonts w:hint="eastAsia"/>
          <w:color w:val="auto"/>
          <w:highlight w:val="none"/>
        </w:rPr>
        <w:t>投标文件不满足招标文件的其它实质性要求的；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color w:val="auto"/>
          <w:highlight w:val="none"/>
        </w:rPr>
      </w:pPr>
      <w:r>
        <w:rPr>
          <w:rStyle w:val="32"/>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16"/>
        <w:snapToGrid w:val="0"/>
        <w:spacing w:line="360" w:lineRule="auto"/>
        <w:ind w:firstLine="590" w:firstLineChars="245"/>
        <w:rPr>
          <w:rFonts w:ascii="仿宋_GB2312" w:hAnsi="仿宋" w:eastAsia="仿宋_GB2312" w:cs="仿宋_GB2312"/>
          <w:color w:val="auto"/>
          <w:highlight w:val="none"/>
        </w:rPr>
      </w:pPr>
      <w:r>
        <w:rPr>
          <w:rStyle w:val="32"/>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color w:val="auto"/>
          <w:highlight w:val="none"/>
        </w:rPr>
      </w:pPr>
      <w:r>
        <w:rPr>
          <w:rStyle w:val="32"/>
          <w:rFonts w:hint="eastAsia"/>
          <w:color w:val="auto"/>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4"/>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pPr>
        <w:jc w:val="center"/>
        <w:rPr>
          <w:color w:val="auto"/>
          <w:highlight w:val="none"/>
        </w:rPr>
      </w:pPr>
      <w:r>
        <w:rPr>
          <w:rFonts w:hint="eastAsia"/>
          <w:color w:val="auto"/>
          <w:highlight w:val="none"/>
        </w:rPr>
        <w:t>合同可按照参考格式按照实际情况调整修改。</w:t>
      </w:r>
    </w:p>
    <w:p>
      <w:pPr>
        <w:pStyle w:val="5"/>
        <w:rPr>
          <w:color w:val="auto"/>
          <w:highlight w:val="none"/>
        </w:rPr>
      </w:pPr>
      <w:r>
        <w:rPr>
          <w:color w:val="auto"/>
          <w:highlight w:val="none"/>
        </w:rPr>
        <w:t>货物类参考范本</w:t>
      </w:r>
    </w:p>
    <w:p>
      <w:pPr>
        <w:jc w:val="right"/>
        <w:rPr>
          <w:rFonts w:ascii="楷体" w:hAnsi="楷体" w:eastAsia="楷体"/>
          <w:color w:val="auto"/>
          <w:highlight w:val="none"/>
          <w:u w:val="single"/>
        </w:rPr>
      </w:pPr>
      <w:r>
        <w:rPr>
          <w:rFonts w:hint="eastAsia" w:ascii="楷体" w:hAnsi="楷体" w:eastAsia="楷体"/>
          <w:color w:val="auto"/>
          <w:highlight w:val="none"/>
        </w:rPr>
        <w:t>合同编号：</w:t>
      </w:r>
      <w:r>
        <w:rPr>
          <w:rFonts w:ascii="楷体" w:hAnsi="楷体" w:eastAsia="楷体"/>
          <w:color w:val="auto"/>
          <w:highlight w:val="none"/>
          <w:u w:val="single"/>
        </w:rPr>
        <w:t xml:space="preserve">           </w:t>
      </w:r>
    </w:p>
    <w:p>
      <w:pPr>
        <w:pStyle w:val="16"/>
        <w:snapToGrid w:val="0"/>
        <w:spacing w:line="360" w:lineRule="auto"/>
        <w:rPr>
          <w:rFonts w:ascii="仿宋_GB2312" w:hAnsi="仿宋" w:eastAsia="仿宋_GB2312" w:cs="仿宋_GB2312"/>
          <w:color w:val="auto"/>
          <w:highlight w:val="none"/>
        </w:rPr>
      </w:pP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政府采购合同参考范本</w:t>
      </w: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（货物类）</w:t>
      </w:r>
    </w:p>
    <w:p>
      <w:pPr>
        <w:pStyle w:val="71"/>
        <w:ind w:left="480"/>
        <w:jc w:val="center"/>
        <w:rPr>
          <w:rFonts w:ascii="仿宋" w:hAnsi="仿宋" w:eastAsia="仿宋"/>
          <w:color w:val="auto"/>
          <w:szCs w:val="24"/>
          <w:highlight w:val="none"/>
        </w:rPr>
      </w:pPr>
    </w:p>
    <w:p>
      <w:pPr>
        <w:pStyle w:val="5"/>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合同书</w:t>
      </w:r>
    </w:p>
    <w:p>
      <w:pPr>
        <w:pStyle w:val="71"/>
        <w:ind w:left="480"/>
        <w:rPr>
          <w:rFonts w:ascii="仿宋" w:hAnsi="仿宋" w:eastAsia="仿宋"/>
          <w:color w:val="auto"/>
          <w:szCs w:val="24"/>
          <w:highlight w:val="none"/>
        </w:rPr>
      </w:pPr>
    </w:p>
    <w:p>
      <w:pPr>
        <w:spacing w:before="120" w:line="22" w:lineRule="atLeast"/>
        <w:rPr>
          <w:color w:val="auto"/>
          <w:highlight w:val="none"/>
        </w:rPr>
      </w:pPr>
    </w:p>
    <w:p>
      <w:pPr>
        <w:spacing w:before="120" w:line="22" w:lineRule="atLeast"/>
        <w:ind w:left="960"/>
        <w:rPr>
          <w:color w:val="auto"/>
          <w:highlight w:val="none"/>
        </w:rPr>
      </w:pPr>
      <w:r>
        <w:rPr>
          <w:rFonts w:hint="eastAsia"/>
          <w:color w:val="auto"/>
          <w:highlight w:val="none"/>
        </w:rPr>
        <w:t>项目名称：</w:t>
      </w:r>
      <w:r>
        <w:rPr>
          <w:color w:val="auto"/>
          <w:highlight w:val="none"/>
          <w:u w:val="single"/>
        </w:rPr>
        <w:t xml:space="preserve">                                   </w:t>
      </w:r>
    </w:p>
    <w:p>
      <w:pPr>
        <w:pStyle w:val="70"/>
        <w:spacing w:before="120" w:line="22" w:lineRule="atLeast"/>
        <w:rPr>
          <w:rFonts w:ascii="仿宋" w:hAnsi="仿宋" w:eastAsia="仿宋"/>
          <w:color w:val="auto"/>
          <w:szCs w:val="24"/>
          <w:highlight w:val="none"/>
        </w:rPr>
      </w:pPr>
    </w:p>
    <w:p>
      <w:pPr>
        <w:pStyle w:val="70"/>
        <w:spacing w:before="120" w:line="22" w:lineRule="atLeast"/>
        <w:rPr>
          <w:rFonts w:ascii="仿宋" w:hAnsi="仿宋" w:eastAsia="仿宋"/>
          <w:color w:val="auto"/>
          <w:szCs w:val="24"/>
          <w:highlight w:val="none"/>
        </w:rPr>
      </w:pPr>
    </w:p>
    <w:p>
      <w:pPr>
        <w:rPr>
          <w:color w:val="auto"/>
          <w:highlight w:val="none"/>
        </w:rPr>
      </w:pPr>
    </w:p>
    <w:p>
      <w:pPr>
        <w:spacing w:before="120" w:line="22" w:lineRule="atLeast"/>
        <w:ind w:left="960"/>
        <w:rPr>
          <w:color w:val="auto"/>
          <w:highlight w:val="none"/>
          <w:u w:val="single"/>
        </w:rPr>
      </w:pPr>
      <w:r>
        <w:rPr>
          <w:rFonts w:hint="eastAsia"/>
          <w:color w:val="auto"/>
          <w:highlight w:val="none"/>
        </w:rPr>
        <w:t>甲方：</w:t>
      </w:r>
      <w:r>
        <w:rPr>
          <w:color w:val="auto"/>
          <w:highlight w:val="none"/>
          <w:u w:val="single"/>
        </w:rPr>
        <w:t xml:space="preserve">                                       </w:t>
      </w:r>
    </w:p>
    <w:p>
      <w:pPr>
        <w:spacing w:before="120" w:line="22" w:lineRule="atLeast"/>
        <w:rPr>
          <w:color w:val="auto"/>
          <w:highlight w:val="none"/>
        </w:rPr>
      </w:pPr>
    </w:p>
    <w:p>
      <w:pPr>
        <w:spacing w:before="120" w:line="22" w:lineRule="atLeast"/>
        <w:ind w:left="960"/>
        <w:rPr>
          <w:color w:val="auto"/>
          <w:highlight w:val="none"/>
          <w:u w:val="single"/>
        </w:rPr>
      </w:pPr>
      <w:r>
        <w:rPr>
          <w:rFonts w:hint="eastAsia"/>
          <w:color w:val="auto"/>
          <w:highlight w:val="none"/>
        </w:rPr>
        <w:t>乙方：</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签订地：</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color w:val="auto"/>
          <w:highlight w:val="none"/>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color w:val="auto"/>
          <w:highlight w:val="none"/>
        </w:rPr>
      </w:pPr>
      <w:r>
        <w:rPr>
          <w:color w:val="auto"/>
          <w:highlight w:val="none"/>
          <w:u w:val="single"/>
          <w:lang w:val="zh-CN"/>
        </w:rPr>
        <w:t xml:space="preserve">        </w:t>
      </w:r>
      <w:r>
        <w:rPr>
          <w:rFonts w:hint="eastAsia"/>
          <w:color w:val="auto"/>
          <w:highlight w:val="none"/>
          <w:lang w:val="zh-CN"/>
        </w:rPr>
        <w:t>年</w:t>
      </w:r>
      <w:r>
        <w:rPr>
          <w:color w:val="auto"/>
          <w:highlight w:val="none"/>
          <w:u w:val="single"/>
          <w:lang w:val="zh-CN"/>
        </w:rPr>
        <w:t xml:space="preserve">    </w:t>
      </w:r>
      <w:r>
        <w:rPr>
          <w:rFonts w:hint="eastAsia"/>
          <w:color w:val="auto"/>
          <w:highlight w:val="none"/>
          <w:lang w:val="zh-CN"/>
        </w:rPr>
        <w:t>月</w:t>
      </w:r>
      <w:r>
        <w:rPr>
          <w:color w:val="auto"/>
          <w:highlight w:val="none"/>
          <w:u w:val="single"/>
          <w:lang w:val="zh-CN"/>
        </w:rPr>
        <w:t xml:space="preserve">    </w:t>
      </w:r>
      <w:r>
        <w:rPr>
          <w:rFonts w:hint="eastAsia"/>
          <w:color w:val="auto"/>
          <w:highlight w:val="none"/>
          <w:lang w:val="zh-CN"/>
        </w:rPr>
        <w:t>日</w:t>
      </w:r>
      <w:r>
        <w:rPr>
          <w:rFonts w:hint="eastAsia"/>
          <w:color w:val="auto"/>
          <w:highlight w:val="none"/>
        </w:rPr>
        <w:t>，</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rFonts w:hint="eastAsia"/>
          <w:color w:val="auto"/>
          <w:highlight w:val="none"/>
        </w:rPr>
        <w:t>以</w:t>
      </w:r>
      <w:r>
        <w:rPr>
          <w:color w:val="auto"/>
          <w:highlight w:val="none"/>
          <w:u w:val="single"/>
        </w:rPr>
        <w:t xml:space="preserve">   （政府采购方式）  </w:t>
      </w:r>
      <w:r>
        <w:rPr>
          <w:rFonts w:hint="eastAsia"/>
          <w:color w:val="auto"/>
          <w:highlight w:val="none"/>
        </w:rPr>
        <w:t>对</w:t>
      </w:r>
      <w:r>
        <w:rPr>
          <w:color w:val="auto"/>
          <w:highlight w:val="none"/>
          <w:u w:val="single"/>
        </w:rPr>
        <w:t xml:space="preserve">   （同前</w:t>
      </w:r>
      <w:r>
        <w:rPr>
          <w:rFonts w:hint="eastAsia"/>
          <w:color w:val="auto"/>
          <w:highlight w:val="none"/>
          <w:u w:val="single"/>
        </w:rPr>
        <w:t>页项目名称）</w:t>
      </w:r>
      <w:r>
        <w:rPr>
          <w:color w:val="auto"/>
          <w:highlight w:val="none"/>
          <w:u w:val="single"/>
        </w:rPr>
        <w:t xml:space="preserve">   </w:t>
      </w:r>
      <w:r>
        <w:rPr>
          <w:rFonts w:hint="eastAsia"/>
          <w:color w:val="auto"/>
          <w:highlight w:val="none"/>
        </w:rPr>
        <w:t>项目进行了采购。经</w:t>
      </w:r>
      <w:r>
        <w:rPr>
          <w:color w:val="auto"/>
          <w:highlight w:val="none"/>
          <w:u w:val="single"/>
        </w:rPr>
        <w:t xml:space="preserve">   （相关评定主体名称）   </w:t>
      </w:r>
      <w:r>
        <w:rPr>
          <w:rFonts w:hint="eastAsia"/>
          <w:color w:val="auto"/>
          <w:highlight w:val="none"/>
        </w:rPr>
        <w:t>评定，</w:t>
      </w:r>
      <w:r>
        <w:rPr>
          <w:color w:val="auto"/>
          <w:highlight w:val="none"/>
          <w:u w:val="single"/>
        </w:rPr>
        <w:t xml:space="preserve">   （中标供应商名称）</w:t>
      </w:r>
      <w:r>
        <w:rPr>
          <w:rFonts w:hint="eastAsia"/>
          <w:color w:val="auto"/>
          <w:highlight w:val="none"/>
        </w:rPr>
        <w:t>为该项目中标供应商。现于中标通知书发出之日起三十日内，按照采购文件确定的事项签订本合同。</w:t>
      </w:r>
    </w:p>
    <w:p>
      <w:pPr>
        <w:spacing w:line="560" w:lineRule="exact"/>
        <w:ind w:firstLine="480" w:firstLineChars="200"/>
        <w:rPr>
          <w:color w:val="auto"/>
          <w:highlight w:val="none"/>
        </w:rPr>
      </w:pPr>
      <w:r>
        <w:rPr>
          <w:rFonts w:hint="eastAsia"/>
          <w:color w:val="auto"/>
          <w:highlight w:val="none"/>
          <w:lang w:val="zh-CN"/>
        </w:rPr>
        <w:t>根据《中华人民共和国民法典》、《中华人民共和国政府采购法》等相关法律法规之规定，按照平等、自愿、公平、诚实信用和绿色的原则，经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(以下简称：甲方)和</w:t>
      </w:r>
      <w:r>
        <w:rPr>
          <w:color w:val="auto"/>
          <w:highlight w:val="none"/>
          <w:u w:val="single"/>
        </w:rPr>
        <w:t xml:space="preserve">   （中标供应商名称）   </w:t>
      </w:r>
      <w:r>
        <w:rPr>
          <w:color w:val="auto"/>
          <w:highlight w:val="none"/>
          <w:lang w:val="zh-CN"/>
        </w:rPr>
        <w:t>(以下简称：乙方)协商一致，约定以下合同</w:t>
      </w:r>
      <w:r>
        <w:rPr>
          <w:rFonts w:hint="eastAsia"/>
          <w:color w:val="auto"/>
          <w:highlight w:val="none"/>
        </w:rPr>
        <w:t>条款，以兹共同遵守、全面履行。</w:t>
      </w:r>
    </w:p>
    <w:p>
      <w:pPr>
        <w:pStyle w:val="6"/>
        <w:rPr>
          <w:color w:val="auto"/>
          <w:highlight w:val="none"/>
        </w:rPr>
      </w:pPr>
      <w:bookmarkStart w:id="369" w:name="_Toc2232"/>
      <w:bookmarkStart w:id="370" w:name="_Toc3029"/>
      <w:bookmarkStart w:id="371" w:name="_Toc24059"/>
      <w:r>
        <w:rPr>
          <w:color w:val="auto"/>
          <w:highlight w:val="none"/>
        </w:rPr>
        <w:t xml:space="preserve">1.1 </w:t>
      </w:r>
      <w:r>
        <w:rPr>
          <w:rFonts w:hint="eastAsia"/>
          <w:color w:val="auto"/>
          <w:highlight w:val="none"/>
        </w:rPr>
        <w:t>合同组成部分</w:t>
      </w:r>
      <w:bookmarkEnd w:id="369"/>
      <w:bookmarkEnd w:id="370"/>
      <w:bookmarkEnd w:id="371"/>
    </w:p>
    <w:p>
      <w:pPr>
        <w:spacing w:line="560" w:lineRule="exact"/>
        <w:ind w:firstLine="480" w:firstLineChars="200"/>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auto"/>
          <w:highlight w:val="none"/>
        </w:rPr>
      </w:pPr>
      <w:r>
        <w:rPr>
          <w:color w:val="auto"/>
          <w:highlight w:val="none"/>
        </w:rPr>
        <w:t xml:space="preserve">1.1.1 </w:t>
      </w:r>
      <w:r>
        <w:rPr>
          <w:rFonts w:hint="eastAsia"/>
          <w:color w:val="auto"/>
          <w:highlight w:val="none"/>
        </w:rPr>
        <w:t>本合同及其补充合同、变更协议；</w:t>
      </w:r>
    </w:p>
    <w:p>
      <w:pPr>
        <w:spacing w:line="560" w:lineRule="exact"/>
        <w:ind w:firstLine="480" w:firstLineChars="200"/>
        <w:rPr>
          <w:color w:val="auto"/>
          <w:highlight w:val="none"/>
        </w:rPr>
      </w:pPr>
      <w:r>
        <w:rPr>
          <w:color w:val="auto"/>
          <w:highlight w:val="none"/>
        </w:rPr>
        <w:t xml:space="preserve">1.1.2 </w:t>
      </w:r>
      <w:r>
        <w:rPr>
          <w:rFonts w:hint="eastAsia"/>
          <w:color w:val="auto"/>
          <w:highlight w:val="none"/>
        </w:rPr>
        <w:t>中标通知书；</w:t>
      </w:r>
    </w:p>
    <w:p>
      <w:pPr>
        <w:spacing w:line="560" w:lineRule="exact"/>
        <w:ind w:firstLine="480" w:firstLineChars="200"/>
        <w:rPr>
          <w:color w:val="auto"/>
          <w:highlight w:val="none"/>
        </w:rPr>
      </w:pPr>
      <w:r>
        <w:rPr>
          <w:color w:val="auto"/>
          <w:highlight w:val="none"/>
        </w:rPr>
        <w:t xml:space="preserve">1.1.3 </w:t>
      </w:r>
      <w:r>
        <w:rPr>
          <w:rFonts w:hint="eastAsia"/>
          <w:color w:val="auto"/>
          <w:highlight w:val="none"/>
        </w:rPr>
        <w:t>投标文件（含澄清或者说明文件）；</w:t>
      </w:r>
    </w:p>
    <w:p>
      <w:pPr>
        <w:spacing w:line="560" w:lineRule="exact"/>
        <w:ind w:firstLine="480" w:firstLineChars="200"/>
        <w:rPr>
          <w:color w:val="auto"/>
          <w:highlight w:val="none"/>
        </w:rPr>
      </w:pPr>
      <w:r>
        <w:rPr>
          <w:color w:val="auto"/>
          <w:highlight w:val="none"/>
        </w:rPr>
        <w:t xml:space="preserve">1.1.4 </w:t>
      </w:r>
      <w:r>
        <w:rPr>
          <w:rFonts w:hint="eastAsia"/>
          <w:color w:val="auto"/>
          <w:highlight w:val="none"/>
        </w:rPr>
        <w:t>招标文件（含澄清或者修改文件）；</w:t>
      </w:r>
    </w:p>
    <w:p>
      <w:pPr>
        <w:spacing w:line="560" w:lineRule="exact"/>
        <w:ind w:firstLine="480" w:firstLineChars="200"/>
        <w:rPr>
          <w:color w:val="auto"/>
          <w:highlight w:val="none"/>
        </w:rPr>
      </w:pPr>
      <w:r>
        <w:rPr>
          <w:color w:val="auto"/>
          <w:highlight w:val="none"/>
        </w:rPr>
        <w:t xml:space="preserve">1.1.5 </w:t>
      </w:r>
      <w:r>
        <w:rPr>
          <w:rFonts w:hint="eastAsia"/>
          <w:color w:val="auto"/>
          <w:highlight w:val="none"/>
        </w:rPr>
        <w:t>其他相关采购文件。</w:t>
      </w:r>
    </w:p>
    <w:p>
      <w:pPr>
        <w:pStyle w:val="6"/>
        <w:rPr>
          <w:color w:val="auto"/>
          <w:highlight w:val="none"/>
        </w:rPr>
      </w:pPr>
      <w:bookmarkStart w:id="372" w:name="_Toc21295"/>
      <w:bookmarkStart w:id="373" w:name="_Toc27126"/>
      <w:bookmarkStart w:id="374" w:name="_Toc24300"/>
      <w:r>
        <w:rPr>
          <w:color w:val="auto"/>
          <w:highlight w:val="none"/>
        </w:rPr>
        <w:t xml:space="preserve">1.2 </w:t>
      </w:r>
      <w:r>
        <w:rPr>
          <w:rFonts w:hint="eastAsia"/>
          <w:color w:val="auto"/>
          <w:highlight w:val="none"/>
        </w:rPr>
        <w:t>货物</w:t>
      </w:r>
      <w:bookmarkEnd w:id="372"/>
      <w:bookmarkEnd w:id="373"/>
      <w:bookmarkEnd w:id="374"/>
    </w:p>
    <w:p>
      <w:pPr>
        <w:spacing w:line="560" w:lineRule="exact"/>
        <w:ind w:firstLine="480" w:firstLineChars="200"/>
        <w:rPr>
          <w:color w:val="auto"/>
          <w:highlight w:val="none"/>
          <w:u w:val="single"/>
        </w:rPr>
      </w:pPr>
      <w:r>
        <w:rPr>
          <w:color w:val="auto"/>
          <w:highlight w:val="none"/>
        </w:rPr>
        <w:t xml:space="preserve">1.2.1 </w:t>
      </w:r>
      <w:r>
        <w:rPr>
          <w:rFonts w:hint="eastAsia"/>
          <w:color w:val="auto"/>
          <w:highlight w:val="none"/>
        </w:rPr>
        <w:t>货物名称：</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u w:val="single"/>
        </w:rPr>
      </w:pPr>
      <w:r>
        <w:rPr>
          <w:color w:val="auto"/>
          <w:highlight w:val="none"/>
        </w:rPr>
        <w:t xml:space="preserve">1.2.2 </w:t>
      </w:r>
      <w:r>
        <w:rPr>
          <w:rFonts w:hint="eastAsia"/>
          <w:color w:val="auto"/>
          <w:highlight w:val="none"/>
        </w:rPr>
        <w:t>货物数量：</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1.2.3 </w:t>
      </w:r>
      <w:r>
        <w:rPr>
          <w:rFonts w:hint="eastAsia"/>
          <w:color w:val="auto"/>
          <w:highlight w:val="none"/>
        </w:rPr>
        <w:t>货物质量：</w:t>
      </w:r>
      <w:r>
        <w:rPr>
          <w:rFonts w:hint="eastAsia"/>
          <w:color w:val="auto"/>
          <w:highlight w:val="none"/>
          <w:u w:val="single"/>
        </w:rPr>
        <w:t>　　　　　　　　　</w:t>
      </w:r>
      <w:r>
        <w:rPr>
          <w:color w:val="auto"/>
          <w:highlight w:val="none"/>
          <w:u w:val="single"/>
        </w:rPr>
        <w:t xml:space="preserve">                      　      </w:t>
      </w:r>
      <w:r>
        <w:rPr>
          <w:rFonts w:hint="eastAsia"/>
          <w:color w:val="auto"/>
          <w:highlight w:val="none"/>
        </w:rPr>
        <w:t>。</w:t>
      </w:r>
    </w:p>
    <w:p>
      <w:pPr>
        <w:pStyle w:val="6"/>
        <w:rPr>
          <w:color w:val="auto"/>
          <w:highlight w:val="none"/>
        </w:rPr>
      </w:pPr>
      <w:bookmarkStart w:id="375" w:name="_Toc21551"/>
      <w:bookmarkStart w:id="376" w:name="_Toc21631"/>
      <w:bookmarkStart w:id="377" w:name="_Toc23292"/>
      <w:r>
        <w:rPr>
          <w:color w:val="auto"/>
          <w:highlight w:val="none"/>
        </w:rPr>
        <w:t xml:space="preserve">1.3 </w:t>
      </w:r>
      <w:r>
        <w:rPr>
          <w:rFonts w:hint="eastAsia"/>
          <w:color w:val="auto"/>
          <w:highlight w:val="none"/>
        </w:rPr>
        <w:t>价款</w:t>
      </w:r>
      <w:bookmarkEnd w:id="375"/>
      <w:bookmarkEnd w:id="376"/>
      <w:bookmarkEnd w:id="377"/>
    </w:p>
    <w:p>
      <w:pPr>
        <w:spacing w:line="560" w:lineRule="exact"/>
        <w:ind w:firstLine="480" w:firstLineChars="200"/>
        <w:rPr>
          <w:color w:val="auto"/>
          <w:highlight w:val="none"/>
        </w:rPr>
      </w:pPr>
      <w:r>
        <w:rPr>
          <w:rFonts w:hint="eastAsia"/>
          <w:color w:val="auto"/>
          <w:highlight w:val="none"/>
        </w:rPr>
        <w:t>本合同总价为：￥</w:t>
      </w:r>
      <w:r>
        <w:rPr>
          <w:color w:val="auto"/>
          <w:highlight w:val="none"/>
          <w:u w:val="single"/>
        </w:rPr>
        <w:t xml:space="preserve">           </w:t>
      </w:r>
      <w:r>
        <w:rPr>
          <w:rFonts w:hint="eastAsia"/>
          <w:color w:val="auto"/>
          <w:highlight w:val="none"/>
        </w:rPr>
        <w:t>元（大写：</w:t>
      </w:r>
      <w:r>
        <w:rPr>
          <w:color w:val="auto"/>
          <w:highlight w:val="none"/>
          <w:u w:val="single"/>
        </w:rPr>
        <w:t xml:space="preserve">                 </w:t>
      </w:r>
      <w:r>
        <w:rPr>
          <w:rFonts w:hint="eastAsia"/>
          <w:color w:val="auto"/>
          <w:highlight w:val="none"/>
        </w:rPr>
        <w:t>元人民币）。</w:t>
      </w:r>
    </w:p>
    <w:p>
      <w:pPr>
        <w:spacing w:line="560" w:lineRule="exact"/>
        <w:ind w:firstLine="480" w:firstLineChars="200"/>
        <w:rPr>
          <w:color w:val="auto"/>
          <w:highlight w:val="none"/>
          <w:u w:val="single"/>
        </w:rPr>
      </w:pPr>
      <w:r>
        <w:rPr>
          <w:rFonts w:hint="eastAsia"/>
          <w:color w:val="auto"/>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color w:val="auto"/>
                <w:sz w:val="24"/>
                <w:szCs w:val="24"/>
                <w:highlight w:val="none"/>
              </w:rPr>
            </w:pPr>
          </w:p>
        </w:tc>
      </w:tr>
    </w:tbl>
    <w:p>
      <w:pPr>
        <w:pStyle w:val="6"/>
        <w:rPr>
          <w:color w:val="auto"/>
          <w:highlight w:val="none"/>
        </w:rPr>
      </w:pPr>
      <w:bookmarkStart w:id="378" w:name="_Toc22618"/>
      <w:bookmarkStart w:id="379" w:name="_Toc1814"/>
      <w:bookmarkStart w:id="380" w:name="_Toc10340"/>
      <w:r>
        <w:rPr>
          <w:color w:val="auto"/>
          <w:highlight w:val="none"/>
        </w:rPr>
        <w:t xml:space="preserve">1.4 </w:t>
      </w:r>
      <w:r>
        <w:rPr>
          <w:rFonts w:hint="eastAsia"/>
          <w:color w:val="auto"/>
          <w:highlight w:val="none"/>
        </w:rPr>
        <w:t>付款</w:t>
      </w:r>
      <w:bookmarkEnd w:id="378"/>
      <w:bookmarkEnd w:id="379"/>
      <w:bookmarkEnd w:id="380"/>
      <w:r>
        <w:rPr>
          <w:rFonts w:hint="eastAsia"/>
          <w:color w:val="auto"/>
          <w:highlight w:val="none"/>
        </w:rPr>
        <w:t>方式、时间和条件</w:t>
      </w:r>
    </w:p>
    <w:p>
      <w:pPr>
        <w:pStyle w:val="72"/>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color w:val="auto"/>
          <w:highlight w:val="none"/>
        </w:rPr>
      </w:pPr>
      <w:r>
        <w:rPr>
          <w:color w:val="auto"/>
          <w:highlight w:val="none"/>
        </w:rPr>
        <w:t>1.4.2</w:t>
      </w:r>
      <w:r>
        <w:rPr>
          <w:rFonts w:hint="eastAsia"/>
          <w:color w:val="auto"/>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color w:val="auto"/>
          <w:highlight w:val="none"/>
        </w:rPr>
      </w:pPr>
      <w:r>
        <w:rPr>
          <w:color w:val="auto"/>
          <w:highlight w:val="none"/>
        </w:rPr>
        <w:t>1.4.3</w:t>
      </w:r>
      <w:r>
        <w:rPr>
          <w:rFonts w:hint="eastAsia"/>
          <w:color w:val="auto"/>
          <w:highlight w:val="none"/>
        </w:rPr>
        <w:t>甲方迟延支付乙方款项的，向乙方支付逾期利息。双方可以在合同专用条款中约定逾期利率，约定利率不得低于合同订立时</w:t>
      </w:r>
      <w:r>
        <w:rPr>
          <w:color w:val="auto"/>
          <w:highlight w:val="none"/>
        </w:rPr>
        <w:t>1年</w:t>
      </w:r>
      <w:r>
        <w:rPr>
          <w:rFonts w:hint="eastAsia"/>
          <w:color w:val="auto"/>
          <w:highlight w:val="none"/>
        </w:rPr>
        <w:t>期贷款市场报价利率；未作约定的，按照每日利率万分之五支付逾期利息。</w:t>
      </w:r>
    </w:p>
    <w:p>
      <w:pPr>
        <w:rPr>
          <w:color w:val="auto"/>
          <w:highlight w:val="none"/>
        </w:rPr>
      </w:pPr>
      <w:r>
        <w:rPr>
          <w:color w:val="auto"/>
          <w:highlight w:val="none"/>
        </w:rPr>
        <w:t>1.4.4资金支付的方式、时间和条件详见</w:t>
      </w:r>
      <w:r>
        <w:rPr>
          <w:rFonts w:hint="eastAsia"/>
          <w:b/>
          <w:i/>
          <w:color w:val="auto"/>
          <w:highlight w:val="none"/>
          <w:u w:val="single"/>
        </w:rPr>
        <w:t>合同专用条款</w:t>
      </w:r>
      <w:r>
        <w:rPr>
          <w:rFonts w:hint="eastAsia"/>
          <w:color w:val="auto"/>
          <w:highlight w:val="none"/>
        </w:rPr>
        <w:t>。</w:t>
      </w:r>
    </w:p>
    <w:p>
      <w:pPr>
        <w:rPr>
          <w:color w:val="auto"/>
          <w:highlight w:val="none"/>
        </w:rPr>
      </w:pPr>
      <w:r>
        <w:rPr>
          <w:color w:val="auto"/>
          <w:highlight w:val="none"/>
        </w:rPr>
        <w:t>1.4.5</w:t>
      </w:r>
      <w:r>
        <w:rPr>
          <w:rFonts w:hint="eastAsia"/>
          <w:color w:val="auto"/>
          <w:highlight w:val="none"/>
        </w:rPr>
        <w:t>乙方</w:t>
      </w:r>
      <w:r>
        <w:rPr>
          <w:color w:val="auto"/>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color w:val="auto"/>
          <w:highlight w:val="none"/>
        </w:rPr>
        <w:t>杭财采监〔</w:t>
      </w:r>
      <w:r>
        <w:rPr>
          <w:color w:val="auto"/>
          <w:highlight w:val="none"/>
        </w:rPr>
        <w:t>2021〕17号）。</w:t>
      </w:r>
    </w:p>
    <w:p>
      <w:pPr>
        <w:pStyle w:val="6"/>
        <w:rPr>
          <w:color w:val="auto"/>
          <w:highlight w:val="none"/>
        </w:rPr>
      </w:pPr>
      <w:bookmarkStart w:id="381" w:name="_Toc19304"/>
      <w:bookmarkStart w:id="382" w:name="_Toc2846"/>
      <w:bookmarkStart w:id="383" w:name="_Toc32071"/>
      <w:r>
        <w:rPr>
          <w:color w:val="auto"/>
          <w:highlight w:val="none"/>
        </w:rPr>
        <w:t xml:space="preserve">1.5 </w:t>
      </w:r>
      <w:r>
        <w:rPr>
          <w:rFonts w:hint="eastAsia"/>
          <w:color w:val="auto"/>
          <w:highlight w:val="none"/>
        </w:rPr>
        <w:t>货物交付期限、地点和方式</w:t>
      </w:r>
      <w:bookmarkEnd w:id="381"/>
      <w:bookmarkEnd w:id="382"/>
      <w:bookmarkEnd w:id="383"/>
    </w:p>
    <w:p>
      <w:pPr>
        <w:spacing w:line="560" w:lineRule="exact"/>
        <w:ind w:firstLine="480" w:firstLineChars="200"/>
        <w:rPr>
          <w:color w:val="auto"/>
          <w:highlight w:val="none"/>
          <w:u w:val="single"/>
        </w:rPr>
      </w:pPr>
      <w:r>
        <w:rPr>
          <w:color w:val="auto"/>
          <w:highlight w:val="none"/>
        </w:rPr>
        <w:t xml:space="preserve">1.5.1 </w:t>
      </w:r>
      <w:r>
        <w:rPr>
          <w:rFonts w:hint="eastAsia"/>
          <w:color w:val="auto"/>
          <w:highlight w:val="none"/>
        </w:rPr>
        <w:t>交付期限：</w:t>
      </w:r>
      <w:r>
        <w:rPr>
          <w:color w:val="auto"/>
          <w:highlight w:val="none"/>
        </w:rPr>
        <w:t>详见</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1.5.2 </w:t>
      </w:r>
      <w:r>
        <w:rPr>
          <w:rFonts w:hint="eastAsia"/>
          <w:color w:val="auto"/>
          <w:highlight w:val="none"/>
        </w:rPr>
        <w:t>交付地点：</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1.5.3 </w:t>
      </w:r>
      <w:r>
        <w:rPr>
          <w:rFonts w:hint="eastAsia"/>
          <w:color w:val="auto"/>
          <w:highlight w:val="none"/>
        </w:rPr>
        <w:t>交付方式：</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384" w:name="_Toc19554"/>
      <w:bookmarkStart w:id="385" w:name="_Toc27250"/>
      <w:bookmarkStart w:id="386" w:name="_Toc21423"/>
      <w:r>
        <w:rPr>
          <w:color w:val="auto"/>
          <w:highlight w:val="none"/>
        </w:rPr>
        <w:t xml:space="preserve">1.6 </w:t>
      </w:r>
      <w:r>
        <w:rPr>
          <w:rFonts w:hint="eastAsia"/>
          <w:color w:val="auto"/>
          <w:highlight w:val="none"/>
        </w:rPr>
        <w:t>违约责任</w:t>
      </w:r>
      <w:bookmarkEnd w:id="384"/>
      <w:bookmarkEnd w:id="385"/>
      <w:bookmarkEnd w:id="386"/>
    </w:p>
    <w:p>
      <w:pPr>
        <w:spacing w:line="560" w:lineRule="exact"/>
        <w:ind w:firstLine="480" w:firstLineChars="200"/>
        <w:rPr>
          <w:color w:val="auto"/>
          <w:highlight w:val="none"/>
        </w:rPr>
      </w:pPr>
      <w:r>
        <w:rPr>
          <w:color w:val="auto"/>
          <w:highlight w:val="none"/>
        </w:rPr>
        <w:t xml:space="preserve">1.6.1 </w:t>
      </w:r>
      <w:r>
        <w:rPr>
          <w:rFonts w:hint="eastAsia"/>
          <w:color w:val="auto"/>
          <w:highlight w:val="none"/>
        </w:rPr>
        <w:t>除不可抗力外，如果乙方没有按照本合同约定的期限、地点和方式交付货物，那么甲方可要求乙方支付违约金，违约金按每迟延交付货物一日的应交付而未交付货物价格的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color w:val="auto"/>
          <w:highlight w:val="none"/>
        </w:rPr>
      </w:pPr>
      <w:r>
        <w:rPr>
          <w:color w:val="auto"/>
          <w:highlight w:val="none"/>
        </w:rPr>
        <w:t xml:space="preserve">1.6.2 </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color w:val="auto"/>
          <w:highlight w:val="none"/>
        </w:rPr>
      </w:pPr>
      <w:r>
        <w:rPr>
          <w:color w:val="auto"/>
          <w:highlight w:val="none"/>
        </w:rPr>
        <w:t xml:space="preserve">1.6.3 </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auto"/>
          <w:highlight w:val="none"/>
        </w:rPr>
      </w:pPr>
      <w:r>
        <w:rPr>
          <w:color w:val="auto"/>
          <w:highlight w:val="none"/>
        </w:rPr>
        <w:t xml:space="preserve">1.6.4 </w:t>
      </w: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1.6.5 </w:t>
      </w:r>
      <w:r>
        <w:rPr>
          <w:rFonts w:hint="eastAsia"/>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1.6.6 </w:t>
      </w: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color w:val="auto"/>
          <w:highlight w:val="none"/>
        </w:rPr>
      </w:pPr>
      <w:r>
        <w:rPr>
          <w:rFonts w:hint="eastAsia"/>
          <w:color w:val="auto"/>
          <w:highlight w:val="none"/>
        </w:rPr>
        <w:t>1.6.7违约责任</w:t>
      </w:r>
      <w:r>
        <w:rPr>
          <w:rFonts w:hint="eastAsia"/>
          <w:b/>
          <w:i/>
          <w:color w:val="auto"/>
          <w:highlight w:val="none"/>
          <w:u w:val="single"/>
        </w:rPr>
        <w:t>合同专用条款</w:t>
      </w:r>
      <w:r>
        <w:rPr>
          <w:rFonts w:hint="eastAsia"/>
          <w:color w:val="auto"/>
          <w:highlight w:val="none"/>
        </w:rPr>
        <w:t>另有约定的，从其约定。</w:t>
      </w:r>
    </w:p>
    <w:p>
      <w:pPr>
        <w:pStyle w:val="6"/>
        <w:rPr>
          <w:color w:val="auto"/>
          <w:highlight w:val="none"/>
        </w:rPr>
      </w:pPr>
      <w:bookmarkStart w:id="387" w:name="_Toc15583"/>
      <w:bookmarkStart w:id="388" w:name="_Toc16021"/>
      <w:bookmarkStart w:id="389" w:name="_Toc28375"/>
      <w:r>
        <w:rPr>
          <w:color w:val="auto"/>
          <w:highlight w:val="none"/>
        </w:rPr>
        <w:t xml:space="preserve">1.7 </w:t>
      </w:r>
      <w:r>
        <w:rPr>
          <w:rFonts w:hint="eastAsia"/>
          <w:color w:val="auto"/>
          <w:highlight w:val="none"/>
        </w:rPr>
        <w:t>合同争议的解决</w:t>
      </w:r>
      <w:bookmarkEnd w:id="387"/>
      <w:bookmarkEnd w:id="388"/>
      <w:bookmarkEnd w:id="389"/>
    </w:p>
    <w:p>
      <w:pPr>
        <w:spacing w:line="560" w:lineRule="exact"/>
        <w:ind w:left="-70" w:leftChars="-29" w:right="-480" w:rightChars="-200" w:firstLine="240" w:firstLineChars="100"/>
        <w:rPr>
          <w:color w:val="auto"/>
          <w:highlight w:val="none"/>
        </w:rPr>
      </w:pPr>
      <w:r>
        <w:rPr>
          <w:rFonts w:hint="eastAsia"/>
          <w:color w:val="auto"/>
          <w:highlight w:val="none"/>
        </w:rPr>
        <w:t xml:space="preserve">  本合同履行过程中发生的任何争议，双方当事人均可通过和解或者调解解决；不愿和解、调解或者和解、调解不成的，可以选择以下第</w:t>
      </w:r>
      <w:r>
        <w:rPr>
          <w:rFonts w:hint="eastAsia"/>
          <w:b/>
          <w:i/>
          <w:color w:val="auto"/>
          <w:highlight w:val="none"/>
          <w:u w:val="single"/>
        </w:rPr>
        <w:t xml:space="preserve"> 合同专用条款  </w:t>
      </w:r>
      <w:r>
        <w:rPr>
          <w:rFonts w:hint="eastAsia"/>
          <w:color w:val="auto"/>
          <w:highlight w:val="none"/>
        </w:rPr>
        <w:t>条款规定的方式解决：</w:t>
      </w:r>
    </w:p>
    <w:p>
      <w:pPr>
        <w:spacing w:line="560" w:lineRule="exact"/>
        <w:ind w:left="-480" w:leftChars="-200" w:right="-480" w:rightChars="-200" w:firstLine="600" w:firstLineChars="250"/>
        <w:rPr>
          <w:color w:val="auto"/>
          <w:highlight w:val="none"/>
        </w:rPr>
      </w:pPr>
      <w:r>
        <w:rPr>
          <w:color w:val="auto"/>
          <w:highlight w:val="none"/>
        </w:rPr>
        <w:t xml:space="preserve">1.7.1 </w:t>
      </w:r>
      <w:r>
        <w:rPr>
          <w:rFonts w:hint="eastAsia"/>
          <w:color w:val="auto"/>
          <w:highlight w:val="none"/>
        </w:rPr>
        <w:t>将争议提交</w:t>
      </w:r>
      <w:r>
        <w:rPr>
          <w:rFonts w:hint="eastAsia"/>
          <w:b/>
          <w:i/>
          <w:color w:val="auto"/>
          <w:highlight w:val="none"/>
          <w:u w:val="single"/>
        </w:rPr>
        <w:t>合同专用条款</w:t>
      </w:r>
      <w:r>
        <w:rPr>
          <w:rFonts w:hint="eastAsia"/>
          <w:color w:val="auto"/>
          <w:highlight w:val="none"/>
        </w:rPr>
        <w:t>仲裁委员会依申请仲裁时其现行有效的仲裁规则裁决；</w:t>
      </w:r>
    </w:p>
    <w:p>
      <w:pPr>
        <w:spacing w:line="560" w:lineRule="exact"/>
        <w:ind w:left="-480" w:leftChars="-200" w:right="-480" w:rightChars="-200" w:firstLine="600" w:firstLineChars="250"/>
        <w:rPr>
          <w:color w:val="auto"/>
          <w:highlight w:val="none"/>
        </w:rPr>
      </w:pPr>
      <w:r>
        <w:rPr>
          <w:color w:val="auto"/>
          <w:highlight w:val="none"/>
        </w:rPr>
        <w:t xml:space="preserve">1.7.2 </w:t>
      </w:r>
      <w:r>
        <w:rPr>
          <w:rFonts w:hint="eastAsia"/>
          <w:color w:val="auto"/>
          <w:highlight w:val="none"/>
        </w:rPr>
        <w:t>向</w:t>
      </w:r>
      <w:r>
        <w:rPr>
          <w:rFonts w:hint="eastAsia"/>
          <w:b/>
          <w:i/>
          <w:color w:val="auto"/>
          <w:highlight w:val="none"/>
          <w:u w:val="single"/>
        </w:rPr>
        <w:t>合同专用条款</w:t>
      </w:r>
      <w:r>
        <w:rPr>
          <w:rFonts w:hint="eastAsia"/>
          <w:color w:val="auto"/>
          <w:highlight w:val="none"/>
        </w:rPr>
        <w:t>人民法院起诉。</w:t>
      </w:r>
    </w:p>
    <w:p>
      <w:pPr>
        <w:pStyle w:val="6"/>
        <w:rPr>
          <w:color w:val="auto"/>
          <w:highlight w:val="none"/>
        </w:rPr>
      </w:pPr>
      <w:bookmarkStart w:id="390" w:name="_Toc7245"/>
      <w:bookmarkStart w:id="391" w:name="_Toc11173"/>
      <w:bookmarkStart w:id="392" w:name="_Toc15322"/>
      <w:r>
        <w:rPr>
          <w:color w:val="auto"/>
          <w:highlight w:val="none"/>
        </w:rPr>
        <w:t xml:space="preserve">1.8 </w:t>
      </w:r>
      <w:r>
        <w:rPr>
          <w:rFonts w:hint="eastAsia"/>
          <w:color w:val="auto"/>
          <w:highlight w:val="none"/>
        </w:rPr>
        <w:t>合同生效</w:t>
      </w:r>
      <w:bookmarkEnd w:id="390"/>
      <w:bookmarkEnd w:id="391"/>
      <w:bookmarkEnd w:id="392"/>
    </w:p>
    <w:p>
      <w:pPr>
        <w:spacing w:line="560" w:lineRule="exact"/>
        <w:ind w:firstLine="480" w:firstLineChars="200"/>
        <w:rPr>
          <w:b/>
          <w:color w:val="auto"/>
          <w:highlight w:val="none"/>
        </w:rPr>
      </w:pPr>
      <w:r>
        <w:rPr>
          <w:rFonts w:hint="eastAsia"/>
          <w:color w:val="auto"/>
          <w:highlight w:val="none"/>
        </w:rPr>
        <w:t>本合同自双方当事人盖章或者签字时生效。</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b/>
          <w:color w:val="auto"/>
          <w:highlight w:val="none"/>
          <w:lang w:val="zh-CN"/>
        </w:rPr>
        <w:t>甲方</w:t>
      </w:r>
      <w:r>
        <w:rPr>
          <w:rFonts w:hint="eastAsia"/>
          <w:color w:val="auto"/>
          <w:highlight w:val="none"/>
          <w:lang w:val="zh-CN"/>
        </w:rPr>
        <w:t>：</w:t>
      </w:r>
      <w:r>
        <w:rPr>
          <w:color w:val="auto"/>
          <w:highlight w:val="none"/>
          <w:lang w:val="zh-CN"/>
        </w:rPr>
        <w:t xml:space="preserve">                             </w:t>
      </w:r>
      <w:r>
        <w:rPr>
          <w:b/>
          <w:color w:val="auto"/>
          <w:highlight w:val="none"/>
          <w:lang w:val="zh-CN"/>
        </w:rPr>
        <w:t xml:space="preserve">      乙方</w:t>
      </w:r>
      <w:r>
        <w:rPr>
          <w:rFonts w:hint="eastAsia"/>
          <w:color w:val="auto"/>
          <w:highlight w:val="none"/>
          <w:lang w:val="zh-CN"/>
        </w:rPr>
        <w:t>：</w:t>
      </w:r>
    </w:p>
    <w:p>
      <w:pPr>
        <w:autoSpaceDE w:val="0"/>
        <w:autoSpaceDN w:val="0"/>
        <w:spacing w:line="560" w:lineRule="exact"/>
        <w:rPr>
          <w:color w:val="auto"/>
          <w:highlight w:val="none"/>
          <w:lang w:val="zh-CN"/>
        </w:rPr>
      </w:pPr>
      <w:r>
        <w:rPr>
          <w:rFonts w:hint="eastAsia"/>
          <w:color w:val="auto"/>
          <w:highlight w:val="none"/>
          <w:lang w:val="zh-CN"/>
        </w:rPr>
        <w:t>统一社会信用代码：</w:t>
      </w:r>
      <w:r>
        <w:rPr>
          <w:color w:val="auto"/>
          <w:highlight w:val="none"/>
          <w:lang w:val="zh-CN"/>
        </w:rPr>
        <w:t xml:space="preserve">                        </w:t>
      </w:r>
      <w:r>
        <w:rPr>
          <w:rFonts w:hint="eastAsia"/>
          <w:color w:val="auto"/>
          <w:highlight w:val="none"/>
          <w:lang w:val="zh-CN"/>
        </w:rPr>
        <w:t>统一社会信用代码或身份证号码：</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color w:val="auto"/>
          <w:highlight w:val="none"/>
          <w:lang w:val="zh-CN"/>
        </w:rPr>
        <w:t>住所：</w:t>
      </w:r>
      <w:r>
        <w:rPr>
          <w:color w:val="auto"/>
          <w:highlight w:val="none"/>
          <w:lang w:val="zh-CN"/>
        </w:rPr>
        <w:t xml:space="preserve">                                   </w:t>
      </w:r>
      <w:r>
        <w:rPr>
          <w:rFonts w:hint="eastAsia"/>
          <w:color w:val="auto"/>
          <w:highlight w:val="none"/>
          <w:lang w:val="zh-CN"/>
        </w:rPr>
        <w:t>住所：</w:t>
      </w:r>
    </w:p>
    <w:p>
      <w:pPr>
        <w:autoSpaceDE w:val="0"/>
        <w:autoSpaceDN w:val="0"/>
        <w:spacing w:line="560" w:lineRule="exact"/>
        <w:rPr>
          <w:color w:val="auto"/>
          <w:highlight w:val="none"/>
          <w:lang w:val="zh-CN"/>
        </w:rPr>
      </w:pPr>
      <w:r>
        <w:rPr>
          <w:rFonts w:hint="eastAsia"/>
          <w:color w:val="auto"/>
          <w:highlight w:val="none"/>
          <w:lang w:val="zh-CN"/>
        </w:rPr>
        <w:t>法定代表人或</w:t>
      </w:r>
      <w:r>
        <w:rPr>
          <w:color w:val="auto"/>
          <w:highlight w:val="none"/>
          <w:lang w:val="zh-CN"/>
        </w:rPr>
        <w:t xml:space="preserve">                             </w:t>
      </w:r>
      <w:r>
        <w:rPr>
          <w:rFonts w:hint="eastAsia"/>
          <w:color w:val="auto"/>
          <w:highlight w:val="none"/>
          <w:lang w:val="zh-CN"/>
        </w:rPr>
        <w:t>法定代表人</w:t>
      </w:r>
    </w:p>
    <w:p>
      <w:pPr>
        <w:autoSpaceDE w:val="0"/>
        <w:autoSpaceDN w:val="0"/>
        <w:spacing w:line="560" w:lineRule="exact"/>
        <w:rPr>
          <w:color w:val="auto"/>
          <w:highlight w:val="none"/>
          <w:lang w:val="zh-CN"/>
        </w:rPr>
      </w:pPr>
      <w:r>
        <w:rPr>
          <w:rFonts w:hint="eastAsia"/>
          <w:color w:val="auto"/>
          <w:highlight w:val="none"/>
          <w:lang w:val="zh-CN"/>
        </w:rPr>
        <w:t>授权代表（签字）：</w:t>
      </w:r>
      <w:r>
        <w:rPr>
          <w:color w:val="auto"/>
          <w:highlight w:val="none"/>
          <w:lang w:val="zh-CN"/>
        </w:rPr>
        <w:t xml:space="preserve">                        或授权代表（签字）: </w:t>
      </w:r>
    </w:p>
    <w:p>
      <w:pPr>
        <w:autoSpaceDE w:val="0"/>
        <w:autoSpaceDN w:val="0"/>
        <w:spacing w:line="560" w:lineRule="exact"/>
        <w:rPr>
          <w:color w:val="auto"/>
          <w:highlight w:val="none"/>
          <w:lang w:val="zh-CN"/>
        </w:rPr>
      </w:pPr>
      <w:r>
        <w:rPr>
          <w:rFonts w:hint="eastAsia"/>
          <w:color w:val="auto"/>
          <w:highlight w:val="none"/>
          <w:lang w:val="zh-CN"/>
        </w:rPr>
        <w:t>联系人：</w:t>
      </w:r>
      <w:r>
        <w:rPr>
          <w:color w:val="auto"/>
          <w:highlight w:val="none"/>
          <w:lang w:val="zh-CN"/>
        </w:rPr>
        <w:t xml:space="preserve">                                 </w:t>
      </w:r>
      <w:r>
        <w:rPr>
          <w:rFonts w:hint="eastAsia"/>
          <w:color w:val="auto"/>
          <w:highlight w:val="none"/>
          <w:lang w:val="zh-CN"/>
        </w:rPr>
        <w:t>联系人：</w:t>
      </w:r>
    </w:p>
    <w:p>
      <w:pPr>
        <w:autoSpaceDE w:val="0"/>
        <w:autoSpaceDN w:val="0"/>
        <w:spacing w:line="560" w:lineRule="exact"/>
        <w:rPr>
          <w:color w:val="auto"/>
          <w:highlight w:val="none"/>
          <w:lang w:val="zh-CN"/>
        </w:rPr>
      </w:pPr>
      <w:r>
        <w:rPr>
          <w:rFonts w:hint="eastAsia"/>
          <w:color w:val="auto"/>
          <w:highlight w:val="none"/>
          <w:lang w:val="zh-CN"/>
        </w:rPr>
        <w:t>约定送达地址：</w:t>
      </w:r>
      <w:r>
        <w:rPr>
          <w:color w:val="auto"/>
          <w:highlight w:val="none"/>
          <w:lang w:val="zh-CN"/>
        </w:rPr>
        <w:t xml:space="preserve">                           </w:t>
      </w:r>
      <w:r>
        <w:rPr>
          <w:rFonts w:hint="eastAsia"/>
          <w:color w:val="auto"/>
          <w:highlight w:val="none"/>
          <w:lang w:val="zh-CN"/>
        </w:rPr>
        <w:t>约定送达地址：</w:t>
      </w:r>
    </w:p>
    <w:p>
      <w:pPr>
        <w:autoSpaceDE w:val="0"/>
        <w:autoSpaceDN w:val="0"/>
        <w:spacing w:line="560" w:lineRule="exact"/>
        <w:rPr>
          <w:color w:val="auto"/>
          <w:highlight w:val="none"/>
          <w:lang w:val="zh-CN"/>
        </w:rPr>
      </w:pPr>
      <w:r>
        <w:rPr>
          <w:rFonts w:hint="eastAsia"/>
          <w:color w:val="auto"/>
          <w:highlight w:val="none"/>
          <w:lang w:val="zh-CN"/>
        </w:rPr>
        <w:t>邮政编码：</w:t>
      </w:r>
      <w:r>
        <w:rPr>
          <w:color w:val="auto"/>
          <w:highlight w:val="none"/>
          <w:lang w:val="zh-CN"/>
        </w:rPr>
        <w:t xml:space="preserve">                               </w:t>
      </w:r>
      <w:r>
        <w:rPr>
          <w:rFonts w:hint="eastAsia"/>
          <w:color w:val="auto"/>
          <w:highlight w:val="none"/>
          <w:lang w:val="zh-CN"/>
        </w:rPr>
        <w:t>邮政编码：</w:t>
      </w:r>
    </w:p>
    <w:p>
      <w:pPr>
        <w:autoSpaceDE w:val="0"/>
        <w:autoSpaceDN w:val="0"/>
        <w:spacing w:line="560" w:lineRule="exact"/>
        <w:rPr>
          <w:color w:val="auto"/>
          <w:highlight w:val="none"/>
          <w:lang w:val="zh-CN"/>
        </w:rPr>
      </w:pPr>
      <w:r>
        <w:rPr>
          <w:rFonts w:hint="eastAsia"/>
          <w:color w:val="auto"/>
          <w:highlight w:val="none"/>
          <w:lang w:val="zh-CN"/>
        </w:rPr>
        <w:t>电话</w:t>
      </w:r>
      <w:r>
        <w:rPr>
          <w:color w:val="auto"/>
          <w:highlight w:val="none"/>
          <w:lang w:val="zh-CN"/>
        </w:rPr>
        <w:t xml:space="preserve">:                                    电话: </w:t>
      </w:r>
    </w:p>
    <w:p>
      <w:pPr>
        <w:autoSpaceDE w:val="0"/>
        <w:autoSpaceDN w:val="0"/>
        <w:spacing w:line="560" w:lineRule="exact"/>
        <w:rPr>
          <w:color w:val="auto"/>
          <w:highlight w:val="none"/>
          <w:lang w:val="zh-CN"/>
        </w:rPr>
      </w:pPr>
      <w:r>
        <w:rPr>
          <w:rFonts w:hint="eastAsia"/>
          <w:color w:val="auto"/>
          <w:highlight w:val="none"/>
          <w:lang w:val="zh-CN"/>
        </w:rPr>
        <w:t>传真</w:t>
      </w:r>
      <w:r>
        <w:rPr>
          <w:color w:val="auto"/>
          <w:highlight w:val="none"/>
          <w:lang w:val="zh-CN"/>
        </w:rPr>
        <w:t xml:space="preserve">:                                    </w:t>
      </w:r>
      <w:r>
        <w:rPr>
          <w:rFonts w:hint="eastAsia"/>
          <w:color w:val="auto"/>
          <w:highlight w:val="none"/>
          <w:lang w:val="zh-CN"/>
        </w:rPr>
        <w:t>传真</w:t>
      </w:r>
      <w:r>
        <w:rPr>
          <w:color w:val="auto"/>
          <w:highlight w:val="none"/>
          <w:lang w:val="zh-CN"/>
        </w:rPr>
        <w:t>:</w:t>
      </w:r>
    </w:p>
    <w:p>
      <w:pPr>
        <w:autoSpaceDE w:val="0"/>
        <w:autoSpaceDN w:val="0"/>
        <w:spacing w:line="560" w:lineRule="exact"/>
        <w:rPr>
          <w:color w:val="auto"/>
          <w:highlight w:val="none"/>
        </w:rPr>
      </w:pPr>
      <w:r>
        <w:rPr>
          <w:rFonts w:hint="eastAsia"/>
          <w:color w:val="auto"/>
          <w:highlight w:val="none"/>
          <w:lang w:val="zh-CN"/>
        </w:rPr>
        <w:t>电子邮箱：</w:t>
      </w:r>
      <w:r>
        <w:rPr>
          <w:color w:val="auto"/>
          <w:highlight w:val="none"/>
          <w:lang w:val="zh-CN"/>
        </w:rPr>
        <w:t xml:space="preserve">                               </w:t>
      </w:r>
      <w:r>
        <w:rPr>
          <w:rFonts w:hint="eastAsia"/>
          <w:color w:val="auto"/>
          <w:highlight w:val="none"/>
          <w:lang w:val="zh-CN"/>
        </w:rPr>
        <w:t>电子邮箱：</w:t>
      </w:r>
    </w:p>
    <w:p>
      <w:pPr>
        <w:autoSpaceDE w:val="0"/>
        <w:autoSpaceDN w:val="0"/>
        <w:spacing w:line="560" w:lineRule="exact"/>
        <w:rPr>
          <w:color w:val="auto"/>
          <w:highlight w:val="none"/>
        </w:rPr>
      </w:pPr>
      <w:r>
        <w:rPr>
          <w:rFonts w:hint="eastAsia"/>
          <w:color w:val="auto"/>
          <w:highlight w:val="none"/>
        </w:rPr>
        <w:t>开户银行：</w:t>
      </w:r>
      <w:r>
        <w:rPr>
          <w:color w:val="auto"/>
          <w:highlight w:val="none"/>
        </w:rPr>
        <w:t xml:space="preserve">                               开户银行： </w:t>
      </w:r>
    </w:p>
    <w:p>
      <w:pPr>
        <w:autoSpaceDE w:val="0"/>
        <w:autoSpaceDN w:val="0"/>
        <w:spacing w:line="560" w:lineRule="exact"/>
        <w:rPr>
          <w:color w:val="auto"/>
          <w:highlight w:val="none"/>
        </w:rPr>
      </w:pPr>
      <w:r>
        <w:rPr>
          <w:rFonts w:hint="eastAsia"/>
          <w:color w:val="auto"/>
          <w:highlight w:val="none"/>
        </w:rPr>
        <w:t>开户名称：</w:t>
      </w:r>
      <w:r>
        <w:rPr>
          <w:color w:val="auto"/>
          <w:highlight w:val="none"/>
        </w:rPr>
        <w:t xml:space="preserve">                               开户名称： </w:t>
      </w:r>
    </w:p>
    <w:p>
      <w:pPr>
        <w:autoSpaceDE w:val="0"/>
        <w:autoSpaceDN w:val="0"/>
        <w:spacing w:line="560" w:lineRule="exact"/>
        <w:rPr>
          <w:color w:val="auto"/>
          <w:highlight w:val="none"/>
        </w:rPr>
      </w:pPr>
      <w:r>
        <w:rPr>
          <w:rFonts w:hint="eastAsia"/>
          <w:color w:val="auto"/>
          <w:highlight w:val="none"/>
        </w:rPr>
        <w:t>开户账号：</w:t>
      </w:r>
      <w:r>
        <w:rPr>
          <w:color w:val="auto"/>
          <w:highlight w:val="none"/>
          <w:lang w:val="zh-CN"/>
        </w:rPr>
        <w:t xml:space="preserve">                               </w:t>
      </w:r>
      <w:r>
        <w:rPr>
          <w:rFonts w:hint="eastAsia"/>
          <w:color w:val="auto"/>
          <w:highlight w:val="none"/>
        </w:rPr>
        <w:t>开户账号：</w:t>
      </w:r>
    </w:p>
    <w:p>
      <w:pPr>
        <w:spacing w:line="560" w:lineRule="exact"/>
        <w:rPr>
          <w:b/>
          <w:color w:val="auto"/>
          <w:highlight w:val="none"/>
        </w:rPr>
      </w:pPr>
      <w:bookmarkStart w:id="393" w:name="_Toc331685783"/>
    </w:p>
    <w:p>
      <w:pPr>
        <w:pStyle w:val="5"/>
        <w:rPr>
          <w:color w:val="auto"/>
          <w:highlight w:val="none"/>
        </w:rPr>
      </w:pPr>
      <w:r>
        <w:rPr>
          <w:rFonts w:hint="eastAsia"/>
          <w:color w:val="auto"/>
          <w:highlight w:val="none"/>
        </w:rPr>
        <w:t>第二部分</w:t>
      </w:r>
      <w:r>
        <w:rPr>
          <w:color w:val="auto"/>
          <w:highlight w:val="none"/>
        </w:rPr>
        <w:t xml:space="preserve"> </w:t>
      </w:r>
      <w:r>
        <w:rPr>
          <w:rFonts w:hint="eastAsia"/>
          <w:color w:val="auto"/>
          <w:highlight w:val="none"/>
        </w:rPr>
        <w:t>合同一般条款</w:t>
      </w:r>
      <w:bookmarkEnd w:id="393"/>
    </w:p>
    <w:p>
      <w:pPr>
        <w:pStyle w:val="6"/>
        <w:rPr>
          <w:color w:val="auto"/>
          <w:highlight w:val="none"/>
        </w:rPr>
      </w:pPr>
      <w:bookmarkStart w:id="394" w:name="_Ref467379205"/>
      <w:bookmarkStart w:id="395" w:name="_Toc487900349"/>
      <w:bookmarkStart w:id="396" w:name="_Ref467379195"/>
      <w:bookmarkStart w:id="397" w:name="_Ref467379214"/>
      <w:bookmarkStart w:id="398" w:name="_Ref467379225"/>
      <w:bookmarkStart w:id="399" w:name="_Toc28763"/>
      <w:bookmarkStart w:id="400" w:name="_Ref467379109"/>
      <w:bookmarkStart w:id="401" w:name="_Ref467378463"/>
      <w:bookmarkStart w:id="402" w:name="_Ref467379101"/>
      <w:bookmarkStart w:id="403" w:name="_Ref467379094"/>
      <w:bookmarkStart w:id="404" w:name="_Toc259093669"/>
      <w:bookmarkStart w:id="405" w:name="_Ref467378499"/>
      <w:bookmarkStart w:id="406" w:name="_Toc279701240"/>
      <w:bookmarkStart w:id="407" w:name="_Toc19614"/>
      <w:bookmarkStart w:id="408" w:name="_Toc16917"/>
      <w:bookmarkStart w:id="409" w:name="_Ref467378404"/>
      <w:r>
        <w:rPr>
          <w:color w:val="auto"/>
          <w:highlight w:val="none"/>
        </w:rPr>
        <w:t xml:space="preserve">2.1 </w:t>
      </w:r>
      <w:r>
        <w:rPr>
          <w:rFonts w:hint="eastAsia"/>
          <w:color w:val="auto"/>
          <w:highlight w:val="none"/>
        </w:rPr>
        <w:t>定义</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560" w:lineRule="exact"/>
        <w:ind w:firstLine="480" w:firstLineChars="200"/>
        <w:rPr>
          <w:color w:val="auto"/>
          <w:highlight w:val="none"/>
        </w:rPr>
      </w:pPr>
      <w:r>
        <w:rPr>
          <w:rFonts w:hint="eastAsia"/>
          <w:color w:val="auto"/>
          <w:highlight w:val="none"/>
        </w:rPr>
        <w:t>本合同中的下列词语应按以下内容进行解释：</w:t>
      </w:r>
    </w:p>
    <w:p>
      <w:pPr>
        <w:spacing w:line="560" w:lineRule="exact"/>
        <w:ind w:firstLine="480" w:firstLineChars="200"/>
        <w:rPr>
          <w:color w:val="auto"/>
          <w:highlight w:val="none"/>
        </w:rPr>
      </w:pPr>
      <w:r>
        <w:rPr>
          <w:color w:val="auto"/>
          <w:highlight w:val="none"/>
        </w:rPr>
        <w:t xml:space="preserve">2.1.1 </w:t>
      </w:r>
      <w:r>
        <w:rPr>
          <w:rFonts w:hint="eastAsia"/>
          <w:color w:val="auto"/>
          <w:highlight w:val="none"/>
        </w:rPr>
        <w:t>“合同”系指采购人和中标供应商签订的载明双方当事人所达成的协议，并包括所有的附件、附录和构成合同的其他文件。</w:t>
      </w:r>
    </w:p>
    <w:p>
      <w:pPr>
        <w:spacing w:line="560" w:lineRule="exact"/>
        <w:ind w:firstLine="480" w:firstLineChars="200"/>
        <w:rPr>
          <w:color w:val="auto"/>
          <w:highlight w:val="none"/>
        </w:rPr>
      </w:pPr>
      <w:r>
        <w:rPr>
          <w:color w:val="auto"/>
          <w:highlight w:val="none"/>
        </w:rPr>
        <w:t xml:space="preserve">2.1.2 </w:t>
      </w:r>
      <w:r>
        <w:rPr>
          <w:rFonts w:hint="eastAsia"/>
          <w:color w:val="auto"/>
          <w:highlight w:val="none"/>
        </w:rPr>
        <w:t>“合同价”系指根据合同约定，中标供应商在完全履行合同义务后，采购人应支付给中标供应商的价格。</w:t>
      </w:r>
    </w:p>
    <w:p>
      <w:pPr>
        <w:spacing w:line="560" w:lineRule="exact"/>
        <w:ind w:firstLine="480" w:firstLineChars="200"/>
        <w:rPr>
          <w:color w:val="auto"/>
          <w:highlight w:val="none"/>
        </w:rPr>
      </w:pPr>
      <w:r>
        <w:rPr>
          <w:color w:val="auto"/>
          <w:highlight w:val="none"/>
        </w:rPr>
        <w:t xml:space="preserve">2.1.3 </w:t>
      </w:r>
      <w:r>
        <w:rPr>
          <w:rFonts w:hint="eastAsia"/>
          <w:color w:val="auto"/>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auto"/>
          <w:highlight w:val="none"/>
        </w:rPr>
      </w:pPr>
      <w:bookmarkStart w:id="410" w:name="_Ref467378840"/>
      <w:r>
        <w:rPr>
          <w:color w:val="auto"/>
          <w:highlight w:val="none"/>
        </w:rPr>
        <w:t xml:space="preserve">2.1.4 </w:t>
      </w:r>
      <w:r>
        <w:rPr>
          <w:rFonts w:hint="eastAsia"/>
          <w:color w:val="auto"/>
          <w:highlight w:val="none"/>
        </w:rPr>
        <w:t>“甲方”系指与中标供应商签署合同的采购人</w:t>
      </w:r>
      <w:bookmarkEnd w:id="410"/>
      <w:r>
        <w:rPr>
          <w:rFonts w:hint="eastAsia"/>
          <w:color w:val="auto"/>
          <w:highlight w:val="none"/>
        </w:rPr>
        <w:t>；采购人委托采购代理机构代表其与乙方签订合同的，采购人的授权委托书作为合同附件。</w:t>
      </w:r>
    </w:p>
    <w:p>
      <w:pPr>
        <w:spacing w:line="560" w:lineRule="exact"/>
        <w:ind w:firstLine="480" w:firstLineChars="200"/>
        <w:rPr>
          <w:color w:val="auto"/>
          <w:highlight w:val="none"/>
        </w:rPr>
      </w:pPr>
      <w:bookmarkStart w:id="411" w:name="_Ref467379400"/>
      <w:r>
        <w:rPr>
          <w:color w:val="auto"/>
          <w:highlight w:val="none"/>
        </w:rPr>
        <w:t xml:space="preserve">2.1.5 </w:t>
      </w:r>
      <w:r>
        <w:rPr>
          <w:rFonts w:hint="eastAsia"/>
          <w:color w:val="auto"/>
          <w:highlight w:val="none"/>
        </w:rPr>
        <w:t>“乙方”系指根据合同约定交付货物的中标供应商</w:t>
      </w:r>
      <w:bookmarkEnd w:id="411"/>
      <w:r>
        <w:rPr>
          <w:rFonts w:hint="eastAsia"/>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auto"/>
          <w:highlight w:val="none"/>
        </w:rPr>
      </w:pPr>
      <w:bookmarkStart w:id="412" w:name="_Ref467379436"/>
      <w:r>
        <w:rPr>
          <w:color w:val="auto"/>
          <w:highlight w:val="none"/>
        </w:rPr>
        <w:t xml:space="preserve">2.1.6 </w:t>
      </w:r>
      <w:r>
        <w:rPr>
          <w:rFonts w:hint="eastAsia"/>
          <w:color w:val="auto"/>
          <w:highlight w:val="none"/>
        </w:rPr>
        <w:t>“现场”系指合同约定货物将要运至或者安装的地点。</w:t>
      </w:r>
      <w:bookmarkEnd w:id="412"/>
    </w:p>
    <w:p>
      <w:pPr>
        <w:pStyle w:val="6"/>
        <w:rPr>
          <w:color w:val="auto"/>
          <w:highlight w:val="none"/>
        </w:rPr>
      </w:pPr>
      <w:bookmarkStart w:id="413" w:name="_Toc279701241"/>
      <w:bookmarkStart w:id="414" w:name="_Toc27635"/>
      <w:bookmarkStart w:id="415" w:name="_Toc13336"/>
      <w:bookmarkStart w:id="416" w:name="_Toc259093670"/>
      <w:bookmarkStart w:id="417" w:name="_Toc487900350"/>
      <w:bookmarkStart w:id="418" w:name="_Toc32504"/>
      <w:r>
        <w:rPr>
          <w:color w:val="auto"/>
          <w:highlight w:val="none"/>
        </w:rPr>
        <w:t xml:space="preserve">2.2 </w:t>
      </w:r>
      <w:r>
        <w:rPr>
          <w:rFonts w:hint="eastAsia"/>
          <w:color w:val="auto"/>
          <w:highlight w:val="none"/>
        </w:rPr>
        <w:t>技术规范</w:t>
      </w:r>
      <w:bookmarkEnd w:id="413"/>
      <w:bookmarkEnd w:id="414"/>
      <w:bookmarkEnd w:id="415"/>
      <w:bookmarkEnd w:id="416"/>
      <w:bookmarkEnd w:id="417"/>
      <w:bookmarkEnd w:id="418"/>
    </w:p>
    <w:p>
      <w:pPr>
        <w:spacing w:line="560" w:lineRule="exact"/>
        <w:ind w:firstLine="480" w:firstLineChars="200"/>
        <w:rPr>
          <w:color w:val="auto"/>
          <w:highlight w:val="none"/>
        </w:rPr>
      </w:pPr>
      <w:r>
        <w:rPr>
          <w:rFonts w:hint="eastAsia"/>
          <w:color w:val="auto"/>
          <w:highlight w:val="none"/>
        </w:rPr>
        <w:t>货物所应遵守的技术规范应与采购文件规定的技术规范和技术规范附件</w:t>
      </w:r>
      <w:r>
        <w:rPr>
          <w:color w:val="auto"/>
          <w:highlight w:val="none"/>
        </w:rPr>
        <w:t>(如果有的话)及其技术规范偏差表(如果被甲方接受的话)相一致；如果采购文件中没有技术规范的相应说明，那么应以国家有关部门最新颁布的相应标准和规范为准。</w:t>
      </w:r>
    </w:p>
    <w:p>
      <w:pPr>
        <w:pStyle w:val="6"/>
        <w:rPr>
          <w:color w:val="auto"/>
          <w:highlight w:val="none"/>
        </w:rPr>
      </w:pPr>
      <w:bookmarkStart w:id="419" w:name="_Toc259093671"/>
      <w:bookmarkStart w:id="420" w:name="_Toc487900351"/>
      <w:bookmarkStart w:id="421" w:name="_Toc279701242"/>
      <w:bookmarkStart w:id="422" w:name="_Toc27853"/>
      <w:bookmarkStart w:id="423" w:name="_Toc9829"/>
      <w:bookmarkStart w:id="424" w:name="_Toc31634"/>
      <w:r>
        <w:rPr>
          <w:color w:val="auto"/>
          <w:highlight w:val="none"/>
        </w:rPr>
        <w:t xml:space="preserve">2.3 </w:t>
      </w:r>
      <w:r>
        <w:rPr>
          <w:rFonts w:hint="eastAsia"/>
          <w:color w:val="auto"/>
          <w:highlight w:val="none"/>
        </w:rPr>
        <w:t>知识产权</w:t>
      </w:r>
      <w:bookmarkEnd w:id="419"/>
      <w:bookmarkEnd w:id="420"/>
      <w:bookmarkEnd w:id="421"/>
      <w:bookmarkEnd w:id="422"/>
      <w:bookmarkEnd w:id="423"/>
      <w:bookmarkEnd w:id="424"/>
    </w:p>
    <w:p>
      <w:pPr>
        <w:spacing w:line="560" w:lineRule="exact"/>
        <w:ind w:firstLine="480" w:firstLineChars="200"/>
        <w:rPr>
          <w:color w:val="auto"/>
          <w:highlight w:val="none"/>
        </w:rPr>
      </w:pPr>
      <w:r>
        <w:rPr>
          <w:color w:val="auto"/>
          <w:highlight w:val="none"/>
        </w:rPr>
        <w:t xml:space="preserve">2.3.1 </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color w:val="auto"/>
          <w:highlight w:val="none"/>
        </w:rPr>
      </w:pPr>
      <w:r>
        <w:rPr>
          <w:color w:val="auto"/>
          <w:highlight w:val="none"/>
        </w:rPr>
        <w:t>2.3.2具有知识产权的计算机软件等货物的知识产权归属，详见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25" w:name="_Toc11932"/>
      <w:bookmarkStart w:id="426" w:name="_Toc29149"/>
      <w:bookmarkStart w:id="427" w:name="_Toc4194"/>
      <w:r>
        <w:rPr>
          <w:color w:val="auto"/>
          <w:highlight w:val="none"/>
        </w:rPr>
        <w:t xml:space="preserve">2.4 </w:t>
      </w:r>
      <w:r>
        <w:rPr>
          <w:rFonts w:hint="eastAsia"/>
          <w:color w:val="auto"/>
          <w:highlight w:val="none"/>
        </w:rPr>
        <w:t>包装和装运</w:t>
      </w:r>
      <w:bookmarkEnd w:id="425"/>
      <w:bookmarkEnd w:id="426"/>
      <w:bookmarkEnd w:id="427"/>
    </w:p>
    <w:p>
      <w:pPr>
        <w:spacing w:line="560" w:lineRule="exact"/>
        <w:ind w:firstLine="480" w:firstLineChars="200"/>
        <w:rPr>
          <w:color w:val="auto"/>
          <w:highlight w:val="none"/>
        </w:rPr>
      </w:pPr>
      <w:r>
        <w:rPr>
          <w:color w:val="auto"/>
          <w:highlight w:val="none"/>
        </w:rPr>
        <w:t>2.4.1除</w:t>
      </w:r>
      <w:r>
        <w:rPr>
          <w:rFonts w:hint="eastAsia"/>
          <w:b/>
          <w:i/>
          <w:color w:val="auto"/>
          <w:highlight w:val="none"/>
          <w:u w:val="single"/>
        </w:rPr>
        <w:t>合同专用条款</w:t>
      </w:r>
      <w:r>
        <w:rPr>
          <w:rFonts w:hint="eastAsia"/>
          <w:color w:val="auto"/>
          <w:highlight w:val="none"/>
        </w:rPr>
        <w:t>另有约定外</w:t>
      </w:r>
      <w:r>
        <w:rPr>
          <w:color w:val="auto"/>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auto"/>
          <w:highlight w:val="none"/>
        </w:rPr>
      </w:pPr>
      <w:r>
        <w:rPr>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auto"/>
          <w:highlight w:val="none"/>
        </w:rPr>
      </w:pPr>
      <w:r>
        <w:rPr>
          <w:color w:val="auto"/>
          <w:highlight w:val="none"/>
        </w:rPr>
        <w:t xml:space="preserve">2.4.2 </w:t>
      </w:r>
      <w:r>
        <w:rPr>
          <w:rFonts w:hint="eastAsia"/>
          <w:color w:val="auto"/>
          <w:highlight w:val="none"/>
        </w:rPr>
        <w:t>装运货物的要求和通知，详见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28" w:name="_Toc259093674"/>
      <w:bookmarkStart w:id="429" w:name="_Ref467379527"/>
      <w:bookmarkStart w:id="430" w:name="_Ref467378541"/>
      <w:bookmarkStart w:id="431" w:name="_Ref467379536"/>
      <w:bookmarkStart w:id="432" w:name="_Toc487900354"/>
      <w:bookmarkStart w:id="433" w:name="_Ref467378591"/>
      <w:bookmarkStart w:id="434" w:name="_Toc279701245"/>
      <w:bookmarkStart w:id="435" w:name="_Ref467379542"/>
      <w:bookmarkStart w:id="436" w:name="_Toc26182"/>
      <w:bookmarkStart w:id="437" w:name="_Toc30272"/>
      <w:bookmarkStart w:id="438" w:name="_Toc19074"/>
      <w:r>
        <w:rPr>
          <w:color w:val="auto"/>
          <w:highlight w:val="none"/>
        </w:rPr>
        <w:t>2.</w:t>
      </w:r>
      <w:bookmarkEnd w:id="428"/>
      <w:bookmarkEnd w:id="429"/>
      <w:bookmarkEnd w:id="430"/>
      <w:bookmarkEnd w:id="431"/>
      <w:bookmarkEnd w:id="432"/>
      <w:bookmarkEnd w:id="433"/>
      <w:bookmarkEnd w:id="434"/>
      <w:bookmarkEnd w:id="435"/>
      <w:r>
        <w:rPr>
          <w:color w:val="auto"/>
          <w:highlight w:val="none"/>
        </w:rPr>
        <w:t xml:space="preserve">5 </w:t>
      </w:r>
      <w:r>
        <w:rPr>
          <w:rFonts w:hint="eastAsia"/>
          <w:color w:val="auto"/>
          <w:highlight w:val="none"/>
        </w:rPr>
        <w:t>履约检查和问题反馈</w:t>
      </w:r>
      <w:bookmarkEnd w:id="436"/>
      <w:bookmarkEnd w:id="437"/>
      <w:bookmarkEnd w:id="438"/>
    </w:p>
    <w:p>
      <w:pPr>
        <w:spacing w:line="560" w:lineRule="exact"/>
        <w:ind w:firstLine="480" w:firstLineChars="200"/>
        <w:rPr>
          <w:color w:val="auto"/>
          <w:highlight w:val="none"/>
        </w:rPr>
      </w:pPr>
      <w:bookmarkStart w:id="439" w:name="_Ref467379657"/>
      <w:r>
        <w:rPr>
          <w:color w:val="auto"/>
          <w:highlight w:val="none"/>
        </w:rPr>
        <w:t>2.5.1</w:t>
      </w:r>
      <w:bookmarkEnd w:id="439"/>
      <w:bookmarkStart w:id="440" w:name="_Toc186431854"/>
      <w:bookmarkStart w:id="441" w:name="_Ref467379807"/>
      <w:bookmarkStart w:id="442" w:name="_Toc487900357"/>
      <w:bookmarkStart w:id="443" w:name="_Toc279701247"/>
      <w:bookmarkStart w:id="444" w:name="_Ref467379793"/>
      <w:bookmarkStart w:id="445" w:name="_Toc259093676"/>
      <w:r>
        <w:rPr>
          <w:rFonts w:hint="eastAsia"/>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auto"/>
          <w:highlight w:val="none"/>
        </w:rPr>
      </w:pPr>
      <w:r>
        <w:rPr>
          <w:color w:val="auto"/>
          <w:highlight w:val="none"/>
        </w:rPr>
        <w:t xml:space="preserve">2.5.2 </w:t>
      </w:r>
      <w:r>
        <w:rPr>
          <w:rFonts w:hint="eastAsia"/>
          <w:color w:val="auto"/>
          <w:highlight w:val="none"/>
        </w:rPr>
        <w:t>合同履行期间，甲方有权将履行过程中出现的问题反馈给乙方，双方当事人应以书面形式约定需要完善和改进的内容</w:t>
      </w:r>
      <w:bookmarkEnd w:id="440"/>
      <w:bookmarkStart w:id="446" w:name="_Toc186431855"/>
      <w:r>
        <w:rPr>
          <w:rFonts w:hint="eastAsia"/>
          <w:color w:val="auto"/>
          <w:highlight w:val="none"/>
        </w:rPr>
        <w:t>。</w:t>
      </w:r>
    </w:p>
    <w:bookmarkEnd w:id="441"/>
    <w:bookmarkEnd w:id="442"/>
    <w:bookmarkEnd w:id="443"/>
    <w:bookmarkEnd w:id="444"/>
    <w:bookmarkEnd w:id="445"/>
    <w:bookmarkEnd w:id="446"/>
    <w:p>
      <w:pPr>
        <w:pStyle w:val="6"/>
        <w:rPr>
          <w:color w:val="auto"/>
          <w:highlight w:val="none"/>
        </w:rPr>
      </w:pPr>
      <w:bookmarkStart w:id="447" w:name="_Toc279701248"/>
      <w:bookmarkStart w:id="448" w:name="_Ref467379852"/>
      <w:bookmarkStart w:id="449" w:name="_Ref467379923"/>
      <w:bookmarkStart w:id="450" w:name="_Ref467379863"/>
      <w:bookmarkStart w:id="451" w:name="_Toc259093677"/>
      <w:bookmarkStart w:id="452" w:name="_Toc487900358"/>
      <w:bookmarkStart w:id="453" w:name="_Toc3225"/>
      <w:bookmarkStart w:id="454" w:name="_Toc16110"/>
      <w:bookmarkStart w:id="455" w:name="_Toc774"/>
      <w:r>
        <w:rPr>
          <w:color w:val="auto"/>
          <w:highlight w:val="none"/>
        </w:rPr>
        <w:t xml:space="preserve">2.6 </w:t>
      </w:r>
      <w:r>
        <w:rPr>
          <w:rFonts w:hint="eastAsia"/>
          <w:color w:val="auto"/>
          <w:highlight w:val="none"/>
        </w:rPr>
        <w:t>技术资料</w:t>
      </w:r>
      <w:bookmarkEnd w:id="447"/>
      <w:bookmarkEnd w:id="448"/>
      <w:bookmarkEnd w:id="449"/>
      <w:bookmarkEnd w:id="450"/>
      <w:bookmarkEnd w:id="451"/>
      <w:bookmarkEnd w:id="452"/>
      <w:r>
        <w:rPr>
          <w:rFonts w:hint="eastAsia"/>
          <w:color w:val="auto"/>
          <w:highlight w:val="none"/>
        </w:rPr>
        <w:t>和保密义务</w:t>
      </w:r>
      <w:bookmarkEnd w:id="453"/>
      <w:bookmarkEnd w:id="454"/>
      <w:bookmarkEnd w:id="455"/>
    </w:p>
    <w:p>
      <w:pPr>
        <w:spacing w:line="560" w:lineRule="exact"/>
        <w:ind w:firstLine="480" w:firstLineChars="200"/>
        <w:rPr>
          <w:color w:val="auto"/>
          <w:highlight w:val="none"/>
        </w:rPr>
      </w:pPr>
      <w:r>
        <w:rPr>
          <w:color w:val="auto"/>
          <w:highlight w:val="none"/>
        </w:rPr>
        <w:t xml:space="preserve">2.6.1 </w:t>
      </w:r>
      <w:r>
        <w:rPr>
          <w:rFonts w:hint="eastAsia"/>
          <w:color w:val="auto"/>
          <w:highlight w:val="none"/>
        </w:rPr>
        <w:t>乙方有权依据合同约定和项目需要，向甲方了解有关情况，调阅有关资料等，甲方应予积极配合；</w:t>
      </w:r>
    </w:p>
    <w:p>
      <w:pPr>
        <w:spacing w:line="560" w:lineRule="exact"/>
        <w:ind w:firstLine="480" w:firstLineChars="200"/>
        <w:rPr>
          <w:color w:val="auto"/>
          <w:highlight w:val="none"/>
        </w:rPr>
      </w:pPr>
      <w:r>
        <w:rPr>
          <w:color w:val="auto"/>
          <w:highlight w:val="none"/>
        </w:rPr>
        <w:t xml:space="preserve">2.6.2 </w:t>
      </w:r>
      <w:r>
        <w:rPr>
          <w:rFonts w:hint="eastAsia"/>
          <w:color w:val="auto"/>
          <w:highlight w:val="none"/>
        </w:rPr>
        <w:t>乙方有义务妥善保管和保护由甲方提供的前款信息和资料等；</w:t>
      </w:r>
    </w:p>
    <w:p>
      <w:pPr>
        <w:spacing w:line="560" w:lineRule="exact"/>
        <w:ind w:firstLine="480" w:firstLineChars="200"/>
        <w:rPr>
          <w:color w:val="auto"/>
          <w:highlight w:val="none"/>
        </w:rPr>
      </w:pPr>
      <w:r>
        <w:rPr>
          <w:color w:val="auto"/>
          <w:highlight w:val="none"/>
        </w:rPr>
        <w:t xml:space="preserve">2.6.3 </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rPr>
          <w:color w:val="auto"/>
          <w:highlight w:val="none"/>
        </w:rPr>
      </w:pPr>
      <w:bookmarkStart w:id="456" w:name="_Toc7860"/>
      <w:r>
        <w:rPr>
          <w:color w:val="auto"/>
          <w:highlight w:val="none"/>
        </w:rPr>
        <w:t xml:space="preserve">2.7 </w:t>
      </w:r>
      <w:r>
        <w:rPr>
          <w:rFonts w:hint="eastAsia"/>
          <w:color w:val="auto"/>
          <w:highlight w:val="none"/>
        </w:rPr>
        <w:t>质量保证</w:t>
      </w:r>
      <w:bookmarkEnd w:id="456"/>
    </w:p>
    <w:p>
      <w:pPr>
        <w:spacing w:line="560" w:lineRule="exact"/>
        <w:ind w:firstLine="480" w:firstLineChars="200"/>
        <w:rPr>
          <w:color w:val="auto"/>
          <w:highlight w:val="none"/>
        </w:rPr>
      </w:pPr>
      <w:r>
        <w:rPr>
          <w:color w:val="auto"/>
          <w:highlight w:val="none"/>
        </w:rPr>
        <w:t xml:space="preserve">2.7.1 </w:t>
      </w:r>
      <w:r>
        <w:rPr>
          <w:rFonts w:hint="eastAsia"/>
          <w:color w:val="auto"/>
          <w:highlight w:val="none"/>
        </w:rPr>
        <w:t>乙方应建立和完善履行合同的内部质量保证体系，并提供相关内部规章制度给甲方，以便甲方进行监督检查；</w:t>
      </w:r>
    </w:p>
    <w:p>
      <w:pPr>
        <w:spacing w:line="560" w:lineRule="exact"/>
        <w:ind w:firstLine="480" w:firstLineChars="200"/>
        <w:rPr>
          <w:color w:val="auto"/>
          <w:highlight w:val="none"/>
        </w:rPr>
      </w:pPr>
      <w:r>
        <w:rPr>
          <w:color w:val="auto"/>
          <w:highlight w:val="none"/>
        </w:rPr>
        <w:t xml:space="preserve">2.7.2 </w:t>
      </w:r>
      <w:r>
        <w:rPr>
          <w:rFonts w:hint="eastAsia"/>
          <w:color w:val="auto"/>
          <w:highlight w:val="none"/>
        </w:rPr>
        <w:t>乙方应保证履行合同的人员数量和素质、软件和硬件设备的配置、场地、环境和设施等满足全面履行合同的要求，并应接受甲方的监督检查。</w:t>
      </w:r>
    </w:p>
    <w:p>
      <w:pPr>
        <w:pStyle w:val="6"/>
        <w:rPr>
          <w:color w:val="auto"/>
          <w:highlight w:val="none"/>
        </w:rPr>
      </w:pPr>
      <w:bookmarkStart w:id="457" w:name="_Toc17244"/>
      <w:bookmarkStart w:id="458" w:name="_Toc259093681"/>
      <w:bookmarkStart w:id="459" w:name="_Toc487900362"/>
      <w:bookmarkStart w:id="460" w:name="_Toc279701252"/>
      <w:r>
        <w:rPr>
          <w:color w:val="auto"/>
          <w:highlight w:val="none"/>
        </w:rPr>
        <w:t xml:space="preserve">2.8 </w:t>
      </w:r>
      <w:r>
        <w:rPr>
          <w:rFonts w:hint="eastAsia"/>
          <w:color w:val="auto"/>
          <w:highlight w:val="none"/>
        </w:rPr>
        <w:t>货物的风险负担</w:t>
      </w:r>
      <w:bookmarkEnd w:id="457"/>
    </w:p>
    <w:p>
      <w:pPr>
        <w:spacing w:line="560" w:lineRule="exact"/>
        <w:ind w:firstLine="480" w:firstLineChars="200"/>
        <w:rPr>
          <w:b/>
          <w:color w:val="auto"/>
          <w:highlight w:val="none"/>
        </w:rPr>
      </w:pPr>
      <w:r>
        <w:rPr>
          <w:rFonts w:hint="eastAsia"/>
          <w:color w:val="auto"/>
          <w:highlight w:val="none"/>
        </w:rPr>
        <w:t>货物或者在途货物或者交付给第一承运人后的货物毁损、灭失的风险负担详见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61" w:name="_Toc14055"/>
      <w:r>
        <w:rPr>
          <w:color w:val="auto"/>
          <w:highlight w:val="none"/>
        </w:rPr>
        <w:t xml:space="preserve">2.9 </w:t>
      </w:r>
      <w:r>
        <w:rPr>
          <w:rFonts w:hint="eastAsia"/>
          <w:color w:val="auto"/>
          <w:highlight w:val="none"/>
        </w:rPr>
        <w:t>延迟交货</w:t>
      </w:r>
      <w:bookmarkEnd w:id="458"/>
      <w:bookmarkEnd w:id="459"/>
      <w:bookmarkEnd w:id="460"/>
      <w:bookmarkEnd w:id="461"/>
    </w:p>
    <w:p>
      <w:pPr>
        <w:spacing w:line="560" w:lineRule="exact"/>
        <w:ind w:firstLine="480" w:firstLineChars="200"/>
        <w:rPr>
          <w:color w:val="auto"/>
          <w:highlight w:val="none"/>
        </w:rPr>
      </w:pPr>
      <w:r>
        <w:rPr>
          <w:rFonts w:hint="eastAsia"/>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rPr>
          <w:color w:val="auto"/>
          <w:highlight w:val="none"/>
        </w:rPr>
      </w:pPr>
      <w:bookmarkStart w:id="462" w:name="_Toc7502"/>
      <w:bookmarkStart w:id="463" w:name="_Toc259093683"/>
      <w:bookmarkStart w:id="464" w:name="_Toc279701254"/>
      <w:bookmarkStart w:id="465" w:name="_Ref467378121"/>
      <w:bookmarkStart w:id="466" w:name="_Toc487900364"/>
      <w:r>
        <w:rPr>
          <w:color w:val="auto"/>
          <w:highlight w:val="none"/>
        </w:rPr>
        <w:t xml:space="preserve">2.10 </w:t>
      </w:r>
      <w:r>
        <w:rPr>
          <w:rFonts w:hint="eastAsia"/>
          <w:color w:val="auto"/>
          <w:highlight w:val="none"/>
        </w:rPr>
        <w:t>合同变更</w:t>
      </w:r>
      <w:bookmarkEnd w:id="462"/>
    </w:p>
    <w:p>
      <w:pPr>
        <w:spacing w:line="560" w:lineRule="exact"/>
        <w:ind w:firstLine="480" w:firstLineChars="200"/>
        <w:rPr>
          <w:color w:val="auto"/>
          <w:highlight w:val="none"/>
        </w:rPr>
      </w:pPr>
      <w:r>
        <w:rPr>
          <w:rFonts w:hint="eastAsia"/>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7" w:name="_Toc259093688"/>
      <w:bookmarkStart w:id="468" w:name="_Toc279701259"/>
      <w:bookmarkStart w:id="469" w:name="_Toc487900369"/>
    </w:p>
    <w:p>
      <w:pPr>
        <w:pStyle w:val="6"/>
        <w:rPr>
          <w:color w:val="auto"/>
          <w:highlight w:val="none"/>
        </w:rPr>
      </w:pPr>
      <w:bookmarkStart w:id="470" w:name="_Toc10366"/>
      <w:bookmarkStart w:id="471" w:name="_Toc22955"/>
      <w:bookmarkStart w:id="472" w:name="_Toc15237"/>
      <w:r>
        <w:rPr>
          <w:color w:val="auto"/>
          <w:highlight w:val="none"/>
        </w:rPr>
        <w:t xml:space="preserve">2.11 </w:t>
      </w:r>
      <w:r>
        <w:rPr>
          <w:rFonts w:hint="eastAsia"/>
          <w:color w:val="auto"/>
          <w:highlight w:val="none"/>
        </w:rPr>
        <w:t>合同转让</w:t>
      </w:r>
      <w:bookmarkEnd w:id="467"/>
      <w:bookmarkEnd w:id="468"/>
      <w:bookmarkEnd w:id="469"/>
      <w:r>
        <w:rPr>
          <w:rFonts w:hint="eastAsia"/>
          <w:color w:val="auto"/>
          <w:highlight w:val="none"/>
        </w:rPr>
        <w:t>和分包</w:t>
      </w:r>
      <w:bookmarkEnd w:id="470"/>
      <w:bookmarkEnd w:id="471"/>
      <w:bookmarkEnd w:id="472"/>
    </w:p>
    <w:p>
      <w:pPr>
        <w:spacing w:line="560" w:lineRule="exact"/>
        <w:ind w:firstLine="480" w:firstLineChars="200"/>
        <w:rPr>
          <w:color w:val="auto"/>
          <w:highlight w:val="none"/>
        </w:rPr>
      </w:pPr>
      <w:r>
        <w:rPr>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auto"/>
          <w:highlight w:val="none"/>
        </w:rPr>
      </w:pPr>
      <w:r>
        <w:rPr>
          <w:color w:val="auto"/>
          <w:highlight w:val="none"/>
        </w:rPr>
        <w:t>2.11.2乙方采取分包方式履行合同的，甲方可直接向分包供应商支付款项。</w:t>
      </w:r>
    </w:p>
    <w:p>
      <w:pPr>
        <w:pStyle w:val="6"/>
        <w:rPr>
          <w:color w:val="auto"/>
          <w:highlight w:val="none"/>
        </w:rPr>
      </w:pPr>
      <w:bookmarkStart w:id="473" w:name="_Toc13566"/>
      <w:bookmarkStart w:id="474" w:name="_Toc14066"/>
      <w:bookmarkStart w:id="475" w:name="_Toc16508"/>
      <w:r>
        <w:rPr>
          <w:color w:val="auto"/>
          <w:highlight w:val="none"/>
        </w:rPr>
        <w:t xml:space="preserve">2.12 </w:t>
      </w:r>
      <w:r>
        <w:rPr>
          <w:rFonts w:hint="eastAsia"/>
          <w:color w:val="auto"/>
          <w:highlight w:val="none"/>
        </w:rPr>
        <w:t>不可抗力</w:t>
      </w:r>
      <w:bookmarkEnd w:id="473"/>
      <w:bookmarkEnd w:id="474"/>
      <w:bookmarkEnd w:id="475"/>
    </w:p>
    <w:p>
      <w:pPr>
        <w:spacing w:line="560" w:lineRule="exact"/>
        <w:ind w:firstLine="480" w:firstLineChars="200"/>
        <w:rPr>
          <w:color w:val="auto"/>
          <w:highlight w:val="none"/>
        </w:rPr>
      </w:pPr>
      <w:r>
        <w:rPr>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auto"/>
          <w:highlight w:val="none"/>
        </w:rPr>
      </w:pPr>
      <w:r>
        <w:rPr>
          <w:color w:val="auto"/>
          <w:highlight w:val="none"/>
        </w:rPr>
        <w:t xml:space="preserve">2.12.2 </w:t>
      </w:r>
      <w:r>
        <w:rPr>
          <w:rFonts w:hint="eastAsia"/>
          <w:color w:val="auto"/>
          <w:highlight w:val="none"/>
        </w:rPr>
        <w:t>因不可抗力致使不能实现合同目的的，当事人可以解除合同；</w:t>
      </w:r>
    </w:p>
    <w:p>
      <w:pPr>
        <w:spacing w:line="560" w:lineRule="exact"/>
        <w:ind w:firstLine="480" w:firstLineChars="200"/>
        <w:rPr>
          <w:color w:val="auto"/>
          <w:highlight w:val="none"/>
        </w:rPr>
      </w:pPr>
      <w:r>
        <w:rPr>
          <w:color w:val="auto"/>
          <w:highlight w:val="none"/>
        </w:rPr>
        <w:t xml:space="preserve">2.12.3 </w:t>
      </w:r>
      <w:r>
        <w:rPr>
          <w:rFonts w:hint="eastAsia"/>
          <w:color w:val="auto"/>
          <w:highlight w:val="none"/>
        </w:rPr>
        <w:t>因不可抗力致使合同有变更必要的，双方当事人应在</w:t>
      </w:r>
      <w:r>
        <w:rPr>
          <w:rFonts w:hint="eastAsia"/>
          <w:b/>
          <w:i/>
          <w:color w:val="auto"/>
          <w:highlight w:val="none"/>
          <w:u w:val="single"/>
        </w:rPr>
        <w:t>合同专用条款</w:t>
      </w:r>
      <w:r>
        <w:rPr>
          <w:rFonts w:hint="eastAsia"/>
          <w:color w:val="auto"/>
          <w:highlight w:val="none"/>
        </w:rPr>
        <w:t>约定时间内以书面形式变更合同；</w:t>
      </w:r>
    </w:p>
    <w:p>
      <w:pPr>
        <w:spacing w:line="560" w:lineRule="exact"/>
        <w:ind w:firstLine="480" w:firstLineChars="200"/>
        <w:rPr>
          <w:color w:val="auto"/>
          <w:highlight w:val="none"/>
        </w:rPr>
      </w:pPr>
      <w:r>
        <w:rPr>
          <w:color w:val="auto"/>
          <w:highlight w:val="none"/>
        </w:rPr>
        <w:t>2.12.4受不可抗力影响的一方在不可抗力发生后，应在</w:t>
      </w:r>
      <w:r>
        <w:rPr>
          <w:rFonts w:hint="eastAsia"/>
          <w:b/>
          <w:i/>
          <w:color w:val="auto"/>
          <w:highlight w:val="none"/>
          <w:u w:val="single"/>
        </w:rPr>
        <w:t>合同专用条款</w:t>
      </w:r>
      <w:r>
        <w:rPr>
          <w:rFonts w:hint="eastAsia"/>
          <w:color w:val="auto"/>
          <w:highlight w:val="none"/>
        </w:rPr>
        <w:t>约定时间内以书面形式通知对方当事人，并在</w:t>
      </w:r>
      <w:r>
        <w:rPr>
          <w:rFonts w:hint="eastAsia"/>
          <w:b/>
          <w:i/>
          <w:color w:val="auto"/>
          <w:highlight w:val="none"/>
          <w:u w:val="single"/>
        </w:rPr>
        <w:t>合同专用条款</w:t>
      </w:r>
      <w:r>
        <w:rPr>
          <w:rFonts w:hint="eastAsia"/>
          <w:color w:val="auto"/>
          <w:highlight w:val="none"/>
        </w:rPr>
        <w:t>约定时间内，将有关部门出具的证明文件送达对方当事人。</w:t>
      </w:r>
    </w:p>
    <w:p>
      <w:pPr>
        <w:pStyle w:val="6"/>
        <w:rPr>
          <w:color w:val="auto"/>
          <w:highlight w:val="none"/>
        </w:rPr>
      </w:pPr>
      <w:bookmarkStart w:id="476" w:name="_Toc689"/>
      <w:bookmarkStart w:id="477" w:name="_Toc487900365"/>
      <w:bookmarkStart w:id="478" w:name="_Toc30676"/>
      <w:bookmarkStart w:id="479" w:name="_Toc279701255"/>
      <w:bookmarkStart w:id="480" w:name="_Toc259093684"/>
      <w:bookmarkStart w:id="481" w:name="_Toc6969"/>
      <w:r>
        <w:rPr>
          <w:color w:val="auto"/>
          <w:highlight w:val="none"/>
        </w:rPr>
        <w:t xml:space="preserve">2.13 </w:t>
      </w:r>
      <w:r>
        <w:rPr>
          <w:rFonts w:hint="eastAsia"/>
          <w:color w:val="auto"/>
          <w:highlight w:val="none"/>
        </w:rPr>
        <w:t>税费</w:t>
      </w:r>
      <w:bookmarkEnd w:id="476"/>
      <w:bookmarkEnd w:id="477"/>
      <w:bookmarkEnd w:id="478"/>
      <w:bookmarkEnd w:id="479"/>
      <w:bookmarkEnd w:id="480"/>
      <w:bookmarkEnd w:id="481"/>
    </w:p>
    <w:p>
      <w:pPr>
        <w:spacing w:line="560" w:lineRule="exact"/>
        <w:ind w:firstLine="480" w:firstLineChars="200"/>
        <w:rPr>
          <w:color w:val="auto"/>
          <w:highlight w:val="none"/>
        </w:rPr>
      </w:pPr>
      <w:r>
        <w:rPr>
          <w:rFonts w:hint="eastAsia"/>
          <w:color w:val="auto"/>
          <w:highlight w:val="none"/>
        </w:rPr>
        <w:t>与合同有关的一切税费，均按照中华人民共和国法律的相关规定。</w:t>
      </w:r>
    </w:p>
    <w:p>
      <w:pPr>
        <w:pStyle w:val="6"/>
        <w:rPr>
          <w:color w:val="auto"/>
          <w:highlight w:val="none"/>
        </w:rPr>
      </w:pPr>
      <w:bookmarkStart w:id="482" w:name="_Toc7102"/>
      <w:bookmarkStart w:id="483" w:name="_Toc487900368"/>
      <w:bookmarkStart w:id="484" w:name="_Toc259093687"/>
      <w:bookmarkStart w:id="485" w:name="_Toc16959"/>
      <w:bookmarkStart w:id="486" w:name="_Toc279701258"/>
      <w:bookmarkStart w:id="487" w:name="_Toc8298"/>
      <w:r>
        <w:rPr>
          <w:color w:val="auto"/>
          <w:highlight w:val="none"/>
        </w:rPr>
        <w:t>2.14乙方破产</w:t>
      </w:r>
      <w:bookmarkEnd w:id="482"/>
      <w:bookmarkEnd w:id="483"/>
      <w:bookmarkEnd w:id="484"/>
      <w:bookmarkEnd w:id="485"/>
      <w:bookmarkEnd w:id="486"/>
      <w:bookmarkEnd w:id="487"/>
    </w:p>
    <w:p>
      <w:pPr>
        <w:spacing w:line="560" w:lineRule="exact"/>
        <w:ind w:firstLine="480" w:firstLineChars="200"/>
        <w:rPr>
          <w:color w:val="auto"/>
          <w:highlight w:val="none"/>
        </w:rPr>
      </w:pPr>
      <w:r>
        <w:rPr>
          <w:rFonts w:hint="eastAsia"/>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rPr>
          <w:color w:val="auto"/>
          <w:highlight w:val="none"/>
        </w:rPr>
      </w:pPr>
      <w:bookmarkStart w:id="488" w:name="_Toc29333"/>
      <w:bookmarkStart w:id="489" w:name="_Toc15387"/>
      <w:bookmarkStart w:id="490" w:name="_Toc6134"/>
      <w:r>
        <w:rPr>
          <w:color w:val="auto"/>
          <w:highlight w:val="none"/>
        </w:rPr>
        <w:t xml:space="preserve">2.15 </w:t>
      </w:r>
      <w:r>
        <w:rPr>
          <w:rFonts w:hint="eastAsia"/>
          <w:color w:val="auto"/>
          <w:highlight w:val="none"/>
        </w:rPr>
        <w:t>合同中止、终止</w:t>
      </w:r>
      <w:bookmarkEnd w:id="488"/>
      <w:bookmarkEnd w:id="489"/>
      <w:bookmarkEnd w:id="490"/>
    </w:p>
    <w:p>
      <w:pPr>
        <w:spacing w:line="560" w:lineRule="exact"/>
        <w:ind w:firstLine="480" w:firstLineChars="200"/>
        <w:rPr>
          <w:color w:val="auto"/>
          <w:highlight w:val="none"/>
        </w:rPr>
      </w:pPr>
      <w:r>
        <w:rPr>
          <w:color w:val="auto"/>
          <w:highlight w:val="none"/>
        </w:rPr>
        <w:t xml:space="preserve">2.15.1 </w:t>
      </w:r>
      <w:r>
        <w:rPr>
          <w:rFonts w:hint="eastAsia"/>
          <w:color w:val="auto"/>
          <w:highlight w:val="none"/>
        </w:rPr>
        <w:t>双方当事人不得擅自中止或者终止合同；</w:t>
      </w:r>
    </w:p>
    <w:p>
      <w:pPr>
        <w:spacing w:line="560" w:lineRule="exact"/>
        <w:ind w:firstLine="480" w:firstLineChars="200"/>
        <w:rPr>
          <w:color w:val="auto"/>
          <w:highlight w:val="none"/>
        </w:rPr>
      </w:pPr>
      <w:r>
        <w:rPr>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6"/>
        <w:rPr>
          <w:color w:val="auto"/>
          <w:highlight w:val="none"/>
        </w:rPr>
      </w:pPr>
      <w:bookmarkStart w:id="491" w:name="_Toc14563"/>
      <w:bookmarkStart w:id="492" w:name="_Toc6596"/>
      <w:bookmarkStart w:id="493" w:name="_Toc1125"/>
      <w:r>
        <w:rPr>
          <w:color w:val="auto"/>
          <w:highlight w:val="none"/>
        </w:rPr>
        <w:t>2.16检验和验收</w:t>
      </w:r>
      <w:bookmarkEnd w:id="491"/>
      <w:bookmarkEnd w:id="492"/>
      <w:bookmarkEnd w:id="493"/>
    </w:p>
    <w:p>
      <w:pPr>
        <w:tabs>
          <w:tab w:val="left" w:pos="360"/>
          <w:tab w:val="left" w:pos="540"/>
          <w:tab w:val="left" w:pos="1080"/>
        </w:tabs>
        <w:spacing w:line="560" w:lineRule="exact"/>
        <w:ind w:firstLine="480" w:firstLineChars="200"/>
        <w:rPr>
          <w:color w:val="auto"/>
          <w:highlight w:val="none"/>
        </w:rPr>
      </w:pPr>
      <w:r>
        <w:rPr>
          <w:color w:val="auto"/>
          <w:highlight w:val="none"/>
        </w:rPr>
        <w:t>2.16.1货物交付前，乙方应对货物的质量、数量等方面进行详细、全面的检验，并向甲方出具证明货物符合合同约定的文件；货物交付时，乙方在</w:t>
      </w:r>
      <w:r>
        <w:rPr>
          <w:rFonts w:hint="eastAsia"/>
          <w:b/>
          <w:i/>
          <w:color w:val="auto"/>
          <w:highlight w:val="none"/>
          <w:u w:val="single"/>
        </w:rPr>
        <w:t>合同专用条款</w:t>
      </w:r>
      <w:r>
        <w:rPr>
          <w:rFonts w:hint="eastAsia"/>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 xml:space="preserve">2.16.3 </w:t>
      </w:r>
      <w:r>
        <w:rPr>
          <w:rFonts w:hint="eastAsia"/>
          <w:color w:val="auto"/>
          <w:highlight w:val="none"/>
        </w:rPr>
        <w:t>检验和验收标准、程序等具体内容以及前述验收书的效力详见</w:t>
      </w:r>
      <w:r>
        <w:rPr>
          <w:rFonts w:hint="eastAsia"/>
          <w:b/>
          <w:i/>
          <w:color w:val="auto"/>
          <w:highlight w:val="none"/>
          <w:u w:val="single"/>
        </w:rPr>
        <w:t>合同专用条款</w:t>
      </w:r>
      <w:r>
        <w:rPr>
          <w:rFonts w:hint="eastAsia"/>
          <w:i/>
          <w:color w:val="auto"/>
          <w:highlight w:val="none"/>
        </w:rPr>
        <w:t>。</w:t>
      </w:r>
    </w:p>
    <w:bookmarkEnd w:id="463"/>
    <w:bookmarkEnd w:id="464"/>
    <w:bookmarkEnd w:id="465"/>
    <w:bookmarkEnd w:id="466"/>
    <w:p>
      <w:pPr>
        <w:pStyle w:val="6"/>
        <w:rPr>
          <w:color w:val="auto"/>
          <w:highlight w:val="none"/>
        </w:rPr>
      </w:pPr>
      <w:bookmarkStart w:id="494" w:name="_Toc279701261"/>
      <w:bookmarkStart w:id="495" w:name="_Toc487900371"/>
      <w:bookmarkStart w:id="496" w:name="_Toc259093690"/>
      <w:bookmarkStart w:id="497" w:name="_Toc19604"/>
      <w:bookmarkStart w:id="498" w:name="_Toc25182"/>
      <w:bookmarkStart w:id="499" w:name="_Toc11284"/>
      <w:r>
        <w:rPr>
          <w:color w:val="auto"/>
          <w:highlight w:val="none"/>
        </w:rPr>
        <w:t xml:space="preserve">2.17 </w:t>
      </w:r>
      <w:r>
        <w:rPr>
          <w:rFonts w:hint="eastAsia"/>
          <w:color w:val="auto"/>
          <w:highlight w:val="none"/>
        </w:rPr>
        <w:t>通知</w:t>
      </w:r>
      <w:bookmarkEnd w:id="494"/>
      <w:bookmarkEnd w:id="495"/>
      <w:bookmarkEnd w:id="496"/>
      <w:r>
        <w:rPr>
          <w:rFonts w:hint="eastAsia"/>
          <w:color w:val="auto"/>
          <w:highlight w:val="none"/>
        </w:rPr>
        <w:t>和送达</w:t>
      </w:r>
      <w:bookmarkEnd w:id="497"/>
      <w:bookmarkEnd w:id="498"/>
      <w:bookmarkEnd w:id="499"/>
    </w:p>
    <w:p>
      <w:pPr>
        <w:spacing w:line="560" w:lineRule="exact"/>
        <w:ind w:firstLine="480" w:firstLineChars="200"/>
        <w:rPr>
          <w:color w:val="auto"/>
          <w:highlight w:val="none"/>
        </w:rPr>
      </w:pPr>
      <w:bookmarkStart w:id="500" w:name="_Toc3135"/>
      <w:bookmarkStart w:id="501" w:name="_Toc6698"/>
      <w:bookmarkStart w:id="502" w:name="_Toc279701262"/>
      <w:bookmarkStart w:id="503" w:name="_Toc487900372"/>
      <w:bookmarkStart w:id="504" w:name="_Toc259093691"/>
      <w:r>
        <w:rPr>
          <w:color w:val="auto"/>
          <w:highlight w:val="none"/>
        </w:rPr>
        <w:t>2.17.1</w:t>
      </w:r>
      <w:r>
        <w:rPr>
          <w:rFonts w:hint="eastAsia"/>
          <w:color w:val="auto"/>
          <w:highlight w:val="none"/>
        </w:rPr>
        <w:t>任何一方因履行合同而以合同第一部分尾部所列明的传真或电子邮件</w:t>
      </w:r>
      <w:r>
        <w:rPr>
          <w:color w:val="auto"/>
          <w:highlight w:val="none"/>
        </w:rPr>
        <w:t xml:space="preserve"> </w:t>
      </w:r>
      <w:r>
        <w:rPr>
          <w:color w:val="auto"/>
          <w:highlight w:val="none"/>
          <w:u w:val="single"/>
        </w:rPr>
        <w:t xml:space="preserve">       </w:t>
      </w:r>
      <w:r>
        <w:rPr>
          <w:rFonts w:hint="eastAsia"/>
          <w:color w:val="auto"/>
          <w:highlight w:val="none"/>
        </w:rPr>
        <w:t>发出的所有通知、文件、材料，均视为已向对方当事人送达；任何一方变更上述送达方式或者地址的，应于</w:t>
      </w:r>
      <w:r>
        <w:rPr>
          <w:rFonts w:hint="eastAsia"/>
          <w:color w:val="auto"/>
          <w:highlight w:val="none"/>
          <w:u w:val="single"/>
        </w:rPr>
        <w:t>3</w:t>
      </w:r>
      <w:r>
        <w:rPr>
          <w:rFonts w:hint="eastAsia"/>
          <w:color w:val="auto"/>
          <w:highlight w:val="none"/>
        </w:rPr>
        <w:t>个工作日内书面通知对方当事人，在对方当事人收到有关变更通知之前，变更前的约定送达方式或者地址仍视为有效。</w:t>
      </w:r>
      <w:bookmarkEnd w:id="500"/>
      <w:bookmarkEnd w:id="501"/>
    </w:p>
    <w:p>
      <w:pPr>
        <w:spacing w:line="560" w:lineRule="exact"/>
        <w:ind w:firstLine="480" w:firstLineChars="200"/>
        <w:rPr>
          <w:color w:val="auto"/>
          <w:highlight w:val="none"/>
        </w:rPr>
      </w:pPr>
      <w:bookmarkStart w:id="505" w:name="_Toc23128"/>
      <w:bookmarkStart w:id="506" w:name="_Toc23294"/>
      <w:r>
        <w:rPr>
          <w:color w:val="auto"/>
          <w:highlight w:val="none"/>
        </w:rPr>
        <w:t>2.17.2以当面交付方式送达的，交付之时视为送达；以电子邮件方式送达的，发出电子邮件之时视为送达；以传真方式送达的，发出传真之时视为送达；以邮寄方式送达</w:t>
      </w:r>
      <w:r>
        <w:rPr>
          <w:rFonts w:hint="eastAsia"/>
          <w:color w:val="auto"/>
          <w:highlight w:val="none"/>
        </w:rPr>
        <w:t>的，邮件挂号寄出或者交邮之日之次日视为送达。</w:t>
      </w:r>
      <w:bookmarkEnd w:id="505"/>
      <w:bookmarkEnd w:id="506"/>
    </w:p>
    <w:p>
      <w:pPr>
        <w:pStyle w:val="6"/>
        <w:rPr>
          <w:color w:val="auto"/>
          <w:highlight w:val="none"/>
        </w:rPr>
      </w:pPr>
      <w:bookmarkStart w:id="507" w:name="_Toc18540"/>
      <w:bookmarkStart w:id="508" w:name="_Toc4355"/>
      <w:bookmarkStart w:id="509" w:name="_Toc30599"/>
      <w:r>
        <w:rPr>
          <w:color w:val="auto"/>
          <w:highlight w:val="none"/>
        </w:rPr>
        <w:t xml:space="preserve">2.18 </w:t>
      </w:r>
      <w:r>
        <w:rPr>
          <w:rFonts w:hint="eastAsia"/>
          <w:color w:val="auto"/>
          <w:highlight w:val="none"/>
        </w:rPr>
        <w:t>计量单位</w:t>
      </w:r>
      <w:bookmarkEnd w:id="502"/>
      <w:bookmarkEnd w:id="503"/>
      <w:bookmarkEnd w:id="504"/>
      <w:bookmarkEnd w:id="507"/>
      <w:bookmarkEnd w:id="508"/>
      <w:bookmarkEnd w:id="509"/>
    </w:p>
    <w:p>
      <w:pPr>
        <w:spacing w:line="560" w:lineRule="exact"/>
        <w:ind w:firstLine="480" w:firstLineChars="200"/>
        <w:rPr>
          <w:color w:val="auto"/>
          <w:highlight w:val="none"/>
        </w:rPr>
      </w:pPr>
      <w:r>
        <w:rPr>
          <w:rFonts w:hint="eastAsia"/>
          <w:color w:val="auto"/>
          <w:highlight w:val="none"/>
        </w:rPr>
        <w:t>除技术规范中另有规定外</w:t>
      </w:r>
      <w:r>
        <w:rPr>
          <w:color w:val="auto"/>
          <w:highlight w:val="none"/>
        </w:rPr>
        <w:t>,合同的计量单位均使用国家法定计量单位。</w:t>
      </w:r>
    </w:p>
    <w:p>
      <w:pPr>
        <w:pStyle w:val="6"/>
        <w:rPr>
          <w:color w:val="auto"/>
          <w:highlight w:val="none"/>
        </w:rPr>
      </w:pPr>
      <w:bookmarkStart w:id="510" w:name="_Toc18567"/>
      <w:bookmarkStart w:id="511" w:name="_Toc12773"/>
      <w:bookmarkStart w:id="512" w:name="_Toc487900373"/>
      <w:bookmarkStart w:id="513" w:name="_Toc279701263"/>
      <w:bookmarkStart w:id="514" w:name="_Toc10330"/>
      <w:bookmarkStart w:id="515" w:name="_Toc259093692"/>
      <w:r>
        <w:rPr>
          <w:color w:val="auto"/>
          <w:highlight w:val="none"/>
        </w:rPr>
        <w:t xml:space="preserve">2.19 </w:t>
      </w:r>
      <w:r>
        <w:rPr>
          <w:rFonts w:hint="eastAsia"/>
          <w:color w:val="auto"/>
          <w:highlight w:val="none"/>
        </w:rPr>
        <w:t>合同使用的文字和适用的法律</w:t>
      </w:r>
      <w:bookmarkEnd w:id="510"/>
      <w:bookmarkEnd w:id="511"/>
      <w:bookmarkEnd w:id="512"/>
      <w:bookmarkEnd w:id="513"/>
      <w:bookmarkEnd w:id="514"/>
      <w:bookmarkEnd w:id="515"/>
    </w:p>
    <w:p>
      <w:pPr>
        <w:spacing w:line="560" w:lineRule="exact"/>
        <w:ind w:firstLine="480" w:firstLineChars="200"/>
        <w:rPr>
          <w:color w:val="auto"/>
          <w:highlight w:val="none"/>
        </w:rPr>
      </w:pPr>
      <w:r>
        <w:rPr>
          <w:color w:val="auto"/>
          <w:highlight w:val="none"/>
        </w:rPr>
        <w:t xml:space="preserve">2.19.1 </w:t>
      </w:r>
      <w:r>
        <w:rPr>
          <w:rFonts w:hint="eastAsia"/>
          <w:color w:val="auto"/>
          <w:highlight w:val="none"/>
        </w:rPr>
        <w:t>合同使用汉语书就、变更和解释；</w:t>
      </w:r>
    </w:p>
    <w:p>
      <w:pPr>
        <w:spacing w:line="560" w:lineRule="exact"/>
        <w:ind w:firstLine="480" w:firstLineChars="200"/>
        <w:rPr>
          <w:color w:val="auto"/>
          <w:highlight w:val="none"/>
        </w:rPr>
      </w:pPr>
      <w:r>
        <w:rPr>
          <w:color w:val="auto"/>
          <w:highlight w:val="none"/>
        </w:rPr>
        <w:t xml:space="preserve">2.19.2 </w:t>
      </w:r>
      <w:r>
        <w:rPr>
          <w:rFonts w:hint="eastAsia"/>
          <w:color w:val="auto"/>
          <w:highlight w:val="none"/>
        </w:rPr>
        <w:t>合同适用中华人民共和国法律。</w:t>
      </w:r>
    </w:p>
    <w:p>
      <w:pPr>
        <w:pStyle w:val="6"/>
        <w:rPr>
          <w:color w:val="auto"/>
          <w:highlight w:val="none"/>
        </w:rPr>
      </w:pPr>
      <w:bookmarkStart w:id="516" w:name="_Toc279701264"/>
      <w:bookmarkStart w:id="517" w:name="_Toc3148"/>
      <w:bookmarkStart w:id="518" w:name="_Toc16673"/>
      <w:bookmarkStart w:id="519" w:name="_Toc259093693"/>
      <w:bookmarkStart w:id="520" w:name="_Toc12004"/>
      <w:bookmarkStart w:id="521" w:name="_Toc487900374"/>
      <w:r>
        <w:rPr>
          <w:color w:val="auto"/>
          <w:highlight w:val="none"/>
        </w:rPr>
        <w:t xml:space="preserve">2.20 </w:t>
      </w:r>
      <w:r>
        <w:rPr>
          <w:rFonts w:hint="eastAsia"/>
          <w:color w:val="auto"/>
          <w:highlight w:val="none"/>
        </w:rPr>
        <w:t>履约保证金</w:t>
      </w:r>
      <w:bookmarkEnd w:id="516"/>
      <w:bookmarkEnd w:id="517"/>
      <w:bookmarkEnd w:id="518"/>
      <w:bookmarkEnd w:id="519"/>
      <w:bookmarkEnd w:id="520"/>
    </w:p>
    <w:p>
      <w:pPr>
        <w:pStyle w:val="72"/>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约定的方式，以支票、汇票、本票或者金融机构、担保机构出具的保函等非现金形式，提交不超过合同金额1</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560" w:lineRule="exact"/>
        <w:ind w:firstLine="480" w:firstLineChars="200"/>
        <w:rPr>
          <w:color w:val="auto"/>
          <w:highlight w:val="none"/>
        </w:rPr>
      </w:pPr>
      <w:r>
        <w:rPr>
          <w:color w:val="auto"/>
          <w:highlight w:val="none"/>
        </w:rPr>
        <w:t xml:space="preserve">2.20.2  </w:t>
      </w:r>
      <w:r>
        <w:rPr>
          <w:rFonts w:hint="eastAsia"/>
          <w:color w:val="auto"/>
          <w:highlight w:val="none"/>
        </w:rPr>
        <w:t>甲方在项目验收结束后及时退还履约保证金。甲方在项目通过验收之日起</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olor w:val="auto"/>
          <w:highlight w:val="none"/>
        </w:rPr>
        <w:t>个工作日内，按</w:t>
      </w:r>
      <w:r>
        <w:rPr>
          <w:rFonts w:hint="eastAsia"/>
          <w:b/>
          <w:i/>
          <w:color w:val="auto"/>
          <w:highlight w:val="none"/>
          <w:u w:val="single"/>
        </w:rPr>
        <w:t>合同专用条款</w:t>
      </w:r>
      <w:r>
        <w:rPr>
          <w:rFonts w:hint="eastAsia"/>
          <w:color w:val="auto"/>
          <w:highlight w:val="none"/>
        </w:rPr>
        <w:t>约定的方式将履约保证金退还乙方，逾期退还的，乙方可要求甲方支付违约金，违约金按每迟延退还一日的应退还而未退还金额的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%计算，最高限额为本合同履约保证金的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 xml:space="preserve">%； </w:t>
      </w:r>
    </w:p>
    <w:p>
      <w:pPr>
        <w:spacing w:line="560" w:lineRule="exact"/>
        <w:ind w:firstLine="480" w:firstLineChars="200"/>
        <w:rPr>
          <w:color w:val="auto"/>
          <w:highlight w:val="none"/>
        </w:rPr>
      </w:pPr>
      <w:r>
        <w:rPr>
          <w:color w:val="auto"/>
          <w:highlight w:val="none"/>
        </w:rPr>
        <w:t xml:space="preserve">2.20.3 </w:t>
      </w:r>
      <w:r>
        <w:rPr>
          <w:rFonts w:hint="eastAsia"/>
          <w:color w:val="auto"/>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.4</w:t>
      </w:r>
      <w:r>
        <w:rPr>
          <w:rFonts w:hint="eastAsia"/>
          <w:color w:val="auto"/>
          <w:highlight w:val="none"/>
        </w:rPr>
        <w:t> 甲方根据杭州市政府采购网公布的供应商履约评价情况减免履约保证金。乙方履约验收评价总分为</w:t>
      </w:r>
      <w:r>
        <w:rPr>
          <w:color w:val="auto"/>
          <w:highlight w:val="none"/>
        </w:rPr>
        <w:t>100分的，甲方免收履约保证金。</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.5</w:t>
      </w:r>
      <w:r>
        <w:rPr>
          <w:rFonts w:hint="eastAsia"/>
          <w:color w:val="auto"/>
          <w:highlight w:val="none"/>
        </w:rPr>
        <w:t>甲方</w:t>
      </w:r>
      <w:r>
        <w:rPr>
          <w:color w:val="auto"/>
          <w:highlight w:val="none"/>
        </w:rPr>
        <w:t>在</w:t>
      </w:r>
      <w:r>
        <w:rPr>
          <w:rFonts w:hint="eastAsia"/>
          <w:color w:val="auto"/>
          <w:highlight w:val="none"/>
        </w:rPr>
        <w:t>乙方</w:t>
      </w:r>
      <w:r>
        <w:rPr>
          <w:color w:val="auto"/>
          <w:highlight w:val="none"/>
        </w:rPr>
        <w:t>履行完合同约定义务事项后及时退还，延迟退还的，应当按照合同约定和法律规定承担相应的赔偿责任。</w:t>
      </w:r>
    </w:p>
    <w:p>
      <w:pPr>
        <w:pStyle w:val="6"/>
        <w:rPr>
          <w:color w:val="auto"/>
          <w:highlight w:val="none"/>
        </w:rPr>
      </w:pPr>
      <w:r>
        <w:rPr>
          <w:color w:val="auto"/>
          <w:highlight w:val="none"/>
        </w:rPr>
        <w:t>2.2</w:t>
      </w:r>
      <w:r>
        <w:rPr>
          <w:rFonts w:hint="eastAsia"/>
          <w:color w:val="auto"/>
          <w:highlight w:val="none"/>
        </w:rPr>
        <w:t>1</w:t>
      </w:r>
      <w:r>
        <w:rPr>
          <w:color w:val="auto"/>
          <w:highlight w:val="none"/>
        </w:rPr>
        <w:t>对于因甲方原因导致变更、中止或者终止政府采购合同的，甲方应当依照合同约定对供应商受到的损失予以赔偿或者补偿。</w:t>
      </w:r>
    </w:p>
    <w:bookmarkEnd w:id="521"/>
    <w:p>
      <w:pPr>
        <w:pStyle w:val="6"/>
        <w:rPr>
          <w:color w:val="auto"/>
          <w:highlight w:val="none"/>
        </w:rPr>
      </w:pPr>
      <w:bookmarkStart w:id="522" w:name="_Toc14001"/>
      <w:bookmarkStart w:id="523" w:name="_Toc6885"/>
      <w:bookmarkStart w:id="524" w:name="_Toc19890"/>
      <w:r>
        <w:rPr>
          <w:color w:val="auto"/>
          <w:highlight w:val="none"/>
        </w:rPr>
        <w:t>2.2</w:t>
      </w:r>
      <w:r>
        <w:rPr>
          <w:rFonts w:hint="eastAsia"/>
          <w:color w:val="auto"/>
          <w:highlight w:val="none"/>
        </w:rPr>
        <w:t>2合同份数</w:t>
      </w:r>
      <w:bookmarkEnd w:id="522"/>
      <w:bookmarkEnd w:id="523"/>
      <w:bookmarkEnd w:id="524"/>
    </w:p>
    <w:p>
      <w:pPr>
        <w:spacing w:line="560" w:lineRule="exact"/>
        <w:ind w:firstLine="480" w:firstLineChars="200"/>
        <w:rPr>
          <w:color w:val="auto"/>
          <w:highlight w:val="none"/>
        </w:rPr>
      </w:pPr>
      <w:r>
        <w:rPr>
          <w:rFonts w:hint="eastAsia"/>
          <w:color w:val="auto"/>
          <w:highlight w:val="none"/>
        </w:rPr>
        <w:t>合同份数按</w:t>
      </w:r>
      <w:r>
        <w:rPr>
          <w:rFonts w:hint="eastAsia"/>
          <w:b/>
          <w:i/>
          <w:color w:val="auto"/>
          <w:highlight w:val="none"/>
          <w:u w:val="single"/>
        </w:rPr>
        <w:t>合同专用条款</w:t>
      </w:r>
      <w:r>
        <w:rPr>
          <w:rFonts w:hint="eastAsia"/>
          <w:color w:val="auto"/>
          <w:highlight w:val="none"/>
        </w:rPr>
        <w:t>规定，每份均具有同等法律效力。</w:t>
      </w:r>
    </w:p>
    <w:p>
      <w:pPr>
        <w:pStyle w:val="5"/>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合同专用条款</w:t>
      </w:r>
    </w:p>
    <w:p>
      <w:pPr>
        <w:spacing w:line="560" w:lineRule="exact"/>
        <w:ind w:left="-480" w:leftChars="-200" w:right="-480" w:rightChars="-200" w:firstLine="480" w:firstLineChars="200"/>
        <w:rPr>
          <w:color w:val="auto"/>
          <w:highlight w:val="none"/>
        </w:rPr>
      </w:pPr>
      <w:r>
        <w:rPr>
          <w:rFonts w:hint="eastAsia"/>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条款号</w:t>
            </w:r>
          </w:p>
        </w:tc>
        <w:tc>
          <w:tcPr>
            <w:tcW w:w="4534" w:type="pct"/>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1.4.4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1.5.1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1.5.2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1.5.3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1.6.7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2.3.2</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2.4.1</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2.4.2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 xml:space="preserve">2.8 </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2.20.1</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2.20.2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color w:val="auto"/>
                <w:highlight w:val="none"/>
              </w:rPr>
            </w:pPr>
            <w:r>
              <w:rPr>
                <w:color w:val="auto"/>
                <w:highlight w:val="none"/>
              </w:rPr>
              <w:t>2.2</w:t>
            </w:r>
            <w:r>
              <w:rPr>
                <w:rFonts w:hint="eastAsia"/>
                <w:color w:val="auto"/>
                <w:highlight w:val="none"/>
              </w:rPr>
              <w:t>2</w:t>
            </w:r>
            <w:r>
              <w:rPr>
                <w:color w:val="auto"/>
                <w:highlight w:val="none"/>
              </w:rPr>
              <w:t xml:space="preserve"> </w:t>
            </w:r>
          </w:p>
        </w:tc>
        <w:tc>
          <w:tcPr>
            <w:tcW w:w="4534" w:type="pct"/>
            <w:vAlign w:val="center"/>
          </w:tcPr>
          <w:p>
            <w:pPr>
              <w:spacing w:line="360" w:lineRule="auto"/>
              <w:rPr>
                <w:color w:val="auto"/>
                <w:highlight w:val="none"/>
              </w:rPr>
            </w:pPr>
          </w:p>
        </w:tc>
      </w:tr>
    </w:tbl>
    <w:p>
      <w:pPr>
        <w:rPr>
          <w:color w:val="auto"/>
          <w:highlight w:val="none"/>
        </w:rPr>
      </w:pP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pPr>
        <w:pStyle w:val="5"/>
        <w:rPr>
          <w:color w:val="auto"/>
          <w:highlight w:val="none"/>
        </w:rPr>
      </w:pPr>
      <w:r>
        <w:rPr>
          <w:rFonts w:hint="eastAsia"/>
          <w:color w:val="auto"/>
          <w:highlight w:val="none"/>
        </w:rPr>
        <w:t>资格文件部分</w:t>
      </w:r>
    </w:p>
    <w:p>
      <w:pPr>
        <w:jc w:val="center"/>
        <w:rPr>
          <w:b/>
          <w:color w:val="auto"/>
          <w:sz w:val="40"/>
          <w:highlight w:val="none"/>
        </w:rPr>
      </w:pPr>
      <w:r>
        <w:rPr>
          <w:rFonts w:hint="eastAsia"/>
          <w:b/>
          <w:color w:val="auto"/>
          <w:sz w:val="40"/>
          <w:highlight w:val="none"/>
        </w:rPr>
        <w:t>目录</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1）符合参加政府采购活动应当具备的一般条件的承诺函……</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2）落实政府采购政策需满足的资格要求……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3）本项目的特定资格要求……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hint="eastAsia" w:ascii="仿宋_GB2312" w:eastAsia="仿宋_GB2312" w:cs="仿宋_GB2312"/>
          <w:color w:val="auto"/>
          <w:highlight w:val="none"/>
          <w:lang w:val="en-US" w:eastAsia="zh-CN"/>
        </w:rPr>
        <w:t>4</w:t>
      </w:r>
      <w:r>
        <w:rPr>
          <w:rFonts w:ascii="仿宋_GB2312" w:eastAsia="仿宋_GB2312" w:cs="仿宋_GB2312"/>
          <w:color w:val="auto"/>
          <w:highlight w:val="none"/>
        </w:rPr>
        <w:t>）</w:t>
      </w:r>
      <w:r>
        <w:rPr>
          <w:rFonts w:hint="eastAsia" w:ascii="仿宋_GB2312" w:eastAsia="仿宋_GB2312" w:cs="仿宋_GB2312"/>
          <w:color w:val="auto"/>
          <w:highlight w:val="none"/>
          <w:lang w:val="en-US" w:eastAsia="zh-CN"/>
        </w:rPr>
        <w:t>联合协议</w:t>
      </w:r>
      <w:r>
        <w:rPr>
          <w:rFonts w:ascii="仿宋_GB2312" w:eastAsia="仿宋_GB2312" w:cs="仿宋_GB2312"/>
          <w:color w:val="auto"/>
          <w:highlight w:val="none"/>
        </w:rPr>
        <w:t>……</w:t>
      </w:r>
      <w:r>
        <w:rPr>
          <w:rFonts w:hint="eastAsia" w:ascii="仿宋_GB2312" w:eastAsia="仿宋_GB2312" w:cs="仿宋_GB2312"/>
          <w:color w:val="auto"/>
          <w:highlight w:val="none"/>
        </w:rPr>
        <w:t>………………………………………………………（页码）</w:t>
      </w:r>
    </w:p>
    <w:p>
      <w:pPr>
        <w:spacing w:line="276" w:lineRule="auto"/>
        <w:rPr>
          <w:rFonts w:ascii="仿宋_GB2312" w:eastAsia="仿宋_GB2312" w:cs="仿宋_GB2312"/>
          <w:color w:val="auto"/>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rPr>
          <w:color w:val="auto"/>
          <w:highlight w:val="none"/>
        </w:rPr>
      </w:pPr>
      <w:r>
        <w:rPr>
          <w:color w:val="auto"/>
          <w:highlight w:val="none"/>
        </w:rPr>
        <w:t>一、 符合参加政府采购活动应当具备的一般条件的承诺函</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（采购人）、（采购代理机构）：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】政府采购活动，郑重承诺：</w:t>
      </w:r>
    </w:p>
    <w:p>
      <w:pPr>
        <w:snapToGrid w:val="0"/>
        <w:spacing w:line="360" w:lineRule="auto"/>
        <w:ind w:firstLine="360" w:firstLineChars="150"/>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（二）未被信用中国（</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（三）不存在以下情况：</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napToGrid w:val="0"/>
        <w:spacing w:line="360" w:lineRule="auto"/>
        <w:ind w:right="480"/>
        <w:jc w:val="center"/>
        <w:rPr>
          <w:rFonts w:ascii="仿宋_GB2312" w:eastAsia="仿宋_GB2312" w:cs="仿宋_GB2312"/>
          <w:b/>
          <w:color w:val="auto"/>
          <w:sz w:val="32"/>
          <w:szCs w:val="32"/>
          <w:highlight w:val="none"/>
        </w:rPr>
      </w:pPr>
    </w:p>
    <w:p>
      <w:pPr>
        <w:pStyle w:val="5"/>
        <w:rPr>
          <w:color w:val="auto"/>
          <w:highlight w:val="none"/>
        </w:rPr>
      </w:pPr>
      <w:r>
        <w:rPr>
          <w:rFonts w:hint="eastAsia"/>
          <w:color w:val="auto"/>
          <w:highlight w:val="none"/>
        </w:rPr>
        <w:t>二、落实政府采购政策需满足的资格要求</w:t>
      </w:r>
    </w:p>
    <w:p>
      <w:pPr>
        <w:rPr>
          <w:color w:val="auto"/>
          <w:highlight w:val="none"/>
        </w:rPr>
      </w:pPr>
      <w:r>
        <w:rPr>
          <w:rFonts w:hint="eastAsia" w:cs="仿宋_GB2312"/>
          <w:color w:val="auto"/>
          <w:highlight w:val="none"/>
        </w:rPr>
        <w:t>（根据招标公告</w:t>
      </w:r>
      <w:r>
        <w:rPr>
          <w:rFonts w:hint="eastAsia"/>
          <w:color w:val="auto"/>
          <w:highlight w:val="none"/>
        </w:rPr>
        <w:t>落实政府采购政策需满足的资格要求选择提供相应的材料；未要求的，无需提供</w:t>
      </w:r>
      <w:r>
        <w:rPr>
          <w:rFonts w:hint="eastAsia" w:cs="仿宋_GB2312"/>
          <w:color w:val="auto"/>
          <w:highlight w:val="none"/>
        </w:rPr>
        <w:t>）</w:t>
      </w:r>
    </w:p>
    <w:p>
      <w:pPr>
        <w:rPr>
          <w:rFonts w:cs="仿宋_GB2312"/>
          <w:color w:val="auto"/>
          <w:highlight w:val="none"/>
        </w:rPr>
      </w:pPr>
      <w:r>
        <w:rPr>
          <w:rFonts w:cs="仿宋_GB2312"/>
          <w:b/>
          <w:color w:val="auto"/>
          <w:highlight w:val="none"/>
        </w:rPr>
        <w:t>A</w:t>
      </w:r>
      <w:r>
        <w:rPr>
          <w:rFonts w:cs="仿宋_GB2312"/>
          <w:color w:val="auto"/>
          <w:highlight w:val="none"/>
        </w:rPr>
        <w:t>.</w:t>
      </w:r>
      <w:r>
        <w:rPr>
          <w:rFonts w:hint="eastAsia" w:cs="仿宋_GB2312"/>
          <w:color w:val="auto"/>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color w:val="auto"/>
          <w:highlight w:val="none"/>
        </w:rPr>
        <w:t>5</w:t>
      </w:r>
      <w:r>
        <w:rPr>
          <w:rFonts w:hint="eastAsia" w:cs="仿宋_GB2312"/>
          <w:color w:val="auto"/>
          <w:highlight w:val="none"/>
        </w:rPr>
        <w:t>）。</w:t>
      </w:r>
      <w:r>
        <w:rPr>
          <w:rFonts w:cs="仿宋_GB2312"/>
          <w:color w:val="auto"/>
          <w:highlight w:val="none"/>
        </w:rPr>
        <w:t xml:space="preserve"> </w:t>
      </w:r>
    </w:p>
    <w:p>
      <w:pPr>
        <w:rPr>
          <w:rFonts w:cs="仿宋_GB2312"/>
          <w:color w:val="auto"/>
          <w:highlight w:val="none"/>
        </w:rPr>
      </w:pPr>
      <w:r>
        <w:rPr>
          <w:rFonts w:cs="仿宋_GB2312"/>
          <w:b/>
          <w:color w:val="auto"/>
          <w:highlight w:val="none"/>
        </w:rPr>
        <w:t>B.</w:t>
      </w:r>
      <w:r>
        <w:rPr>
          <w:rFonts w:hint="eastAsia" w:cs="仿宋_GB2312"/>
          <w:color w:val="auto"/>
          <w:highlight w:val="none"/>
        </w:rPr>
        <w:t>要求以联合体形式参加的，提供联合协议和中小企业声明函（附件</w:t>
      </w:r>
      <w:r>
        <w:rPr>
          <w:rFonts w:cs="仿宋_GB2312"/>
          <w:color w:val="auto"/>
          <w:highlight w:val="none"/>
        </w:rPr>
        <w:t>5</w:t>
      </w:r>
      <w:r>
        <w:rPr>
          <w:rFonts w:hint="eastAsia" w:cs="仿宋_GB2312"/>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auto"/>
          <w:highlight w:val="none"/>
        </w:rPr>
      </w:pPr>
      <w:r>
        <w:rPr>
          <w:rFonts w:cs="仿宋_GB2312"/>
          <w:b/>
          <w:color w:val="auto"/>
          <w:highlight w:val="none"/>
        </w:rPr>
        <w:t>C、</w:t>
      </w:r>
      <w:r>
        <w:rPr>
          <w:rFonts w:hint="eastAsia" w:cs="仿宋_GB2312"/>
          <w:color w:val="auto"/>
          <w:highlight w:val="none"/>
        </w:rPr>
        <w:t>要求合同分包的，提供分包意向协议和中小企业声明函（附件</w:t>
      </w:r>
      <w:r>
        <w:rPr>
          <w:rFonts w:cs="仿宋_GB2312"/>
          <w:color w:val="auto"/>
          <w:highlight w:val="none"/>
        </w:rPr>
        <w:t>5</w:t>
      </w:r>
      <w:r>
        <w:rPr>
          <w:rFonts w:hint="eastAsia" w:cs="仿宋_GB2312"/>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right"/>
        <w:rPr>
          <w:color w:val="auto"/>
          <w:highlight w:val="none"/>
        </w:rPr>
      </w:pPr>
    </w:p>
    <w:p>
      <w:pPr>
        <w:pStyle w:val="5"/>
        <w:rPr>
          <w:color w:val="auto"/>
          <w:highlight w:val="none"/>
        </w:rPr>
      </w:pPr>
      <w:r>
        <w:rPr>
          <w:rFonts w:hint="eastAsia"/>
          <w:color w:val="auto"/>
          <w:highlight w:val="none"/>
        </w:rPr>
        <w:t>三、本项目的特定资格要求</w:t>
      </w:r>
    </w:p>
    <w:p>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pPr>
        <w:spacing w:line="276" w:lineRule="auto"/>
        <w:jc w:val="center"/>
        <w:rPr>
          <w:color w:val="auto"/>
          <w:highlight w:val="none"/>
        </w:rPr>
      </w:pPr>
      <w:r>
        <w:rPr>
          <w:rFonts w:hint="eastAsia" w:ascii="仿宋" w:hAnsi="仿宋" w:eastAsia="仿宋" w:cstheme="majorBidi"/>
          <w:b/>
          <w:smallCaps/>
          <w:color w:val="auto"/>
          <w:sz w:val="28"/>
          <w:szCs w:val="28"/>
          <w:highlight w:val="none"/>
          <w:lang w:val="en-US" w:eastAsia="zh-CN" w:bidi="ar-SA"/>
        </w:rPr>
        <w:t>四、联合协议</w:t>
      </w:r>
    </w:p>
    <w:p>
      <w:pPr>
        <w:rPr>
          <w:rFonts w:cs="仿宋_GB2312"/>
          <w:color w:val="auto"/>
          <w:highlight w:val="none"/>
          <w:lang w:val="zh-CN"/>
        </w:rPr>
      </w:pPr>
      <w:r>
        <w:rPr>
          <w:rFonts w:hint="eastAsia" w:cs="仿宋_GB2312"/>
          <w:color w:val="auto"/>
          <w:highlight w:val="none"/>
          <w:u w:val="single"/>
        </w:rPr>
        <w:t>（联合体所有成员名称）</w:t>
      </w:r>
      <w:r>
        <w:rPr>
          <w:rFonts w:hint="eastAsia" w:cs="仿宋_GB2312"/>
          <w:color w:val="auto"/>
          <w:highlight w:val="none"/>
        </w:rPr>
        <w:t>自愿</w:t>
      </w:r>
      <w:r>
        <w:rPr>
          <w:rFonts w:hint="eastAsia" w:cs="仿宋_GB2312"/>
          <w:color w:val="auto"/>
          <w:highlight w:val="none"/>
          <w:lang w:val="zh-CN"/>
        </w:rPr>
        <w:t>组成一个联合体，以一个投标人的身份</w:t>
      </w:r>
      <w:r>
        <w:rPr>
          <w:rFonts w:hint="eastAsia" w:cs="仿宋_GB2312"/>
          <w:color w:val="auto"/>
          <w:highlight w:val="none"/>
        </w:rPr>
        <w:t>参加（项目名称）【招标编号：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投标。</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一、各方一致决定，</w:t>
      </w:r>
      <w:r>
        <w:rPr>
          <w:rFonts w:hint="eastAsia" w:cs="仿宋_GB2312"/>
          <w:color w:val="auto"/>
          <w:highlight w:val="none"/>
          <w:u w:val="single"/>
        </w:rPr>
        <w:t>（某联合体成员名称）</w:t>
      </w:r>
      <w:r>
        <w:rPr>
          <w:rFonts w:hint="eastAsia" w:cs="仿宋_GB2312"/>
          <w:color w:val="auto"/>
          <w:highlight w:val="none"/>
        </w:rPr>
        <w:t>为联合体</w:t>
      </w:r>
      <w:r>
        <w:rPr>
          <w:rFonts w:hint="eastAsia" w:cs="仿宋_GB2312"/>
          <w:color w:val="auto"/>
          <w:highlight w:val="none"/>
          <w:lang w:val="zh-CN"/>
        </w:rPr>
        <w:t>牵头人</w:t>
      </w:r>
      <w:r>
        <w:rPr>
          <w:rFonts w:hint="eastAsia" w:cs="Arial"/>
          <w:color w:val="auto"/>
          <w:highlight w:val="none"/>
        </w:rPr>
        <w:t>，代表所有联合体成员负责投标和合同实施阶段的主办、协调工作</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二、</w:t>
      </w:r>
      <w:r>
        <w:rPr>
          <w:rFonts w:hint="eastAsia" w:cs="Arial"/>
          <w:color w:val="auto"/>
          <w:highlight w:val="none"/>
        </w:rPr>
        <w:t>所有联合体成员各方签署授权书，授权书载明的</w:t>
      </w:r>
      <w:r>
        <w:rPr>
          <w:rFonts w:hint="eastAsia" w:cs="仿宋_GB2312"/>
          <w:color w:val="auto"/>
          <w:highlight w:val="none"/>
          <w:lang w:val="zh-CN"/>
        </w:rPr>
        <w:t>授权代表根据招标文件规定及投标内容而对采购人、采购机构所作的任何合法承诺，包括书面澄清及相应等均对联合投标各方产生约束力。</w:t>
      </w:r>
    </w:p>
    <w:p>
      <w:pPr>
        <w:rPr>
          <w:rFonts w:cs="仿宋_GB2312"/>
          <w:color w:val="auto"/>
          <w:highlight w:val="none"/>
          <w:lang w:val="zh-CN"/>
        </w:rPr>
      </w:pPr>
      <w:r>
        <w:rPr>
          <w:rFonts w:hint="eastAsia" w:cs="仿宋_GB2312"/>
          <w:color w:val="auto"/>
          <w:highlight w:val="none"/>
          <w:lang w:val="zh-CN"/>
        </w:rPr>
        <w:t>三、本次联合投标中，分工如下：</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hint="eastAsia" w:cs="仿宋_GB2312"/>
          <w:color w:val="auto"/>
          <w:highlight w:val="none"/>
          <w:lang w:val="zh-CN"/>
        </w:rPr>
        <w:t>；</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四、</w:t>
      </w: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rFonts w:cs="仿宋_GB2312"/>
          <w:color w:val="auto"/>
          <w:highlight w:val="none"/>
          <w:lang w:val="zh-CN"/>
        </w:rPr>
      </w:pPr>
      <w:r>
        <w:rPr>
          <w:rFonts w:hint="eastAsia" w:cs="仿宋_GB2312"/>
          <w:color w:val="auto"/>
          <w:highlight w:val="none"/>
          <w:lang w:val="zh-CN"/>
        </w:rPr>
        <w:t>六、有关本次联合投标的其他事宜：</w:t>
      </w:r>
    </w:p>
    <w:p>
      <w:pPr>
        <w:rPr>
          <w:rFonts w:cs="仿宋_GB2312"/>
          <w:color w:val="auto"/>
          <w:highlight w:val="none"/>
          <w:lang w:val="zh-CN"/>
        </w:rPr>
      </w:pPr>
      <w:r>
        <w:rPr>
          <w:rFonts w:cs="仿宋_GB2312"/>
          <w:color w:val="auto"/>
          <w:highlight w:val="none"/>
          <w:lang w:val="zh-CN"/>
        </w:rPr>
        <w:t>1、联合体各方不再单独参加或者与其</w:t>
      </w:r>
      <w:r>
        <w:rPr>
          <w:rFonts w:hint="eastAsia" w:cs="仿宋_GB2312"/>
          <w:color w:val="auto"/>
          <w:highlight w:val="none"/>
          <w:lang w:val="zh-CN"/>
        </w:rPr>
        <w:t>他供应商另外组成联合体参加同一合同项下的政府采购活动。</w:t>
      </w:r>
    </w:p>
    <w:p>
      <w:pPr>
        <w:rPr>
          <w:rFonts w:cs="仿宋_GB2312"/>
          <w:color w:val="auto"/>
          <w:highlight w:val="none"/>
          <w:lang w:val="zh-CN"/>
        </w:rPr>
      </w:pPr>
      <w:r>
        <w:rPr>
          <w:rFonts w:cs="仿宋_GB2312"/>
          <w:color w:val="auto"/>
          <w:highlight w:val="none"/>
          <w:lang w:val="zh-CN"/>
        </w:rPr>
        <w:t>2、联合体中有同类资质的各方按照联合体分工承担相同工作的，按照资质等级较低的供应商确定资质等级。</w:t>
      </w:r>
    </w:p>
    <w:p>
      <w:pPr>
        <w:rPr>
          <w:rFonts w:cs="仿宋_GB2312"/>
          <w:color w:val="auto"/>
          <w:highlight w:val="none"/>
          <w:lang w:val="zh-CN"/>
        </w:rPr>
      </w:pPr>
      <w:r>
        <w:rPr>
          <w:rFonts w:cs="仿宋_GB2312"/>
          <w:color w:val="auto"/>
          <w:highlight w:val="none"/>
          <w:lang w:val="zh-CN"/>
        </w:rPr>
        <w:t>3、本协议提交采购人、采购机构后，联合体各方不得以任何形式对上述内容进行修改或撤销。</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cs="仿宋_GB2312"/>
          <w:color w:val="auto"/>
          <w:highlight w:val="none"/>
          <w:lang w:val="zh-CN"/>
        </w:rPr>
        <w:t xml:space="preserve">                                               日期：  年  月   日</w:t>
      </w:r>
    </w:p>
    <w:p>
      <w:pPr>
        <w:rPr>
          <w:rFonts w:hint="eastAsia"/>
          <w:color w:val="auto"/>
          <w:highlight w:val="none"/>
        </w:rPr>
      </w:pPr>
      <w:r>
        <w:rPr>
          <w:rFonts w:hint="eastAsia"/>
          <w:color w:val="auto"/>
          <w:highlight w:val="none"/>
        </w:rPr>
        <w:br w:type="page"/>
      </w:r>
    </w:p>
    <w:p>
      <w:pPr>
        <w:pStyle w:val="5"/>
        <w:rPr>
          <w:color w:val="auto"/>
          <w:highlight w:val="none"/>
        </w:rPr>
      </w:pPr>
      <w:r>
        <w:rPr>
          <w:rFonts w:hint="eastAsia"/>
          <w:color w:val="auto"/>
          <w:highlight w:val="none"/>
        </w:rPr>
        <w:t>商务技术文件部分</w:t>
      </w:r>
    </w:p>
    <w:p>
      <w:pPr>
        <w:jc w:val="center"/>
        <w:rPr>
          <w:color w:val="auto"/>
          <w:sz w:val="40"/>
          <w:highlight w:val="none"/>
        </w:rPr>
      </w:pPr>
      <w:r>
        <w:rPr>
          <w:rFonts w:hint="eastAsia"/>
          <w:color w:val="auto"/>
          <w:sz w:val="40"/>
          <w:highlight w:val="none"/>
        </w:rPr>
        <w:t>目录</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1）投标函</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2）授权委托书或法定代表人（单位负责人、自然人本人）身份证明</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3）联合协议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4）分包意向协议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5）符合性审查资料</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6）评标标准相应的商务技术资料</w:t>
      </w:r>
      <w:r>
        <w:rPr>
          <w:rFonts w:hint="eastAsia"/>
          <w:color w:val="auto"/>
          <w:highlight w:val="none"/>
        </w:rPr>
        <w:t>…………………………</w:t>
      </w:r>
      <w:r>
        <w:rPr>
          <w:rFonts w:hint="eastAsia" w:ascii="仿宋_GB2312" w:eastAsia="仿宋_GB2312"/>
          <w:color w:val="auto"/>
          <w:highlight w:val="none"/>
        </w:rPr>
        <w:t>………</w:t>
      </w:r>
      <w:r>
        <w:rPr>
          <w:rFonts w:hint="eastAsia"/>
          <w:color w:val="auto"/>
          <w:highlight w:val="none"/>
        </w:rPr>
        <w:t>…………（页码）（</w:t>
      </w:r>
      <w:r>
        <w:rPr>
          <w:color w:val="auto"/>
          <w:highlight w:val="none"/>
        </w:rPr>
        <w:t>7）</w:t>
      </w:r>
      <w:r>
        <w:rPr>
          <w:rFonts w:hint="eastAsia"/>
          <w:color w:val="auto"/>
          <w:highlight w:val="none"/>
        </w:rPr>
        <w:t>投标标的清单………………………………………………………………（页码）</w:t>
      </w:r>
      <w:r>
        <w:rPr>
          <w:rFonts w:hint="eastAsia" w:ascii="仿宋_GB2312" w:eastAsia="仿宋_GB2312"/>
          <w:color w:val="auto"/>
          <w:highlight w:val="none"/>
        </w:rPr>
        <w:t>（8</w:t>
      </w:r>
      <w:r>
        <w:rPr>
          <w:rFonts w:ascii="仿宋_GB2312" w:eastAsia="仿宋_GB2312"/>
          <w:color w:val="auto"/>
          <w:highlight w:val="none"/>
        </w:rPr>
        <w:t>）商务技术偏离表</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lang w:val="zh-CN"/>
        </w:rPr>
        <w:t>（</w:t>
      </w:r>
      <w:r>
        <w:rPr>
          <w:rFonts w:hint="eastAsia" w:ascii="仿宋_GB2312" w:eastAsia="仿宋_GB2312"/>
          <w:color w:val="auto"/>
          <w:highlight w:val="none"/>
        </w:rPr>
        <w:t>9</w:t>
      </w:r>
      <w:r>
        <w:rPr>
          <w:rFonts w:hint="eastAsia" w:ascii="仿宋_GB2312" w:eastAsia="仿宋_GB2312"/>
          <w:color w:val="auto"/>
          <w:highlight w:val="none"/>
          <w:lang w:val="zh-CN"/>
        </w:rPr>
        <w:t>）政府采购供应商廉洁自律承诺书</w:t>
      </w:r>
      <w:r>
        <w:rPr>
          <w:rFonts w:hint="eastAsia"/>
          <w:color w:val="auto"/>
          <w:highlight w:val="none"/>
        </w:rPr>
        <w:t>…………………………………………（页码）</w:t>
      </w:r>
    </w:p>
    <w:p>
      <w:pPr>
        <w:spacing w:line="360"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一、投标函</w:t>
      </w:r>
    </w:p>
    <w:p>
      <w:pPr>
        <w:rPr>
          <w:color w:val="auto"/>
          <w:highlight w:val="none"/>
        </w:rPr>
      </w:pPr>
      <w:r>
        <w:rPr>
          <w:rFonts w:hint="eastAsia"/>
          <w:color w:val="auto"/>
          <w:highlight w:val="none"/>
        </w:rPr>
        <w:t>（采购人）、（采购代理机构）：</w:t>
      </w:r>
    </w:p>
    <w:p>
      <w:pPr>
        <w:rPr>
          <w:color w:val="auto"/>
          <w:highlight w:val="none"/>
        </w:rPr>
      </w:pPr>
      <w:r>
        <w:rPr>
          <w:rFonts w:hint="eastAsia"/>
          <w:color w:val="auto"/>
          <w:highlight w:val="none"/>
        </w:rPr>
        <w:t>我方参加你方组织的（项目名称）【招标编号：（采购编号）】招标的有关活动，并对此项目进行投标。为此：</w:t>
      </w:r>
    </w:p>
    <w:p>
      <w:pPr>
        <w:rPr>
          <w:color w:val="auto"/>
          <w:highlight w:val="none"/>
        </w:rPr>
      </w:pPr>
      <w:r>
        <w:rPr>
          <w:color w:val="auto"/>
          <w:highlight w:val="none"/>
        </w:rPr>
        <w:t>1、我方承诺投标有效期从提交投标文件的截止之日起</w:t>
      </w:r>
      <w:r>
        <w:rPr>
          <w:color w:val="auto"/>
          <w:highlight w:val="none"/>
          <w:u w:val="single"/>
        </w:rPr>
        <w:t xml:space="preserve">     </w:t>
      </w:r>
      <w:r>
        <w:rPr>
          <w:rFonts w:hint="eastAsia"/>
          <w:color w:val="auto"/>
          <w:highlight w:val="none"/>
        </w:rPr>
        <w:t>天（不少于</w:t>
      </w:r>
      <w:r>
        <w:rPr>
          <w:color w:val="auto"/>
          <w:highlight w:val="none"/>
        </w:rPr>
        <w:t>90天）</w:t>
      </w:r>
      <w:r>
        <w:rPr>
          <w:rFonts w:hint="eastAsia"/>
          <w:color w:val="auto"/>
          <w:highlight w:val="none"/>
        </w:rPr>
        <w:t>，本投标文件在投标有效期满之前均具有约束力。</w:t>
      </w:r>
    </w:p>
    <w:p>
      <w:pPr>
        <w:rPr>
          <w:color w:val="auto"/>
          <w:highlight w:val="none"/>
        </w:rPr>
      </w:pPr>
      <w:r>
        <w:rPr>
          <w:color w:val="auto"/>
          <w:highlight w:val="none"/>
        </w:rPr>
        <w:t>2、我方的投标文件包括以下内容：</w:t>
      </w:r>
    </w:p>
    <w:p>
      <w:pPr>
        <w:rPr>
          <w:color w:val="auto"/>
          <w:highlight w:val="none"/>
        </w:rPr>
      </w:pPr>
      <w:r>
        <w:rPr>
          <w:color w:val="auto"/>
          <w:highlight w:val="none"/>
        </w:rPr>
        <w:t>2.1资格文件：</w:t>
      </w:r>
    </w:p>
    <w:p>
      <w:pPr>
        <w:rPr>
          <w:color w:val="auto"/>
          <w:highlight w:val="none"/>
        </w:rPr>
      </w:pPr>
      <w:r>
        <w:rPr>
          <w:color w:val="auto"/>
          <w:highlight w:val="none"/>
        </w:rPr>
        <w:t>2.1.1</w:t>
      </w:r>
      <w:r>
        <w:rPr>
          <w:rFonts w:hint="eastAsia"/>
          <w:color w:val="auto"/>
          <w:highlight w:val="none"/>
        </w:rPr>
        <w:t>承诺函；</w:t>
      </w:r>
    </w:p>
    <w:p>
      <w:pPr>
        <w:rPr>
          <w:color w:val="auto"/>
          <w:highlight w:val="none"/>
        </w:rPr>
      </w:pPr>
      <w:r>
        <w:rPr>
          <w:color w:val="auto"/>
          <w:highlight w:val="none"/>
        </w:rPr>
        <w:t>2.1.2落实政府采购政策需满足的资格要求</w:t>
      </w:r>
      <w:r>
        <w:rPr>
          <w:rFonts w:hint="eastAsia"/>
          <w:color w:val="auto"/>
          <w:highlight w:val="none"/>
        </w:rPr>
        <w:t>（</w:t>
      </w:r>
      <w:r>
        <w:rPr>
          <w:rFonts w:hint="eastAsia"/>
          <w:color w:val="auto"/>
          <w:highlight w:val="none"/>
          <w:lang w:val="en-US" w:eastAsia="zh-CN"/>
        </w:rPr>
        <w:t>本项目不适用</w:t>
      </w:r>
      <w:r>
        <w:rPr>
          <w:rFonts w:hint="eastAsia"/>
          <w:color w:val="auto"/>
          <w:highlight w:val="none"/>
        </w:rPr>
        <w:t>）；</w:t>
      </w:r>
    </w:p>
    <w:p>
      <w:pPr>
        <w:rPr>
          <w:color w:val="auto"/>
          <w:highlight w:val="none"/>
        </w:rPr>
      </w:pPr>
      <w:r>
        <w:rPr>
          <w:color w:val="auto"/>
          <w:highlight w:val="none"/>
        </w:rPr>
        <w:t>2.1.3本项目的特定资格要求</w:t>
      </w:r>
      <w:r>
        <w:rPr>
          <w:rFonts w:hint="eastAsia"/>
          <w:color w:val="auto"/>
          <w:highlight w:val="none"/>
        </w:rPr>
        <w:t>（</w:t>
      </w:r>
      <w:r>
        <w:rPr>
          <w:rFonts w:hint="eastAsia"/>
          <w:color w:val="auto"/>
          <w:highlight w:val="none"/>
          <w:lang w:val="en-US" w:eastAsia="zh-CN"/>
        </w:rPr>
        <w:t>本项目不适用</w:t>
      </w:r>
      <w:r>
        <w:rPr>
          <w:rFonts w:hint="eastAsia"/>
          <w:color w:val="auto"/>
          <w:highlight w:val="none"/>
        </w:rPr>
        <w:t>）。</w:t>
      </w:r>
    </w:p>
    <w:p>
      <w:pPr>
        <w:rPr>
          <w:rFonts w:hint="default" w:eastAsia="仿宋"/>
          <w:color w:val="auto"/>
          <w:highlight w:val="none"/>
          <w:lang w:val="en-US" w:eastAsia="zh-CN"/>
        </w:rPr>
      </w:pPr>
      <w:r>
        <w:rPr>
          <w:color w:val="auto"/>
          <w:highlight w:val="none"/>
        </w:rPr>
        <w:t>2.1.</w:t>
      </w:r>
      <w:r>
        <w:rPr>
          <w:rFonts w:hint="eastAsia"/>
          <w:color w:val="auto"/>
          <w:highlight w:val="none"/>
          <w:lang w:val="en-US" w:eastAsia="zh-CN"/>
        </w:rPr>
        <w:t>4联合协议</w:t>
      </w:r>
      <w:r>
        <w:rPr>
          <w:rFonts w:hint="eastAsia"/>
          <w:color w:val="auto"/>
          <w:highlight w:val="none"/>
        </w:rPr>
        <w:t>（如果有）</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rPr>
          <w:color w:val="auto"/>
          <w:highlight w:val="none"/>
        </w:rPr>
      </w:pPr>
      <w:r>
        <w:rPr>
          <w:color w:val="auto"/>
          <w:highlight w:val="none"/>
        </w:rPr>
        <w:t>2.2.1投标函；</w:t>
      </w:r>
      <w:r>
        <w:rPr>
          <w:color w:val="auto"/>
          <w:highlight w:val="none"/>
          <w:lang w:val="zh-CN"/>
        </w:rPr>
        <w:t xml:space="preserve"> </w:t>
      </w:r>
    </w:p>
    <w:p>
      <w:pPr>
        <w:rPr>
          <w:color w:val="auto"/>
          <w:highlight w:val="none"/>
        </w:rPr>
      </w:pPr>
      <w:r>
        <w:rPr>
          <w:color w:val="auto"/>
          <w:highlight w:val="none"/>
        </w:rPr>
        <w:t>2.2.2授权委托书或法定代表人（单位负责人）身份证明；</w:t>
      </w:r>
    </w:p>
    <w:p>
      <w:pPr>
        <w:rPr>
          <w:color w:val="auto"/>
          <w:highlight w:val="none"/>
        </w:rPr>
      </w:pPr>
      <w:r>
        <w:rPr>
          <w:color w:val="auto"/>
          <w:highlight w:val="none"/>
        </w:rPr>
        <w:t>2.2.3联合协议</w:t>
      </w:r>
      <w:r>
        <w:rPr>
          <w:rFonts w:hint="eastAsia"/>
          <w:color w:val="auto"/>
          <w:highlight w:val="none"/>
        </w:rPr>
        <w:t>（如果有）；</w:t>
      </w:r>
    </w:p>
    <w:p>
      <w:pPr>
        <w:rPr>
          <w:color w:val="auto"/>
          <w:highlight w:val="none"/>
        </w:rPr>
      </w:pPr>
      <w:r>
        <w:rPr>
          <w:color w:val="auto"/>
          <w:highlight w:val="none"/>
        </w:rPr>
        <w:t>2.2.4分包意向协议</w:t>
      </w:r>
      <w:r>
        <w:rPr>
          <w:rFonts w:hint="eastAsia"/>
          <w:color w:val="auto"/>
          <w:highlight w:val="none"/>
        </w:rPr>
        <w:t>（如果有）；</w:t>
      </w:r>
    </w:p>
    <w:p>
      <w:pPr>
        <w:rPr>
          <w:color w:val="auto"/>
          <w:highlight w:val="none"/>
        </w:rPr>
      </w:pPr>
      <w:r>
        <w:rPr>
          <w:color w:val="auto"/>
          <w:highlight w:val="none"/>
        </w:rPr>
        <w:t>2.2.5符合性审查资料；</w:t>
      </w:r>
    </w:p>
    <w:p>
      <w:pPr>
        <w:rPr>
          <w:color w:val="auto"/>
          <w:highlight w:val="none"/>
        </w:rPr>
      </w:pPr>
      <w:r>
        <w:rPr>
          <w:color w:val="auto"/>
          <w:highlight w:val="none"/>
        </w:rPr>
        <w:t>2.2.6评标标准相应的商务技术资料；</w:t>
      </w:r>
    </w:p>
    <w:p>
      <w:pPr>
        <w:rPr>
          <w:b w:val="0"/>
          <w:bCs w:val="0"/>
          <w:color w:val="auto"/>
          <w:highlight w:val="none"/>
        </w:rPr>
      </w:pPr>
      <w:r>
        <w:rPr>
          <w:rFonts w:hint="eastAsia"/>
          <w:b w:val="0"/>
          <w:bCs w:val="0"/>
          <w:color w:val="auto"/>
          <w:highlight w:val="none"/>
        </w:rPr>
        <w:t>2.2.7投标标的清单；</w:t>
      </w:r>
    </w:p>
    <w:p>
      <w:pPr>
        <w:rPr>
          <w:color w:val="auto"/>
          <w:highlight w:val="none"/>
        </w:rPr>
      </w:pPr>
      <w:r>
        <w:rPr>
          <w:color w:val="auto"/>
          <w:highlight w:val="none"/>
        </w:rPr>
        <w:t>2.2.</w:t>
      </w:r>
      <w:r>
        <w:rPr>
          <w:rFonts w:hint="eastAsia"/>
          <w:color w:val="auto"/>
          <w:highlight w:val="none"/>
        </w:rPr>
        <w:t>8</w:t>
      </w:r>
      <w:r>
        <w:rPr>
          <w:color w:val="auto"/>
          <w:highlight w:val="none"/>
        </w:rPr>
        <w:t>商务技术偏离表；</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w:t>
      </w:r>
      <w:r>
        <w:rPr>
          <w:rFonts w:hint="eastAsia"/>
          <w:color w:val="auto"/>
          <w:highlight w:val="none"/>
        </w:rPr>
        <w:t>9</w:t>
      </w:r>
      <w:r>
        <w:rPr>
          <w:rFonts w:hint="eastAsia"/>
          <w:color w:val="auto"/>
          <w:highlight w:val="none"/>
          <w:lang w:val="zh-CN"/>
        </w:rPr>
        <w:t>政府采购供应商廉洁自律承诺书；</w:t>
      </w:r>
    </w:p>
    <w:p>
      <w:pPr>
        <w:rPr>
          <w:color w:val="auto"/>
          <w:highlight w:val="none"/>
        </w:rPr>
      </w:pPr>
      <w:r>
        <w:rPr>
          <w:color w:val="auto"/>
          <w:highlight w:val="none"/>
        </w:rPr>
        <w:t>2</w:t>
      </w:r>
      <w:r>
        <w:rPr>
          <w:color w:val="auto"/>
          <w:highlight w:val="none"/>
          <w:lang w:val="zh-CN"/>
        </w:rPr>
        <w:t>.</w:t>
      </w:r>
      <w:r>
        <w:rPr>
          <w:color w:val="auto"/>
          <w:highlight w:val="none"/>
        </w:rPr>
        <w:t>3报价文件</w:t>
      </w:r>
    </w:p>
    <w:p>
      <w:pPr>
        <w:rPr>
          <w:color w:val="auto"/>
          <w:highlight w:val="none"/>
        </w:rPr>
      </w:pPr>
      <w:r>
        <w:rPr>
          <w:color w:val="auto"/>
          <w:highlight w:val="none"/>
        </w:rPr>
        <w:t>2.3.1开标一览表（报价表）；</w:t>
      </w:r>
    </w:p>
    <w:p>
      <w:pPr>
        <w:rPr>
          <w:color w:val="auto"/>
          <w:highlight w:val="none"/>
        </w:rPr>
      </w:pPr>
      <w:r>
        <w:rPr>
          <w:color w:val="auto"/>
          <w:highlight w:val="none"/>
        </w:rPr>
        <w:t>2.3.2中小企业声明函</w:t>
      </w:r>
      <w:r>
        <w:rPr>
          <w:rFonts w:hint="eastAsia"/>
          <w:color w:val="auto"/>
          <w:highlight w:val="none"/>
          <w:lang w:val="en-US" w:eastAsia="zh-CN"/>
        </w:rPr>
        <w:t>或</w:t>
      </w:r>
      <w:r>
        <w:rPr>
          <w:rFonts w:hint="eastAsia"/>
          <w:color w:val="auto"/>
          <w:highlight w:val="none"/>
        </w:rPr>
        <w:t>残疾人福利性单位声明函</w:t>
      </w:r>
      <w:r>
        <w:rPr>
          <w:rFonts w:hint="eastAsia"/>
          <w:color w:val="auto"/>
          <w:highlight w:val="none"/>
          <w:lang w:val="en-US" w:eastAsia="zh-CN"/>
        </w:rPr>
        <w:t>或</w:t>
      </w:r>
      <w:r>
        <w:rPr>
          <w:rFonts w:hint="eastAsia"/>
          <w:color w:val="auto"/>
          <w:highlight w:val="none"/>
        </w:rPr>
        <w:t>监狱企业证明文件</w:t>
      </w:r>
      <w:r>
        <w:rPr>
          <w:color w:val="auto"/>
          <w:highlight w:val="none"/>
        </w:rPr>
        <w:t>。</w:t>
      </w:r>
      <w:r>
        <w:rPr>
          <w:rFonts w:hint="eastAsia"/>
          <w:color w:val="auto"/>
          <w:highlight w:val="none"/>
        </w:rPr>
        <w:t>（如果有）。</w:t>
      </w:r>
    </w:p>
    <w:p>
      <w:pPr>
        <w:rPr>
          <w:color w:val="auto"/>
          <w:highlight w:val="none"/>
        </w:rPr>
      </w:pPr>
      <w:r>
        <w:rPr>
          <w:color w:val="auto"/>
          <w:highlight w:val="none"/>
        </w:rPr>
        <w:t>3、我方承诺除商务技术偏离表列出的偏离外，我方响应招标文件的全部要求。</w:t>
      </w:r>
    </w:p>
    <w:p>
      <w:pPr>
        <w:rPr>
          <w:color w:val="auto"/>
          <w:highlight w:val="none"/>
        </w:rPr>
      </w:pPr>
      <w:r>
        <w:rPr>
          <w:color w:val="auto"/>
          <w:highlight w:val="none"/>
        </w:rPr>
        <w:t>4、如我方中标，我方承诺：</w:t>
      </w:r>
    </w:p>
    <w:p>
      <w:pPr>
        <w:rPr>
          <w:color w:val="auto"/>
          <w:highlight w:val="none"/>
        </w:rPr>
      </w:pPr>
      <w:r>
        <w:rPr>
          <w:color w:val="auto"/>
          <w:highlight w:val="none"/>
        </w:rPr>
        <w:t xml:space="preserve">4.1在收到中标通知书后，在中标通知书规定的期限内与你方签订合同； </w:t>
      </w:r>
    </w:p>
    <w:p>
      <w:pPr>
        <w:rPr>
          <w:color w:val="auto"/>
          <w:highlight w:val="none"/>
        </w:rPr>
      </w:pPr>
      <w:r>
        <w:rPr>
          <w:color w:val="auto"/>
          <w:highlight w:val="none"/>
        </w:rPr>
        <w:t xml:space="preserve">4.2在签订合同时不向你方提出附加条件； </w:t>
      </w:r>
    </w:p>
    <w:p>
      <w:pPr>
        <w:rPr>
          <w:color w:val="auto"/>
          <w:highlight w:val="none"/>
        </w:rPr>
      </w:pPr>
      <w:r>
        <w:rPr>
          <w:color w:val="auto"/>
          <w:highlight w:val="none"/>
        </w:rPr>
        <w:t xml:space="preserve">4.3按照招标文件要求提交履约保证金； </w:t>
      </w:r>
    </w:p>
    <w:p>
      <w:pPr>
        <w:rPr>
          <w:color w:val="auto"/>
          <w:highlight w:val="none"/>
        </w:rPr>
      </w:pPr>
      <w:r>
        <w:rPr>
          <w:color w:val="auto"/>
          <w:highlight w:val="none"/>
        </w:rPr>
        <w:t xml:space="preserve">4.4在合同约定的期限内完成合同规定的全部义务。 </w:t>
      </w:r>
    </w:p>
    <w:p>
      <w:pPr>
        <w:rPr>
          <w:color w:val="auto"/>
          <w:highlight w:val="none"/>
        </w:rPr>
      </w:pPr>
      <w:r>
        <w:rPr>
          <w:color w:val="auto"/>
          <w:highlight w:val="none"/>
        </w:rPr>
        <w:t>5、其他补充说明:</w:t>
      </w:r>
      <w:r>
        <w:rPr>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投标人名称（电子签名）：</w:t>
      </w:r>
      <w:r>
        <w:rPr>
          <w:color w:val="auto"/>
          <w:highlight w:val="none"/>
        </w:rPr>
        <w:t xml:space="preserve">                          </w:t>
      </w:r>
    </w:p>
    <w:p>
      <w:pPr>
        <w:rPr>
          <w:color w:val="auto"/>
          <w:highlight w:val="none"/>
        </w:rPr>
      </w:pPr>
      <w:r>
        <w:rPr>
          <w:color w:val="auto"/>
          <w:highlight w:val="none"/>
        </w:rPr>
        <w:t xml:space="preserve">     日期：  年   月   日</w:t>
      </w:r>
    </w:p>
    <w:p>
      <w:pPr>
        <w:rPr>
          <w:color w:val="auto"/>
          <w:highlight w:val="none"/>
          <w:u w:val="singl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lang w:val="zh-CN"/>
        </w:rPr>
      </w:pPr>
      <w:r>
        <w:rPr>
          <w:rFonts w:hint="eastAsia"/>
          <w:color w:val="auto"/>
          <w:highlight w:val="none"/>
          <w:lang w:val="zh-CN"/>
        </w:rPr>
        <w:t>二、授权委托书或法定代表人（单位负责人、自然人本人）身份证明</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授权委托书（适用于非联合体投标）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r>
        <w:rPr>
          <w:color w:val="auto"/>
          <w:highlight w:val="none"/>
          <w:lang w:val="zh-CN"/>
        </w:rPr>
        <w:t xml:space="preserve">                                                 投标人名称(电子签名)：</w:t>
      </w:r>
    </w:p>
    <w:p>
      <w:pPr>
        <w:rPr>
          <w:color w:val="auto"/>
          <w:highlight w:val="none"/>
          <w:lang w:val="zh-CN"/>
        </w:rPr>
      </w:pPr>
      <w:r>
        <w:rPr>
          <w:color w:val="auto"/>
          <w:highlight w:val="none"/>
          <w:lang w:val="zh-CN"/>
        </w:rPr>
        <w:t xml:space="preserve">                                                签发日期：  年  月   日</w:t>
      </w:r>
    </w:p>
    <w:p>
      <w:pPr>
        <w:jc w:val="center"/>
        <w:rPr>
          <w:rFonts w:ascii="仿宋_GB2312" w:eastAsia="仿宋_GB2312" w:cs="仿宋_GB2312"/>
          <w:b/>
          <w:color w:val="auto"/>
          <w:sz w:val="32"/>
          <w:szCs w:val="32"/>
          <w:highlight w:val="none"/>
        </w:rPr>
      </w:pPr>
      <w:r>
        <w:rPr>
          <w:rFonts w:hint="eastAsia" w:ascii="仿宋_GB2312" w:eastAsia="仿宋_GB2312" w:cs="仿宋_GB2312"/>
          <w:b/>
          <w:color w:val="auto"/>
          <w:sz w:val="32"/>
          <w:szCs w:val="32"/>
          <w:highlight w:val="none"/>
          <w:lang w:val="zh-CN"/>
        </w:rPr>
        <w:t>授权委托书（适用于联合体投标）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pPr>
        <w:pStyle w:val="7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74"/>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投标人名称(电子签名)：                              </w:t>
      </w:r>
    </w:p>
    <w:p>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pPr>
        <w:pStyle w:val="5"/>
        <w:rPr>
          <w:color w:val="auto"/>
          <w:highlight w:val="none"/>
          <w:lang w:val="zh-CN"/>
        </w:rPr>
      </w:pPr>
      <w:r>
        <w:rPr>
          <w:rFonts w:hint="eastAsia"/>
          <w:color w:val="auto"/>
          <w:highlight w:val="none"/>
        </w:rPr>
        <w:t>三、</w:t>
      </w:r>
      <w:r>
        <w:rPr>
          <w:rFonts w:hint="eastAsia"/>
          <w:color w:val="auto"/>
          <w:highlight w:val="none"/>
          <w:lang w:val="zh-CN"/>
        </w:rPr>
        <w:t>联合协议</w:t>
      </w:r>
    </w:p>
    <w:p>
      <w:pPr>
        <w:rPr>
          <w:color w:val="auto"/>
          <w:highlight w:val="none"/>
        </w:rPr>
      </w:pPr>
      <w:r>
        <w:rPr>
          <w:rFonts w:hint="eastAsia"/>
          <w:color w:val="auto"/>
          <w:highlight w:val="none"/>
        </w:rPr>
        <w:t>（以联合体形式投标的，提供联合协议；本项目不接受联合体投标或者投标人不以联合体形式投标的，则不需要提供）</w:t>
      </w:r>
    </w:p>
    <w:p>
      <w:pPr>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参加（项目名称）【招标编号：（采购编号）】</w:t>
      </w:r>
      <w:r>
        <w:rPr>
          <w:rFonts w:hint="eastAsia"/>
          <w:color w:val="auto"/>
          <w:highlight w:val="none"/>
          <w:lang w:val="zh-CN"/>
        </w:rPr>
        <w:t>投标。</w:t>
      </w:r>
      <w:r>
        <w:rPr>
          <w:color w:val="auto"/>
          <w:highlight w:val="none"/>
          <w:lang w:val="zh-CN"/>
        </w:rPr>
        <w:t xml:space="preserve"> </w:t>
      </w:r>
    </w:p>
    <w:p>
      <w:pPr>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s="Arial"/>
          <w:color w:val="auto"/>
          <w:highlight w:val="none"/>
        </w:rPr>
        <w:t>，代表所有联合体成员负责投标和合同实施阶段的主办、协调工作</w:t>
      </w:r>
      <w:r>
        <w:rPr>
          <w:rFonts w:hint="eastAsia"/>
          <w:color w:val="auto"/>
          <w:highlight w:val="none"/>
          <w:lang w:val="zh-CN"/>
        </w:rPr>
        <w:t>。</w:t>
      </w:r>
    </w:p>
    <w:p>
      <w:pPr>
        <w:rPr>
          <w:color w:val="auto"/>
          <w:highlight w:val="none"/>
          <w:lang w:val="zh-CN"/>
        </w:rPr>
      </w:pPr>
      <w:r>
        <w:rPr>
          <w:rFonts w:hint="eastAsia"/>
          <w:color w:val="auto"/>
          <w:highlight w:val="none"/>
          <w:lang w:val="zh-CN"/>
        </w:rPr>
        <w:t>二、</w:t>
      </w:r>
      <w:r>
        <w:rPr>
          <w:rFonts w:hint="eastAsia" w:cs="Arial"/>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授权代表根据招标文件规定及投标内容而对采购人、采购机构所作的任何合法承诺，包括书面澄清及相应等均对联合投标各方产生约束力。</w:t>
      </w:r>
    </w:p>
    <w:p>
      <w:pPr>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color w:val="auto"/>
          <w:highlight w:val="none"/>
          <w:lang w:val="zh-CN"/>
        </w:rPr>
        <w:t>……。</w:t>
      </w:r>
    </w:p>
    <w:p>
      <w:pPr>
        <w:rPr>
          <w:color w:val="auto"/>
          <w:highlight w:val="none"/>
          <w:lang w:val="zh-CN"/>
        </w:rPr>
      </w:pPr>
      <w:r>
        <w:rPr>
          <w:rFonts w:hint="eastAsia"/>
          <w:color w:val="auto"/>
          <w:highlight w:val="none"/>
          <w:lang w:val="zh-CN"/>
        </w:rPr>
        <w:t>四、</w:t>
      </w:r>
      <w:r>
        <w:rPr>
          <w:rFonts w:hint="eastAsia"/>
          <w:color w:val="auto"/>
          <w:highlight w:val="none"/>
          <w:u w:val="single"/>
        </w:rPr>
        <w:t>（联合体其中一方成员名称）</w:t>
      </w:r>
      <w:r>
        <w:rPr>
          <w:rFonts w:hint="eastAsia"/>
          <w:color w:val="auto"/>
          <w:highlight w:val="none"/>
        </w:rPr>
        <w:t>提供的全部货物由小微企业制造，其合同份额占到合同总金额</w:t>
      </w:r>
      <w:r>
        <w:rPr>
          <w:color w:val="auto"/>
          <w:highlight w:val="none"/>
          <w:u w:val="single"/>
        </w:rPr>
        <w:t xml:space="preserve">     </w:t>
      </w:r>
      <w:r>
        <w:rPr>
          <w:color w:val="auto"/>
          <w:highlight w:val="none"/>
        </w:rPr>
        <w:t>%以上；</w:t>
      </w:r>
      <w:r>
        <w:rPr>
          <w:rFonts w:hint="eastAsia"/>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color w:val="auto"/>
          <w:highlight w:val="none"/>
          <w:lang w:val="zh-CN"/>
        </w:rPr>
        <w:t xml:space="preserve"> 30%以上</w:t>
      </w:r>
      <w:r>
        <w:rPr>
          <w:rFonts w:hint="eastAsia"/>
          <w:color w:val="auto"/>
          <w:highlight w:val="none"/>
          <w:lang w:val="zh-CN"/>
        </w:rPr>
        <w:t>，对联合体报价给予6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color w:val="auto"/>
          <w:highlight w:val="none"/>
          <w:lang w:val="zh-CN"/>
        </w:rPr>
      </w:pPr>
      <w:r>
        <w:rPr>
          <w:rFonts w:hint="eastAsia"/>
          <w:color w:val="auto"/>
          <w:highlight w:val="none"/>
          <w:lang w:val="zh-CN"/>
        </w:rPr>
        <w:t>六、有关本次联合投标的其他事宜：</w:t>
      </w:r>
    </w:p>
    <w:p>
      <w:pPr>
        <w:rPr>
          <w:color w:val="auto"/>
          <w:highlight w:val="none"/>
          <w:lang w:val="zh-CN"/>
        </w:rPr>
      </w:pPr>
      <w:r>
        <w:rPr>
          <w:color w:val="auto"/>
          <w:highlight w:val="none"/>
          <w:lang w:val="zh-CN"/>
        </w:rPr>
        <w:t>1、联合体各方不再单独参加或者与其</w:t>
      </w:r>
      <w:r>
        <w:rPr>
          <w:rFonts w:hint="eastAsia"/>
          <w:color w:val="auto"/>
          <w:highlight w:val="none"/>
          <w:lang w:val="zh-CN"/>
        </w:rPr>
        <w:t>他供应商另外组成联合体参加同一合同项下的政府采购活动。</w:t>
      </w:r>
    </w:p>
    <w:p>
      <w:pPr>
        <w:rPr>
          <w:color w:val="auto"/>
          <w:highlight w:val="none"/>
          <w:lang w:val="zh-CN"/>
        </w:rPr>
      </w:pPr>
      <w:r>
        <w:rPr>
          <w:color w:val="auto"/>
          <w:highlight w:val="none"/>
          <w:lang w:val="zh-CN"/>
        </w:rPr>
        <w:t>2、联合体中有同类资质的各方按照联合体分工承担相同工作的，按照资质等级较低的供应商确定资质等级。</w:t>
      </w:r>
    </w:p>
    <w:p>
      <w:pPr>
        <w:rPr>
          <w:color w:val="auto"/>
          <w:highlight w:val="none"/>
          <w:lang w:val="zh-CN"/>
        </w:rPr>
      </w:pPr>
      <w:r>
        <w:rPr>
          <w:color w:val="auto"/>
          <w:highlight w:val="none"/>
          <w:lang w:val="zh-CN"/>
        </w:rPr>
        <w:t>3、本协议提交采购人、采购机构后，联合体各方不得以任何形式对上述内容进行修改或撤销。</w:t>
      </w:r>
    </w:p>
    <w:p>
      <w:pPr>
        <w:rPr>
          <w:color w:val="auto"/>
          <w:highlight w:val="none"/>
          <w:lang w:val="zh-CN"/>
        </w:rPr>
      </w:pPr>
      <w:r>
        <w:rPr>
          <w:rFonts w:hint="eastAsia"/>
          <w:color w:val="auto"/>
          <w:highlight w:val="none"/>
          <w:lang w:val="zh-CN"/>
        </w:rPr>
        <w:t>联合体成员名称</w:t>
      </w:r>
      <w:r>
        <w:rPr>
          <w:color w:val="auto"/>
          <w:highlight w:val="none"/>
          <w:lang w:val="zh-CN"/>
        </w:rPr>
        <w:t>(电子签名/公章)：</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四、分包意向协议</w:t>
      </w:r>
    </w:p>
    <w:p>
      <w:pPr>
        <w:rPr>
          <w:b/>
          <w:color w:val="auto"/>
          <w:highlight w:val="none"/>
        </w:rPr>
      </w:pPr>
      <w:r>
        <w:rPr>
          <w:rFonts w:hint="eastAsia"/>
          <w:b/>
          <w:color w:val="auto"/>
          <w:highlight w:val="none"/>
        </w:rPr>
        <w:t>（中标后以分包方式履行合同的，提供分包意向协议；采购人不同意分包或者投标人中标后不以分包方式履行合同的，则不需要提供。）</w:t>
      </w:r>
    </w:p>
    <w:p>
      <w:pPr>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pPr>
        <w:rPr>
          <w:color w:val="auto"/>
          <w:highlight w:val="none"/>
          <w:lang w:val="zh-CN"/>
        </w:rPr>
      </w:pPr>
      <w:r>
        <w:rPr>
          <w:rFonts w:hint="eastAsia"/>
          <w:color w:val="auto"/>
          <w:highlight w:val="none"/>
          <w:lang w:val="zh-CN"/>
        </w:rPr>
        <w:t>一、分包标的及数量</w:t>
      </w:r>
    </w:p>
    <w:p>
      <w:pPr>
        <w:rPr>
          <w:color w:val="auto"/>
          <w:highlight w:val="none"/>
          <w:lang w:val="zh-CN"/>
        </w:rPr>
      </w:pPr>
      <w:r>
        <w:rPr>
          <w:rFonts w:hint="eastAsia"/>
          <w:color w:val="auto"/>
          <w:highlight w:val="none"/>
          <w:u w:val="single"/>
        </w:rPr>
        <w:t>（投标人名称）</w:t>
      </w:r>
      <w:r>
        <w:rPr>
          <w:rFonts w:hint="eastAsia"/>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XX工作内容</w:t>
      </w:r>
      <w:r>
        <w:rPr>
          <w:rFonts w:hint="eastAsia"/>
          <w:color w:val="auto"/>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lang w:val="zh-CN"/>
        </w:rPr>
      </w:pPr>
      <w:r>
        <w:rPr>
          <w:rFonts w:hint="eastAsia"/>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color w:val="auto"/>
          <w:highlight w:val="none"/>
          <w:lang w:val="zh-CN"/>
        </w:rPr>
      </w:pPr>
      <w:r>
        <w:rPr>
          <w:rFonts w:hint="eastAsia"/>
          <w:color w:val="auto"/>
          <w:highlight w:val="none"/>
          <w:lang w:val="zh-CN"/>
        </w:rPr>
        <w:t>三、质量</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四、价款或者报酬</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五、违约责任</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六、争议解决的办法</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七、其他</w:t>
      </w:r>
    </w:p>
    <w:p>
      <w:pPr>
        <w:rPr>
          <w:color w:val="auto"/>
          <w:highlight w:val="none"/>
          <w:lang w:val="zh-CN"/>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color w:val="auto"/>
          <w:highlight w:val="none"/>
          <w:u w:val="single"/>
        </w:rPr>
        <w:t xml:space="preserve">     </w:t>
      </w:r>
      <w:r>
        <w:rPr>
          <w:color w:val="auto"/>
          <w:highlight w:val="none"/>
        </w:rPr>
        <w:t>%以上</w:t>
      </w:r>
      <w:r>
        <w:rPr>
          <w:rFonts w:hint="eastAsia"/>
          <w:color w:val="auto"/>
          <w:highlight w:val="none"/>
        </w:rPr>
        <w:t>。</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color w:val="auto"/>
          <w:highlight w:val="none"/>
          <w:lang w:val="zh-CN"/>
        </w:rPr>
        <w:t xml:space="preserve"> 30%以上</w:t>
      </w:r>
      <w:r>
        <w:rPr>
          <w:rFonts w:hint="eastAsia"/>
          <w:color w:val="auto"/>
          <w:highlight w:val="none"/>
          <w:lang w:val="zh-CN"/>
        </w:rPr>
        <w:t>的，对大中型企业的报价给予6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color w:val="auto"/>
          <w:highlight w:val="none"/>
          <w:lang w:val="zh-CN"/>
        </w:rPr>
        <w:t xml:space="preserve">                                               投标人名称(电子签名)：</w:t>
      </w:r>
    </w:p>
    <w:p>
      <w:pPr>
        <w:rPr>
          <w:color w:val="auto"/>
          <w:highlight w:val="none"/>
          <w:lang w:val="zh-CN"/>
        </w:rPr>
      </w:pPr>
      <w:r>
        <w:rPr>
          <w:rFonts w:hint="eastAsia"/>
          <w:color w:val="auto"/>
          <w:highlight w:val="none"/>
          <w:lang w:val="zh-CN"/>
        </w:rPr>
        <w:t>分包供应商名称：</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pStyle w:val="5"/>
        <w:rPr>
          <w:color w:val="auto"/>
          <w:highlight w:val="none"/>
        </w:rPr>
      </w:pPr>
      <w:r>
        <w:rPr>
          <w:color w:val="auto"/>
          <w:highlight w:val="none"/>
        </w:rPr>
        <w:br w:type="page"/>
      </w:r>
      <w:r>
        <w:rPr>
          <w:rFonts w:hint="eastAsia"/>
          <w:color w:val="auto"/>
          <w:highlight w:val="none"/>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highlight w:val="none"/>
              </w:rPr>
            </w:pPr>
            <w:r>
              <w:rPr>
                <w:rFonts w:hint="eastAsia"/>
                <w:b/>
                <w:color w:val="auto"/>
                <w:highlight w:val="none"/>
              </w:rPr>
              <w:t>序号</w:t>
            </w:r>
          </w:p>
        </w:tc>
        <w:tc>
          <w:tcPr>
            <w:tcW w:w="4140" w:type="dxa"/>
            <w:vAlign w:val="center"/>
          </w:tcPr>
          <w:p>
            <w:pPr>
              <w:snapToGrid w:val="0"/>
              <w:spacing w:line="240" w:lineRule="atLeast"/>
              <w:jc w:val="center"/>
              <w:rPr>
                <w:b/>
                <w:color w:val="auto"/>
                <w:highlight w:val="none"/>
              </w:rPr>
            </w:pPr>
            <w:r>
              <w:rPr>
                <w:rFonts w:hint="eastAsia"/>
                <w:b/>
                <w:color w:val="auto"/>
                <w:highlight w:val="none"/>
              </w:rPr>
              <w:t>实质性要求</w:t>
            </w:r>
          </w:p>
        </w:tc>
        <w:tc>
          <w:tcPr>
            <w:tcW w:w="2410" w:type="dxa"/>
            <w:vAlign w:val="center"/>
          </w:tcPr>
          <w:p>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pPr>
              <w:snapToGrid w:val="0"/>
              <w:spacing w:line="240" w:lineRule="atLeast"/>
              <w:jc w:val="center"/>
              <w:rPr>
                <w:b/>
                <w:color w:val="auto"/>
                <w:highlight w:val="none"/>
              </w:rPr>
            </w:pPr>
            <w:r>
              <w:rPr>
                <w:rFonts w:hint="eastAsia"/>
                <w:b/>
                <w:color w:val="auto"/>
                <w:highlight w:val="none"/>
              </w:rPr>
              <w:t>投标文件中的</w:t>
            </w:r>
          </w:p>
          <w:p>
            <w:pPr>
              <w:snapToGrid w:val="0"/>
              <w:spacing w:line="240" w:lineRule="atLeast"/>
              <w:jc w:val="center"/>
              <w:rPr>
                <w:b/>
                <w:color w:val="auto"/>
                <w:highlight w:val="none"/>
              </w:rPr>
            </w:pPr>
            <w:r>
              <w:rPr>
                <w:rFonts w:hint="eastAsia"/>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1</w:t>
            </w:r>
          </w:p>
        </w:tc>
        <w:tc>
          <w:tcPr>
            <w:tcW w:w="4140" w:type="dxa"/>
          </w:tcPr>
          <w:p>
            <w:pPr>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2410" w:type="dxa"/>
            <w:vAlign w:val="center"/>
          </w:tcPr>
          <w:p>
            <w:pPr>
              <w:rPr>
                <w:color w:val="auto"/>
                <w:highlight w:val="none"/>
              </w:rPr>
            </w:pPr>
            <w:r>
              <w:rPr>
                <w:rFonts w:hint="eastAsia"/>
                <w:color w:val="auto"/>
                <w:highlight w:val="none"/>
              </w:rPr>
              <w:t>需要使用电子签名或者签字盖章的投标文件的组成部分</w:t>
            </w:r>
          </w:p>
        </w:tc>
        <w:tc>
          <w:tcPr>
            <w:tcW w:w="1701" w:type="dxa"/>
          </w:tcPr>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auto"/>
                <w:highlight w:val="none"/>
              </w:rPr>
            </w:pPr>
            <w:r>
              <w:rPr>
                <w:rFonts w:ascii="仿宋_GB2312" w:eastAsia="仿宋_GB2312"/>
                <w:color w:val="auto"/>
                <w:highlight w:val="none"/>
              </w:rPr>
              <w:t>2</w:t>
            </w:r>
          </w:p>
        </w:tc>
        <w:tc>
          <w:tcPr>
            <w:tcW w:w="4140" w:type="dxa"/>
          </w:tcPr>
          <w:p>
            <w:pPr>
              <w:rPr>
                <w:rFonts w:ascii="仿宋_GB2312" w:eastAsia="仿宋_GB2312"/>
                <w:color w:val="auto"/>
                <w:highlight w:val="none"/>
              </w:rPr>
            </w:pPr>
            <w:r>
              <w:rPr>
                <w:rFonts w:hint="eastAsia" w:ascii="仿宋_GB2312" w:eastAsia="仿宋_GB2312"/>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auto"/>
                <w:highlight w:val="none"/>
              </w:rPr>
            </w:pPr>
            <w:r>
              <w:rPr>
                <w:rFonts w:hint="eastAsia" w:ascii="仿宋_GB2312" w:eastAsia="仿宋_GB2312" w:cs="仿宋_GB2312"/>
                <w:color w:val="auto"/>
                <w:highlight w:val="none"/>
              </w:rPr>
              <w:t>节能产品认证证书（本项目</w:t>
            </w:r>
            <w:r>
              <w:rPr>
                <w:rFonts w:hint="eastAsia" w:ascii="仿宋_GB2312" w:eastAsia="仿宋_GB2312"/>
                <w:color w:val="auto"/>
                <w:highlight w:val="none"/>
              </w:rPr>
              <w:t>拟采购的产品不属于政府强制采购的节能产品品目清单范围的</w:t>
            </w:r>
            <w:r>
              <w:rPr>
                <w:rFonts w:hint="eastAsia" w:ascii="仿宋_GB2312" w:eastAsia="仿宋_GB2312" w:cs="仿宋_GB2312"/>
                <w:color w:val="auto"/>
                <w:highlight w:val="none"/>
              </w:rPr>
              <w:t>，无需提供）</w:t>
            </w:r>
          </w:p>
        </w:tc>
        <w:tc>
          <w:tcPr>
            <w:tcW w:w="1701" w:type="dxa"/>
          </w:tcPr>
          <w:p>
            <w:pPr>
              <w:rPr>
                <w:rFonts w:cs="仿宋_GB2312"/>
                <w:color w:val="auto"/>
                <w:highlight w:val="none"/>
              </w:rPr>
            </w:pPr>
          </w:p>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3</w:t>
            </w:r>
          </w:p>
        </w:tc>
        <w:tc>
          <w:tcPr>
            <w:tcW w:w="4140" w:type="dxa"/>
          </w:tcPr>
          <w:p>
            <w:pPr>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2410" w:type="dxa"/>
            <w:vAlign w:val="center"/>
          </w:tcPr>
          <w:p>
            <w:pPr>
              <w:rPr>
                <w:color w:val="auto"/>
                <w:highlight w:val="none"/>
              </w:rPr>
            </w:pPr>
            <w:r>
              <w:rPr>
                <w:rFonts w:hint="eastAsia"/>
                <w:color w:val="auto"/>
                <w:highlight w:val="none"/>
              </w:rPr>
              <w:t>投标函</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4</w:t>
            </w:r>
          </w:p>
        </w:tc>
        <w:tc>
          <w:tcPr>
            <w:tcW w:w="4140" w:type="dxa"/>
          </w:tcPr>
          <w:p>
            <w:pPr>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2410" w:type="dxa"/>
            <w:vAlign w:val="center"/>
          </w:tcPr>
          <w:p>
            <w:pPr>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bl>
    <w:p>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rPr>
          <w:color w:val="auto"/>
          <w:highlight w:val="none"/>
        </w:rPr>
      </w:pPr>
      <w:r>
        <w:rPr>
          <w:rFonts w:hint="eastAsia"/>
          <w:color w:val="auto"/>
          <w:highlight w:val="none"/>
        </w:rPr>
        <w:t>六、评标标准相应的商务技术资料</w:t>
      </w:r>
    </w:p>
    <w:p>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color w:val="auto"/>
          <w:highlight w:val="none"/>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bl>
    <w:p>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pPr>
        <w:pStyle w:val="5"/>
        <w:rPr>
          <w:color w:val="auto"/>
          <w:highlight w:val="none"/>
        </w:rPr>
      </w:pPr>
      <w:r>
        <w:rPr>
          <w:rFonts w:hint="eastAsia"/>
          <w:color w:val="auto"/>
          <w:highlight w:val="none"/>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683"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54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bl>
    <w:p>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bCs/>
          <w:color w:val="auto"/>
          <w:highlight w:val="none"/>
        </w:rPr>
        <w:t>九</w:t>
      </w:r>
      <w:r>
        <w:rPr>
          <w:rFonts w:hint="eastAsia"/>
          <w:color w:val="auto"/>
          <w:highlight w:val="none"/>
        </w:rPr>
        <w:t>、</w:t>
      </w:r>
      <w:r>
        <w:rPr>
          <w:rFonts w:hint="eastAsia"/>
          <w:color w:val="auto"/>
          <w:highlight w:val="none"/>
          <w:lang w:val="zh-CN"/>
        </w:rPr>
        <w:t>政府采购供应商廉洁自律承诺书</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rFonts w:hAnsi="仿宋_GB2312"/>
          <w:color w:val="auto"/>
          <w:highlight w:val="none"/>
          <w:lang w:val="zh-CN"/>
        </w:rPr>
      </w:pPr>
      <w:r>
        <w:rPr>
          <w:rFonts w:hint="eastAsia" w:hAnsi="仿宋_GB2312"/>
          <w:color w:val="auto"/>
          <w:highlight w:val="none"/>
          <w:lang w:val="zh-CN"/>
        </w:rPr>
        <w:t>我单位响应你</w:t>
      </w:r>
      <w:r>
        <w:rPr>
          <w:rFonts w:hint="eastAsia" w:hAnsi="仿宋_GB2312"/>
          <w:color w:val="auto"/>
          <w:highlight w:val="none"/>
        </w:rPr>
        <w:t>单位</w:t>
      </w:r>
      <w:r>
        <w:rPr>
          <w:rFonts w:hint="eastAsia" w:hAnsi="仿宋_GB2312"/>
          <w:color w:val="auto"/>
          <w:highlight w:val="none"/>
          <w:lang w:val="zh-CN"/>
        </w:rPr>
        <w:t>项目招标要求参加投标。在这次投标过程中和中标后，我们将严格遵守国家法律法规要求，并郑重承诺：</w:t>
      </w:r>
    </w:p>
    <w:p>
      <w:pPr>
        <w:rPr>
          <w:rFonts w:hAnsi="仿宋_GB2312"/>
          <w:color w:val="auto"/>
          <w:highlight w:val="none"/>
          <w:lang w:val="zh-CN"/>
        </w:rPr>
      </w:pPr>
      <w:r>
        <w:rPr>
          <w:rFonts w:hint="eastAsia" w:hAnsi="仿宋_GB2312"/>
          <w:color w:val="auto"/>
          <w:highlight w:val="none"/>
          <w:lang w:val="zh-CN"/>
        </w:rPr>
        <w:t>一、不向项目有关人员及部门赠送礼金礼物、有价证券、回扣以及中介费、介绍费、咨询费等好处费；</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二、不为项目有关人员及部门报销应由你方单位或个人支付的费用；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三、不向项目有关人员及部门提供有可能影响公正的宴请和健身娱乐等活动；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四、不为项目有关人员及部门出国（境）、旅游等提供方便；</w:t>
      </w:r>
    </w:p>
    <w:p>
      <w:pPr>
        <w:rPr>
          <w:rFonts w:hAnsi="仿宋_GB2312"/>
          <w:color w:val="auto"/>
          <w:highlight w:val="none"/>
          <w:lang w:val="zh-CN"/>
        </w:rPr>
      </w:pPr>
      <w:r>
        <w:rPr>
          <w:rFonts w:hint="eastAsia" w:hAnsi="仿宋_GB2312"/>
          <w:color w:val="auto"/>
          <w:highlight w:val="none"/>
          <w:lang w:val="zh-CN"/>
        </w:rPr>
        <w:t>五、不为项目有关人员个人装修住房、婚丧嫁娶、配偶子女工作安排等提供</w:t>
      </w:r>
    </w:p>
    <w:p>
      <w:pPr>
        <w:rPr>
          <w:rFonts w:hAnsi="仿宋_GB2312"/>
          <w:color w:val="auto"/>
          <w:highlight w:val="none"/>
          <w:lang w:val="zh-CN"/>
        </w:rPr>
      </w:pPr>
      <w:r>
        <w:rPr>
          <w:rFonts w:hint="eastAsia" w:hAnsi="仿宋_GB2312"/>
          <w:color w:val="auto"/>
          <w:highlight w:val="none"/>
          <w:lang w:val="zh-CN"/>
        </w:rPr>
        <w:t>好处；</w:t>
      </w:r>
    </w:p>
    <w:p>
      <w:pPr>
        <w:rPr>
          <w:rFonts w:hAnsi="仿宋_GB2312"/>
          <w:color w:val="auto"/>
          <w:highlight w:val="none"/>
          <w:lang w:val="zh-CN"/>
        </w:rPr>
      </w:pPr>
      <w:r>
        <w:rPr>
          <w:rFonts w:hint="eastAsia" w:hAnsi="仿宋_GB2312"/>
          <w:color w:val="auto"/>
          <w:highlight w:val="none"/>
          <w:lang w:val="zh-CN"/>
        </w:rPr>
        <w:t>六、严格遵守《</w:t>
      </w:r>
      <w:r>
        <w:rPr>
          <w:rFonts w:hint="eastAsia" w:hAnsi="楷体"/>
          <w:color w:val="auto"/>
          <w:highlight w:val="none"/>
          <w:lang w:val="zh-CN"/>
        </w:rPr>
        <w:t>中华人民共和国</w:t>
      </w:r>
      <w:r>
        <w:rPr>
          <w:rFonts w:hint="eastAsia" w:hAnsi="仿宋_GB2312"/>
          <w:color w:val="auto"/>
          <w:highlight w:val="none"/>
          <w:lang w:val="zh-CN"/>
        </w:rPr>
        <w:t>政府采购法》《</w:t>
      </w:r>
      <w:r>
        <w:rPr>
          <w:rFonts w:hint="eastAsia" w:hAnsi="楷体"/>
          <w:color w:val="auto"/>
          <w:highlight w:val="none"/>
          <w:lang w:val="zh-CN"/>
        </w:rPr>
        <w:t>中华人民共和国</w:t>
      </w:r>
      <w:r>
        <w:rPr>
          <w:rFonts w:hint="eastAsia" w:hAnsi="仿宋_GB2312"/>
          <w:color w:val="auto"/>
          <w:highlight w:val="none"/>
          <w:lang w:val="zh-CN"/>
        </w:rPr>
        <w:t>招标投标</w:t>
      </w:r>
    </w:p>
    <w:p>
      <w:pPr>
        <w:rPr>
          <w:rFonts w:hAnsi="仿宋_GB2312"/>
          <w:color w:val="auto"/>
          <w:highlight w:val="none"/>
          <w:lang w:val="zh-CN"/>
        </w:rPr>
      </w:pPr>
      <w:r>
        <w:rPr>
          <w:rFonts w:hint="eastAsia" w:hAnsi="仿宋_GB2312"/>
          <w:color w:val="auto"/>
          <w:highlight w:val="none"/>
          <w:lang w:val="zh-CN"/>
        </w:rPr>
        <w:t>法》</w:t>
      </w:r>
      <w:r>
        <w:rPr>
          <w:rFonts w:hint="eastAsia" w:hAnsi="楷体"/>
          <w:color w:val="auto"/>
          <w:highlight w:val="none"/>
          <w:lang w:val="zh-CN"/>
        </w:rPr>
        <w:t>《中华人民共和国民法典》</w:t>
      </w:r>
      <w:r>
        <w:rPr>
          <w:rFonts w:hint="eastAsia" w:hAnsi="仿宋_GB2312"/>
          <w:color w:val="auto"/>
          <w:highlight w:val="none"/>
          <w:lang w:val="zh-CN"/>
        </w:rPr>
        <w:t>等法律法规，诚实守信，合法经营，坚决抵制各种违法违纪行为。</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如违反上述承诺，你</w:t>
      </w:r>
      <w:r>
        <w:rPr>
          <w:rFonts w:hint="eastAsia" w:hAnsi="仿宋_GB2312"/>
          <w:color w:val="auto"/>
          <w:highlight w:val="none"/>
        </w:rPr>
        <w:t>单位</w:t>
      </w:r>
      <w:r>
        <w:rPr>
          <w:rFonts w:hint="eastAsia" w:hAnsi="仿宋_GB2312"/>
          <w:color w:val="auto"/>
          <w:highlight w:val="none"/>
          <w:lang w:val="zh-CN"/>
        </w:rPr>
        <w:t>有权立即取消我单位投标、中标或在建项目的建设资格，有权拒绝我单位在一定时期内进入你</w:t>
      </w:r>
      <w:r>
        <w:rPr>
          <w:rFonts w:hint="eastAsia" w:hAnsi="仿宋_GB2312"/>
          <w:color w:val="auto"/>
          <w:highlight w:val="none"/>
        </w:rPr>
        <w:t>单位</w:t>
      </w:r>
      <w:r>
        <w:rPr>
          <w:rFonts w:hint="eastAsia" w:hAnsi="仿宋_GB2312"/>
          <w:color w:val="auto"/>
          <w:highlight w:val="none"/>
          <w:lang w:val="zh-CN"/>
        </w:rPr>
        <w:t>进行项目建设或其他经营活动，并通报市财政局。由此引起的相应损失均由我单位承担。</w:t>
      </w:r>
    </w:p>
    <w:p>
      <w:pPr>
        <w:rPr>
          <w:rFonts w:hAnsi="仿宋_GB2312"/>
          <w:color w:val="auto"/>
          <w:highlight w:val="none"/>
          <w:lang w:val="zh-CN"/>
        </w:rPr>
      </w:pPr>
    </w:p>
    <w:p>
      <w:pPr>
        <w:rPr>
          <w:rFonts w:hAnsi="仿宋_GB2312"/>
          <w:color w:val="auto"/>
          <w:highlight w:val="none"/>
          <w:lang w:val="zh-CN"/>
        </w:rPr>
      </w:pPr>
    </w:p>
    <w:p>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pPr>
        <w:rPr>
          <w:b/>
          <w:bCs/>
          <w:color w:val="auto"/>
          <w:highlight w:val="non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报价文件部分</w:t>
      </w:r>
    </w:p>
    <w:p>
      <w:pPr>
        <w:jc w:val="center"/>
        <w:rPr>
          <w:color w:val="auto"/>
          <w:sz w:val="40"/>
          <w:highlight w:val="none"/>
        </w:rPr>
      </w:pPr>
      <w:r>
        <w:rPr>
          <w:rFonts w:hint="eastAsia"/>
          <w:color w:val="auto"/>
          <w:sz w:val="40"/>
          <w:highlight w:val="none"/>
        </w:rPr>
        <w:t>目录</w:t>
      </w:r>
    </w:p>
    <w:p>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pPr>
        <w:rPr>
          <w:color w:val="auto"/>
          <w:highlight w:val="none"/>
        </w:rPr>
      </w:pPr>
      <w:r>
        <w:rPr>
          <w:rFonts w:hint="eastAsia"/>
          <w:color w:val="auto"/>
          <w:highlight w:val="none"/>
        </w:rPr>
        <w:t>（</w:t>
      </w:r>
      <w:r>
        <w:rPr>
          <w:color w:val="auto"/>
          <w:highlight w:val="none"/>
        </w:rPr>
        <w:t>2）中小企业声明函……</w:t>
      </w:r>
      <w:r>
        <w:rPr>
          <w:rFonts w:hint="eastAsia"/>
          <w:color w:val="auto"/>
          <w:highlight w:val="none"/>
        </w:rPr>
        <w:t>……………………………………………………（页码）</w:t>
      </w:r>
    </w:p>
    <w:p>
      <w:pPr>
        <w:snapToGrid w:val="0"/>
        <w:spacing w:line="360" w:lineRule="auto"/>
        <w:ind w:right="480"/>
        <w:jc w:val="center"/>
        <w:rPr>
          <w:rFonts w:ascii="仿宋_GB2312" w:eastAsia="仿宋_GB2312" w:cs="仿宋_GB2312"/>
          <w:b/>
          <w:color w:val="auto"/>
          <w:sz w:val="32"/>
          <w:szCs w:val="32"/>
          <w:highlight w:val="none"/>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5"/>
        <w:rPr>
          <w:color w:val="auto"/>
          <w:highlight w:val="none"/>
        </w:rPr>
      </w:pPr>
      <w:r>
        <w:rPr>
          <w:rFonts w:hint="eastAsia"/>
          <w:color w:val="auto"/>
          <w:highlight w:val="none"/>
        </w:rPr>
        <w:t>一、开标一览表（报价表）</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pPr>
        <w:jc w:val="center"/>
        <w:rPr>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auto"/>
                <w:highlight w:val="none"/>
              </w:rPr>
            </w:pPr>
            <w:r>
              <w:rPr>
                <w:rFonts w:hint="eastAsia"/>
                <w:b/>
                <w:color w:val="auto"/>
                <w:highlight w:val="none"/>
              </w:rPr>
              <w:t>序号</w:t>
            </w:r>
          </w:p>
        </w:tc>
        <w:tc>
          <w:tcPr>
            <w:tcW w:w="1417" w:type="dxa"/>
            <w:vAlign w:val="center"/>
          </w:tcPr>
          <w:p>
            <w:pPr>
              <w:jc w:val="center"/>
              <w:rPr>
                <w:b/>
                <w:color w:val="auto"/>
                <w:highlight w:val="none"/>
              </w:rPr>
            </w:pPr>
            <w:r>
              <w:rPr>
                <w:rFonts w:hint="eastAsia"/>
                <w:b/>
                <w:color w:val="auto"/>
                <w:highlight w:val="none"/>
              </w:rPr>
              <w:t>名称</w:t>
            </w:r>
          </w:p>
        </w:tc>
        <w:tc>
          <w:tcPr>
            <w:tcW w:w="1843" w:type="dxa"/>
          </w:tcPr>
          <w:p>
            <w:pPr>
              <w:jc w:val="center"/>
              <w:rPr>
                <w:b/>
                <w:color w:val="auto"/>
                <w:highlight w:val="none"/>
              </w:rPr>
            </w:pPr>
          </w:p>
          <w:p>
            <w:pPr>
              <w:jc w:val="center"/>
              <w:rPr>
                <w:b/>
                <w:color w:val="auto"/>
                <w:highlight w:val="none"/>
              </w:rPr>
            </w:pPr>
            <w:r>
              <w:rPr>
                <w:rFonts w:hint="eastAsia"/>
                <w:b/>
                <w:color w:val="auto"/>
                <w:highlight w:val="none"/>
              </w:rPr>
              <w:t>品牌（如果有）</w:t>
            </w:r>
          </w:p>
        </w:tc>
        <w:tc>
          <w:tcPr>
            <w:tcW w:w="3118" w:type="dxa"/>
            <w:vAlign w:val="center"/>
          </w:tcPr>
          <w:p>
            <w:pPr>
              <w:jc w:val="center"/>
              <w:rPr>
                <w:b/>
                <w:color w:val="auto"/>
                <w:highlight w:val="none"/>
              </w:rPr>
            </w:pPr>
            <w:r>
              <w:rPr>
                <w:rFonts w:hint="eastAsia"/>
                <w:b/>
                <w:color w:val="auto"/>
                <w:highlight w:val="none"/>
              </w:rPr>
              <w:t>规格型号（或具体服务）</w:t>
            </w:r>
          </w:p>
        </w:tc>
        <w:tc>
          <w:tcPr>
            <w:tcW w:w="993" w:type="dxa"/>
            <w:vAlign w:val="center"/>
          </w:tcPr>
          <w:p>
            <w:pPr>
              <w:jc w:val="center"/>
              <w:rPr>
                <w:b/>
                <w:color w:val="auto"/>
                <w:highlight w:val="none"/>
              </w:rPr>
            </w:pPr>
            <w:r>
              <w:rPr>
                <w:rFonts w:hint="eastAsia"/>
                <w:b/>
                <w:color w:val="auto"/>
                <w:highlight w:val="none"/>
              </w:rPr>
              <w:t>数量</w:t>
            </w:r>
          </w:p>
        </w:tc>
        <w:tc>
          <w:tcPr>
            <w:tcW w:w="1559" w:type="dxa"/>
            <w:vAlign w:val="center"/>
          </w:tcPr>
          <w:p>
            <w:pPr>
              <w:jc w:val="center"/>
              <w:rPr>
                <w:b/>
                <w:color w:val="auto"/>
                <w:highlight w:val="none"/>
              </w:rPr>
            </w:pPr>
            <w:r>
              <w:rPr>
                <w:rFonts w:hint="eastAsia"/>
                <w:b/>
                <w:color w:val="auto"/>
                <w:highlight w:val="none"/>
              </w:rPr>
              <w:t>单价</w:t>
            </w:r>
          </w:p>
        </w:tc>
        <w:tc>
          <w:tcPr>
            <w:tcW w:w="1984" w:type="dxa"/>
            <w:vAlign w:val="center"/>
          </w:tcPr>
          <w:p>
            <w:pPr>
              <w:jc w:val="center"/>
              <w:rPr>
                <w:b/>
                <w:color w:val="auto"/>
                <w:highlight w:val="none"/>
              </w:rPr>
            </w:pPr>
            <w:r>
              <w:rPr>
                <w:rFonts w:hint="eastAsia"/>
                <w:b/>
                <w:color w:val="auto"/>
                <w:highlight w:val="none"/>
              </w:rPr>
              <w:t>总价</w:t>
            </w:r>
          </w:p>
        </w:tc>
        <w:tc>
          <w:tcPr>
            <w:tcW w:w="3119" w:type="dxa"/>
            <w:vAlign w:val="center"/>
          </w:tcPr>
          <w:p>
            <w:pPr>
              <w:jc w:val="center"/>
              <w:rPr>
                <w:b/>
                <w:color w:val="auto"/>
                <w:highlight w:val="none"/>
              </w:rPr>
            </w:pPr>
          </w:p>
          <w:p>
            <w:pPr>
              <w:jc w:val="center"/>
              <w:rPr>
                <w:b/>
                <w:color w:val="auto"/>
                <w:highlight w:val="none"/>
              </w:rPr>
            </w:pPr>
            <w:r>
              <w:rPr>
                <w:rFonts w:hint="eastAsia"/>
                <w:b/>
                <w:color w:val="auto"/>
                <w:highlight w:val="none"/>
              </w:rPr>
              <w:t>质保或服务年限</w:t>
            </w:r>
          </w:p>
          <w:p>
            <w:pPr>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auto"/>
                <w:highlight w:val="none"/>
              </w:rPr>
            </w:pPr>
            <w:r>
              <w:rPr>
                <w:color w:val="auto"/>
                <w:highlight w:val="none"/>
              </w:rPr>
              <w:t>1</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color w:val="auto"/>
                <w:highlight w:val="none"/>
              </w:rPr>
              <w:t>2</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rFonts w:hint="eastAsia"/>
                <w:color w:val="auto"/>
                <w:highlight w:val="none"/>
              </w:rPr>
              <w:t>…</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auto"/>
                <w:highlight w:val="none"/>
              </w:rPr>
            </w:pPr>
            <w:r>
              <w:rPr>
                <w:rFonts w:hint="eastAsia"/>
                <w:b/>
                <w:color w:val="auto"/>
                <w:highlight w:val="none"/>
              </w:rPr>
              <w:t>投标报价（小写）</w:t>
            </w:r>
          </w:p>
        </w:tc>
        <w:tc>
          <w:tcPr>
            <w:tcW w:w="7655"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auto"/>
                <w:highlight w:val="none"/>
              </w:rPr>
            </w:pPr>
            <w:r>
              <w:rPr>
                <w:rFonts w:hint="eastAsia"/>
                <w:b/>
                <w:color w:val="auto"/>
                <w:highlight w:val="none"/>
              </w:rPr>
              <w:t>投标报价（大写）</w:t>
            </w:r>
          </w:p>
        </w:tc>
        <w:tc>
          <w:tcPr>
            <w:tcW w:w="7655" w:type="dxa"/>
            <w:gridSpan w:val="4"/>
            <w:vAlign w:val="center"/>
          </w:tcPr>
          <w:p>
            <w:pPr>
              <w:rPr>
                <w:color w:val="auto"/>
                <w:highlight w:val="none"/>
              </w:rPr>
            </w:pPr>
          </w:p>
        </w:tc>
      </w:tr>
    </w:tbl>
    <w:p>
      <w:pPr>
        <w:rPr>
          <w:b/>
          <w:color w:val="auto"/>
          <w:highlight w:val="none"/>
          <w:lang w:val="zh-CN"/>
        </w:rPr>
      </w:pPr>
      <w:r>
        <w:rPr>
          <w:rFonts w:hint="eastAsia"/>
          <w:b/>
          <w:color w:val="auto"/>
          <w:highlight w:val="none"/>
          <w:lang w:val="zh-CN"/>
        </w:rPr>
        <w:t>注：</w:t>
      </w:r>
    </w:p>
    <w:p>
      <w:pPr>
        <w:rPr>
          <w:color w:val="auto"/>
          <w:highlight w:val="none"/>
          <w:lang w:val="zh-CN"/>
        </w:rPr>
      </w:pPr>
      <w:r>
        <w:rPr>
          <w:color w:val="auto"/>
          <w:highlight w:val="none"/>
          <w:lang w:val="zh-CN"/>
        </w:rPr>
        <w:t>1、投标人需按本表格式填写，不得自行更改。</w:t>
      </w:r>
      <w:r>
        <w:rPr>
          <w:color w:val="auto"/>
          <w:highlight w:val="none"/>
          <w:lang w:val="zh-CN"/>
        </w:rPr>
        <w:tab/>
      </w:r>
    </w:p>
    <w:p>
      <w:pPr>
        <w:rPr>
          <w:color w:val="auto"/>
          <w:highlight w:val="none"/>
        </w:rPr>
      </w:pPr>
      <w:r>
        <w:rPr>
          <w:color w:val="auto"/>
          <w:highlight w:val="none"/>
          <w:lang w:val="zh-CN"/>
        </w:rPr>
        <w:t>2、有关本项目实施所涉及的一切费用均计入报价。</w:t>
      </w:r>
      <w:r>
        <w:rPr>
          <w:rFonts w:hint="eastAsia"/>
          <w:b/>
          <w:color w:val="auto"/>
          <w:highlight w:val="none"/>
          <w:lang w:val="zh-CN"/>
        </w:rPr>
        <w:t>采购人将以合同形式有偿取得货物或服务，不接受投标人给予的赠品、回扣或者与采购无关的其他商品、服务</w:t>
      </w:r>
      <w:r>
        <w:rPr>
          <w:rFonts w:hint="eastAsia"/>
          <w:color w:val="auto"/>
          <w:highlight w:val="none"/>
          <w:lang w:val="zh-CN"/>
        </w:rPr>
        <w:t>，</w:t>
      </w:r>
      <w:r>
        <w:rPr>
          <w:rFonts w:hint="eastAsia"/>
          <w:b/>
          <w:color w:val="auto"/>
          <w:highlight w:val="none"/>
          <w:lang w:val="zh-CN"/>
        </w:rPr>
        <w:t>不得出现“</w:t>
      </w:r>
      <w:r>
        <w:rPr>
          <w:b/>
          <w:color w:val="auto"/>
          <w:highlight w:val="none"/>
          <w:lang w:val="zh-CN"/>
        </w:rPr>
        <w:t>0元”“免费赠送”等形式的无偿报价</w:t>
      </w:r>
      <w:r>
        <w:rPr>
          <w:rFonts w:hint="eastAsia"/>
          <w:b/>
          <w:color w:val="auto"/>
          <w:highlight w:val="none"/>
          <w:lang w:val="zh-CN"/>
        </w:rPr>
        <w:t>，</w:t>
      </w:r>
      <w:r>
        <w:rPr>
          <w:rFonts w:hint="eastAsia"/>
          <w:b/>
          <w:color w:val="auto"/>
          <w:highlight w:val="none"/>
        </w:rPr>
        <w:t>否则视为投标文件含有采购人不能接受的附加条件的，投标无效</w:t>
      </w:r>
      <w:r>
        <w:rPr>
          <w:rFonts w:hint="eastAsia"/>
          <w:b/>
          <w:color w:val="auto"/>
          <w:highlight w:val="none"/>
          <w:lang w:val="zh-CN"/>
        </w:rPr>
        <w:t>；采购内容未包含在《开标一览表（报价表）》名称栏中，投标人不能作出合理解释的，</w:t>
      </w:r>
      <w:r>
        <w:rPr>
          <w:rFonts w:hint="eastAsia"/>
          <w:b/>
          <w:color w:val="auto"/>
          <w:highlight w:val="none"/>
        </w:rPr>
        <w:t>视为投标文件含有采购人不能接受的附加条件的，投标无效。</w:t>
      </w:r>
    </w:p>
    <w:p>
      <w:pPr>
        <w:rPr>
          <w:color w:val="auto"/>
          <w:highlight w:val="none"/>
          <w:lang w:val="zh-CN"/>
        </w:rPr>
      </w:pPr>
      <w:r>
        <w:rPr>
          <w:color w:val="auto"/>
          <w:highlight w:val="none"/>
          <w:lang w:val="zh-CN"/>
        </w:rPr>
        <w:t>3、以上表格要求细分项目及报价，在“规格型号（或具体服务）”一栏中，货物类项目填写规格型号，服务类项目填写具体服务。</w:t>
      </w:r>
    </w:p>
    <w:p>
      <w:pPr>
        <w:rPr>
          <w:color w:val="auto"/>
          <w:highlight w:val="none"/>
          <w:lang w:val="zh-CN"/>
        </w:rPr>
      </w:pPr>
      <w:r>
        <w:rPr>
          <w:color w:val="auto"/>
          <w:highlight w:val="none"/>
          <w:lang w:val="zh-CN"/>
        </w:rPr>
        <w:t>4、特别提示：采购机构将对项目名称和项目编号，中标供应商名称、地址和中标金额，主要中标标的</w:t>
      </w:r>
      <w:r>
        <w:rPr>
          <w:rFonts w:hint="eastAsia"/>
          <w:color w:val="auto"/>
          <w:highlight w:val="none"/>
          <w:lang w:val="zh-CN"/>
        </w:rPr>
        <w:t>的名称、规格型号、数量、单价、服务要求等予以公示。</w:t>
      </w:r>
    </w:p>
    <w:p>
      <w:pPr>
        <w:rPr>
          <w:color w:val="auto"/>
          <w:highlight w:val="none"/>
          <w:lang w:val="zh-CN"/>
        </w:rPr>
      </w:pPr>
      <w:r>
        <w:rPr>
          <w:color w:val="auto"/>
          <w:szCs w:val="22"/>
          <w:highlight w:val="none"/>
          <w:lang w:val="zh-CN"/>
        </w:rPr>
        <w:t>5、</w:t>
      </w:r>
      <w:r>
        <w:rPr>
          <w:rFonts w:hint="eastAsia"/>
          <w:color w:val="auto"/>
          <w:highlight w:val="none"/>
          <w:lang w:val="zh-CN"/>
        </w:rPr>
        <w:t>符合招标文件中列明的可享受中小企业扶持政策的投标人，请填写中小企业声明函。注：投标人</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auto"/>
          <w:highlight w:val="none"/>
        </w:rPr>
        <w:sectPr>
          <w:pgSz w:w="16838" w:h="11906" w:orient="landscape"/>
          <w:pgMar w:top="1800" w:right="1440" w:bottom="1700" w:left="1440" w:header="851" w:footer="992" w:gutter="0"/>
          <w:cols w:space="425" w:num="1"/>
          <w:docGrid w:type="lines" w:linePitch="326" w:charSpace="0"/>
        </w:sectPr>
      </w:pPr>
    </w:p>
    <w:p>
      <w:pPr>
        <w:pStyle w:val="5"/>
        <w:rPr>
          <w:color w:val="auto"/>
          <w:highlight w:val="none"/>
        </w:rPr>
      </w:pPr>
      <w:r>
        <w:rPr>
          <w:rFonts w:hint="eastAsia" w:cs="仿宋_GB2312"/>
          <w:color w:val="auto"/>
          <w:kern w:val="2"/>
          <w:highlight w:val="none"/>
        </w:rPr>
        <w:t>二、</w:t>
      </w:r>
      <w:r>
        <w:rPr>
          <w:rFonts w:hint="eastAsia"/>
          <w:color w:val="auto"/>
          <w:highlight w:val="none"/>
        </w:rPr>
        <w:t>中小企业声明函</w:t>
      </w:r>
    </w:p>
    <w:p>
      <w:pPr>
        <w:spacing w:line="360" w:lineRule="auto"/>
        <w:ind w:firstLine="120" w:firstLineChars="50"/>
        <w:rPr>
          <w:rFonts w:ascii="仿宋_GB2312" w:eastAsia="仿宋_GB2312" w:cs="仿宋_GB2312"/>
          <w:b/>
          <w:color w:val="auto"/>
          <w:highlight w:val="none"/>
        </w:rPr>
      </w:pPr>
      <w:r>
        <w:rPr>
          <w:rFonts w:hint="eastAsia" w:asci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auto"/>
          <w:highlight w:val="none"/>
        </w:rPr>
        <w:t>5）。</w:t>
      </w:r>
      <w:r>
        <w:rPr>
          <w:rFonts w:hint="eastAsia" w:ascii="仿宋_GB2312" w:eastAsia="仿宋_GB2312" w:cs="仿宋_GB2312"/>
          <w:b/>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color w:val="auto"/>
          <w:highlight w:val="none"/>
        </w:rPr>
        <w:t>政府采购支持中小企业信用融资相关事项通知</w:t>
      </w:r>
    </w:p>
    <w:p>
      <w:pPr>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pPr>
        <w:rPr>
          <w:b/>
          <w:color w:val="auto"/>
          <w:highlight w:val="none"/>
        </w:rPr>
      </w:pPr>
      <w:r>
        <w:rPr>
          <w:rFonts w:hint="eastAsia"/>
          <w:b/>
          <w:color w:val="auto"/>
          <w:highlight w:val="none"/>
        </w:rPr>
        <w:t>一、适用对象</w:t>
      </w:r>
    </w:p>
    <w:p>
      <w:pPr>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pPr>
        <w:rPr>
          <w:b/>
          <w:color w:val="auto"/>
          <w:highlight w:val="none"/>
        </w:rPr>
      </w:pPr>
      <w:r>
        <w:rPr>
          <w:rFonts w:hint="eastAsia"/>
          <w:b/>
          <w:color w:val="auto"/>
          <w:highlight w:val="none"/>
        </w:rPr>
        <w:t>二、相关信息获取方式</w:t>
      </w:r>
    </w:p>
    <w:p>
      <w:pPr>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auto"/>
          <w:highlight w:val="none"/>
        </w:rPr>
      </w:pPr>
      <w:r>
        <w:rPr>
          <w:rFonts w:hint="eastAsia"/>
          <w:b/>
          <w:color w:val="auto"/>
          <w:highlight w:val="none"/>
        </w:rPr>
        <w:t>三、　政府采购信用融资操作流程：</w:t>
      </w:r>
    </w:p>
    <w:p>
      <w:pPr>
        <w:rPr>
          <w:color w:val="auto"/>
          <w:highlight w:val="none"/>
        </w:rPr>
      </w:pPr>
      <w:r>
        <w:rPr>
          <w:rFonts w:hint="eastAsia"/>
          <w:color w:val="auto"/>
          <w:highlight w:val="none"/>
        </w:rPr>
        <w:t>（一）线上融资模式：</w:t>
      </w:r>
    </w:p>
    <w:p>
      <w:pPr>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pPr>
        <w:rPr>
          <w:color w:val="auto"/>
          <w:highlight w:val="none"/>
        </w:rPr>
      </w:pPr>
      <w:r>
        <w:rPr>
          <w:rFonts w:hint="eastAsia"/>
          <w:color w:val="auto"/>
          <w:highlight w:val="none"/>
        </w:rPr>
        <w:t>　　</w:t>
      </w:r>
      <w:r>
        <w:rPr>
          <w:color w:val="auto"/>
          <w:highlight w:val="none"/>
        </w:rPr>
        <w:t>2.供应商中标后，可通过杭州市政府采购网或“浙里办”测算授信额度；</w:t>
      </w:r>
    </w:p>
    <w:p>
      <w:pPr>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4.审批通过后，在线办理放贷手续。</w:t>
      </w:r>
    </w:p>
    <w:p>
      <w:pPr>
        <w:rPr>
          <w:color w:val="auto"/>
          <w:highlight w:val="none"/>
        </w:rPr>
      </w:pPr>
      <w:r>
        <w:rPr>
          <w:rFonts w:hint="eastAsia"/>
          <w:color w:val="auto"/>
          <w:highlight w:val="none"/>
        </w:rPr>
        <w:t>　　（二）线下融资模式：</w:t>
      </w:r>
    </w:p>
    <w:p>
      <w:pPr>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pPr>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pPr>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pPr>
        <w:rPr>
          <w:b/>
          <w:bCs/>
          <w:color w:val="auto"/>
          <w:highlight w:val="none"/>
        </w:rPr>
      </w:pPr>
      <w:r>
        <w:rPr>
          <w:rFonts w:hint="eastAsia"/>
          <w:color w:val="auto"/>
          <w:highlight w:val="none"/>
        </w:rPr>
        <w:t>（三）杭州e融平台申请融资</w:t>
      </w:r>
    </w:p>
    <w:p>
      <w:pPr>
        <w:rPr>
          <w:b/>
          <w:bCs/>
          <w:color w:val="auto"/>
          <w:highlight w:val="none"/>
        </w:rPr>
      </w:pPr>
      <w:r>
        <w:rPr>
          <w:rFonts w:hint="eastAsia"/>
          <w:color w:val="auto"/>
          <w:highlight w:val="none"/>
        </w:rPr>
        <w:t>供应商通过杭州e融平台政采贷专区，自行选择金融产品，按规定手续办理贷款流程。</w:t>
      </w:r>
    </w:p>
    <w:p>
      <w:pPr>
        <w:rPr>
          <w:b/>
          <w:color w:val="auto"/>
          <w:highlight w:val="none"/>
        </w:rPr>
      </w:pPr>
      <w:r>
        <w:rPr>
          <w:rFonts w:hint="eastAsia"/>
          <w:b/>
          <w:color w:val="auto"/>
          <w:highlight w:val="none"/>
        </w:rPr>
        <w:t>四、注意事项</w:t>
      </w:r>
    </w:p>
    <w:p>
      <w:pPr>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pPr>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pPr>
        <w:spacing w:line="360" w:lineRule="auto"/>
        <w:ind w:left="5060" w:hanging="5060" w:hangingChars="2100"/>
        <w:rPr>
          <w:rFonts w:ascii="仿宋_GB2312" w:eastAsia="仿宋_GB2312" w:cs="仿宋_GB2312"/>
          <w:b/>
          <w:bCs/>
          <w:color w:val="auto"/>
          <w:highlight w:val="none"/>
        </w:rPr>
      </w:pPr>
    </w:p>
    <w:p>
      <w:pPr>
        <w:spacing w:line="360" w:lineRule="auto"/>
        <w:ind w:firstLine="120" w:firstLineChars="50"/>
        <w:rPr>
          <w:rFonts w:ascii="仿宋_GB2312" w:eastAsia="仿宋_GB2312" w:cs="仿宋_GB2312"/>
          <w:b/>
          <w:color w:val="auto"/>
          <w:highlight w:val="none"/>
        </w:rPr>
      </w:pPr>
    </w:p>
    <w:p>
      <w:pPr>
        <w:spacing w:line="360" w:lineRule="auto"/>
        <w:ind w:firstLine="482" w:firstLineChars="200"/>
        <w:rPr>
          <w:rFonts w:ascii="仿宋_GB2312" w:eastAsia="仿宋_GB2312"/>
          <w:b/>
          <w:color w:val="auto"/>
          <w:highlight w:val="none"/>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rPr>
          <w:color w:val="auto"/>
          <w:highlight w:val="none"/>
        </w:rPr>
      </w:pPr>
      <w:bookmarkStart w:id="525" w:name="_Toc465665161"/>
      <w:r>
        <w:rPr>
          <w:rFonts w:hint="eastAsia"/>
          <w:color w:val="auto"/>
          <w:highlight w:val="none"/>
        </w:rPr>
        <w:t>附件</w:t>
      </w:r>
      <w:bookmarkEnd w:id="525"/>
    </w:p>
    <w:p>
      <w:pPr>
        <w:pStyle w:val="5"/>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残疾人福利性单位声明函</w:t>
      </w:r>
    </w:p>
    <w:p>
      <w:pPr>
        <w:spacing w:line="360" w:lineRule="auto"/>
        <w:jc w:val="center"/>
        <w:rPr>
          <w:rFonts w:ascii="仿宋_GB2312" w:eastAsia="仿宋_GB2312"/>
          <w:b/>
          <w:color w:val="auto"/>
          <w:spacing w:val="6"/>
          <w:sz w:val="32"/>
          <w:szCs w:val="32"/>
          <w:highlight w:val="none"/>
        </w:rPr>
      </w:pPr>
      <w:bookmarkStart w:id="526" w:name="OLE_LINK13"/>
      <w:bookmarkStart w:id="527" w:name="OLE_LINK14"/>
      <w:r>
        <w:rPr>
          <w:rFonts w:hint="eastAsia" w:ascii="仿宋_GB2312" w:eastAsia="仿宋_GB2312"/>
          <w:b/>
          <w:color w:val="auto"/>
          <w:spacing w:val="6"/>
          <w:sz w:val="32"/>
          <w:szCs w:val="32"/>
          <w:highlight w:val="none"/>
        </w:rPr>
        <w:t>残疾人福利性单位声明函</w:t>
      </w:r>
    </w:p>
    <w:bookmarkEnd w:id="526"/>
    <w:bookmarkEnd w:id="527"/>
    <w:p>
      <w:pPr>
        <w:spacing w:line="360" w:lineRule="auto"/>
        <w:rPr>
          <w:rFonts w:ascii="仿宋_GB2312" w:eastAsia="仿宋_GB2312"/>
          <w:b/>
          <w:color w:val="auto"/>
          <w:spacing w:val="6"/>
          <w:sz w:val="30"/>
          <w:szCs w:val="30"/>
          <w:highlight w:val="none"/>
        </w:rPr>
      </w:pPr>
    </w:p>
    <w:p>
      <w:pPr>
        <w:pStyle w:val="60"/>
        <w:rPr>
          <w:color w:val="auto"/>
          <w:highlight w:val="none"/>
        </w:rPr>
      </w:pPr>
      <w:r>
        <w:rPr>
          <w:rFonts w:hint="eastAsia"/>
          <w:color w:val="auto"/>
          <w:highlight w:val="none"/>
        </w:rPr>
        <w:t>本单位郑重声明，根据《财政部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0"/>
        <w:rPr>
          <w:color w:val="auto"/>
          <w:highlight w:val="none"/>
        </w:rPr>
      </w:pPr>
      <w:r>
        <w:rPr>
          <w:rFonts w:hint="eastAsia"/>
          <w:color w:val="auto"/>
          <w:highlight w:val="none"/>
        </w:rPr>
        <w:t>本单位对上述声明的真实性负责。如有虚假，将依法承担相应责任。</w:t>
      </w:r>
    </w:p>
    <w:p>
      <w:pPr>
        <w:pStyle w:val="60"/>
        <w:rPr>
          <w:color w:val="auto"/>
          <w:highlight w:val="none"/>
        </w:rPr>
      </w:pPr>
    </w:p>
    <w:p>
      <w:pPr>
        <w:pStyle w:val="60"/>
        <w:rPr>
          <w:color w:val="auto"/>
          <w:highlight w:val="none"/>
        </w:rPr>
      </w:pPr>
    </w:p>
    <w:p>
      <w:pPr>
        <w:pStyle w:val="60"/>
        <w:jc w:val="right"/>
        <w:rPr>
          <w:color w:val="auto"/>
          <w:highlight w:val="none"/>
        </w:rPr>
      </w:pPr>
      <w:r>
        <w:rPr>
          <w:rFonts w:hint="eastAsia"/>
          <w:color w:val="auto"/>
          <w:highlight w:val="none"/>
        </w:rPr>
        <w:t>投标人名称（电子签名）：</w:t>
      </w:r>
    </w:p>
    <w:p>
      <w:pPr>
        <w:pStyle w:val="60"/>
        <w:jc w:val="right"/>
        <w:rPr>
          <w:color w:val="auto"/>
          <w:highlight w:val="none"/>
        </w:rPr>
      </w:pPr>
      <w:r>
        <w:rPr>
          <w:color w:val="auto"/>
          <w:highlight w:val="none"/>
        </w:rPr>
        <w:t>日  期：</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jc w:val="left"/>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pPr>
        <w:pStyle w:val="60"/>
        <w:rPr>
          <w:color w:val="auto"/>
          <w:highlight w:val="none"/>
        </w:rPr>
      </w:pPr>
      <w:r>
        <w:rPr>
          <w:rFonts w:hint="eastAsia"/>
          <w:color w:val="auto"/>
          <w:highlight w:val="none"/>
        </w:rPr>
        <w:t>一、质疑供应商基本信息</w:t>
      </w:r>
    </w:p>
    <w:p>
      <w:pPr>
        <w:pStyle w:val="60"/>
        <w:rPr>
          <w:color w:val="auto"/>
          <w:highlight w:val="none"/>
          <w:u w:val="dotted"/>
        </w:rPr>
      </w:pPr>
      <w:r>
        <w:rPr>
          <w:rFonts w:hint="eastAsia"/>
          <w:color w:val="auto"/>
          <w:highlight w:val="none"/>
        </w:rPr>
        <w:t>质疑供应商：</w:t>
      </w:r>
      <w:r>
        <w:rPr>
          <w:color w:val="auto"/>
          <w:highlight w:val="none"/>
          <w:u w:val="dotted"/>
        </w:rPr>
        <w:t xml:space="preserve">                                        </w:t>
      </w:r>
    </w:p>
    <w:p>
      <w:pPr>
        <w:pStyle w:val="60"/>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60"/>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pPr>
        <w:pStyle w:val="60"/>
        <w:rPr>
          <w:color w:val="auto"/>
          <w:highlight w:val="none"/>
          <w:u w:val="dotted"/>
        </w:rPr>
      </w:pPr>
      <w:r>
        <w:rPr>
          <w:rFonts w:hint="eastAsia"/>
          <w:color w:val="auto"/>
          <w:highlight w:val="none"/>
        </w:rPr>
        <w:t>授权代表：</w:t>
      </w:r>
      <w:r>
        <w:rPr>
          <w:color w:val="auto"/>
          <w:highlight w:val="none"/>
          <w:u w:val="dotted"/>
        </w:rPr>
        <w:t xml:space="preserve">                                          </w:t>
      </w:r>
    </w:p>
    <w:p>
      <w:pPr>
        <w:pStyle w:val="60"/>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pPr>
        <w:pStyle w:val="60"/>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60"/>
        <w:rPr>
          <w:color w:val="auto"/>
          <w:highlight w:val="none"/>
        </w:rPr>
      </w:pPr>
      <w:r>
        <w:rPr>
          <w:rFonts w:hint="eastAsia"/>
          <w:color w:val="auto"/>
          <w:highlight w:val="none"/>
        </w:rPr>
        <w:t>二、质疑项目基本情况</w:t>
      </w:r>
    </w:p>
    <w:p>
      <w:pPr>
        <w:pStyle w:val="60"/>
        <w:rPr>
          <w:color w:val="auto"/>
          <w:highlight w:val="none"/>
        </w:rPr>
      </w:pPr>
      <w:r>
        <w:rPr>
          <w:rFonts w:hint="eastAsia"/>
          <w:color w:val="auto"/>
          <w:highlight w:val="none"/>
        </w:rPr>
        <w:t>质疑项目的名称：</w:t>
      </w:r>
      <w:r>
        <w:rPr>
          <w:color w:val="auto"/>
          <w:highlight w:val="none"/>
          <w:u w:val="dotted"/>
        </w:rPr>
        <w:t xml:space="preserve">                                      </w:t>
      </w:r>
    </w:p>
    <w:p>
      <w:pPr>
        <w:pStyle w:val="60"/>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pPr>
        <w:pStyle w:val="60"/>
        <w:rPr>
          <w:color w:val="auto"/>
          <w:highlight w:val="none"/>
          <w:u w:val="dotted"/>
        </w:rPr>
      </w:pPr>
      <w:r>
        <w:rPr>
          <w:rFonts w:hint="eastAsia"/>
          <w:color w:val="auto"/>
          <w:highlight w:val="none"/>
        </w:rPr>
        <w:t>采购人名称：</w:t>
      </w:r>
      <w:r>
        <w:rPr>
          <w:color w:val="auto"/>
          <w:highlight w:val="none"/>
          <w:u w:val="dotted"/>
        </w:rPr>
        <w:t xml:space="preserve">                                         </w:t>
      </w:r>
    </w:p>
    <w:p>
      <w:pPr>
        <w:pStyle w:val="60"/>
        <w:rPr>
          <w:color w:val="auto"/>
          <w:highlight w:val="none"/>
        </w:rPr>
      </w:pPr>
      <w:r>
        <w:rPr>
          <w:rFonts w:hint="eastAsia"/>
          <w:color w:val="auto"/>
          <w:highlight w:val="none"/>
        </w:rPr>
        <w:t>采购文件获取日期：</w:t>
      </w:r>
      <w:r>
        <w:rPr>
          <w:color w:val="auto"/>
          <w:highlight w:val="none"/>
          <w:u w:val="dotted"/>
        </w:rPr>
        <w:t xml:space="preserve">                                           </w:t>
      </w:r>
    </w:p>
    <w:p>
      <w:pPr>
        <w:pStyle w:val="60"/>
        <w:rPr>
          <w:color w:val="auto"/>
          <w:highlight w:val="none"/>
        </w:rPr>
      </w:pPr>
      <w:r>
        <w:rPr>
          <w:rFonts w:hint="eastAsia"/>
          <w:color w:val="auto"/>
          <w:highlight w:val="none"/>
        </w:rPr>
        <w:t>三、质疑事项具体内容</w:t>
      </w:r>
    </w:p>
    <w:p>
      <w:pPr>
        <w:pStyle w:val="60"/>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pPr>
        <w:pStyle w:val="60"/>
        <w:rPr>
          <w:color w:val="auto"/>
          <w:highlight w:val="none"/>
          <w:u w:val="dotted"/>
        </w:rPr>
      </w:pPr>
      <w:r>
        <w:rPr>
          <w:rFonts w:hint="eastAsia"/>
          <w:color w:val="auto"/>
          <w:highlight w:val="none"/>
        </w:rPr>
        <w:t>事实依据：</w:t>
      </w:r>
      <w:r>
        <w:rPr>
          <w:color w:val="auto"/>
          <w:highlight w:val="none"/>
          <w:u w:val="dotted"/>
        </w:rPr>
        <w:t xml:space="preserve">                                          </w:t>
      </w:r>
    </w:p>
    <w:p>
      <w:pPr>
        <w:pStyle w:val="60"/>
        <w:rPr>
          <w:color w:val="auto"/>
          <w:highlight w:val="none"/>
        </w:rPr>
      </w:pPr>
      <w:r>
        <w:rPr>
          <w:color w:val="auto"/>
          <w:highlight w:val="none"/>
          <w:u w:val="dotted"/>
        </w:rPr>
        <w:t xml:space="preserve">                                                       </w:t>
      </w:r>
    </w:p>
    <w:p>
      <w:pPr>
        <w:pStyle w:val="60"/>
        <w:rPr>
          <w:color w:val="auto"/>
          <w:highlight w:val="none"/>
          <w:u w:val="dotted"/>
        </w:rPr>
      </w:pPr>
      <w:r>
        <w:rPr>
          <w:rFonts w:hint="eastAsia"/>
          <w:color w:val="auto"/>
          <w:highlight w:val="none"/>
        </w:rPr>
        <w:t>法律依据：</w:t>
      </w:r>
      <w:r>
        <w:rPr>
          <w:color w:val="auto"/>
          <w:highlight w:val="none"/>
          <w:u w:val="dotted"/>
        </w:rPr>
        <w:t xml:space="preserve">                                          </w:t>
      </w:r>
    </w:p>
    <w:p>
      <w:pPr>
        <w:pStyle w:val="60"/>
        <w:rPr>
          <w:color w:val="auto"/>
          <w:highlight w:val="none"/>
          <w:u w:val="dotted"/>
        </w:rPr>
      </w:pPr>
      <w:r>
        <w:rPr>
          <w:color w:val="auto"/>
          <w:highlight w:val="none"/>
          <w:u w:val="dotted"/>
        </w:rPr>
        <w:t xml:space="preserve">                                                     </w:t>
      </w:r>
    </w:p>
    <w:p>
      <w:pPr>
        <w:pStyle w:val="60"/>
        <w:rPr>
          <w:color w:val="auto"/>
          <w:highlight w:val="none"/>
          <w:u w:val="dotted"/>
        </w:rPr>
      </w:pPr>
      <w:r>
        <w:rPr>
          <w:rFonts w:hint="eastAsia"/>
          <w:color w:val="auto"/>
          <w:highlight w:val="none"/>
        </w:rPr>
        <w:t>质疑事项</w:t>
      </w:r>
      <w:r>
        <w:rPr>
          <w:color w:val="auto"/>
          <w:highlight w:val="none"/>
        </w:rPr>
        <w:t>2</w:t>
      </w:r>
    </w:p>
    <w:p>
      <w:pPr>
        <w:pStyle w:val="60"/>
        <w:rPr>
          <w:color w:val="auto"/>
          <w:highlight w:val="none"/>
        </w:rPr>
      </w:pPr>
      <w:r>
        <w:rPr>
          <w:rFonts w:hint="eastAsia"/>
          <w:color w:val="auto"/>
          <w:highlight w:val="none"/>
        </w:rPr>
        <w:t>……</w:t>
      </w:r>
    </w:p>
    <w:p>
      <w:pPr>
        <w:pStyle w:val="60"/>
        <w:rPr>
          <w:color w:val="auto"/>
          <w:highlight w:val="none"/>
        </w:rPr>
      </w:pPr>
      <w:r>
        <w:rPr>
          <w:rFonts w:hint="eastAsia"/>
          <w:color w:val="auto"/>
          <w:highlight w:val="none"/>
        </w:rPr>
        <w:t>四、与质疑事项相关的质疑请求</w:t>
      </w:r>
    </w:p>
    <w:p>
      <w:pPr>
        <w:pStyle w:val="60"/>
        <w:rPr>
          <w:color w:val="auto"/>
          <w:highlight w:val="none"/>
          <w:u w:val="dotted"/>
        </w:rPr>
      </w:pPr>
      <w:r>
        <w:rPr>
          <w:rFonts w:hint="eastAsia"/>
          <w:color w:val="auto"/>
          <w:highlight w:val="none"/>
        </w:rPr>
        <w:t>请求：</w:t>
      </w:r>
      <w:r>
        <w:rPr>
          <w:color w:val="auto"/>
          <w:highlight w:val="none"/>
          <w:u w:val="dotted"/>
        </w:rPr>
        <w:t xml:space="preserve">                                               </w:t>
      </w:r>
    </w:p>
    <w:p>
      <w:pPr>
        <w:pStyle w:val="60"/>
        <w:rPr>
          <w:color w:val="auto"/>
          <w:highlight w:val="none"/>
        </w:rPr>
      </w:pPr>
      <w:r>
        <w:rPr>
          <w:rFonts w:hint="eastAsia"/>
          <w:color w:val="auto"/>
          <w:highlight w:val="none"/>
        </w:rPr>
        <w:t>签字</w:t>
      </w:r>
      <w:r>
        <w:rPr>
          <w:color w:val="auto"/>
          <w:highlight w:val="none"/>
        </w:rPr>
        <w:t xml:space="preserve">(签章)：                   公章：                      </w:t>
      </w:r>
    </w:p>
    <w:p>
      <w:pPr>
        <w:pStyle w:val="60"/>
        <w:rPr>
          <w:color w:val="auto"/>
          <w:highlight w:val="none"/>
        </w:rPr>
      </w:pPr>
      <w:r>
        <w:rPr>
          <w:rFonts w:hint="eastAsia"/>
          <w:color w:val="auto"/>
          <w:highlight w:val="none"/>
        </w:rPr>
        <w:t>日期：</w:t>
      </w:r>
      <w:r>
        <w:rPr>
          <w:color w:val="auto"/>
          <w:highlight w:val="none"/>
        </w:rPr>
        <w:t xml:space="preserve">    </w:t>
      </w:r>
    </w:p>
    <w:p>
      <w:pPr>
        <w:spacing w:line="360" w:lineRule="auto"/>
        <w:rPr>
          <w:rFonts w:ascii="仿宋_GB2312" w:eastAsia="仿宋_GB2312"/>
          <w:b/>
          <w:color w:val="auto"/>
          <w:highlight w:val="none"/>
        </w:rPr>
      </w:pPr>
      <w:r>
        <w:rPr>
          <w:rFonts w:hint="eastAsia" w:ascii="仿宋_GB2312" w:eastAsia="仿宋_GB2312"/>
          <w:b/>
          <w:color w:val="auto"/>
          <w:highlight w:val="none"/>
        </w:rPr>
        <w:t>质疑函制作说明：</w:t>
      </w:r>
    </w:p>
    <w:p>
      <w:pPr>
        <w:pStyle w:val="60"/>
        <w:rPr>
          <w:color w:val="auto"/>
          <w:highlight w:val="none"/>
        </w:rPr>
      </w:pPr>
      <w:r>
        <w:rPr>
          <w:color w:val="auto"/>
          <w:highlight w:val="none"/>
        </w:rPr>
        <w:t>1.供应商提出质疑时，应提交质疑函和必要的证明材料。</w:t>
      </w:r>
    </w:p>
    <w:p>
      <w:pPr>
        <w:pStyle w:val="60"/>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pPr>
        <w:pStyle w:val="60"/>
        <w:rPr>
          <w:color w:val="auto"/>
          <w:highlight w:val="none"/>
        </w:rPr>
      </w:pPr>
      <w:r>
        <w:rPr>
          <w:color w:val="auto"/>
          <w:highlight w:val="none"/>
        </w:rPr>
        <w:t>3.质疑供应商若对项目的某一分包进行质疑，质疑函中应列明具体分包号。</w:t>
      </w:r>
    </w:p>
    <w:p>
      <w:pPr>
        <w:pStyle w:val="60"/>
        <w:rPr>
          <w:color w:val="auto"/>
          <w:highlight w:val="none"/>
        </w:rPr>
      </w:pPr>
      <w:r>
        <w:rPr>
          <w:color w:val="auto"/>
          <w:highlight w:val="none"/>
        </w:rPr>
        <w:t>4.质疑函的质疑事项应具体、明确，并有必要的事实依据和法律依据。</w:t>
      </w:r>
    </w:p>
    <w:p>
      <w:pPr>
        <w:pStyle w:val="60"/>
        <w:rPr>
          <w:color w:val="auto"/>
          <w:highlight w:val="none"/>
        </w:rPr>
      </w:pPr>
      <w:r>
        <w:rPr>
          <w:color w:val="auto"/>
          <w:highlight w:val="none"/>
        </w:rPr>
        <w:t>5.质疑函的质疑请求应与质疑事项相关。</w:t>
      </w:r>
    </w:p>
    <w:p>
      <w:pPr>
        <w:pStyle w:val="60"/>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auto"/>
          <w:sz w:val="30"/>
          <w:szCs w:val="30"/>
          <w:highlight w:val="none"/>
        </w:rPr>
      </w:pPr>
    </w:p>
    <w:p>
      <w:pPr>
        <w:spacing w:line="360" w:lineRule="auto"/>
        <w:jc w:val="center"/>
        <w:rPr>
          <w:rFonts w:ascii="仿宋_GB2312" w:eastAsia="仿宋_GB2312"/>
          <w:b/>
          <w:color w:val="auto"/>
          <w:spacing w:val="6"/>
          <w:sz w:val="32"/>
          <w:szCs w:val="32"/>
          <w:highlight w:val="none"/>
        </w:rPr>
      </w:pPr>
    </w:p>
    <w:p>
      <w:pPr>
        <w:spacing w:line="360" w:lineRule="auto"/>
        <w:jc w:val="center"/>
        <w:rPr>
          <w:rFonts w:ascii="仿宋_GB2312" w:eastAsia="仿宋_GB2312"/>
          <w:b/>
          <w:color w:val="auto"/>
          <w:spacing w:val="6"/>
          <w:sz w:val="32"/>
          <w:szCs w:val="32"/>
          <w:highlight w:val="none"/>
        </w:rPr>
      </w:pPr>
    </w:p>
    <w:p>
      <w:pPr>
        <w:pStyle w:val="5"/>
        <w:jc w:val="left"/>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eastAsia="仿宋_GB2312"/>
          <w:b/>
          <w:color w:val="auto"/>
          <w:highlight w:val="none"/>
        </w:rPr>
      </w:pP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采购人名称：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ind w:firstLine="360" w:firstLineChars="150"/>
        <w:rPr>
          <w:rFonts w:ascii="仿宋_GB2312" w:eastAsia="仿宋_GB2312"/>
          <w:color w:val="auto"/>
          <w:highlight w:val="none"/>
        </w:rPr>
      </w:pPr>
      <w:r>
        <w:rPr>
          <w:rFonts w:hint="eastAsia" w:ascii="仿宋_GB2312" w:eastAsia="仿宋_GB2312"/>
          <w:color w:val="auto"/>
          <w:highlight w:val="none"/>
          <w:u w:val="dotted"/>
        </w:rPr>
        <w:t>采购人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ascii="仿宋_GB2312" w:eastAsia="仿宋_GB2312"/>
          <w:color w:val="auto"/>
          <w:highlight w:val="none"/>
        </w:rPr>
        <w:t xml:space="preserve">(签章)：                   公章：                      </w:t>
      </w:r>
    </w:p>
    <w:p>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pPr>
        <w:spacing w:line="360" w:lineRule="auto"/>
        <w:rPr>
          <w:color w:val="auto"/>
          <w:highlight w:val="none"/>
        </w:rPr>
      </w:pPr>
      <w:r>
        <w:rPr>
          <w:rFonts w:hint="eastAsia" w:cs="仿宋_GB2312"/>
          <w:color w:val="auto"/>
          <w:highlight w:val="none"/>
          <w:u w:val="single"/>
        </w:rPr>
        <w:t>（采购人）、（采购代理机构）</w:t>
      </w:r>
    </w:p>
    <w:p>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cs="仿宋_GB2312"/>
          <w:color w:val="auto"/>
          <w:highlight w:val="none"/>
        </w:rPr>
        <w:t>(投标人全称)</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投标活动中作如下说明：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pPr>
        <w:spacing w:line="360" w:lineRule="auto"/>
        <w:ind w:firstLine="480" w:firstLineChars="200"/>
        <w:rPr>
          <w:rFonts w:cs="宋体"/>
          <w:color w:val="auto"/>
          <w:highlight w:val="none"/>
        </w:rPr>
      </w:pPr>
      <w:r>
        <w:rPr>
          <w:rFonts w:hint="eastAsia" w:cs="宋体"/>
          <w:color w:val="auto"/>
          <w:highlight w:val="none"/>
        </w:rPr>
        <w:t>特此说明。</w:t>
      </w: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pPr>
        <w:ind w:right="1440" w:firstLine="494"/>
        <w:jc w:val="center"/>
        <w:rPr>
          <w:rFonts w:cs="宋体"/>
          <w:color w:val="auto"/>
          <w:highlight w:val="none"/>
        </w:rPr>
      </w:pPr>
      <w:r>
        <w:rPr>
          <w:rFonts w:cs="宋体"/>
          <w:color w:val="auto"/>
          <w:highlight w:val="none"/>
        </w:rPr>
        <w:t xml:space="preserve">                              日期：       年     月     日</w:t>
      </w:r>
    </w:p>
    <w:p>
      <w:pPr>
        <w:rPr>
          <w:rFonts w:cs="宋体"/>
          <w:color w:val="auto"/>
          <w:highlight w:val="none"/>
        </w:rPr>
      </w:pPr>
      <w:r>
        <w:rPr>
          <w:rFonts w:hint="eastAsia" w:cs="宋体"/>
          <w:b/>
          <w:bCs/>
          <w:color w:val="auto"/>
          <w:highlight w:val="none"/>
        </w:rPr>
        <w:t>附：</w:t>
      </w:r>
    </w:p>
    <w:p>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pPr>
        <w:spacing w:line="276" w:lineRule="auto"/>
        <w:rPr>
          <w:b/>
          <w:color w:val="auto"/>
          <w:spacing w:val="6"/>
          <w:sz w:val="32"/>
          <w:szCs w:val="32"/>
          <w:highlight w:val="none"/>
        </w:rPr>
      </w:pPr>
    </w:p>
    <w:p>
      <w:pPr>
        <w:spacing w:line="276" w:lineRule="auto"/>
        <w:rPr>
          <w:b/>
          <w:smallCaps/>
          <w:color w:val="auto"/>
          <w:spacing w:val="6"/>
          <w:sz w:val="28"/>
          <w:szCs w:val="28"/>
          <w:highlight w:val="none"/>
        </w:rPr>
      </w:pPr>
    </w:p>
    <w:p>
      <w:pPr>
        <w:spacing w:line="276" w:lineRule="auto"/>
        <w:rPr>
          <w:b/>
          <w:smallCaps/>
          <w:color w:val="auto"/>
          <w:spacing w:val="6"/>
          <w:sz w:val="28"/>
          <w:szCs w:val="28"/>
          <w:highlight w:val="none"/>
        </w:rPr>
      </w:pPr>
      <w:r>
        <w:rPr>
          <w:color w:val="auto"/>
          <w:spacing w:val="6"/>
          <w:highlight w:val="none"/>
        </w:rPr>
        <w:br w:type="page"/>
      </w:r>
    </w:p>
    <w:p>
      <w:pPr>
        <w:pStyle w:val="5"/>
        <w:rPr>
          <w:bCs/>
          <w:color w:val="auto"/>
          <w:highlight w:val="none"/>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rPr>
        <w:t>中小企业声明函</w:t>
      </w:r>
    </w:p>
    <w:p>
      <w:pPr>
        <w:spacing w:line="360" w:lineRule="auto"/>
        <w:jc w:val="center"/>
        <w:rPr>
          <w:rFonts w:cs="仿宋_GB2312"/>
          <w:color w:val="auto"/>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hint="eastAsia" w:ascii="宋体" w:hAnsi="宋体" w:cs="宋体"/>
          <w:color w:val="auto"/>
          <w:highlight w:val="none"/>
        </w:rPr>
        <w:t>﹝</w:t>
      </w:r>
      <w:r>
        <w:rPr>
          <w:rFonts w:ascii="仿宋_GB2312" w:hAnsi="宋体" w:eastAsia="仿宋_GB2312"/>
          <w:color w:val="auto"/>
          <w:highlight w:val="none"/>
        </w:rPr>
        <w:t>2020</w:t>
      </w:r>
      <w:r>
        <w:rPr>
          <w:rFonts w:hint="eastAsia" w:ascii="宋体" w:hAnsi="宋体" w:cs="宋体"/>
          <w:color w:val="auto"/>
          <w:highlight w:val="none"/>
        </w:rPr>
        <w:t>﹞</w:t>
      </w:r>
      <w:r>
        <w:rPr>
          <w:rFonts w:ascii="仿宋_GB2312" w:hAnsi="宋体" w:eastAsia="仿宋_GB2312"/>
          <w:color w:val="auto"/>
          <w:highlight w:val="none"/>
        </w:rPr>
        <w:t xml:space="preserve">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rPr>
        <w:t xml:space="preserve"> </w:t>
      </w:r>
      <w:r>
        <w:rPr>
          <w:rFonts w:hint="eastAsia" w:ascii="仿宋_GB2312" w:hAnsi="宋体" w:eastAsia="仿宋_GB2312"/>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注：1、填写要求：①“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sz w:val="32"/>
          <w:szCs w:val="32"/>
          <w:highlight w:val="none"/>
        </w:rPr>
      </w:pPr>
      <w:r>
        <w:rPr>
          <w:rFonts w:ascii="仿宋_GB2312"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eastAsia="仿宋_GB2312"/>
          <w:color w:val="auto"/>
          <w:highlight w:val="none"/>
        </w:rPr>
      </w:pPr>
    </w:p>
    <w:p>
      <w:pPr>
        <w:spacing w:line="360" w:lineRule="auto"/>
        <w:ind w:firstLine="360" w:firstLineChars="15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ascii="仿宋_GB2312" w:hAnsi="宋体" w:eastAsia="仿宋_GB2312"/>
          <w:color w:val="auto"/>
          <w:highlight w:val="none"/>
        </w:rPr>
        <w:t xml:space="preserve">2020﹞46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highlight w:val="none"/>
        </w:rPr>
      </w:pPr>
      <w:r>
        <w:rPr>
          <w:rFonts w:hint="eastAsia" w:ascii="仿宋_GB2312" w:eastAsia="仿宋_GB2312" w:cs="仿宋_GB2312"/>
          <w:color w:val="auto"/>
          <w:highlight w:val="none"/>
        </w:rPr>
        <w:t>投标人</w:t>
      </w:r>
      <w:r>
        <w:rPr>
          <w:rFonts w:hint="eastAsia" w:ascii="仿宋_GB2312" w:hAnsi="宋体" w:eastAsia="仿宋_GB2312"/>
          <w:color w:val="auto"/>
          <w:highlight w:val="none"/>
        </w:rPr>
        <w:t>名称（</w:t>
      </w:r>
      <w:r>
        <w:rPr>
          <w:rFonts w:hint="eastAsia" w:ascii="仿宋_GB2312" w:eastAsia="仿宋_GB2312" w:cs="仿宋_GB2312"/>
          <w:color w:val="auto"/>
          <w:highlight w:val="none"/>
        </w:rPr>
        <w:t>电子签名</w:t>
      </w:r>
      <w:r>
        <w:rPr>
          <w:rFonts w:hint="eastAsia" w:ascii="仿宋_GB2312" w:hAnsi="宋体" w:eastAsia="仿宋_GB2312"/>
          <w:color w:val="auto"/>
          <w:highlight w:val="none"/>
        </w:rPr>
        <w:t>）：</w:t>
      </w:r>
    </w:p>
    <w:p>
      <w:pPr>
        <w:spacing w:line="360" w:lineRule="auto"/>
        <w:ind w:right="1120" w:firstLine="4680" w:firstLineChars="1950"/>
        <w:rPr>
          <w:rFonts w:ascii="仿宋_GB2312" w:hAnsi="宋体" w:eastAsia="仿宋_GB2312"/>
          <w:color w:val="auto"/>
          <w:highlight w:val="none"/>
        </w:rPr>
      </w:pPr>
      <w:r>
        <w:rPr>
          <w:rFonts w:hint="eastAsia" w:ascii="仿宋_GB2312" w:hAnsi="宋体" w:eastAsia="仿宋_GB2312"/>
          <w:color w:val="auto"/>
          <w:highlight w:val="none"/>
        </w:rPr>
        <w:t>日</w:t>
      </w:r>
      <w:r>
        <w:rPr>
          <w:rFonts w:ascii="仿宋_GB2312" w:hAnsi="宋体" w:eastAsia="仿宋_GB2312"/>
          <w:color w:val="auto"/>
          <w:highlight w:val="none"/>
        </w:rPr>
        <w:t xml:space="preserve"> </w:t>
      </w:r>
      <w:r>
        <w:rPr>
          <w:rFonts w:hint="eastAsia" w:ascii="仿宋_GB2312" w:hAnsi="宋体" w:eastAsia="仿宋_GB2312"/>
          <w:color w:val="auto"/>
          <w:highlight w:val="none"/>
        </w:rPr>
        <w:t>期：</w:t>
      </w:r>
    </w:p>
    <w:p>
      <w:pPr>
        <w:spacing w:line="360" w:lineRule="auto"/>
        <w:ind w:firstLine="354"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color w:val="auto"/>
          <w:highlight w:val="none"/>
        </w:rPr>
      </w:pP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 xml:space="preserve">   注：</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jc w:val="left"/>
        <w:rPr>
          <w:rFonts w:cs="仿宋_GB2312"/>
          <w:color w:val="auto"/>
          <w:sz w:val="24"/>
          <w:highlight w:val="none"/>
        </w:rPr>
      </w:pPr>
      <w:r>
        <w:rPr>
          <w:rFonts w:hint="eastAsia"/>
          <w:color w:val="auto"/>
          <w:highlight w:val="none"/>
        </w:rPr>
        <w:t>附件6样品（演示）授权委托书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spacing w:line="360" w:lineRule="auto"/>
        <w:ind w:right="420"/>
        <w:rPr>
          <w:rFonts w:ascii="仿宋_GB2312" w:eastAsia="仿宋_GB2312" w:cs="仿宋_GB2312"/>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4"/>
      </w:pBdr>
      <w:jc w:val="right"/>
    </w:pPr>
    <w:r>
      <w:t></w:t>
    </w:r>
    <w:r>
      <w:rPr>
        <w:rFonts w:hint="eastAsia"/>
      </w:rPr>
      <w:t xml:space="preserve">             </w:t>
    </w:r>
    <w:r>
      <w:t>杭州市政府采购公开招标文件</w:t>
    </w:r>
  </w:p>
  <w:p>
    <w:pPr>
      <w:pStyle w:val="24"/>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207D"/>
    <w:multiLevelType w:val="singleLevel"/>
    <w:tmpl w:val="BAF4207D"/>
    <w:lvl w:ilvl="0" w:tentative="0">
      <w:start w:val="3"/>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20"/>
  <w:drawingGridVerticalSpacing w:val="163"/>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2NkYjI3YmRjN2EzZjAyZGE3YWYyYmI5ZDM0YTcifQ=="/>
  </w:docVars>
  <w:rsids>
    <w:rsidRoot w:val="004A31C0"/>
    <w:rsid w:val="000376F6"/>
    <w:rsid w:val="00040E44"/>
    <w:rsid w:val="000506FE"/>
    <w:rsid w:val="00052F13"/>
    <w:rsid w:val="00062A5D"/>
    <w:rsid w:val="00083EEE"/>
    <w:rsid w:val="000C67BA"/>
    <w:rsid w:val="000D12B1"/>
    <w:rsid w:val="000E75F8"/>
    <w:rsid w:val="00106784"/>
    <w:rsid w:val="001375DB"/>
    <w:rsid w:val="001448FA"/>
    <w:rsid w:val="001478DA"/>
    <w:rsid w:val="00155A1C"/>
    <w:rsid w:val="00173428"/>
    <w:rsid w:val="001A3CF6"/>
    <w:rsid w:val="00240685"/>
    <w:rsid w:val="0024401D"/>
    <w:rsid w:val="002534A7"/>
    <w:rsid w:val="002E02E0"/>
    <w:rsid w:val="003169BC"/>
    <w:rsid w:val="0035778E"/>
    <w:rsid w:val="00380ED1"/>
    <w:rsid w:val="00381B1D"/>
    <w:rsid w:val="003A3435"/>
    <w:rsid w:val="003D4DFD"/>
    <w:rsid w:val="003E2487"/>
    <w:rsid w:val="004105E2"/>
    <w:rsid w:val="00424619"/>
    <w:rsid w:val="00424A1D"/>
    <w:rsid w:val="00462F9D"/>
    <w:rsid w:val="004A31C0"/>
    <w:rsid w:val="00501CA3"/>
    <w:rsid w:val="00581054"/>
    <w:rsid w:val="005967A8"/>
    <w:rsid w:val="005A325A"/>
    <w:rsid w:val="005A3BF2"/>
    <w:rsid w:val="0060320D"/>
    <w:rsid w:val="006242CC"/>
    <w:rsid w:val="00641E35"/>
    <w:rsid w:val="006511DA"/>
    <w:rsid w:val="00652051"/>
    <w:rsid w:val="0065383E"/>
    <w:rsid w:val="00661973"/>
    <w:rsid w:val="006626C6"/>
    <w:rsid w:val="006657BD"/>
    <w:rsid w:val="006D161C"/>
    <w:rsid w:val="006F2568"/>
    <w:rsid w:val="006F282E"/>
    <w:rsid w:val="00706DC6"/>
    <w:rsid w:val="00711092"/>
    <w:rsid w:val="00716529"/>
    <w:rsid w:val="00725C59"/>
    <w:rsid w:val="00734973"/>
    <w:rsid w:val="00742C93"/>
    <w:rsid w:val="00744AB4"/>
    <w:rsid w:val="007B07B1"/>
    <w:rsid w:val="007B2E9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9F4C1B"/>
    <w:rsid w:val="00A31510"/>
    <w:rsid w:val="00A5394E"/>
    <w:rsid w:val="00A955FA"/>
    <w:rsid w:val="00AB3C03"/>
    <w:rsid w:val="00AC5A89"/>
    <w:rsid w:val="00AD3120"/>
    <w:rsid w:val="00B061C1"/>
    <w:rsid w:val="00B34428"/>
    <w:rsid w:val="00B50722"/>
    <w:rsid w:val="00B638D9"/>
    <w:rsid w:val="00B955CF"/>
    <w:rsid w:val="00BD02F5"/>
    <w:rsid w:val="00C04F7F"/>
    <w:rsid w:val="00C555C7"/>
    <w:rsid w:val="00CA5372"/>
    <w:rsid w:val="00CB3DBC"/>
    <w:rsid w:val="00CF35F3"/>
    <w:rsid w:val="00D03E3B"/>
    <w:rsid w:val="00D44784"/>
    <w:rsid w:val="00D73271"/>
    <w:rsid w:val="00D901E0"/>
    <w:rsid w:val="00DB52AF"/>
    <w:rsid w:val="00DE7F9D"/>
    <w:rsid w:val="00E01C27"/>
    <w:rsid w:val="00E0322B"/>
    <w:rsid w:val="00E20696"/>
    <w:rsid w:val="00E428C8"/>
    <w:rsid w:val="00E81776"/>
    <w:rsid w:val="00E93AFC"/>
    <w:rsid w:val="00E94AF3"/>
    <w:rsid w:val="00EC0BE4"/>
    <w:rsid w:val="00ED389E"/>
    <w:rsid w:val="00EE2D23"/>
    <w:rsid w:val="00F577A9"/>
    <w:rsid w:val="00F66F6C"/>
    <w:rsid w:val="00F82240"/>
    <w:rsid w:val="00F872C5"/>
    <w:rsid w:val="00F906B9"/>
    <w:rsid w:val="00FD5896"/>
    <w:rsid w:val="01D32DCE"/>
    <w:rsid w:val="0236335D"/>
    <w:rsid w:val="02E42DB9"/>
    <w:rsid w:val="02F05C02"/>
    <w:rsid w:val="03165668"/>
    <w:rsid w:val="03391BE1"/>
    <w:rsid w:val="03C30C20"/>
    <w:rsid w:val="03E31D97"/>
    <w:rsid w:val="044C0C16"/>
    <w:rsid w:val="047D34C5"/>
    <w:rsid w:val="04C609C8"/>
    <w:rsid w:val="04E92820"/>
    <w:rsid w:val="055204AE"/>
    <w:rsid w:val="05B747B5"/>
    <w:rsid w:val="05EE6BE0"/>
    <w:rsid w:val="060D2627"/>
    <w:rsid w:val="06C01A02"/>
    <w:rsid w:val="06CA7C28"/>
    <w:rsid w:val="06E316F8"/>
    <w:rsid w:val="070A4E27"/>
    <w:rsid w:val="073203C0"/>
    <w:rsid w:val="073C31C4"/>
    <w:rsid w:val="074E2EF7"/>
    <w:rsid w:val="07500A1D"/>
    <w:rsid w:val="077741FC"/>
    <w:rsid w:val="08601134"/>
    <w:rsid w:val="089B6610"/>
    <w:rsid w:val="09F4422A"/>
    <w:rsid w:val="0A1B5312"/>
    <w:rsid w:val="0A200B7B"/>
    <w:rsid w:val="0AC97464"/>
    <w:rsid w:val="0AE05E8C"/>
    <w:rsid w:val="0B696551"/>
    <w:rsid w:val="0B73117E"/>
    <w:rsid w:val="0B8B296C"/>
    <w:rsid w:val="0BB164E0"/>
    <w:rsid w:val="0C0F0EA7"/>
    <w:rsid w:val="0C394176"/>
    <w:rsid w:val="0C6D0CE9"/>
    <w:rsid w:val="0D8B6C53"/>
    <w:rsid w:val="0EA35638"/>
    <w:rsid w:val="0EAA4EB7"/>
    <w:rsid w:val="0EFB5712"/>
    <w:rsid w:val="0F930041"/>
    <w:rsid w:val="0FAE4E7B"/>
    <w:rsid w:val="0FBD0C1A"/>
    <w:rsid w:val="0FD3668F"/>
    <w:rsid w:val="0FD91EF8"/>
    <w:rsid w:val="0FE812B5"/>
    <w:rsid w:val="102D2243"/>
    <w:rsid w:val="10B05742"/>
    <w:rsid w:val="114C66F9"/>
    <w:rsid w:val="115A275F"/>
    <w:rsid w:val="11A6378E"/>
    <w:rsid w:val="11CD5D1D"/>
    <w:rsid w:val="12810624"/>
    <w:rsid w:val="13914897"/>
    <w:rsid w:val="13A728C9"/>
    <w:rsid w:val="13B642FE"/>
    <w:rsid w:val="14131750"/>
    <w:rsid w:val="14157276"/>
    <w:rsid w:val="141C0605"/>
    <w:rsid w:val="14411E19"/>
    <w:rsid w:val="14860174"/>
    <w:rsid w:val="14F52C04"/>
    <w:rsid w:val="15622333"/>
    <w:rsid w:val="1591133A"/>
    <w:rsid w:val="15E50ECA"/>
    <w:rsid w:val="167427AE"/>
    <w:rsid w:val="16CB6312"/>
    <w:rsid w:val="16F05A82"/>
    <w:rsid w:val="16F06184"/>
    <w:rsid w:val="180B10BC"/>
    <w:rsid w:val="183A72AB"/>
    <w:rsid w:val="188E4597"/>
    <w:rsid w:val="198033E4"/>
    <w:rsid w:val="19CA465F"/>
    <w:rsid w:val="1A5161A8"/>
    <w:rsid w:val="1ADF7BC9"/>
    <w:rsid w:val="1AE23C2A"/>
    <w:rsid w:val="1B1C0EEA"/>
    <w:rsid w:val="1B544B28"/>
    <w:rsid w:val="1BB92BDD"/>
    <w:rsid w:val="1BF50F77"/>
    <w:rsid w:val="1C313739"/>
    <w:rsid w:val="1C4F52EF"/>
    <w:rsid w:val="1C7E141E"/>
    <w:rsid w:val="1C963319"/>
    <w:rsid w:val="1CC17F9B"/>
    <w:rsid w:val="1CD35F20"/>
    <w:rsid w:val="1CE912A0"/>
    <w:rsid w:val="1CF72B4A"/>
    <w:rsid w:val="1D1C4FB7"/>
    <w:rsid w:val="1D434E54"/>
    <w:rsid w:val="1D8B67FB"/>
    <w:rsid w:val="1DD45AAC"/>
    <w:rsid w:val="1DD7191F"/>
    <w:rsid w:val="1DFA0457"/>
    <w:rsid w:val="1E200CF1"/>
    <w:rsid w:val="1E320A25"/>
    <w:rsid w:val="1E836DAC"/>
    <w:rsid w:val="1EC21DA9"/>
    <w:rsid w:val="1F7F5EEC"/>
    <w:rsid w:val="1FEE015C"/>
    <w:rsid w:val="20450EE3"/>
    <w:rsid w:val="2071583A"/>
    <w:rsid w:val="20CA13E8"/>
    <w:rsid w:val="2115671A"/>
    <w:rsid w:val="217F65AF"/>
    <w:rsid w:val="2197576F"/>
    <w:rsid w:val="22DA03D9"/>
    <w:rsid w:val="23476F51"/>
    <w:rsid w:val="23825FAA"/>
    <w:rsid w:val="244119C2"/>
    <w:rsid w:val="247C68F3"/>
    <w:rsid w:val="24857B00"/>
    <w:rsid w:val="24A9641D"/>
    <w:rsid w:val="24AB32DF"/>
    <w:rsid w:val="24B228BF"/>
    <w:rsid w:val="24FC2BF1"/>
    <w:rsid w:val="25133D92"/>
    <w:rsid w:val="25207829"/>
    <w:rsid w:val="25423C43"/>
    <w:rsid w:val="255A0F8D"/>
    <w:rsid w:val="259A16ED"/>
    <w:rsid w:val="259B155D"/>
    <w:rsid w:val="25A66EC7"/>
    <w:rsid w:val="260053A6"/>
    <w:rsid w:val="266876DA"/>
    <w:rsid w:val="2723422C"/>
    <w:rsid w:val="276854B7"/>
    <w:rsid w:val="27806839"/>
    <w:rsid w:val="27A02EA3"/>
    <w:rsid w:val="28377363"/>
    <w:rsid w:val="288325A9"/>
    <w:rsid w:val="29157ACC"/>
    <w:rsid w:val="29B1304E"/>
    <w:rsid w:val="29BA46F0"/>
    <w:rsid w:val="29D46E34"/>
    <w:rsid w:val="2A376293"/>
    <w:rsid w:val="2A4D7036"/>
    <w:rsid w:val="2A6F54DA"/>
    <w:rsid w:val="2A924C61"/>
    <w:rsid w:val="2AAE7E66"/>
    <w:rsid w:val="2AB949A8"/>
    <w:rsid w:val="2BAF486C"/>
    <w:rsid w:val="2BB313F7"/>
    <w:rsid w:val="2BB320FD"/>
    <w:rsid w:val="2C22032B"/>
    <w:rsid w:val="2C293F03"/>
    <w:rsid w:val="2C792446"/>
    <w:rsid w:val="2CE61358"/>
    <w:rsid w:val="2D2E0394"/>
    <w:rsid w:val="2D581099"/>
    <w:rsid w:val="2D662303"/>
    <w:rsid w:val="2D8C63A3"/>
    <w:rsid w:val="2E0E6E4D"/>
    <w:rsid w:val="2E31447B"/>
    <w:rsid w:val="2E4C079B"/>
    <w:rsid w:val="2EAE5EA6"/>
    <w:rsid w:val="2EEB534C"/>
    <w:rsid w:val="2FE029D7"/>
    <w:rsid w:val="300D4E4E"/>
    <w:rsid w:val="3034687E"/>
    <w:rsid w:val="30450A8C"/>
    <w:rsid w:val="307F5D4C"/>
    <w:rsid w:val="30D005A4"/>
    <w:rsid w:val="31164200"/>
    <w:rsid w:val="314F1BC2"/>
    <w:rsid w:val="315216B2"/>
    <w:rsid w:val="328569F3"/>
    <w:rsid w:val="328F5F4B"/>
    <w:rsid w:val="331F55C4"/>
    <w:rsid w:val="336A4406"/>
    <w:rsid w:val="344277BC"/>
    <w:rsid w:val="34796481"/>
    <w:rsid w:val="348A2F11"/>
    <w:rsid w:val="35281C39"/>
    <w:rsid w:val="35301D0A"/>
    <w:rsid w:val="35545F68"/>
    <w:rsid w:val="35B30245"/>
    <w:rsid w:val="366559E4"/>
    <w:rsid w:val="366854D4"/>
    <w:rsid w:val="370318C7"/>
    <w:rsid w:val="370F76FD"/>
    <w:rsid w:val="37160A8C"/>
    <w:rsid w:val="378C0D4E"/>
    <w:rsid w:val="37901DB4"/>
    <w:rsid w:val="379B41F1"/>
    <w:rsid w:val="3859182F"/>
    <w:rsid w:val="3880497D"/>
    <w:rsid w:val="38F11EB3"/>
    <w:rsid w:val="39EC3D26"/>
    <w:rsid w:val="3A10210A"/>
    <w:rsid w:val="3B3D6F2F"/>
    <w:rsid w:val="3B9D2638"/>
    <w:rsid w:val="3C215F09"/>
    <w:rsid w:val="3C5C1637"/>
    <w:rsid w:val="3C9F32D2"/>
    <w:rsid w:val="3D015D3A"/>
    <w:rsid w:val="3D0221DE"/>
    <w:rsid w:val="3D771C41"/>
    <w:rsid w:val="3DA212CB"/>
    <w:rsid w:val="3DAE08D0"/>
    <w:rsid w:val="3DEE2762"/>
    <w:rsid w:val="3E014244"/>
    <w:rsid w:val="3E2E18E1"/>
    <w:rsid w:val="3E6E73FF"/>
    <w:rsid w:val="3EA13331"/>
    <w:rsid w:val="3EF45B57"/>
    <w:rsid w:val="3F312907"/>
    <w:rsid w:val="3FE918E3"/>
    <w:rsid w:val="403A57EB"/>
    <w:rsid w:val="4070037D"/>
    <w:rsid w:val="408E3D89"/>
    <w:rsid w:val="409D5D7A"/>
    <w:rsid w:val="40DA4702"/>
    <w:rsid w:val="40E90FBF"/>
    <w:rsid w:val="412B15D8"/>
    <w:rsid w:val="41840737"/>
    <w:rsid w:val="4191768D"/>
    <w:rsid w:val="41D028AB"/>
    <w:rsid w:val="41FB36A0"/>
    <w:rsid w:val="421D7172"/>
    <w:rsid w:val="42756FAE"/>
    <w:rsid w:val="42AB0C22"/>
    <w:rsid w:val="42B37AD7"/>
    <w:rsid w:val="42E10E04"/>
    <w:rsid w:val="43470C5B"/>
    <w:rsid w:val="436A4639"/>
    <w:rsid w:val="4415350F"/>
    <w:rsid w:val="445B21D4"/>
    <w:rsid w:val="44641089"/>
    <w:rsid w:val="448E4357"/>
    <w:rsid w:val="449C66C4"/>
    <w:rsid w:val="44A533EE"/>
    <w:rsid w:val="44B5690C"/>
    <w:rsid w:val="44B86745"/>
    <w:rsid w:val="44CD4E80"/>
    <w:rsid w:val="45613E21"/>
    <w:rsid w:val="45B65EC1"/>
    <w:rsid w:val="45F60406"/>
    <w:rsid w:val="461B2E4F"/>
    <w:rsid w:val="46E22739"/>
    <w:rsid w:val="46FE5934"/>
    <w:rsid w:val="47B71E17"/>
    <w:rsid w:val="47D91D8D"/>
    <w:rsid w:val="48111527"/>
    <w:rsid w:val="48233009"/>
    <w:rsid w:val="484C3EE6"/>
    <w:rsid w:val="48F84495"/>
    <w:rsid w:val="490B0E05"/>
    <w:rsid w:val="49843F7B"/>
    <w:rsid w:val="49F20EE5"/>
    <w:rsid w:val="4AAE12AF"/>
    <w:rsid w:val="4AB56AE2"/>
    <w:rsid w:val="4B5D4A84"/>
    <w:rsid w:val="4B647BC0"/>
    <w:rsid w:val="4BE724B0"/>
    <w:rsid w:val="4C9269AF"/>
    <w:rsid w:val="4CB01E73"/>
    <w:rsid w:val="4CD174D7"/>
    <w:rsid w:val="4D3161C8"/>
    <w:rsid w:val="4D4D1254"/>
    <w:rsid w:val="4D8F4661"/>
    <w:rsid w:val="4DB0533F"/>
    <w:rsid w:val="4E1A5493"/>
    <w:rsid w:val="4E1F4C80"/>
    <w:rsid w:val="4EAE3EAF"/>
    <w:rsid w:val="4EE537F7"/>
    <w:rsid w:val="4F293E28"/>
    <w:rsid w:val="4F3C57D7"/>
    <w:rsid w:val="4F55619D"/>
    <w:rsid w:val="4FCD667C"/>
    <w:rsid w:val="503F0BFC"/>
    <w:rsid w:val="50574197"/>
    <w:rsid w:val="50964CC0"/>
    <w:rsid w:val="50A322DD"/>
    <w:rsid w:val="50D91050"/>
    <w:rsid w:val="50E83041"/>
    <w:rsid w:val="510F05CE"/>
    <w:rsid w:val="51257DF2"/>
    <w:rsid w:val="514D4936"/>
    <w:rsid w:val="514D693D"/>
    <w:rsid w:val="517A638F"/>
    <w:rsid w:val="517D19DC"/>
    <w:rsid w:val="523C4ED6"/>
    <w:rsid w:val="528B637A"/>
    <w:rsid w:val="52CB49C9"/>
    <w:rsid w:val="530F48B5"/>
    <w:rsid w:val="53C953AC"/>
    <w:rsid w:val="544E765F"/>
    <w:rsid w:val="54813591"/>
    <w:rsid w:val="54CC5154"/>
    <w:rsid w:val="55A90FF1"/>
    <w:rsid w:val="55B654BC"/>
    <w:rsid w:val="55D3606E"/>
    <w:rsid w:val="55DB3175"/>
    <w:rsid w:val="55F45FE4"/>
    <w:rsid w:val="56275E6C"/>
    <w:rsid w:val="563A60ED"/>
    <w:rsid w:val="564451BE"/>
    <w:rsid w:val="56E147BB"/>
    <w:rsid w:val="56FB3ACE"/>
    <w:rsid w:val="570B7A8A"/>
    <w:rsid w:val="57440A95"/>
    <w:rsid w:val="575933F7"/>
    <w:rsid w:val="57907F72"/>
    <w:rsid w:val="57A31A70"/>
    <w:rsid w:val="57C87095"/>
    <w:rsid w:val="589F492D"/>
    <w:rsid w:val="58DC348C"/>
    <w:rsid w:val="58EB1921"/>
    <w:rsid w:val="591E5852"/>
    <w:rsid w:val="59715494"/>
    <w:rsid w:val="59DC2C58"/>
    <w:rsid w:val="5A7F71DF"/>
    <w:rsid w:val="5AB04BD0"/>
    <w:rsid w:val="5B0E7B48"/>
    <w:rsid w:val="5B3B0D1E"/>
    <w:rsid w:val="5B9C6F02"/>
    <w:rsid w:val="5BAD110F"/>
    <w:rsid w:val="5BAD4828"/>
    <w:rsid w:val="5BE74621"/>
    <w:rsid w:val="5C3435DF"/>
    <w:rsid w:val="5C41660E"/>
    <w:rsid w:val="5C563555"/>
    <w:rsid w:val="5CA12D70"/>
    <w:rsid w:val="5D0E3E30"/>
    <w:rsid w:val="5D215911"/>
    <w:rsid w:val="5D261179"/>
    <w:rsid w:val="5D9057B4"/>
    <w:rsid w:val="5DD24E5D"/>
    <w:rsid w:val="5DF43225"/>
    <w:rsid w:val="5E033269"/>
    <w:rsid w:val="5E6957C1"/>
    <w:rsid w:val="5EB97DCB"/>
    <w:rsid w:val="5F1176BF"/>
    <w:rsid w:val="5F6D12E1"/>
    <w:rsid w:val="5F70492E"/>
    <w:rsid w:val="5FD30790"/>
    <w:rsid w:val="5FD55F23"/>
    <w:rsid w:val="607D7F84"/>
    <w:rsid w:val="60BA0556"/>
    <w:rsid w:val="61137100"/>
    <w:rsid w:val="615417E6"/>
    <w:rsid w:val="617C0BFB"/>
    <w:rsid w:val="619E3EBF"/>
    <w:rsid w:val="61B76844"/>
    <w:rsid w:val="61C62F2B"/>
    <w:rsid w:val="61DC44FC"/>
    <w:rsid w:val="623C143F"/>
    <w:rsid w:val="625C7CF2"/>
    <w:rsid w:val="62D7723D"/>
    <w:rsid w:val="62F74E19"/>
    <w:rsid w:val="6418674C"/>
    <w:rsid w:val="642D7291"/>
    <w:rsid w:val="64632CB3"/>
    <w:rsid w:val="64990483"/>
    <w:rsid w:val="64A12D7F"/>
    <w:rsid w:val="64B21544"/>
    <w:rsid w:val="650869CE"/>
    <w:rsid w:val="652C12F7"/>
    <w:rsid w:val="65EB7404"/>
    <w:rsid w:val="66AD46E3"/>
    <w:rsid w:val="66B27F22"/>
    <w:rsid w:val="66BF00F7"/>
    <w:rsid w:val="66C0619B"/>
    <w:rsid w:val="66D87988"/>
    <w:rsid w:val="674F5770"/>
    <w:rsid w:val="678E44EB"/>
    <w:rsid w:val="67EB7247"/>
    <w:rsid w:val="680447AD"/>
    <w:rsid w:val="68340F99"/>
    <w:rsid w:val="689C49E5"/>
    <w:rsid w:val="693939D1"/>
    <w:rsid w:val="69F50851"/>
    <w:rsid w:val="69F745C9"/>
    <w:rsid w:val="6A164324"/>
    <w:rsid w:val="6B014A07"/>
    <w:rsid w:val="6BA047ED"/>
    <w:rsid w:val="6BC8789F"/>
    <w:rsid w:val="6C692464"/>
    <w:rsid w:val="6C895281"/>
    <w:rsid w:val="6C9D0D2C"/>
    <w:rsid w:val="6CD504C6"/>
    <w:rsid w:val="6D4B4AFD"/>
    <w:rsid w:val="6D631327"/>
    <w:rsid w:val="6DA128AC"/>
    <w:rsid w:val="6E274D51"/>
    <w:rsid w:val="6E3E4A2A"/>
    <w:rsid w:val="6E6E2980"/>
    <w:rsid w:val="6E9323E7"/>
    <w:rsid w:val="6E9466AA"/>
    <w:rsid w:val="6F655B31"/>
    <w:rsid w:val="6FC50CC6"/>
    <w:rsid w:val="6FD76303"/>
    <w:rsid w:val="6FDE3B35"/>
    <w:rsid w:val="70114B61"/>
    <w:rsid w:val="7012558D"/>
    <w:rsid w:val="70497201"/>
    <w:rsid w:val="706978A3"/>
    <w:rsid w:val="716F0EE9"/>
    <w:rsid w:val="71B66B18"/>
    <w:rsid w:val="71BC1C54"/>
    <w:rsid w:val="71C64881"/>
    <w:rsid w:val="72112A4A"/>
    <w:rsid w:val="72EA0FB3"/>
    <w:rsid w:val="730B1A61"/>
    <w:rsid w:val="730D09BA"/>
    <w:rsid w:val="73381305"/>
    <w:rsid w:val="73682094"/>
    <w:rsid w:val="73FE6554"/>
    <w:rsid w:val="74213C4F"/>
    <w:rsid w:val="742C1313"/>
    <w:rsid w:val="74380971"/>
    <w:rsid w:val="74B84955"/>
    <w:rsid w:val="74CA4688"/>
    <w:rsid w:val="74F70D0F"/>
    <w:rsid w:val="74F71921"/>
    <w:rsid w:val="7653095A"/>
    <w:rsid w:val="766E5C13"/>
    <w:rsid w:val="767F63D1"/>
    <w:rsid w:val="76876306"/>
    <w:rsid w:val="76C638F9"/>
    <w:rsid w:val="76CC542C"/>
    <w:rsid w:val="776A7044"/>
    <w:rsid w:val="778356EE"/>
    <w:rsid w:val="77E85551"/>
    <w:rsid w:val="78104AA8"/>
    <w:rsid w:val="783267CC"/>
    <w:rsid w:val="79426EE3"/>
    <w:rsid w:val="79792E52"/>
    <w:rsid w:val="79AE0E14"/>
    <w:rsid w:val="79EE2BC7"/>
    <w:rsid w:val="7A1845EE"/>
    <w:rsid w:val="7A94551C"/>
    <w:rsid w:val="7ACB4CB6"/>
    <w:rsid w:val="7B0C1557"/>
    <w:rsid w:val="7B326459"/>
    <w:rsid w:val="7B6C0247"/>
    <w:rsid w:val="7B851309"/>
    <w:rsid w:val="7B993B49"/>
    <w:rsid w:val="7BA07EF1"/>
    <w:rsid w:val="7BDE7397"/>
    <w:rsid w:val="7C374CF9"/>
    <w:rsid w:val="7C541407"/>
    <w:rsid w:val="7C98776B"/>
    <w:rsid w:val="7CD10A2F"/>
    <w:rsid w:val="7CF36E72"/>
    <w:rsid w:val="7D1312C2"/>
    <w:rsid w:val="7DA97531"/>
    <w:rsid w:val="7DDB3462"/>
    <w:rsid w:val="7E2C3CBE"/>
    <w:rsid w:val="7E4B05E8"/>
    <w:rsid w:val="7EDF3A1C"/>
    <w:rsid w:val="7EE87368"/>
    <w:rsid w:val="7F233313"/>
    <w:rsid w:val="7F34107C"/>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2"/>
    <w:unhideWhenUsed/>
    <w:qFormat/>
    <w:uiPriority w:val="9"/>
    <w:pPr>
      <w:outlineLvl w:val="2"/>
    </w:pPr>
    <w:rPr>
      <w:b/>
    </w:rPr>
  </w:style>
  <w:style w:type="paragraph" w:styleId="7">
    <w:name w:val="heading 4"/>
    <w:basedOn w:val="1"/>
    <w:next w:val="1"/>
    <w:link w:val="37"/>
    <w:unhideWhenUsed/>
    <w:qFormat/>
    <w:uiPriority w:val="9"/>
    <w:pPr>
      <w:spacing w:after="0" w:line="271" w:lineRule="auto"/>
      <w:outlineLvl w:val="3"/>
    </w:pPr>
    <w:rPr>
      <w:b/>
      <w:bCs/>
      <w:spacing w:val="5"/>
    </w:rPr>
  </w:style>
  <w:style w:type="paragraph" w:styleId="8">
    <w:name w:val="heading 5"/>
    <w:basedOn w:val="1"/>
    <w:next w:val="1"/>
    <w:link w:val="38"/>
    <w:unhideWhenUsed/>
    <w:qFormat/>
    <w:uiPriority w:val="9"/>
    <w:pPr>
      <w:spacing w:after="0" w:line="271" w:lineRule="auto"/>
      <w:outlineLvl w:val="4"/>
    </w:pPr>
    <w:rPr>
      <w:i/>
      <w:iCs/>
    </w:rPr>
  </w:style>
  <w:style w:type="paragraph" w:styleId="9">
    <w:name w:val="heading 6"/>
    <w:basedOn w:val="1"/>
    <w:next w:val="1"/>
    <w:link w:val="3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4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szCs w:val="20"/>
    </w:rPr>
  </w:style>
  <w:style w:type="paragraph" w:styleId="3">
    <w:name w:val="Body Text"/>
    <w:basedOn w:val="1"/>
    <w:next w:val="2"/>
    <w:qFormat/>
    <w:uiPriority w:val="0"/>
    <w:pPr>
      <w:autoSpaceDE w:val="0"/>
      <w:autoSpaceDN w:val="0"/>
      <w:spacing w:line="360" w:lineRule="auto"/>
    </w:pPr>
    <w:rPr>
      <w:rFonts w:ascii="宋体"/>
      <w:szCs w:val="21"/>
      <w:lang w:val="zh-CN"/>
    </w:rPr>
  </w:style>
  <w:style w:type="paragraph" w:styleId="13">
    <w:name w:val="Normal Indent"/>
    <w:basedOn w:val="1"/>
    <w:link w:val="61"/>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annotation text"/>
    <w:basedOn w:val="1"/>
    <w:semiHidden/>
    <w:unhideWhenUsed/>
    <w:qFormat/>
    <w:uiPriority w:val="99"/>
    <w:pPr>
      <w:jc w:val="left"/>
    </w:pPr>
  </w:style>
  <w:style w:type="paragraph" w:styleId="16">
    <w:name w:val="Body Text Indent"/>
    <w:basedOn w:val="1"/>
    <w:next w:val="1"/>
    <w:link w:val="6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next w:val="18"/>
    <w:link w:val="62"/>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toc 2"/>
    <w:basedOn w:val="1"/>
    <w:next w:val="1"/>
    <w:qFormat/>
    <w:uiPriority w:val="0"/>
    <w:pPr>
      <w:ind w:left="420" w:leftChars="200"/>
    </w:pPr>
  </w:style>
  <w:style w:type="paragraph" w:styleId="19">
    <w:name w:val="Balloon Text"/>
    <w:basedOn w:val="1"/>
    <w:link w:val="76"/>
    <w:semiHidden/>
    <w:unhideWhenUsed/>
    <w:qFormat/>
    <w:uiPriority w:val="99"/>
    <w:pPr>
      <w:spacing w:after="0"/>
    </w:pPr>
    <w:rPr>
      <w:sz w:val="18"/>
      <w:szCs w:val="18"/>
    </w:rPr>
  </w:style>
  <w:style w:type="paragraph" w:styleId="20">
    <w:name w:val="footer"/>
    <w:basedOn w:val="1"/>
    <w:link w:val="36"/>
    <w:unhideWhenUsed/>
    <w:qFormat/>
    <w:uiPriority w:val="99"/>
    <w:pPr>
      <w:tabs>
        <w:tab w:val="center" w:pos="4153"/>
        <w:tab w:val="right" w:pos="8306"/>
      </w:tabs>
      <w:snapToGrid w:val="0"/>
    </w:pPr>
    <w:rPr>
      <w:sz w:val="18"/>
      <w:szCs w:val="18"/>
    </w:rPr>
  </w:style>
  <w:style w:type="paragraph" w:styleId="21">
    <w:name w:val="envelope return"/>
    <w:basedOn w:val="1"/>
    <w:qFormat/>
    <w:uiPriority w:val="0"/>
    <w:pPr>
      <w:snapToGrid w:val="0"/>
    </w:pPr>
    <w:rPr>
      <w:rFonts w:ascii="Arial" w:hAnsi="Arial" w:eastAsia="宋体" w:cs="Times New Roman"/>
    </w:rPr>
  </w:style>
  <w:style w:type="paragraph" w:styleId="2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4"/>
    <w:qFormat/>
    <w:uiPriority w:val="11"/>
    <w:rPr>
      <w:i/>
      <w:iCs/>
      <w:smallCaps/>
      <w:spacing w:val="10"/>
      <w:sz w:val="28"/>
      <w:szCs w:val="28"/>
    </w:rPr>
  </w:style>
  <w:style w:type="paragraph" w:styleId="24">
    <w:name w:val="Title"/>
    <w:basedOn w:val="1"/>
    <w:next w:val="1"/>
    <w:link w:val="43"/>
    <w:qFormat/>
    <w:uiPriority w:val="10"/>
    <w:pPr>
      <w:spacing w:after="300"/>
      <w:contextualSpacing/>
    </w:pPr>
    <w:rPr>
      <w:smallCaps/>
      <w:sz w:val="52"/>
      <w:szCs w:val="52"/>
    </w:rPr>
  </w:style>
  <w:style w:type="paragraph" w:styleId="25">
    <w:name w:val="Body Text First Indent 2"/>
    <w:basedOn w:val="16"/>
    <w:semiHidden/>
    <w:unhideWhenUsed/>
    <w:qFormat/>
    <w:uiPriority w:val="99"/>
    <w:pPr>
      <w:ind w:firstLine="42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character" w:customStyle="1" w:styleId="32">
    <w:name w:val="标题 3 字符"/>
    <w:basedOn w:val="28"/>
    <w:link w:val="6"/>
    <w:qFormat/>
    <w:uiPriority w:val="9"/>
    <w:rPr>
      <w:rFonts w:ascii="仿宋" w:hAnsi="仿宋" w:eastAsia="仿宋"/>
      <w:b/>
      <w:sz w:val="24"/>
      <w:szCs w:val="24"/>
    </w:rPr>
  </w:style>
  <w:style w:type="character" w:customStyle="1" w:styleId="33">
    <w:name w:val="标题 1 字符"/>
    <w:basedOn w:val="28"/>
    <w:link w:val="4"/>
    <w:qFormat/>
    <w:uiPriority w:val="9"/>
    <w:rPr>
      <w:rFonts w:ascii="仿宋_GB2312" w:hAnsi="仿宋" w:eastAsia="仿宋_GB2312"/>
      <w:b/>
      <w:smallCaps/>
      <w:spacing w:val="5"/>
      <w:sz w:val="36"/>
      <w:szCs w:val="36"/>
    </w:rPr>
  </w:style>
  <w:style w:type="character" w:customStyle="1" w:styleId="34">
    <w:name w:val="标题 2 字符"/>
    <w:basedOn w:val="28"/>
    <w:link w:val="5"/>
    <w:qFormat/>
    <w:uiPriority w:val="9"/>
    <w:rPr>
      <w:rFonts w:ascii="仿宋" w:hAnsi="仿宋" w:eastAsia="仿宋"/>
      <w:b/>
      <w:smallCaps/>
      <w:sz w:val="28"/>
      <w:szCs w:val="28"/>
    </w:rPr>
  </w:style>
  <w:style w:type="character" w:customStyle="1" w:styleId="35">
    <w:name w:val="页眉 字符"/>
    <w:basedOn w:val="28"/>
    <w:link w:val="22"/>
    <w:qFormat/>
    <w:uiPriority w:val="99"/>
    <w:rPr>
      <w:sz w:val="18"/>
      <w:szCs w:val="18"/>
    </w:rPr>
  </w:style>
  <w:style w:type="character" w:customStyle="1" w:styleId="36">
    <w:name w:val="页脚 字符"/>
    <w:basedOn w:val="28"/>
    <w:link w:val="20"/>
    <w:qFormat/>
    <w:uiPriority w:val="99"/>
    <w:rPr>
      <w:sz w:val="18"/>
      <w:szCs w:val="18"/>
    </w:rPr>
  </w:style>
  <w:style w:type="character" w:customStyle="1" w:styleId="37">
    <w:name w:val="标题 4 字符"/>
    <w:basedOn w:val="28"/>
    <w:link w:val="7"/>
    <w:qFormat/>
    <w:uiPriority w:val="9"/>
    <w:rPr>
      <w:b/>
      <w:bCs/>
      <w:spacing w:val="5"/>
      <w:sz w:val="24"/>
      <w:szCs w:val="24"/>
    </w:rPr>
  </w:style>
  <w:style w:type="character" w:customStyle="1" w:styleId="38">
    <w:name w:val="标题 5 字符"/>
    <w:basedOn w:val="28"/>
    <w:link w:val="8"/>
    <w:qFormat/>
    <w:uiPriority w:val="9"/>
    <w:rPr>
      <w:i/>
      <w:iCs/>
      <w:sz w:val="24"/>
      <w:szCs w:val="24"/>
    </w:rPr>
  </w:style>
  <w:style w:type="character" w:customStyle="1" w:styleId="39">
    <w:name w:val="标题 6 字符"/>
    <w:basedOn w:val="28"/>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0">
    <w:name w:val="标题 7 字符"/>
    <w:basedOn w:val="28"/>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1">
    <w:name w:val="标题 8 字符"/>
    <w:basedOn w:val="28"/>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2">
    <w:name w:val="标题 9 字符"/>
    <w:basedOn w:val="28"/>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3">
    <w:name w:val="标题 字符"/>
    <w:basedOn w:val="28"/>
    <w:link w:val="24"/>
    <w:qFormat/>
    <w:uiPriority w:val="10"/>
    <w:rPr>
      <w:smallCaps/>
      <w:sz w:val="52"/>
      <w:szCs w:val="52"/>
    </w:rPr>
  </w:style>
  <w:style w:type="character" w:customStyle="1" w:styleId="44">
    <w:name w:val="副标题 字符"/>
    <w:basedOn w:val="28"/>
    <w:link w:val="23"/>
    <w:qFormat/>
    <w:uiPriority w:val="11"/>
    <w:rPr>
      <w:i/>
      <w:iCs/>
      <w:smallCaps/>
      <w:spacing w:val="10"/>
      <w:sz w:val="28"/>
      <w:szCs w:val="28"/>
    </w:rPr>
  </w:style>
  <w:style w:type="paragraph" w:styleId="45">
    <w:name w:val="No Spacing"/>
    <w:basedOn w:val="1"/>
    <w:link w:val="57"/>
    <w:qFormat/>
    <w:uiPriority w:val="1"/>
    <w:pPr>
      <w:spacing w:after="0"/>
    </w:p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iCs/>
    </w:rPr>
  </w:style>
  <w:style w:type="character" w:customStyle="1" w:styleId="48">
    <w:name w:val="引用 字符"/>
    <w:basedOn w:val="28"/>
    <w:link w:val="47"/>
    <w:qFormat/>
    <w:uiPriority w:val="29"/>
    <w:rPr>
      <w:i/>
      <w:iCs/>
    </w:rPr>
  </w:style>
  <w:style w:type="paragraph" w:styleId="49">
    <w:name w:val="Intense Quote"/>
    <w:basedOn w:val="1"/>
    <w:next w:val="1"/>
    <w:link w:val="5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明显引用 字符"/>
    <w:basedOn w:val="28"/>
    <w:link w:val="49"/>
    <w:qFormat/>
    <w:uiPriority w:val="30"/>
    <w:rPr>
      <w:i/>
      <w:iCs/>
    </w:rPr>
  </w:style>
  <w:style w:type="character" w:customStyle="1" w:styleId="51">
    <w:name w:val="不明显强调1"/>
    <w:qFormat/>
    <w:uiPriority w:val="19"/>
    <w:rPr>
      <w:i/>
      <w:iCs/>
    </w:rPr>
  </w:style>
  <w:style w:type="character" w:customStyle="1" w:styleId="52">
    <w:name w:val="明显强调1"/>
    <w:qFormat/>
    <w:uiPriority w:val="21"/>
    <w:rPr>
      <w:b/>
      <w:bCs/>
      <w:i/>
      <w:iCs/>
    </w:rPr>
  </w:style>
  <w:style w:type="character" w:customStyle="1" w:styleId="53">
    <w:name w:val="不明显参考1"/>
    <w:basedOn w:val="28"/>
    <w:qFormat/>
    <w:uiPriority w:val="31"/>
    <w:rPr>
      <w:smallCaps/>
    </w:rPr>
  </w:style>
  <w:style w:type="character" w:customStyle="1" w:styleId="54">
    <w:name w:val="明显参考1"/>
    <w:qFormat/>
    <w:uiPriority w:val="32"/>
    <w:rPr>
      <w:b/>
      <w:bCs/>
      <w:smallCaps/>
    </w:rPr>
  </w:style>
  <w:style w:type="character" w:customStyle="1" w:styleId="55">
    <w:name w:val="书籍标题1"/>
    <w:basedOn w:val="28"/>
    <w:qFormat/>
    <w:uiPriority w:val="33"/>
    <w:rPr>
      <w:i/>
      <w:iCs/>
      <w:smallCaps/>
      <w:spacing w:val="5"/>
    </w:rPr>
  </w:style>
  <w:style w:type="paragraph" w:customStyle="1" w:styleId="56">
    <w:name w:val="TOC 标题1"/>
    <w:basedOn w:val="4"/>
    <w:next w:val="1"/>
    <w:semiHidden/>
    <w:unhideWhenUsed/>
    <w:qFormat/>
    <w:uiPriority w:val="39"/>
    <w:pPr>
      <w:outlineLvl w:val="9"/>
    </w:pPr>
    <w:rPr>
      <w:lang w:bidi="en-US"/>
    </w:rPr>
  </w:style>
  <w:style w:type="character" w:customStyle="1" w:styleId="57">
    <w:name w:val="无间隔 字符"/>
    <w:basedOn w:val="28"/>
    <w:link w:val="45"/>
    <w:qFormat/>
    <w:uiPriority w:val="1"/>
  </w:style>
  <w:style w:type="paragraph" w:customStyle="1" w:styleId="58">
    <w:name w:val="Personal Name"/>
    <w:basedOn w:val="24"/>
    <w:qFormat/>
    <w:uiPriority w:val="0"/>
    <w:rPr>
      <w:b/>
      <w:caps/>
      <w:color w:val="000000"/>
      <w:sz w:val="28"/>
      <w:szCs w:val="28"/>
    </w:rPr>
  </w:style>
  <w:style w:type="character" w:customStyle="1" w:styleId="59">
    <w:name w:val="正文2 Char Char"/>
    <w:link w:val="60"/>
    <w:qFormat/>
    <w:uiPriority w:val="0"/>
    <w:rPr>
      <w:rFonts w:ascii="仿宋" w:hAnsi="仿宋" w:eastAsia="仿宋"/>
      <w:sz w:val="24"/>
      <w:szCs w:val="24"/>
    </w:rPr>
  </w:style>
  <w:style w:type="paragraph" w:customStyle="1" w:styleId="60">
    <w:name w:val="正文2"/>
    <w:basedOn w:val="1"/>
    <w:link w:val="59"/>
    <w:qFormat/>
    <w:uiPriority w:val="0"/>
    <w:pPr>
      <w:spacing w:line="360" w:lineRule="auto"/>
    </w:pPr>
  </w:style>
  <w:style w:type="character" w:customStyle="1" w:styleId="61">
    <w:name w:val="正文缩进 字符"/>
    <w:link w:val="13"/>
    <w:qFormat/>
    <w:uiPriority w:val="0"/>
    <w:rPr>
      <w:rFonts w:ascii="宋体" w:hAnsi="Times New Roman" w:eastAsia="宋体" w:cs="Times New Roman"/>
      <w:snapToGrid w:val="0"/>
      <w:color w:val="000000"/>
      <w:kern w:val="28"/>
      <w:sz w:val="28"/>
      <w:szCs w:val="20"/>
    </w:rPr>
  </w:style>
  <w:style w:type="character" w:customStyle="1" w:styleId="62">
    <w:name w:val="纯文本 字符"/>
    <w:basedOn w:val="28"/>
    <w:link w:val="17"/>
    <w:qFormat/>
    <w:uiPriority w:val="0"/>
    <w:rPr>
      <w:rFonts w:ascii="宋体" w:hAnsi="Courier New" w:eastAsia="宋体" w:cs="Arial"/>
      <w:snapToGrid w:val="0"/>
      <w:kern w:val="2"/>
      <w:sz w:val="21"/>
      <w:szCs w:val="21"/>
    </w:rPr>
  </w:style>
  <w:style w:type="character" w:customStyle="1" w:styleId="63">
    <w:name w:val="正文文本缩进 Char"/>
    <w:basedOn w:val="28"/>
    <w:semiHidden/>
    <w:qFormat/>
    <w:uiPriority w:val="99"/>
    <w:rPr>
      <w:rFonts w:ascii="仿宋" w:hAnsi="仿宋" w:eastAsia="仿宋"/>
      <w:sz w:val="24"/>
      <w:szCs w:val="24"/>
    </w:rPr>
  </w:style>
  <w:style w:type="character" w:customStyle="1" w:styleId="64">
    <w:name w:val="正文文本缩进 字符"/>
    <w:link w:val="16"/>
    <w:qFormat/>
    <w:uiPriority w:val="0"/>
    <w:rPr>
      <w:rFonts w:ascii="宋体" w:hAnsi="宋体" w:eastAsia="宋体" w:cs="Times New Roman"/>
      <w:kern w:val="2"/>
      <w:sz w:val="24"/>
      <w:szCs w:val="24"/>
    </w:rPr>
  </w:style>
  <w:style w:type="character" w:customStyle="1" w:styleId="65">
    <w:name w:val="标题 Char2"/>
    <w:qFormat/>
    <w:uiPriority w:val="10"/>
    <w:rPr>
      <w:b/>
      <w:sz w:val="24"/>
      <w:lang w:val="en-GB"/>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pPr>
      <w:widowControl w:val="0"/>
      <w:spacing w:after="0"/>
      <w:jc w:val="both"/>
    </w:pPr>
    <w:rPr>
      <w:rFonts w:ascii="宋体" w:hAnsi="Courier New" w:eastAsiaTheme="majorEastAsia"/>
      <w:sz w:val="22"/>
      <w:szCs w:val="22"/>
    </w:rPr>
  </w:style>
  <w:style w:type="character" w:customStyle="1" w:styleId="68">
    <w:name w:val="页脚 Char2"/>
    <w:qFormat/>
    <w:locked/>
    <w:uiPriority w:val="99"/>
    <w:rPr>
      <w:kern w:val="2"/>
      <w:sz w:val="18"/>
      <w:szCs w:val="18"/>
    </w:rPr>
  </w:style>
  <w:style w:type="character" w:customStyle="1" w:styleId="69">
    <w:name w:val="页眉 Char2"/>
    <w:qFormat/>
    <w:uiPriority w:val="99"/>
    <w:rPr>
      <w:kern w:val="2"/>
      <w:sz w:val="18"/>
      <w:szCs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1">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1"/>
    <w:link w:val="73"/>
    <w:qFormat/>
    <w:uiPriority w:val="0"/>
    <w:pPr>
      <w:widowControl w:val="0"/>
      <w:spacing w:after="0"/>
      <w:jc w:val="both"/>
    </w:pPr>
    <w:rPr>
      <w:rFonts w:ascii="宋体" w:hAnsi="Courier New" w:eastAsiaTheme="majorEastAsia"/>
      <w:kern w:val="2"/>
      <w:sz w:val="21"/>
      <w:szCs w:val="21"/>
    </w:rPr>
  </w:style>
  <w:style w:type="paragraph" w:customStyle="1" w:styleId="7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6">
    <w:name w:val="批注框文本 字符"/>
    <w:basedOn w:val="28"/>
    <w:link w:val="19"/>
    <w:semiHidden/>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Company>H3C</Company>
  <Pages>99</Pages>
  <Words>46716</Words>
  <Characters>50404</Characters>
  <Lines>346</Lines>
  <Paragraphs>97</Paragraphs>
  <TotalTime>12</TotalTime>
  <ScaleCrop>false</ScaleCrop>
  <LinksUpToDate>false</LinksUpToDate>
  <CharactersWithSpaces>55934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shine lee</cp:lastModifiedBy>
  <cp:lastPrinted>2022-06-10T09:02:00Z</cp:lastPrinted>
  <dcterms:modified xsi:type="dcterms:W3CDTF">2022-12-15T07:36:53Z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B97D27683C3E4626A9038C060078BEA6</vt:lpwstr>
  </property>
</Properties>
</file>