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21"/>
          <w:szCs w:val="21"/>
          <w:highlight w:val="none"/>
          <w:lang w:val="en-US" w:eastAsia="zh-CN"/>
        </w:rPr>
      </w:pPr>
      <w:bookmarkStart w:id="135" w:name="_GoBack"/>
      <w:bookmarkEnd w:id="135"/>
    </w:p>
    <w:p>
      <w:pPr>
        <w:spacing w:before="120" w:beforeLines="50"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pacing w:val="-28"/>
          <w:sz w:val="52"/>
          <w:szCs w:val="52"/>
          <w:highlight w:val="none"/>
          <w:lang w:eastAsia="zh-CN"/>
        </w:rPr>
        <w:t>“数字浙警”建设工程-教师绩效码和学生成长码-数据采集及应用场景迭代项目</w:t>
      </w:r>
    </w:p>
    <w:p>
      <w:pPr>
        <w:spacing w:before="120" w:beforeLines="50" w:line="360" w:lineRule="auto"/>
        <w:jc w:val="center"/>
        <w:rPr>
          <w:rFonts w:ascii="宋体" w:hAnsi="宋体" w:cs="宋体"/>
          <w:b/>
          <w:color w:val="auto"/>
          <w:sz w:val="36"/>
          <w:szCs w:val="36"/>
          <w:highlight w:val="none"/>
        </w:rPr>
      </w:pPr>
    </w:p>
    <w:p>
      <w:pPr>
        <w:pStyle w:val="17"/>
        <w:rPr>
          <w:color w:val="auto"/>
          <w:highlight w:val="none"/>
        </w:rPr>
      </w:pPr>
    </w:p>
    <w:p>
      <w:pPr>
        <w:pStyle w:val="17"/>
        <w:rPr>
          <w:color w:val="auto"/>
          <w:highlight w:val="none"/>
        </w:rPr>
      </w:pPr>
    </w:p>
    <w:p>
      <w:pPr>
        <w:pStyle w:val="10"/>
        <w:rPr>
          <w:rFonts w:ascii="宋体" w:hAnsi="宋体" w:cs="宋体"/>
          <w:color w:val="auto"/>
          <w:highlight w:val="none"/>
        </w:rPr>
      </w:pPr>
    </w:p>
    <w:p>
      <w:pPr>
        <w:spacing w:before="120" w:beforeLines="50" w:line="360" w:lineRule="auto"/>
        <w:jc w:val="center"/>
        <w:rPr>
          <w:rFonts w:ascii="宋体" w:hAnsi="宋体" w:cs="宋体"/>
          <w:b/>
          <w:color w:val="auto"/>
          <w:szCs w:val="21"/>
          <w:highlight w:val="none"/>
        </w:rPr>
      </w:pPr>
    </w:p>
    <w:p>
      <w:pPr>
        <w:spacing w:before="120" w:beforeLines="50" w:line="360" w:lineRule="auto"/>
        <w:jc w:val="center"/>
        <w:rPr>
          <w:rFonts w:ascii="宋体" w:hAnsi="宋体" w:cs="宋体"/>
          <w:b/>
          <w:color w:val="auto"/>
          <w:sz w:val="84"/>
          <w:szCs w:val="84"/>
          <w:highlight w:val="none"/>
        </w:rPr>
      </w:pPr>
      <w:r>
        <w:rPr>
          <w:rFonts w:ascii="宋体" w:hAnsi="宋体" w:cs="宋体"/>
          <w:b/>
          <w:color w:val="auto"/>
          <w:sz w:val="84"/>
          <w:szCs w:val="84"/>
          <w:highlight w:val="none"/>
        </w:rPr>
        <w:t>公开招标文件</w:t>
      </w:r>
    </w:p>
    <w:p>
      <w:pPr>
        <w:snapToGrid w:val="0"/>
        <w:spacing w:before="120" w:beforeLines="50" w:line="360" w:lineRule="auto"/>
        <w:jc w:val="center"/>
        <w:rPr>
          <w:rFonts w:hint="eastAsia" w:ascii="宋体" w:hAnsi="宋体" w:eastAsia="宋体" w:cs="宋体"/>
          <w:color w:val="auto"/>
          <w:sz w:val="30"/>
          <w:szCs w:val="72"/>
          <w:highlight w:val="none"/>
          <w:lang w:eastAsia="zh-CN"/>
        </w:rPr>
      </w:pPr>
      <w:r>
        <w:rPr>
          <w:rFonts w:ascii="宋体" w:hAnsi="宋体" w:cs="宋体"/>
          <w:b/>
          <w:bCs/>
          <w:color w:val="auto"/>
          <w:sz w:val="32"/>
          <w:szCs w:val="32"/>
          <w:highlight w:val="none"/>
        </w:rPr>
        <w:t>项目编号：</w:t>
      </w:r>
      <w:r>
        <w:rPr>
          <w:rFonts w:hint="eastAsia" w:ascii="宋体" w:hAnsi="宋体" w:cs="宋体"/>
          <w:b/>
          <w:bCs/>
          <w:color w:val="auto"/>
          <w:sz w:val="32"/>
          <w:szCs w:val="32"/>
          <w:highlight w:val="none"/>
          <w:lang w:eastAsia="zh-CN"/>
        </w:rPr>
        <w:t>HSZB-2022-216-01</w:t>
      </w:r>
    </w:p>
    <w:p>
      <w:pPr>
        <w:pStyle w:val="22"/>
        <w:snapToGrid w:val="0"/>
        <w:spacing w:before="120" w:after="120" w:line="360" w:lineRule="auto"/>
        <w:rPr>
          <w:rFonts w:hAnsi="宋体" w:cs="宋体"/>
          <w:b/>
          <w:bCs/>
          <w:color w:val="auto"/>
          <w:sz w:val="30"/>
          <w:szCs w:val="30"/>
          <w:highlight w:val="none"/>
        </w:rPr>
      </w:pPr>
    </w:p>
    <w:p>
      <w:pPr>
        <w:pStyle w:val="22"/>
        <w:snapToGrid w:val="0"/>
        <w:spacing w:before="240" w:beforeLines="100" w:after="120" w:line="240" w:lineRule="auto"/>
        <w:rPr>
          <w:rFonts w:hAnsi="宋体" w:cs="宋体"/>
          <w:b/>
          <w:bCs/>
          <w:color w:val="auto"/>
          <w:sz w:val="32"/>
          <w:szCs w:val="32"/>
          <w:highlight w:val="none"/>
        </w:rPr>
      </w:pPr>
    </w:p>
    <w:p>
      <w:pPr>
        <w:pStyle w:val="22"/>
        <w:snapToGrid w:val="0"/>
        <w:spacing w:before="240" w:beforeLines="100" w:after="120" w:line="240" w:lineRule="auto"/>
        <w:rPr>
          <w:rFonts w:hAnsi="宋体" w:cs="宋体"/>
          <w:b/>
          <w:bCs/>
          <w:color w:val="auto"/>
          <w:sz w:val="32"/>
          <w:szCs w:val="32"/>
          <w:highlight w:val="none"/>
        </w:rPr>
      </w:pPr>
    </w:p>
    <w:p>
      <w:pPr>
        <w:pStyle w:val="22"/>
        <w:snapToGrid w:val="0"/>
        <w:spacing w:before="240" w:beforeLines="100" w:after="120" w:line="240" w:lineRule="auto"/>
        <w:rPr>
          <w:rFonts w:hAnsi="宋体" w:cs="宋体"/>
          <w:b/>
          <w:bCs/>
          <w:color w:val="auto"/>
          <w:sz w:val="32"/>
          <w:szCs w:val="32"/>
          <w:highlight w:val="none"/>
        </w:rPr>
      </w:pPr>
    </w:p>
    <w:p>
      <w:pPr>
        <w:pStyle w:val="22"/>
        <w:snapToGrid w:val="0"/>
        <w:spacing w:before="240" w:beforeLines="100" w:after="120" w:line="240" w:lineRule="auto"/>
        <w:rPr>
          <w:rFonts w:hAnsi="宋体" w:cs="宋体"/>
          <w:b/>
          <w:bCs/>
          <w:color w:val="auto"/>
          <w:sz w:val="32"/>
          <w:szCs w:val="32"/>
          <w:highlight w:val="none"/>
        </w:rPr>
      </w:pPr>
    </w:p>
    <w:p>
      <w:pPr>
        <w:pStyle w:val="22"/>
        <w:snapToGrid w:val="0"/>
        <w:spacing w:before="120" w:after="120" w:line="240" w:lineRule="auto"/>
        <w:rPr>
          <w:rFonts w:hAnsi="宋体" w:cs="宋体"/>
          <w:b/>
          <w:bCs/>
          <w:color w:val="auto"/>
          <w:sz w:val="32"/>
          <w:szCs w:val="32"/>
          <w:highlight w:val="none"/>
        </w:rPr>
      </w:pPr>
    </w:p>
    <w:p>
      <w:pPr>
        <w:pStyle w:val="22"/>
        <w:snapToGrid w:val="0"/>
        <w:spacing w:before="120" w:after="120" w:line="360" w:lineRule="auto"/>
        <w:ind w:left="3283" w:leftChars="760" w:hanging="1687" w:hangingChars="525"/>
        <w:rPr>
          <w:rFonts w:hint="eastAsia" w:hAnsi="宋体" w:eastAsia="宋体" w:cs="宋体"/>
          <w:b/>
          <w:color w:val="auto"/>
          <w:sz w:val="32"/>
          <w:szCs w:val="32"/>
          <w:highlight w:val="none"/>
          <w:lang w:eastAsia="zh-CN"/>
        </w:rPr>
      </w:pPr>
      <w:r>
        <w:rPr>
          <w:rFonts w:hAnsi="宋体" w:cs="宋体"/>
          <w:b/>
          <w:color w:val="auto"/>
          <w:sz w:val="32"/>
          <w:szCs w:val="32"/>
          <w:highlight w:val="none"/>
        </w:rPr>
        <w:t>采购单位：</w:t>
      </w:r>
      <w:r>
        <w:rPr>
          <w:rFonts w:hint="eastAsia" w:hAnsi="宋体" w:cs="宋体"/>
          <w:b/>
          <w:color w:val="auto"/>
          <w:sz w:val="32"/>
          <w:szCs w:val="32"/>
          <w:highlight w:val="none"/>
          <w:lang w:eastAsia="zh-CN"/>
        </w:rPr>
        <w:t>浙江警察学院</w:t>
      </w:r>
    </w:p>
    <w:p>
      <w:pPr>
        <w:pStyle w:val="22"/>
        <w:snapToGrid w:val="0"/>
        <w:spacing w:before="120" w:after="120" w:line="360" w:lineRule="auto"/>
        <w:ind w:firstLine="1536" w:firstLineChars="478"/>
        <w:rPr>
          <w:rFonts w:hAnsi="宋体" w:cs="宋体"/>
          <w:b/>
          <w:color w:val="auto"/>
          <w:sz w:val="32"/>
          <w:szCs w:val="32"/>
          <w:highlight w:val="none"/>
        </w:rPr>
      </w:pPr>
      <w:r>
        <w:rPr>
          <w:rFonts w:hAnsi="宋体" w:cs="宋体"/>
          <w:b/>
          <w:color w:val="auto"/>
          <w:sz w:val="32"/>
          <w:szCs w:val="32"/>
          <w:highlight w:val="none"/>
        </w:rPr>
        <w:t>代理机构：浙江豪圣建设项目管理有限公司</w:t>
      </w:r>
    </w:p>
    <w:p>
      <w:pPr>
        <w:snapToGrid w:val="0"/>
        <w:spacing w:before="120" w:beforeLines="50" w:after="50" w:line="360" w:lineRule="auto"/>
        <w:jc w:val="center"/>
        <w:rPr>
          <w:rFonts w:ascii="宋体" w:hAnsi="宋体" w:cs="宋体"/>
          <w:b/>
          <w:bCs/>
          <w:color w:val="auto"/>
          <w:w w:val="95"/>
          <w:sz w:val="30"/>
          <w:szCs w:val="30"/>
          <w:highlight w:val="none"/>
        </w:rPr>
        <w:sectPr>
          <w:footerReference r:id="rId4" w:type="default"/>
          <w:footerReference r:id="rId5" w:type="even"/>
          <w:pgSz w:w="11906" w:h="16838"/>
          <w:pgMar w:top="1134" w:right="1247" w:bottom="1247" w:left="1304" w:header="794" w:footer="794" w:gutter="0"/>
          <w:cols w:space="720" w:num="1"/>
          <w:docGrid w:linePitch="312" w:charSpace="0"/>
        </w:sectPr>
      </w:pPr>
      <w:r>
        <w:rPr>
          <w:rFonts w:ascii="宋体" w:hAnsi="宋体" w:cs="宋体"/>
          <w:b/>
          <w:bCs/>
          <w:color w:val="auto"/>
          <w:w w:val="95"/>
          <w:sz w:val="32"/>
          <w:szCs w:val="32"/>
          <w:highlight w:val="none"/>
        </w:rPr>
        <w:t>202</w:t>
      </w:r>
      <w:r>
        <w:rPr>
          <w:rFonts w:hint="eastAsia" w:ascii="宋体" w:hAnsi="宋体" w:cs="宋体"/>
          <w:b/>
          <w:bCs/>
          <w:color w:val="auto"/>
          <w:w w:val="95"/>
          <w:sz w:val="32"/>
          <w:szCs w:val="32"/>
          <w:highlight w:val="none"/>
          <w:lang w:val="en-US" w:eastAsia="zh-CN"/>
        </w:rPr>
        <w:t>2</w:t>
      </w:r>
      <w:r>
        <w:rPr>
          <w:rFonts w:ascii="宋体" w:hAnsi="宋体" w:cs="宋体"/>
          <w:b/>
          <w:bCs/>
          <w:color w:val="auto"/>
          <w:w w:val="95"/>
          <w:sz w:val="32"/>
          <w:szCs w:val="32"/>
          <w:highlight w:val="none"/>
        </w:rPr>
        <w:t>年</w:t>
      </w:r>
      <w:r>
        <w:rPr>
          <w:rFonts w:hint="eastAsia" w:ascii="宋体" w:hAnsi="宋体" w:cs="宋体"/>
          <w:b/>
          <w:bCs/>
          <w:color w:val="auto"/>
          <w:w w:val="95"/>
          <w:sz w:val="32"/>
          <w:szCs w:val="32"/>
          <w:highlight w:val="none"/>
          <w:lang w:val="en-US" w:eastAsia="zh-CN"/>
        </w:rPr>
        <w:t>0</w:t>
      </w:r>
      <w:r>
        <w:rPr>
          <w:rFonts w:hint="eastAsia" w:ascii="宋体" w:hAnsi="宋体" w:cs="宋体"/>
          <w:b/>
          <w:bCs/>
          <w:color w:val="auto"/>
          <w:w w:val="95"/>
          <w:sz w:val="32"/>
          <w:szCs w:val="32"/>
          <w:highlight w:val="none"/>
          <w:lang w:val="en-US" w:eastAsia="zh-CN"/>
        </w:rPr>
        <w:t>8</w:t>
      </w:r>
      <w:r>
        <w:rPr>
          <w:rFonts w:ascii="宋体" w:hAnsi="宋体" w:cs="宋体"/>
          <w:b/>
          <w:bCs/>
          <w:color w:val="auto"/>
          <w:w w:val="95"/>
          <w:sz w:val="32"/>
          <w:szCs w:val="32"/>
          <w:highlight w:val="none"/>
        </w:rPr>
        <w:t>月</w:t>
      </w:r>
    </w:p>
    <w:p>
      <w:pPr>
        <w:pStyle w:val="22"/>
        <w:spacing w:before="120" w:after="120" w:line="360" w:lineRule="auto"/>
        <w:jc w:val="center"/>
        <w:rPr>
          <w:rFonts w:hAnsi="宋体" w:cs="宋体"/>
          <w:color w:val="auto"/>
          <w:sz w:val="36"/>
          <w:szCs w:val="36"/>
          <w:highlight w:val="none"/>
        </w:rPr>
      </w:pPr>
    </w:p>
    <w:p>
      <w:pPr>
        <w:pStyle w:val="22"/>
        <w:spacing w:before="120" w:after="120" w:line="360" w:lineRule="auto"/>
        <w:jc w:val="center"/>
        <w:rPr>
          <w:rFonts w:hAnsi="宋体" w:cs="宋体"/>
          <w:b/>
          <w:color w:val="auto"/>
          <w:sz w:val="36"/>
          <w:szCs w:val="36"/>
          <w:highlight w:val="none"/>
        </w:rPr>
      </w:pPr>
      <w:r>
        <w:rPr>
          <w:rFonts w:hAnsi="宋体" w:cs="宋体"/>
          <w:b/>
          <w:color w:val="auto"/>
          <w:sz w:val="36"/>
          <w:szCs w:val="36"/>
          <w:highlight w:val="none"/>
        </w:rPr>
        <w:t>目  录</w:t>
      </w:r>
    </w:p>
    <w:p>
      <w:pPr>
        <w:pStyle w:val="2"/>
        <w:tabs>
          <w:tab w:val="right" w:leader="dot" w:pos="9355"/>
        </w:tabs>
        <w:spacing w:line="360" w:lineRule="auto"/>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p>
    <w:p>
      <w:pPr>
        <w:pStyle w:val="2"/>
        <w:tabs>
          <w:tab w:val="right" w:leader="dot" w:pos="9355"/>
        </w:tabs>
        <w:spacing w:line="360" w:lineRule="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_Toc18586 </w:instrText>
      </w:r>
      <w:r>
        <w:rPr>
          <w:rFonts w:hint="eastAsia" w:ascii="宋体" w:hAnsi="宋体" w:eastAsia="宋体" w:cs="宋体"/>
          <w:color w:val="auto"/>
          <w:szCs w:val="24"/>
          <w:highlight w:val="none"/>
        </w:rPr>
        <w:fldChar w:fldCharType="separate"/>
      </w:r>
      <w:r>
        <w:rPr>
          <w:color w:val="auto"/>
          <w:szCs w:val="32"/>
          <w:highlight w:val="none"/>
        </w:rPr>
        <w:t>第一章  招标公告</w:t>
      </w:r>
      <w:r>
        <w:rPr>
          <w:color w:val="auto"/>
        </w:rPr>
        <w:tab/>
      </w:r>
      <w:r>
        <w:rPr>
          <w:color w:val="auto"/>
        </w:rPr>
        <w:fldChar w:fldCharType="begin"/>
      </w:r>
      <w:r>
        <w:rPr>
          <w:color w:val="auto"/>
        </w:rPr>
        <w:instrText xml:space="preserve"> PAGEREF _Toc18586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pPr>
        <w:pStyle w:val="2"/>
        <w:tabs>
          <w:tab w:val="right" w:leader="dot" w:pos="9355"/>
        </w:tabs>
        <w:spacing w:line="360" w:lineRule="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_Toc6703 </w:instrText>
      </w:r>
      <w:r>
        <w:rPr>
          <w:rFonts w:hint="eastAsia" w:ascii="宋体" w:hAnsi="宋体" w:eastAsia="宋体" w:cs="宋体"/>
          <w:color w:val="auto"/>
          <w:szCs w:val="24"/>
          <w:highlight w:val="none"/>
        </w:rPr>
        <w:fldChar w:fldCharType="separate"/>
      </w:r>
      <w:r>
        <w:rPr>
          <w:color w:val="auto"/>
          <w:szCs w:val="36"/>
          <w:highlight w:val="none"/>
        </w:rPr>
        <w:t>第二章  投标人须知</w:t>
      </w:r>
      <w:r>
        <w:rPr>
          <w:color w:val="auto"/>
        </w:rPr>
        <w:tab/>
      </w:r>
      <w:r>
        <w:rPr>
          <w:color w:val="auto"/>
        </w:rPr>
        <w:fldChar w:fldCharType="begin"/>
      </w:r>
      <w:r>
        <w:rPr>
          <w:color w:val="auto"/>
        </w:rPr>
        <w:instrText xml:space="preserve"> PAGEREF _Toc6703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24"/>
          <w:highlight w:val="none"/>
        </w:rPr>
        <w:fldChar w:fldCharType="end"/>
      </w:r>
    </w:p>
    <w:p>
      <w:pPr>
        <w:pStyle w:val="2"/>
        <w:tabs>
          <w:tab w:val="right" w:leader="dot" w:pos="9355"/>
        </w:tabs>
        <w:spacing w:line="360" w:lineRule="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_Toc32152 </w:instrText>
      </w:r>
      <w:r>
        <w:rPr>
          <w:rFonts w:hint="eastAsia" w:ascii="宋体" w:hAnsi="宋体" w:eastAsia="宋体" w:cs="宋体"/>
          <w:color w:val="auto"/>
          <w:szCs w:val="24"/>
          <w:highlight w:val="none"/>
        </w:rPr>
        <w:fldChar w:fldCharType="separate"/>
      </w:r>
      <w:r>
        <w:rPr>
          <w:color w:val="auto"/>
          <w:szCs w:val="44"/>
          <w:highlight w:val="none"/>
        </w:rPr>
        <w:t>第三章  评标办法</w:t>
      </w:r>
      <w:r>
        <w:rPr>
          <w:color w:val="auto"/>
        </w:rPr>
        <w:tab/>
      </w:r>
      <w:r>
        <w:rPr>
          <w:color w:val="auto"/>
        </w:rPr>
        <w:fldChar w:fldCharType="begin"/>
      </w:r>
      <w:r>
        <w:rPr>
          <w:color w:val="auto"/>
        </w:rPr>
        <w:instrText xml:space="preserve"> PAGEREF _Toc32152 \h </w:instrText>
      </w:r>
      <w:r>
        <w:rPr>
          <w:color w:val="auto"/>
        </w:rPr>
        <w:fldChar w:fldCharType="separate"/>
      </w:r>
      <w:r>
        <w:rPr>
          <w:color w:val="auto"/>
        </w:rPr>
        <w:t>21</w:t>
      </w:r>
      <w:r>
        <w:rPr>
          <w:color w:val="auto"/>
        </w:rPr>
        <w:fldChar w:fldCharType="end"/>
      </w:r>
      <w:r>
        <w:rPr>
          <w:rFonts w:hint="eastAsia" w:ascii="宋体" w:hAnsi="宋体" w:eastAsia="宋体" w:cs="宋体"/>
          <w:color w:val="auto"/>
          <w:szCs w:val="24"/>
          <w:highlight w:val="none"/>
        </w:rPr>
        <w:fldChar w:fldCharType="end"/>
      </w:r>
    </w:p>
    <w:p>
      <w:pPr>
        <w:pStyle w:val="2"/>
        <w:tabs>
          <w:tab w:val="right" w:leader="dot" w:pos="9355"/>
        </w:tabs>
        <w:spacing w:line="360" w:lineRule="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_Toc639 </w:instrText>
      </w:r>
      <w:r>
        <w:rPr>
          <w:rFonts w:hint="eastAsia" w:ascii="宋体" w:hAnsi="宋体" w:eastAsia="宋体" w:cs="宋体"/>
          <w:color w:val="auto"/>
          <w:szCs w:val="24"/>
          <w:highlight w:val="none"/>
        </w:rPr>
        <w:fldChar w:fldCharType="separate"/>
      </w:r>
      <w:r>
        <w:rPr>
          <w:rFonts w:hint="eastAsia"/>
          <w:color w:val="auto"/>
          <w:szCs w:val="36"/>
        </w:rPr>
        <w:t xml:space="preserve">第四章 </w:t>
      </w:r>
      <w:r>
        <w:rPr>
          <w:color w:val="auto"/>
          <w:szCs w:val="36"/>
          <w:highlight w:val="none"/>
        </w:rPr>
        <w:t>采购内容及需求</w:t>
      </w:r>
      <w:r>
        <w:rPr>
          <w:color w:val="auto"/>
        </w:rPr>
        <w:tab/>
      </w:r>
      <w:r>
        <w:rPr>
          <w:color w:val="auto"/>
        </w:rPr>
        <w:fldChar w:fldCharType="begin"/>
      </w:r>
      <w:r>
        <w:rPr>
          <w:color w:val="auto"/>
        </w:rPr>
        <w:instrText xml:space="preserve"> PAGEREF _Toc639 \h </w:instrText>
      </w:r>
      <w:r>
        <w:rPr>
          <w:color w:val="auto"/>
        </w:rPr>
        <w:fldChar w:fldCharType="separate"/>
      </w:r>
      <w:r>
        <w:rPr>
          <w:color w:val="auto"/>
        </w:rPr>
        <w:t>27</w:t>
      </w:r>
      <w:r>
        <w:rPr>
          <w:color w:val="auto"/>
        </w:rPr>
        <w:fldChar w:fldCharType="end"/>
      </w:r>
      <w:r>
        <w:rPr>
          <w:rFonts w:hint="eastAsia" w:ascii="宋体" w:hAnsi="宋体" w:eastAsia="宋体" w:cs="宋体"/>
          <w:color w:val="auto"/>
          <w:szCs w:val="24"/>
          <w:highlight w:val="none"/>
        </w:rPr>
        <w:fldChar w:fldCharType="end"/>
      </w:r>
    </w:p>
    <w:p>
      <w:pPr>
        <w:pStyle w:val="2"/>
        <w:tabs>
          <w:tab w:val="right" w:leader="dot" w:pos="9355"/>
        </w:tabs>
        <w:spacing w:line="360" w:lineRule="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_Toc22966 </w:instrText>
      </w:r>
      <w:r>
        <w:rPr>
          <w:rFonts w:hint="eastAsia" w:ascii="宋体" w:hAnsi="宋体" w:eastAsia="宋体" w:cs="宋体"/>
          <w:color w:val="auto"/>
          <w:szCs w:val="24"/>
          <w:highlight w:val="none"/>
        </w:rPr>
        <w:fldChar w:fldCharType="separate"/>
      </w:r>
      <w:r>
        <w:rPr>
          <w:color w:val="auto"/>
          <w:szCs w:val="36"/>
          <w:highlight w:val="none"/>
        </w:rPr>
        <w:t>第五章  合同主要条款</w:t>
      </w:r>
      <w:r>
        <w:rPr>
          <w:color w:val="auto"/>
        </w:rPr>
        <w:tab/>
      </w:r>
      <w:r>
        <w:rPr>
          <w:color w:val="auto"/>
        </w:rPr>
        <w:fldChar w:fldCharType="begin"/>
      </w:r>
      <w:r>
        <w:rPr>
          <w:color w:val="auto"/>
        </w:rPr>
        <w:instrText xml:space="preserve"> PAGEREF _Toc22966 \h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4"/>
          <w:highlight w:val="none"/>
        </w:rPr>
        <w:fldChar w:fldCharType="end"/>
      </w:r>
    </w:p>
    <w:p>
      <w:pPr>
        <w:pStyle w:val="2"/>
        <w:tabs>
          <w:tab w:val="right" w:leader="dot" w:pos="9355"/>
        </w:tabs>
        <w:spacing w:line="360" w:lineRule="auto"/>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_Toc1269 </w:instrText>
      </w:r>
      <w:r>
        <w:rPr>
          <w:rFonts w:hint="eastAsia" w:ascii="宋体" w:hAnsi="宋体" w:eastAsia="宋体" w:cs="宋体"/>
          <w:color w:val="auto"/>
          <w:szCs w:val="24"/>
          <w:highlight w:val="none"/>
        </w:rPr>
        <w:fldChar w:fldCharType="separate"/>
      </w:r>
      <w:r>
        <w:rPr>
          <w:rFonts w:ascii="Times New Roman" w:hAnsi="Times New Roman" w:eastAsia="宋体" w:cs="Times New Roman"/>
          <w:color w:val="auto"/>
          <w:szCs w:val="36"/>
          <w:highlight w:val="none"/>
        </w:rPr>
        <w:t>第六章　投标文件格式</w:t>
      </w:r>
      <w:r>
        <w:rPr>
          <w:color w:val="auto"/>
        </w:rPr>
        <w:tab/>
      </w:r>
      <w:r>
        <w:rPr>
          <w:color w:val="auto"/>
        </w:rPr>
        <w:fldChar w:fldCharType="begin"/>
      </w:r>
      <w:r>
        <w:rPr>
          <w:color w:val="auto"/>
        </w:rPr>
        <w:instrText xml:space="preserve"> PAGEREF _Toc1269 \h </w:instrText>
      </w:r>
      <w:r>
        <w:rPr>
          <w:color w:val="auto"/>
        </w:rPr>
        <w:fldChar w:fldCharType="separate"/>
      </w:r>
      <w:r>
        <w:rPr>
          <w:color w:val="auto"/>
        </w:rPr>
        <w:t>47</w:t>
      </w:r>
      <w:r>
        <w:rPr>
          <w:color w:val="auto"/>
        </w:rPr>
        <w:fldChar w:fldCharType="end"/>
      </w:r>
      <w:r>
        <w:rPr>
          <w:rFonts w:hint="eastAsia" w:ascii="宋体" w:hAnsi="宋体" w:eastAsia="宋体" w:cs="宋体"/>
          <w:color w:val="auto"/>
          <w:szCs w:val="24"/>
          <w:highlight w:val="none"/>
        </w:rPr>
        <w:fldChar w:fldCharType="end"/>
      </w:r>
    </w:p>
    <w:p>
      <w:pPr>
        <w:pStyle w:val="22"/>
        <w:spacing w:before="120" w:after="120" w:line="360" w:lineRule="auto"/>
        <w:jc w:val="center"/>
        <w:rPr>
          <w:rFonts w:hAnsi="宋体" w:cs="宋体"/>
          <w:color w:val="auto"/>
          <w:sz w:val="28"/>
          <w:szCs w:val="28"/>
          <w:highlight w:val="none"/>
        </w:rPr>
      </w:pPr>
      <w:r>
        <w:rPr>
          <w:rFonts w:hint="eastAsia" w:ascii="宋体" w:hAnsi="宋体" w:eastAsia="宋体" w:cs="宋体"/>
          <w:color w:val="auto"/>
          <w:sz w:val="24"/>
          <w:szCs w:val="24"/>
          <w:highlight w:val="none"/>
        </w:rPr>
        <w:fldChar w:fldCharType="end"/>
      </w:r>
    </w:p>
    <w:p>
      <w:pPr>
        <w:pStyle w:val="22"/>
        <w:snapToGrid w:val="0"/>
        <w:spacing w:before="120" w:after="120" w:line="360" w:lineRule="auto"/>
        <w:jc w:val="center"/>
        <w:rPr>
          <w:rFonts w:hAnsi="宋体" w:cs="宋体"/>
          <w:color w:val="auto"/>
          <w:highlight w:val="none"/>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pPr>
        <w:snapToGrid w:val="0"/>
        <w:spacing w:line="360" w:lineRule="auto"/>
        <w:ind w:left="238"/>
        <w:jc w:val="center"/>
        <w:rPr>
          <w:rFonts w:ascii="宋体" w:hAnsi="宋体" w:cs="宋体"/>
          <w:color w:val="auto"/>
          <w:sz w:val="24"/>
          <w:highlight w:val="none"/>
        </w:rPr>
      </w:pPr>
    </w:p>
    <w:p>
      <w:pPr>
        <w:pStyle w:val="3"/>
        <w:bidi w:val="0"/>
        <w:rPr>
          <w:color w:val="auto"/>
          <w:sz w:val="32"/>
          <w:szCs w:val="32"/>
          <w:highlight w:val="none"/>
        </w:rPr>
      </w:pPr>
      <w:bookmarkStart w:id="0" w:name="_Toc25740"/>
      <w:bookmarkStart w:id="1" w:name="_Toc20014"/>
      <w:r>
        <w:rPr>
          <w:color w:val="auto"/>
          <w:sz w:val="32"/>
          <w:szCs w:val="32"/>
          <w:highlight w:val="none"/>
        </w:rPr>
        <w:t>电子交易须知</w:t>
      </w:r>
      <w:bookmarkEnd w:id="0"/>
      <w:bookmarkEnd w:id="1"/>
    </w:p>
    <w:p>
      <w:pPr>
        <w:pStyle w:val="22"/>
        <w:spacing w:before="120" w:after="120" w:line="360" w:lineRule="auto"/>
        <w:jc w:val="center"/>
        <w:rPr>
          <w:rFonts w:hAnsi="宋体" w:cs="宋体"/>
          <w:b/>
          <w:color w:val="auto"/>
          <w:highlight w:val="none"/>
        </w:rPr>
      </w:pPr>
    </w:p>
    <w:p>
      <w:pPr>
        <w:pStyle w:val="22"/>
        <w:spacing w:before="120" w:after="120" w:line="360" w:lineRule="auto"/>
        <w:ind w:firstLine="472" w:firstLineChars="196"/>
        <w:jc w:val="left"/>
        <w:rPr>
          <w:rFonts w:hAnsi="宋体" w:cs="宋体"/>
          <w:b/>
          <w:color w:val="auto"/>
          <w:highlight w:val="none"/>
        </w:rPr>
      </w:pPr>
      <w:r>
        <w:rPr>
          <w:rFonts w:hAnsi="宋体" w:cs="宋体"/>
          <w:b/>
          <w:color w:val="auto"/>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pStyle w:val="22"/>
        <w:spacing w:before="120" w:after="120" w:line="360" w:lineRule="auto"/>
        <w:ind w:firstLine="472" w:firstLineChars="196"/>
        <w:jc w:val="left"/>
        <w:rPr>
          <w:rFonts w:hAnsi="宋体" w:cs="宋体"/>
          <w:b/>
          <w:color w:val="auto"/>
          <w:highlight w:val="none"/>
        </w:rPr>
      </w:pPr>
      <w:r>
        <w:rPr>
          <w:rFonts w:hAnsi="宋体" w:cs="宋体"/>
          <w:b/>
          <w:color w:val="auto"/>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pStyle w:val="22"/>
        <w:spacing w:before="120" w:after="120" w:line="360" w:lineRule="auto"/>
        <w:ind w:firstLine="472" w:firstLineChars="196"/>
        <w:jc w:val="left"/>
        <w:rPr>
          <w:rFonts w:hAnsi="宋体" w:cs="宋体"/>
          <w:b/>
          <w:color w:val="auto"/>
          <w:highlight w:val="none"/>
        </w:rPr>
      </w:pPr>
      <w:r>
        <w:rPr>
          <w:rFonts w:hAnsi="宋体" w:cs="宋体"/>
          <w:b/>
          <w:color w:val="auto"/>
          <w:highlight w:val="none"/>
        </w:rPr>
        <w:t>3、供应商应当在递交响应文件截止时间前，将“电子交易客户端”生成的“电子加密响应文件”上传电子交易平台。</w:t>
      </w:r>
    </w:p>
    <w:p>
      <w:pPr>
        <w:pStyle w:val="22"/>
        <w:spacing w:before="120" w:after="120" w:line="360" w:lineRule="auto"/>
        <w:ind w:firstLine="472" w:firstLineChars="196"/>
        <w:jc w:val="left"/>
        <w:rPr>
          <w:rFonts w:hAnsi="宋体" w:cs="宋体"/>
          <w:b/>
          <w:color w:val="auto"/>
          <w:highlight w:val="none"/>
        </w:rPr>
      </w:pPr>
      <w:r>
        <w:rPr>
          <w:rFonts w:hAnsi="宋体" w:cs="宋体"/>
          <w:b/>
          <w:color w:val="auto"/>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pStyle w:val="22"/>
        <w:spacing w:before="120" w:after="120" w:line="360" w:lineRule="auto"/>
        <w:ind w:firstLine="472" w:firstLineChars="196"/>
        <w:jc w:val="left"/>
        <w:rPr>
          <w:rFonts w:hAnsi="宋体" w:cs="宋体"/>
          <w:b/>
          <w:color w:val="auto"/>
          <w:highlight w:val="none"/>
        </w:rPr>
      </w:pPr>
      <w:r>
        <w:rPr>
          <w:rFonts w:hAnsi="宋体" w:cs="宋体"/>
          <w:b/>
          <w:color w:val="auto"/>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pStyle w:val="22"/>
        <w:snapToGrid w:val="0"/>
        <w:spacing w:before="120" w:after="120" w:line="360" w:lineRule="auto"/>
        <w:ind w:firstLine="482" w:firstLineChars="200"/>
        <w:jc w:val="left"/>
        <w:outlineLvl w:val="0"/>
        <w:rPr>
          <w:rFonts w:hAnsi="宋体" w:cs="宋体"/>
          <w:b/>
          <w:color w:val="auto"/>
          <w:highlight w:val="none"/>
        </w:rPr>
      </w:pPr>
      <w:bookmarkStart w:id="2" w:name="_Toc15482"/>
      <w:bookmarkStart w:id="3" w:name="_Toc24613"/>
      <w:bookmarkStart w:id="4" w:name="_Toc30331"/>
      <w:bookmarkStart w:id="5" w:name="_Toc17724"/>
      <w:r>
        <w:rPr>
          <w:rFonts w:hAnsi="宋体" w:cs="宋体"/>
          <w:b/>
          <w:color w:val="auto"/>
          <w:highlight w:val="none"/>
        </w:rPr>
        <w:t>6、供应商在参加电子交易过程中，可登录电子交易平台“帮助文档”版面获取《电子交易管理操作指南》，或致电平台400-881-7190获取相关服务支持。</w:t>
      </w:r>
      <w:bookmarkEnd w:id="2"/>
      <w:bookmarkEnd w:id="3"/>
    </w:p>
    <w:p>
      <w:pPr>
        <w:pStyle w:val="22"/>
        <w:snapToGrid w:val="0"/>
        <w:spacing w:before="120" w:after="120" w:line="240" w:lineRule="auto"/>
        <w:jc w:val="center"/>
        <w:outlineLvl w:val="0"/>
        <w:rPr>
          <w:rStyle w:val="52"/>
          <w:color w:val="auto"/>
          <w:sz w:val="32"/>
          <w:szCs w:val="32"/>
          <w:highlight w:val="none"/>
        </w:rPr>
      </w:pPr>
      <w:r>
        <w:rPr>
          <w:rFonts w:hAnsi="宋体" w:cs="宋体"/>
          <w:b/>
          <w:color w:val="auto"/>
          <w:sz w:val="36"/>
          <w:szCs w:val="36"/>
          <w:highlight w:val="none"/>
        </w:rPr>
        <w:br w:type="page"/>
      </w:r>
      <w:bookmarkEnd w:id="4"/>
      <w:bookmarkEnd w:id="5"/>
      <w:bookmarkStart w:id="6" w:name="_Toc2426"/>
      <w:bookmarkStart w:id="7" w:name="_Toc18586"/>
      <w:r>
        <w:rPr>
          <w:rStyle w:val="52"/>
          <w:color w:val="auto"/>
          <w:sz w:val="32"/>
          <w:szCs w:val="32"/>
          <w:highlight w:val="none"/>
        </w:rPr>
        <w:t>第一章  招标公告</w:t>
      </w:r>
      <w:bookmarkEnd w:id="6"/>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“数字浙警”建设工程-教师绩效码和学生成长码-数据采集及应用场景迭代项目</w:t>
      </w:r>
      <w:r>
        <w:rPr>
          <w:rFonts w:ascii="宋体" w:hAnsi="宋体" w:cs="宋体"/>
          <w:color w:val="auto"/>
          <w:sz w:val="24"/>
          <w:highlight w:val="none"/>
        </w:rPr>
        <w:t>招标项目的潜在投标人在</w:t>
      </w:r>
      <w:r>
        <w:rPr>
          <w:rFonts w:ascii="宋体" w:hAnsi="宋体" w:cs="宋体"/>
          <w:color w:val="auto"/>
          <w:sz w:val="24"/>
          <w:highlight w:val="none"/>
          <w:u w:val="single"/>
        </w:rPr>
        <w:t>https://www.zcygov.cn</w:t>
      </w:r>
      <w:r>
        <w:rPr>
          <w:rFonts w:ascii="宋体" w:hAnsi="宋体" w:cs="宋体"/>
          <w:color w:val="auto"/>
          <w:sz w:val="24"/>
          <w:highlight w:val="none"/>
        </w:rPr>
        <w:t>获取（下载）招标文件，并于</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:00</w:t>
      </w:r>
      <w:r>
        <w:rPr>
          <w:rFonts w:ascii="宋体" w:hAnsi="宋体" w:cs="宋体"/>
          <w:bCs/>
          <w:color w:val="auto"/>
          <w:sz w:val="24"/>
          <w:highlight w:val="none"/>
        </w:rPr>
        <w:t>（北京时间）前提交（上传）投标文件</w:t>
      </w:r>
      <w:r>
        <w:rPr>
          <w:rFonts w:ascii="宋体" w:hAnsi="宋体" w:cs="宋体"/>
          <w:color w:val="auto"/>
          <w:sz w:val="24"/>
          <w:highlight w:val="none"/>
        </w:rPr>
        <w:t>。</w:t>
      </w:r>
    </w:p>
    <w:p>
      <w:pPr>
        <w:pStyle w:val="17"/>
        <w:spacing w:line="360" w:lineRule="auto"/>
        <w:ind w:firstLine="0"/>
        <w:rPr>
          <w:rFonts w:hAnsi="宋体" w:cs="宋体"/>
          <w:b/>
          <w:bCs/>
          <w:color w:val="auto"/>
          <w:spacing w:val="0"/>
          <w:sz w:val="24"/>
          <w:szCs w:val="22"/>
          <w:highlight w:val="none"/>
        </w:rPr>
      </w:pPr>
      <w:bookmarkStart w:id="8" w:name="_Toc28359002"/>
      <w:bookmarkStart w:id="9" w:name="_Toc35393790"/>
      <w:bookmarkStart w:id="10" w:name="_Toc35393621"/>
      <w:bookmarkStart w:id="11" w:name="_Toc28359079"/>
      <w:r>
        <w:rPr>
          <w:rFonts w:hAnsi="宋体" w:cs="宋体"/>
          <w:b/>
          <w:bCs/>
          <w:color w:val="auto"/>
          <w:spacing w:val="0"/>
          <w:sz w:val="24"/>
          <w:szCs w:val="22"/>
          <w:highlight w:val="none"/>
        </w:rPr>
        <w:t>一、项目基本情况</w:t>
      </w:r>
      <w:bookmarkEnd w:id="8"/>
      <w:bookmarkEnd w:id="9"/>
      <w:bookmarkEnd w:id="10"/>
      <w:bookmarkEnd w:id="11"/>
    </w:p>
    <w:p>
      <w:pPr>
        <w:pStyle w:val="38"/>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项目编号：</w:t>
      </w:r>
      <w:r>
        <w:rPr>
          <w:rFonts w:hint="eastAsia" w:cs="宋体"/>
          <w:color w:val="auto"/>
          <w:kern w:val="2"/>
          <w:szCs w:val="22"/>
          <w:highlight w:val="none"/>
          <w:lang w:eastAsia="zh-CN"/>
        </w:rPr>
        <w:t>HSZB-2022-216-01</w:t>
      </w:r>
    </w:p>
    <w:p>
      <w:pPr>
        <w:pStyle w:val="38"/>
        <w:spacing w:before="0" w:beforeAutospacing="0" w:after="0" w:afterAutospacing="0" w:line="360" w:lineRule="auto"/>
        <w:ind w:firstLine="480" w:firstLineChars="200"/>
        <w:rPr>
          <w:rFonts w:hint="eastAsia" w:eastAsia="宋体" w:cs="宋体"/>
          <w:color w:val="auto"/>
          <w:kern w:val="2"/>
          <w:szCs w:val="22"/>
          <w:highlight w:val="none"/>
          <w:lang w:eastAsia="zh-CN"/>
        </w:rPr>
      </w:pPr>
      <w:r>
        <w:rPr>
          <w:rFonts w:cs="宋体"/>
          <w:color w:val="auto"/>
          <w:kern w:val="2"/>
          <w:szCs w:val="22"/>
          <w:highlight w:val="none"/>
        </w:rPr>
        <w:t>项目名称：</w:t>
      </w:r>
      <w:r>
        <w:rPr>
          <w:rFonts w:hint="eastAsia" w:cs="宋体"/>
          <w:color w:val="auto"/>
          <w:kern w:val="2"/>
          <w:szCs w:val="22"/>
          <w:highlight w:val="none"/>
          <w:lang w:eastAsia="zh-CN"/>
        </w:rPr>
        <w:t>“数字浙警”建设工程-教师绩效码和学生成长码-数据采集及应用场景迭代项目</w:t>
      </w:r>
    </w:p>
    <w:p>
      <w:pPr>
        <w:pStyle w:val="38"/>
        <w:spacing w:before="0" w:beforeAutospacing="0" w:after="0" w:afterAutospacing="0" w:line="360" w:lineRule="auto"/>
        <w:ind w:firstLine="480" w:firstLineChars="200"/>
        <w:rPr>
          <w:rFonts w:hint="default" w:eastAsia="宋体" w:cs="宋体"/>
          <w:i w:val="0"/>
          <w:color w:val="auto"/>
          <w:kern w:val="0"/>
          <w:sz w:val="24"/>
          <w:szCs w:val="24"/>
          <w:highlight w:val="none"/>
          <w:u w:val="none"/>
          <w:lang w:val="en-US" w:eastAsia="zh-CN" w:bidi="ar"/>
        </w:rPr>
      </w:pPr>
      <w:r>
        <w:rPr>
          <w:rFonts w:cs="宋体"/>
          <w:color w:val="auto"/>
          <w:kern w:val="2"/>
          <w:szCs w:val="22"/>
          <w:highlight w:val="none"/>
        </w:rPr>
        <w:t>预算金额（元）：</w:t>
      </w:r>
      <w:r>
        <w:rPr>
          <w:rFonts w:ascii="宋体" w:hAnsi="宋体"/>
          <w:bCs/>
          <w:color w:val="auto"/>
          <w:sz w:val="24"/>
        </w:rPr>
        <w:t>16522</w:t>
      </w:r>
      <w:r>
        <w:rPr>
          <w:rFonts w:hint="eastAsia"/>
          <w:bCs/>
          <w:color w:val="auto"/>
          <w:sz w:val="24"/>
          <w:lang w:val="en-US" w:eastAsia="zh-CN"/>
        </w:rPr>
        <w:t xml:space="preserve">00 </w:t>
      </w:r>
    </w:p>
    <w:p>
      <w:pPr>
        <w:pStyle w:val="38"/>
        <w:spacing w:before="0" w:beforeAutospacing="0" w:after="0" w:afterAutospacing="0" w:line="360" w:lineRule="auto"/>
        <w:ind w:firstLine="480" w:firstLineChars="200"/>
        <w:rPr>
          <w:rFonts w:hint="default" w:eastAsia="宋体" w:cs="宋体"/>
          <w:color w:val="auto"/>
          <w:kern w:val="2"/>
          <w:szCs w:val="22"/>
          <w:highlight w:val="none"/>
          <w:lang w:val="en-US" w:eastAsia="zh-CN"/>
        </w:rPr>
      </w:pPr>
      <w:r>
        <w:rPr>
          <w:rFonts w:cs="宋体"/>
          <w:color w:val="auto"/>
          <w:kern w:val="2"/>
          <w:szCs w:val="22"/>
          <w:highlight w:val="none"/>
        </w:rPr>
        <w:t>最高限价（元）：16522</w:t>
      </w:r>
      <w:r>
        <w:rPr>
          <w:rFonts w:hint="eastAsia" w:cs="宋体"/>
          <w:color w:val="auto"/>
          <w:kern w:val="2"/>
          <w:szCs w:val="22"/>
          <w:highlight w:val="none"/>
          <w:lang w:val="en-US" w:eastAsia="zh-CN"/>
        </w:rPr>
        <w:t>00</w:t>
      </w:r>
    </w:p>
    <w:p>
      <w:pPr>
        <w:pStyle w:val="38"/>
        <w:spacing w:before="0" w:beforeAutospacing="0" w:after="0" w:afterAutospacing="0" w:line="360" w:lineRule="auto"/>
        <w:ind w:firstLine="480" w:firstLineChars="200"/>
        <w:rPr>
          <w:rFonts w:cs="宋体"/>
          <w:color w:val="auto"/>
          <w:kern w:val="2"/>
          <w:szCs w:val="22"/>
          <w:highlight w:val="none"/>
        </w:rPr>
      </w:pPr>
      <w:r>
        <w:rPr>
          <w:rFonts w:cs="宋体"/>
          <w:color w:val="auto"/>
          <w:kern w:val="2"/>
          <w:szCs w:val="22"/>
          <w:highlight w:val="none"/>
        </w:rPr>
        <w:t>采购需求：</w:t>
      </w:r>
    </w:p>
    <w:p>
      <w:pPr>
        <w:pStyle w:val="38"/>
        <w:spacing w:before="0" w:beforeAutospacing="0" w:after="0" w:afterAutospacing="0" w:line="360" w:lineRule="auto"/>
        <w:ind w:left="479" w:leftChars="228"/>
        <w:rPr>
          <w:rFonts w:cs="宋体"/>
          <w:color w:val="auto"/>
          <w:kern w:val="2"/>
          <w:szCs w:val="22"/>
          <w:highlight w:val="none"/>
        </w:rPr>
      </w:pPr>
      <w:r>
        <w:rPr>
          <w:rFonts w:cs="宋体"/>
          <w:color w:val="auto"/>
          <w:kern w:val="2"/>
          <w:szCs w:val="22"/>
          <w:highlight w:val="none"/>
        </w:rPr>
        <w:t>标项名称：</w:t>
      </w:r>
      <w:r>
        <w:rPr>
          <w:rFonts w:hint="eastAsia" w:cs="宋体"/>
          <w:color w:val="auto"/>
          <w:kern w:val="2"/>
          <w:szCs w:val="22"/>
          <w:highlight w:val="none"/>
          <w:lang w:eastAsia="zh-CN"/>
        </w:rPr>
        <w:t>“数字浙警”建设工程-教师绩效码和学生成长码-数据采集及应用场景迭代项目</w:t>
      </w:r>
      <w:r>
        <w:rPr>
          <w:rFonts w:cs="宋体"/>
          <w:color w:val="auto"/>
          <w:kern w:val="2"/>
          <w:szCs w:val="22"/>
          <w:highlight w:val="none"/>
        </w:rPr>
        <w:t> </w:t>
      </w:r>
    </w:p>
    <w:p>
      <w:pPr>
        <w:pStyle w:val="38"/>
        <w:spacing w:before="0" w:beforeAutospacing="0" w:after="0" w:afterAutospacing="0" w:line="360" w:lineRule="auto"/>
        <w:ind w:left="479" w:leftChars="228"/>
        <w:rPr>
          <w:rFonts w:hint="default" w:cs="宋体"/>
          <w:color w:val="auto"/>
          <w:kern w:val="2"/>
          <w:szCs w:val="22"/>
          <w:highlight w:val="none"/>
        </w:rPr>
      </w:pPr>
      <w:r>
        <w:rPr>
          <w:rFonts w:cs="宋体"/>
          <w:color w:val="auto"/>
          <w:kern w:val="2"/>
          <w:szCs w:val="22"/>
          <w:highlight w:val="none"/>
        </w:rPr>
        <w:t>数量：1批</w:t>
      </w:r>
    </w:p>
    <w:p>
      <w:pPr>
        <w:pStyle w:val="38"/>
        <w:spacing w:before="0" w:beforeAutospacing="0" w:after="0" w:afterAutospacing="0" w:line="360" w:lineRule="auto"/>
        <w:ind w:left="479" w:leftChars="228"/>
        <w:rPr>
          <w:rFonts w:hint="eastAsia" w:eastAsia="宋体" w:cs="宋体"/>
          <w:color w:val="auto"/>
          <w:kern w:val="2"/>
          <w:szCs w:val="22"/>
          <w:highlight w:val="none"/>
          <w:lang w:eastAsia="zh-CN"/>
        </w:rPr>
      </w:pPr>
      <w:r>
        <w:rPr>
          <w:rFonts w:cs="宋体"/>
          <w:color w:val="auto"/>
          <w:kern w:val="2"/>
          <w:szCs w:val="22"/>
          <w:highlight w:val="none"/>
        </w:rPr>
        <w:t>预算金额（元）：</w:t>
      </w:r>
      <w:r>
        <w:rPr>
          <w:rFonts w:ascii="宋体" w:hAnsi="宋体"/>
          <w:bCs/>
          <w:color w:val="auto"/>
          <w:sz w:val="24"/>
        </w:rPr>
        <w:t>16522</w:t>
      </w:r>
      <w:r>
        <w:rPr>
          <w:rFonts w:hint="eastAsia"/>
          <w:bCs/>
          <w:color w:val="auto"/>
          <w:sz w:val="24"/>
          <w:lang w:val="en-US" w:eastAsia="zh-CN"/>
        </w:rPr>
        <w:t>00</w:t>
      </w:r>
    </w:p>
    <w:p>
      <w:pPr>
        <w:pStyle w:val="38"/>
        <w:spacing w:before="0" w:beforeAutospacing="0" w:after="0" w:afterAutospacing="0" w:line="360" w:lineRule="auto"/>
        <w:ind w:left="19" w:leftChars="9" w:firstLine="458" w:firstLineChars="191"/>
        <w:rPr>
          <w:rFonts w:hint="default" w:eastAsia="宋体" w:cs="宋体"/>
          <w:color w:val="auto"/>
          <w:kern w:val="2"/>
          <w:szCs w:val="22"/>
          <w:highlight w:val="none"/>
          <w:lang w:val="en-US" w:eastAsia="zh-CN"/>
        </w:rPr>
      </w:pPr>
      <w:r>
        <w:rPr>
          <w:rFonts w:cs="宋体"/>
          <w:color w:val="auto"/>
          <w:kern w:val="2"/>
          <w:szCs w:val="22"/>
          <w:highlight w:val="none"/>
        </w:rPr>
        <w:t>简要规格描述或项目基本概况介绍、用途：</w:t>
      </w:r>
      <w:r>
        <w:rPr>
          <w:rFonts w:hint="eastAsia" w:cs="宋体"/>
          <w:color w:val="auto"/>
          <w:kern w:val="2"/>
          <w:szCs w:val="22"/>
          <w:highlight w:val="none"/>
          <w:lang w:val="en-US" w:eastAsia="zh-CN"/>
        </w:rPr>
        <w:t>主要包括</w:t>
      </w:r>
      <w:r>
        <w:rPr>
          <w:rFonts w:hint="eastAsia" w:cs="宋体"/>
          <w:color w:val="auto"/>
          <w:kern w:val="2"/>
          <w:szCs w:val="22"/>
          <w:highlight w:val="none"/>
          <w:lang w:eastAsia="zh-CN"/>
        </w:rPr>
        <w:t>“数字浙警”建设工程-教师绩效码和学生成长码-数据采集及应用场景迭代项目，</w:t>
      </w:r>
      <w:r>
        <w:rPr>
          <w:rFonts w:hint="eastAsia" w:cs="宋体"/>
          <w:color w:val="auto"/>
          <w:kern w:val="2"/>
          <w:szCs w:val="22"/>
          <w:highlight w:val="none"/>
          <w:lang w:val="en-US" w:eastAsia="zh-CN"/>
        </w:rPr>
        <w:t>具体详见第四章采购内容及需求。</w:t>
      </w:r>
    </w:p>
    <w:p>
      <w:pPr>
        <w:pStyle w:val="38"/>
        <w:spacing w:before="0" w:beforeAutospacing="0" w:after="0" w:afterAutospacing="0" w:line="360" w:lineRule="auto"/>
        <w:ind w:left="19" w:leftChars="9" w:firstLine="458" w:firstLineChars="191"/>
        <w:rPr>
          <w:rFonts w:cs="宋体"/>
          <w:color w:val="auto"/>
          <w:kern w:val="2"/>
          <w:szCs w:val="22"/>
          <w:highlight w:val="none"/>
        </w:rPr>
      </w:pPr>
      <w:r>
        <w:rPr>
          <w:rFonts w:cs="宋体"/>
          <w:color w:val="auto"/>
          <w:kern w:val="2"/>
          <w:szCs w:val="22"/>
          <w:highlight w:val="none"/>
        </w:rPr>
        <w:t>备注：</w:t>
      </w:r>
      <w:r>
        <w:rPr>
          <w:rFonts w:hint="eastAsia" w:ascii="宋体" w:hAnsi="宋体" w:cs="宋体"/>
          <w:b/>
          <w:bCs/>
          <w:color w:val="auto"/>
          <w:kern w:val="0"/>
          <w:szCs w:val="21"/>
          <w:highlight w:val="none"/>
        </w:rPr>
        <w:t>本项目（是）接受联合体投标</w:t>
      </w:r>
    </w:p>
    <w:p>
      <w:pPr>
        <w:pStyle w:val="38"/>
        <w:spacing w:before="0" w:beforeAutospacing="0" w:after="0" w:afterAutospacing="0" w:line="360" w:lineRule="auto"/>
        <w:ind w:left="19" w:leftChars="9" w:firstLine="458" w:firstLineChars="191"/>
        <w:jc w:val="both"/>
        <w:rPr>
          <w:rFonts w:hint="default" w:ascii="宋体" w:hAnsi="宋体" w:eastAsia="宋体" w:cs="宋体"/>
          <w:b/>
          <w:bCs/>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合同履约期限：2022年11月20日之前完成建设并通过验收</w:t>
      </w:r>
      <w:r>
        <w:rPr>
          <w:rFonts w:hint="eastAsia" w:ascii="宋体" w:hAnsi="宋体" w:eastAsia="宋体" w:cs="宋体"/>
          <w:b/>
          <w:bCs/>
          <w:color w:val="auto"/>
          <w:kern w:val="2"/>
          <w:szCs w:val="22"/>
          <w:highlight w:val="none"/>
          <w:lang w:val="en-US" w:eastAsia="zh-CN"/>
        </w:rPr>
        <w:t xml:space="preserve"> </w:t>
      </w:r>
    </w:p>
    <w:p>
      <w:pPr>
        <w:pStyle w:val="38"/>
        <w:spacing w:before="0" w:beforeAutospacing="0" w:after="0" w:afterAutospacing="0" w:line="360" w:lineRule="auto"/>
        <w:ind w:left="479" w:leftChars="228"/>
        <w:rPr>
          <w:rFonts w:cs="宋体"/>
          <w:color w:val="auto"/>
          <w:kern w:val="2"/>
          <w:szCs w:val="22"/>
          <w:highlight w:val="none"/>
        </w:rPr>
      </w:pPr>
      <w:r>
        <w:rPr>
          <w:rFonts w:hint="eastAsia" w:ascii="宋体" w:hAnsi="宋体" w:cs="宋体"/>
          <w:b/>
          <w:bCs/>
          <w:color w:val="auto"/>
          <w:kern w:val="0"/>
          <w:szCs w:val="21"/>
          <w:highlight w:val="none"/>
        </w:rPr>
        <w:t>本项目（是）接受联合体投标</w:t>
      </w:r>
      <w:r>
        <w:rPr>
          <w:rFonts w:cs="宋体"/>
          <w:color w:val="auto"/>
          <w:kern w:val="2"/>
          <w:szCs w:val="22"/>
          <w:highlight w:val="none"/>
        </w:rPr>
        <w:t>。</w:t>
      </w:r>
    </w:p>
    <w:p>
      <w:pPr>
        <w:pStyle w:val="17"/>
        <w:spacing w:line="360" w:lineRule="auto"/>
        <w:ind w:firstLine="0"/>
        <w:rPr>
          <w:rFonts w:hAnsi="宋体" w:cs="宋体"/>
          <w:b/>
          <w:bCs/>
          <w:color w:val="auto"/>
          <w:sz w:val="24"/>
          <w:szCs w:val="24"/>
          <w:highlight w:val="none"/>
        </w:rPr>
      </w:pPr>
      <w:r>
        <w:rPr>
          <w:rFonts w:hAnsi="宋体" w:cs="宋体"/>
          <w:b/>
          <w:bCs/>
          <w:color w:val="auto"/>
          <w:sz w:val="24"/>
          <w:szCs w:val="24"/>
          <w:highlight w:val="none"/>
        </w:rPr>
        <w:t>二、申请人的资格要求：</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2.落实政府采购政策需满足的资格要求：供应商为中小企业/小微企业。</w:t>
      </w:r>
    </w:p>
    <w:p>
      <w:pPr>
        <w:spacing w:line="360" w:lineRule="auto"/>
        <w:ind w:firstLine="480" w:firstLineChars="200"/>
        <w:rPr>
          <w:rFonts w:ascii="宋体" w:hAnsi="宋体" w:cs="宋体"/>
          <w:i/>
          <w:iCs/>
          <w:color w:val="auto"/>
          <w:sz w:val="24"/>
          <w:szCs w:val="24"/>
          <w:highlight w:val="none"/>
          <w:u w:val="single"/>
        </w:rPr>
      </w:pPr>
      <w:r>
        <w:rPr>
          <w:rFonts w:ascii="宋体" w:hAnsi="宋体" w:cs="宋体"/>
          <w:color w:val="auto"/>
          <w:sz w:val="24"/>
          <w:highlight w:val="none"/>
        </w:rPr>
        <w:t>3.本项目的特定资格要求：</w:t>
      </w:r>
      <w:r>
        <w:rPr>
          <w:rFonts w:ascii="宋体" w:hAnsi="宋体" w:cs="宋体"/>
          <w:bCs/>
          <w:color w:val="auto"/>
          <w:sz w:val="24"/>
          <w:szCs w:val="24"/>
          <w:highlight w:val="none"/>
        </w:rPr>
        <w:t>无</w:t>
      </w:r>
      <w:r>
        <w:rPr>
          <w:rFonts w:ascii="宋体" w:hAnsi="宋体" w:cs="宋体"/>
          <w:b/>
          <w:color w:val="auto"/>
          <w:sz w:val="24"/>
          <w:szCs w:val="24"/>
          <w:highlight w:val="none"/>
        </w:rPr>
        <w:t>。</w:t>
      </w:r>
    </w:p>
    <w:p>
      <w:pPr>
        <w:pStyle w:val="4"/>
        <w:spacing w:before="0" w:after="0" w:line="360" w:lineRule="auto"/>
        <w:rPr>
          <w:rFonts w:ascii="宋体" w:hAnsi="宋体" w:eastAsia="宋体" w:cs="宋体"/>
          <w:b/>
          <w:bCs w:val="0"/>
          <w:color w:val="auto"/>
          <w:sz w:val="24"/>
          <w:szCs w:val="24"/>
          <w:highlight w:val="none"/>
        </w:rPr>
      </w:pPr>
      <w:bookmarkStart w:id="12" w:name="_Toc35393623"/>
      <w:bookmarkStart w:id="13" w:name="_Toc35393792"/>
      <w:r>
        <w:rPr>
          <w:rFonts w:ascii="宋体" w:hAnsi="宋体" w:eastAsia="宋体" w:cs="宋体"/>
          <w:b/>
          <w:bCs w:val="0"/>
          <w:color w:val="auto"/>
          <w:sz w:val="24"/>
          <w:szCs w:val="24"/>
          <w:highlight w:val="none"/>
        </w:rPr>
        <w:t>三、获取（下载）招标文件</w:t>
      </w:r>
      <w:bookmarkEnd w:id="12"/>
      <w:bookmarkEnd w:id="13"/>
    </w:p>
    <w:p>
      <w:pPr>
        <w:spacing w:line="360" w:lineRule="auto"/>
        <w:ind w:firstLine="540"/>
        <w:rPr>
          <w:rFonts w:ascii="宋体" w:hAnsi="宋体" w:cs="宋体"/>
          <w:color w:val="auto"/>
          <w:sz w:val="24"/>
          <w:highlight w:val="none"/>
        </w:rPr>
      </w:pPr>
      <w:r>
        <w:rPr>
          <w:rFonts w:ascii="宋体" w:hAnsi="宋体" w:cs="宋体"/>
          <w:color w:val="auto"/>
          <w:sz w:val="24"/>
          <w:highlight w:val="none"/>
        </w:rPr>
        <w:t>1.时间：/至</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w:t>
      </w:r>
      <w:r>
        <w:rPr>
          <w:rFonts w:ascii="宋体" w:hAnsi="宋体" w:cs="宋体"/>
          <w:color w:val="auto"/>
          <w:sz w:val="24"/>
          <w:highlight w:val="none"/>
        </w:rPr>
        <w:t>，每天上午00:00至12:00，下午12:00至23:59（北京时间，线上获取法定节假日均可，线下获取文件法定节假日除外）。</w:t>
      </w:r>
    </w:p>
    <w:p>
      <w:pPr>
        <w:spacing w:line="360" w:lineRule="auto"/>
        <w:ind w:firstLine="540"/>
        <w:rPr>
          <w:rFonts w:ascii="宋体" w:hAnsi="宋体" w:cs="宋体"/>
          <w:color w:val="auto"/>
          <w:sz w:val="24"/>
          <w:highlight w:val="none"/>
        </w:rPr>
      </w:pPr>
      <w:r>
        <w:rPr>
          <w:rFonts w:ascii="宋体" w:hAnsi="宋体" w:cs="宋体"/>
          <w:color w:val="auto"/>
          <w:sz w:val="24"/>
          <w:highlight w:val="none"/>
        </w:rPr>
        <w:t>2.地点（网址）：https://www.zcygov.cn</w:t>
      </w:r>
    </w:p>
    <w:p>
      <w:pPr>
        <w:spacing w:line="360" w:lineRule="auto"/>
        <w:ind w:firstLine="540"/>
        <w:rPr>
          <w:rFonts w:ascii="宋体" w:hAnsi="宋体" w:cs="宋体"/>
          <w:color w:val="auto"/>
          <w:sz w:val="24"/>
          <w:highlight w:val="none"/>
        </w:rPr>
      </w:pPr>
      <w:r>
        <w:rPr>
          <w:rFonts w:ascii="宋体" w:hAnsi="宋体" w:cs="宋体"/>
          <w:color w:val="auto"/>
          <w:sz w:val="24"/>
          <w:highlight w:val="none"/>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获取招标文件申请并下载了招标文件后才被视为合法获取了招标文件，否则其投标将被拒绝。</w:t>
      </w:r>
    </w:p>
    <w:p>
      <w:pPr>
        <w:spacing w:line="360" w:lineRule="auto"/>
        <w:ind w:firstLine="540"/>
        <w:rPr>
          <w:rFonts w:ascii="宋体" w:hAnsi="宋体" w:cs="宋体"/>
          <w:color w:val="auto"/>
          <w:sz w:val="24"/>
          <w:highlight w:val="none"/>
        </w:rPr>
      </w:pPr>
      <w:r>
        <w:rPr>
          <w:rFonts w:ascii="宋体" w:hAnsi="宋体" w:cs="宋体"/>
          <w:color w:val="auto"/>
          <w:sz w:val="24"/>
          <w:highlight w:val="none"/>
        </w:rPr>
        <w:t>4.售价（元）：0。</w:t>
      </w:r>
    </w:p>
    <w:p>
      <w:pPr>
        <w:pStyle w:val="4"/>
        <w:spacing w:before="0" w:after="0" w:line="360" w:lineRule="auto"/>
        <w:rPr>
          <w:rFonts w:ascii="宋体" w:hAnsi="宋体" w:eastAsia="宋体" w:cs="宋体"/>
          <w:b/>
          <w:bCs w:val="0"/>
          <w:color w:val="auto"/>
          <w:sz w:val="24"/>
          <w:szCs w:val="24"/>
          <w:highlight w:val="none"/>
        </w:rPr>
      </w:pPr>
      <w:bookmarkStart w:id="14" w:name="_Toc28359082"/>
      <w:bookmarkStart w:id="15" w:name="_Toc28359005"/>
      <w:bookmarkStart w:id="16" w:name="_Toc35393624"/>
      <w:bookmarkStart w:id="17" w:name="_Toc35393793"/>
      <w:r>
        <w:rPr>
          <w:rFonts w:ascii="宋体" w:hAnsi="宋体" w:eastAsia="宋体" w:cs="宋体"/>
          <w:b/>
          <w:bCs w:val="0"/>
          <w:color w:val="auto"/>
          <w:sz w:val="24"/>
          <w:szCs w:val="24"/>
          <w:highlight w:val="none"/>
        </w:rPr>
        <w:t>四、提交投标文件</w:t>
      </w:r>
      <w:bookmarkEnd w:id="14"/>
      <w:bookmarkEnd w:id="15"/>
      <w:r>
        <w:rPr>
          <w:rFonts w:ascii="宋体" w:hAnsi="宋体" w:eastAsia="宋体" w:cs="宋体"/>
          <w:b/>
          <w:bCs w:val="0"/>
          <w:color w:val="auto"/>
          <w:sz w:val="24"/>
          <w:szCs w:val="24"/>
          <w:highlight w:val="none"/>
        </w:rPr>
        <w:t>截止时间、开标时间和地点</w:t>
      </w:r>
      <w:bookmarkEnd w:id="16"/>
      <w:bookmarkEnd w:id="17"/>
    </w:p>
    <w:p>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1.提交投标文件截止时间：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r>
        <w:rPr>
          <w:rFonts w:ascii="宋体" w:hAnsi="宋体" w:cs="宋体"/>
          <w:color w:val="auto"/>
          <w:sz w:val="24"/>
          <w:highlight w:val="none"/>
        </w:rPr>
        <w:t>（北京时间）</w:t>
      </w:r>
    </w:p>
    <w:p>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2.投标地点（网址）：（1）“电子加密投标文件”：https://www.zcygov.cn在线投标；（2）“电子备份投标文件”：杭州市拱墅区大关路179号远洋国际中心A座17楼1706室。</w:t>
      </w:r>
    </w:p>
    <w:p>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3.开标时间：</w:t>
      </w:r>
      <w:r>
        <w:rPr>
          <w:rFonts w:hint="eastAsia" w:ascii="宋体" w:hAnsi="宋体" w:cs="宋体"/>
          <w:color w:val="auto"/>
          <w:sz w:val="24"/>
          <w:highlight w:val="none"/>
          <w:lang w:eastAsia="zh-CN"/>
        </w:rPr>
        <w:t>2022年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00</w:t>
      </w:r>
      <w:r>
        <w:rPr>
          <w:rFonts w:ascii="宋体" w:hAnsi="宋体" w:cs="宋体"/>
          <w:color w:val="auto"/>
          <w:sz w:val="24"/>
          <w:highlight w:val="none"/>
        </w:rPr>
        <w:t>（北京时间）</w:t>
      </w:r>
    </w:p>
    <w:p>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4.开标地点（网址）：https://www.zcygov.cn</w:t>
      </w:r>
    </w:p>
    <w:p>
      <w:pPr>
        <w:pStyle w:val="4"/>
        <w:spacing w:before="0" w:after="0" w:line="360" w:lineRule="auto"/>
        <w:rPr>
          <w:rFonts w:ascii="宋体" w:hAnsi="宋体" w:eastAsia="宋体" w:cs="宋体"/>
          <w:b/>
          <w:bCs w:val="0"/>
          <w:color w:val="auto"/>
          <w:sz w:val="24"/>
          <w:szCs w:val="24"/>
          <w:highlight w:val="none"/>
        </w:rPr>
      </w:pPr>
      <w:bookmarkStart w:id="18" w:name="_Toc35393794"/>
      <w:bookmarkStart w:id="19" w:name="_Toc35393625"/>
      <w:bookmarkStart w:id="20" w:name="_Toc28359007"/>
      <w:bookmarkStart w:id="21" w:name="_Toc28359084"/>
      <w:r>
        <w:rPr>
          <w:rFonts w:ascii="宋体" w:hAnsi="宋体" w:eastAsia="宋体" w:cs="宋体"/>
          <w:b/>
          <w:bCs w:val="0"/>
          <w:color w:val="auto"/>
          <w:sz w:val="24"/>
          <w:szCs w:val="24"/>
          <w:highlight w:val="none"/>
        </w:rPr>
        <w:t>五、公告期限</w:t>
      </w:r>
      <w:bookmarkEnd w:id="18"/>
      <w:bookmarkEnd w:id="19"/>
      <w:bookmarkEnd w:id="20"/>
      <w:bookmarkEnd w:id="21"/>
    </w:p>
    <w:p>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自本公告发布之日起5个工作日。</w:t>
      </w:r>
    </w:p>
    <w:p>
      <w:pPr>
        <w:pStyle w:val="4"/>
        <w:spacing w:before="0" w:after="0" w:line="360" w:lineRule="auto"/>
        <w:rPr>
          <w:rFonts w:ascii="宋体" w:hAnsi="宋体" w:eastAsia="宋体" w:cs="宋体"/>
          <w:b/>
          <w:bCs w:val="0"/>
          <w:color w:val="auto"/>
          <w:sz w:val="24"/>
          <w:szCs w:val="24"/>
          <w:highlight w:val="none"/>
        </w:rPr>
      </w:pPr>
      <w:bookmarkStart w:id="22" w:name="_Toc35393795"/>
      <w:bookmarkStart w:id="23" w:name="_Toc35393626"/>
      <w:r>
        <w:rPr>
          <w:rFonts w:ascii="宋体" w:hAnsi="宋体" w:eastAsia="宋体" w:cs="宋体"/>
          <w:b/>
          <w:bCs w:val="0"/>
          <w:color w:val="auto"/>
          <w:sz w:val="24"/>
          <w:szCs w:val="24"/>
          <w:highlight w:val="none"/>
        </w:rPr>
        <w:t>六、其他补充事宜</w:t>
      </w:r>
      <w:bookmarkEnd w:id="22"/>
      <w:bookmarkEnd w:id="23"/>
    </w:p>
    <w:p>
      <w:pPr>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 </w:t>
      </w:r>
      <w:r>
        <w:rPr>
          <w:rFonts w:hint="eastAsia" w:ascii="Times New Roman" w:hAnsi="Times New Roman" w:eastAsia="宋体" w:cs="Times New Roman"/>
          <w:color w:val="auto"/>
          <w:kern w:val="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w:t>
      </w:r>
      <w:r>
        <w:rPr>
          <w:rFonts w:hint="eastAsia" w:ascii="Times New Roman" w:hAnsi="Times New Roman" w:eastAsia="宋体" w:cs="Times New Roman"/>
          <w:color w:val="auto"/>
          <w:kern w:val="0"/>
          <w:sz w:val="24"/>
          <w:highlight w:val="none"/>
          <w:lang w:eastAsia="zh-CN"/>
        </w:rPr>
        <w:t>采购人</w:t>
      </w:r>
      <w:r>
        <w:rPr>
          <w:rFonts w:hint="default" w:ascii="Times New Roman" w:hAnsi="Times New Roman" w:eastAsia="宋体" w:cs="Times New Roman"/>
          <w:color w:val="auto"/>
          <w:kern w:val="0"/>
          <w:sz w:val="24"/>
          <w:highlight w:val="none"/>
        </w:rPr>
        <w:t>提出质疑，对其他内容的以书面形式向</w:t>
      </w:r>
      <w:r>
        <w:rPr>
          <w:rFonts w:hint="eastAsia" w:ascii="Times New Roman" w:hAnsi="Times New Roman" w:eastAsia="宋体" w:cs="Times New Roman"/>
          <w:color w:val="auto"/>
          <w:kern w:val="0"/>
          <w:sz w:val="24"/>
          <w:highlight w:val="none"/>
          <w:lang w:eastAsia="zh-CN"/>
        </w:rPr>
        <w:t>采购人</w:t>
      </w:r>
      <w:r>
        <w:rPr>
          <w:rFonts w:hint="default" w:ascii="Times New Roman" w:hAnsi="Times New Roman" w:eastAsia="宋体" w:cs="Times New Roman"/>
          <w:color w:val="auto"/>
          <w:kern w:val="0"/>
          <w:sz w:val="24"/>
          <w:highlight w:val="none"/>
        </w:rPr>
        <w:t>和采购代理机构提出质疑。质疑供应商对</w:t>
      </w:r>
      <w:r>
        <w:rPr>
          <w:rFonts w:hint="eastAsia" w:ascii="Times New Roman" w:hAnsi="Times New Roman" w:eastAsia="宋体" w:cs="Times New Roman"/>
          <w:color w:val="auto"/>
          <w:kern w:val="0"/>
          <w:sz w:val="24"/>
          <w:highlight w:val="none"/>
          <w:lang w:eastAsia="zh-CN"/>
        </w:rPr>
        <w:t>采购人</w:t>
      </w:r>
      <w:r>
        <w:rPr>
          <w:rFonts w:hint="default" w:ascii="Times New Roman" w:hAnsi="Times New Roman" w:eastAsia="宋体" w:cs="Times New Roman"/>
          <w:color w:val="auto"/>
          <w:kern w:val="0"/>
          <w:sz w:val="24"/>
          <w:highlight w:val="none"/>
        </w:rPr>
        <w:t>、采购代理机构的答复不满意或者</w:t>
      </w:r>
      <w:r>
        <w:rPr>
          <w:rFonts w:hint="eastAsia" w:ascii="Times New Roman" w:hAnsi="Times New Roman" w:eastAsia="宋体" w:cs="Times New Roman"/>
          <w:color w:val="auto"/>
          <w:kern w:val="0"/>
          <w:sz w:val="24"/>
          <w:highlight w:val="none"/>
          <w:lang w:eastAsia="zh-CN"/>
        </w:rPr>
        <w:t>采购人</w:t>
      </w:r>
      <w:r>
        <w:rPr>
          <w:rFonts w:hint="eastAsia" w:ascii="Times New Roman" w:hAnsi="Times New Roman" w:eastAsia="宋体" w:cs="Times New Roman"/>
          <w:color w:val="auto"/>
          <w:kern w:val="0"/>
          <w:sz w:val="24"/>
          <w:highlight w:val="none"/>
        </w:rPr>
        <w:t>、采购代理机构未在规定的时间内作出答复的，可以在答复期满后十五个工作日内向同级政府采购监督管理部门投诉。质疑函范本、投诉书范本请到浙江政府采购网下载专区下载。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4.其他事项：（1）依据《政府采购质疑和投诉办法》第十条第二款规定，本项目要求投标人在法定质疑期内一次性提出针对同一采购程序环节的质疑。投标人在法定质疑期内多次提出针对同一采购程序环节的质疑的，</w:t>
      </w:r>
      <w:r>
        <w:rPr>
          <w:rFonts w:hint="eastAsia" w:ascii="Times New Roman" w:hAnsi="Times New Roman" w:eastAsia="宋体" w:cs="Times New Roman"/>
          <w:color w:val="auto"/>
          <w:kern w:val="0"/>
          <w:sz w:val="24"/>
          <w:highlight w:val="none"/>
          <w:lang w:eastAsia="zh-CN"/>
        </w:rPr>
        <w:t>采购人</w:t>
      </w:r>
      <w:r>
        <w:rPr>
          <w:rFonts w:hint="eastAsia" w:ascii="Times New Roman" w:hAnsi="Times New Roman" w:eastAsia="宋体" w:cs="Times New Roman"/>
          <w:color w:val="auto"/>
          <w:kern w:val="0"/>
          <w:sz w:val="24"/>
          <w:highlight w:val="none"/>
        </w:rPr>
        <w:t>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w:t>
      </w:r>
      <w:r>
        <w:rPr>
          <w:rFonts w:hint="eastAsia" w:ascii="Times New Roman" w:hAnsi="Times New Roman" w:eastAsia="宋体" w:cs="Times New Roman"/>
          <w:color w:val="auto"/>
          <w:kern w:val="0"/>
          <w:sz w:val="24"/>
          <w:highlight w:val="none"/>
          <w:lang w:val="en-US" w:eastAsia="zh-CN"/>
        </w:rPr>
        <w:t>非公益一类事业单位、使用事业编制且由财政拨款保障的群团组织。（5）</w:t>
      </w:r>
      <w:r>
        <w:rPr>
          <w:rFonts w:hint="eastAsia" w:ascii="Times New Roman" w:hAnsi="Times New Roman" w:eastAsia="宋体" w:cs="Times New Roman"/>
          <w:color w:val="auto"/>
          <w:kern w:val="0"/>
          <w:sz w:val="24"/>
          <w:highlight w:val="none"/>
        </w:rPr>
        <w:t>本项目不收取投标保证金。</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6</w:t>
      </w:r>
      <w:r>
        <w:rPr>
          <w:rFonts w:hint="eastAsia" w:ascii="Times New Roman" w:hAnsi="Times New Roman" w:eastAsia="宋体" w:cs="Times New Roman"/>
          <w:color w:val="auto"/>
          <w:kern w:val="0"/>
          <w:sz w:val="24"/>
          <w:highlight w:val="none"/>
          <w:lang w:eastAsia="zh-CN"/>
        </w:rPr>
        <w:t>）招标文件公告期限与招标公告的公告期限一致</w:t>
      </w:r>
      <w:r>
        <w:rPr>
          <w:rFonts w:hint="eastAsia" w:ascii="Times New Roman" w:hAnsi="Times New Roman" w:eastAsia="宋体" w:cs="Times New Roman"/>
          <w:color w:val="auto"/>
          <w:kern w:val="0"/>
          <w:sz w:val="24"/>
          <w:highlight w:val="none"/>
        </w:rPr>
        <w:t>。</w:t>
      </w:r>
    </w:p>
    <w:p>
      <w:pPr>
        <w:pStyle w:val="17"/>
        <w:spacing w:line="360" w:lineRule="auto"/>
        <w:ind w:firstLine="0"/>
        <w:rPr>
          <w:rFonts w:hAnsi="宋体" w:cs="宋体"/>
          <w:b/>
          <w:bCs/>
          <w:color w:val="auto"/>
          <w:sz w:val="24"/>
          <w:szCs w:val="24"/>
          <w:highlight w:val="none"/>
        </w:rPr>
      </w:pPr>
      <w:r>
        <w:rPr>
          <w:rFonts w:hAnsi="宋体" w:cs="宋体"/>
          <w:b/>
          <w:bCs/>
          <w:color w:val="auto"/>
          <w:sz w:val="24"/>
          <w:szCs w:val="24"/>
          <w:highlight w:val="none"/>
        </w:rPr>
        <w:t>七、对本次招标提出询问、质疑、投诉，请按以下方式联系。</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1.</w:t>
      </w:r>
      <w:r>
        <w:rPr>
          <w:rFonts w:hint="eastAsia" w:ascii="Times New Roman" w:hAnsi="Times New Roman" w:eastAsia="宋体" w:cs="Times New Roman"/>
          <w:color w:val="auto"/>
          <w:kern w:val="0"/>
          <w:sz w:val="24"/>
          <w:highlight w:val="none"/>
          <w:lang w:eastAsia="zh-CN"/>
        </w:rPr>
        <w:t>采购人</w:t>
      </w:r>
      <w:r>
        <w:rPr>
          <w:rFonts w:hint="eastAsia" w:ascii="Times New Roman" w:hAnsi="Times New Roman" w:eastAsia="宋体" w:cs="Times New Roman"/>
          <w:color w:val="auto"/>
          <w:kern w:val="0"/>
          <w:sz w:val="24"/>
          <w:highlight w:val="none"/>
        </w:rPr>
        <w:t>信息</w:t>
      </w:r>
    </w:p>
    <w:p>
      <w:pPr>
        <w:spacing w:line="360" w:lineRule="auto"/>
        <w:ind w:firstLine="480" w:firstLineChars="200"/>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rPr>
        <w:t>名称：</w:t>
      </w:r>
      <w:r>
        <w:rPr>
          <w:rFonts w:hint="eastAsia" w:ascii="Times New Roman" w:hAnsi="Times New Roman" w:eastAsia="宋体" w:cs="Times New Roman"/>
          <w:color w:val="auto"/>
          <w:kern w:val="0"/>
          <w:sz w:val="24"/>
          <w:highlight w:val="none"/>
          <w:lang w:eastAsia="zh-CN"/>
        </w:rPr>
        <w:t>浙江警察学院</w:t>
      </w:r>
    </w:p>
    <w:p>
      <w:pPr>
        <w:pStyle w:val="17"/>
        <w:spacing w:line="360" w:lineRule="auto"/>
        <w:ind w:firstLine="464" w:firstLineChars="200"/>
        <w:rPr>
          <w:rFonts w:hint="default" w:ascii="Times New Roman" w:hAnsi="Times New Roman"/>
          <w:color w:val="auto"/>
          <w:sz w:val="24"/>
          <w:highlight w:val="none"/>
        </w:rPr>
      </w:pPr>
      <w:r>
        <w:rPr>
          <w:rFonts w:hint="eastAsia" w:ascii="Times New Roman" w:hAnsi="Times New Roman" w:eastAsia="宋体" w:cs="Times New Roman"/>
          <w:color w:val="auto"/>
          <w:kern w:val="0"/>
          <w:sz w:val="24"/>
          <w:highlight w:val="none"/>
        </w:rPr>
        <w:t>地址：</w:t>
      </w:r>
      <w:r>
        <w:rPr>
          <w:rFonts w:hint="default" w:ascii="Times New Roman" w:hAnsi="Times New Roman" w:cs="Times New Roman"/>
          <w:color w:val="auto"/>
          <w:sz w:val="24"/>
          <w:highlight w:val="none"/>
        </w:rPr>
        <w:t>杭州市滨江区滨文路555号</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rPr>
        <w:t>项目联系人（询问）：</w:t>
      </w:r>
      <w:r>
        <w:rPr>
          <w:rFonts w:hint="eastAsia" w:ascii="Times New Roman" w:hAnsi="Times New Roman" w:eastAsia="宋体" w:cs="Times New Roman"/>
          <w:color w:val="auto"/>
          <w:kern w:val="0"/>
          <w:sz w:val="24"/>
          <w:highlight w:val="none"/>
          <w:lang w:val="en-US" w:eastAsia="zh-CN"/>
        </w:rPr>
        <w:t>孔老师</w:t>
      </w:r>
    </w:p>
    <w:p>
      <w:pPr>
        <w:spacing w:line="360" w:lineRule="auto"/>
        <w:ind w:firstLine="480" w:firstLineChars="200"/>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rPr>
        <w:t>项目联系方式（询问）：</w:t>
      </w:r>
      <w:r>
        <w:rPr>
          <w:rFonts w:hint="eastAsia" w:ascii="Times New Roman" w:hAnsi="Times New Roman" w:eastAsia="宋体" w:cs="Times New Roman"/>
          <w:color w:val="auto"/>
          <w:kern w:val="0"/>
          <w:sz w:val="24"/>
          <w:highlight w:val="none"/>
          <w:lang w:val="en-US" w:eastAsia="zh-CN"/>
        </w:rPr>
        <w:t xml:space="preserve">0571-87756537 </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质疑联系人：</w:t>
      </w:r>
      <w:r>
        <w:rPr>
          <w:rFonts w:hint="eastAsia" w:ascii="Times New Roman" w:hAnsi="Times New Roman"/>
          <w:color w:val="auto"/>
          <w:sz w:val="24"/>
          <w:highlight w:val="none"/>
          <w:lang w:val="en-US" w:eastAsia="zh-CN"/>
        </w:rPr>
        <w:t>张老师</w:t>
      </w:r>
    </w:p>
    <w:p>
      <w:pPr>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质疑联系方式：</w:t>
      </w:r>
      <w:r>
        <w:rPr>
          <w:rFonts w:hint="eastAsia" w:ascii="宋体" w:hAnsi="宋体" w:eastAsia="宋体" w:cs="宋体"/>
          <w:color w:val="auto"/>
          <w:sz w:val="24"/>
          <w:highlight w:val="none"/>
          <w:lang w:val="en-US" w:eastAsia="zh-CN"/>
        </w:rPr>
        <w:t>0571-87787163</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2.采购代理机构信息</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名  称：浙江豪圣建设项目管理有限公司</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地  址：杭州市拱墅区大关路179号远洋国际中心A座17楼1706室</w:t>
      </w:r>
    </w:p>
    <w:p>
      <w:pPr>
        <w:spacing w:line="360" w:lineRule="auto"/>
        <w:ind w:firstLine="480" w:firstLineChars="200"/>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rPr>
        <w:t>传  真：</w:t>
      </w:r>
      <w:r>
        <w:rPr>
          <w:rFonts w:hint="eastAsia" w:ascii="Times New Roman" w:hAnsi="Times New Roman" w:eastAsia="宋体" w:cs="Times New Roman"/>
          <w:color w:val="auto"/>
          <w:kern w:val="0"/>
          <w:sz w:val="24"/>
          <w:highlight w:val="none"/>
          <w:lang w:val="en-US" w:eastAsia="zh-CN"/>
        </w:rPr>
        <w:t>/</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rPr>
        <w:t>项目联系人（询问）：刘敏</w:t>
      </w:r>
      <w:r>
        <w:rPr>
          <w:rFonts w:hint="eastAsia" w:ascii="Times New Roman" w:hAnsi="Times New Roman" w:eastAsia="宋体" w:cs="Times New Roman"/>
          <w:color w:val="auto"/>
          <w:kern w:val="0"/>
          <w:sz w:val="24"/>
          <w:highlight w:val="none"/>
          <w:lang w:val="en-US" w:eastAsia="zh-CN"/>
        </w:rPr>
        <w:t>、羊雅鸣、曹剑斌、陈敏娇</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项目联系方式（询问）：0571-87981527</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质疑联系人：刘先成</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质疑联系方式：0571-56386096</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3.同级政府采购监督管理部门</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名  称：浙江省财政厅政府采购监管处</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地  址：杭州市环城西路37号</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传  真：/</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联系人：倪文良、吴聪瑜</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监督投诉电话：0571-87057615、87058489</w:t>
      </w:r>
    </w:p>
    <w:p>
      <w:pPr>
        <w:pStyle w:val="17"/>
        <w:spacing w:line="360" w:lineRule="auto"/>
        <w:ind w:firstLine="464" w:firstLineChars="200"/>
        <w:rPr>
          <w:rFonts w:ascii="Times New Roman" w:hAnsi="Times New Roman"/>
          <w:color w:val="auto"/>
          <w:sz w:val="24"/>
          <w:highlight w:val="none"/>
        </w:rPr>
      </w:pPr>
      <w:r>
        <w:rPr>
          <w:rFonts w:ascii="Times New Roman" w:hAnsi="Times New Roman"/>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CA问题联系电话（人工）：汇信CA 400-888-4636；天谷CA 400-087-8198。</w:t>
      </w:r>
    </w:p>
    <w:p>
      <w:pPr>
        <w:pStyle w:val="17"/>
        <w:spacing w:line="360" w:lineRule="auto"/>
        <w:ind w:firstLine="430" w:firstLineChars="250"/>
        <w:jc w:val="center"/>
        <w:rPr>
          <w:rStyle w:val="52"/>
          <w:color w:val="auto"/>
          <w:sz w:val="36"/>
          <w:szCs w:val="36"/>
          <w:highlight w:val="none"/>
        </w:rPr>
      </w:pPr>
      <w:r>
        <w:rPr>
          <w:rFonts w:hAnsi="宋体" w:cs="宋体"/>
          <w:color w:val="auto"/>
          <w:highlight w:val="none"/>
        </w:rPr>
        <w:br w:type="page"/>
      </w:r>
      <w:bookmarkStart w:id="24" w:name="_Toc12609"/>
      <w:bookmarkStart w:id="25" w:name="_Toc6703"/>
      <w:r>
        <w:rPr>
          <w:rStyle w:val="52"/>
          <w:color w:val="auto"/>
          <w:sz w:val="36"/>
          <w:szCs w:val="36"/>
          <w:highlight w:val="none"/>
        </w:rPr>
        <w:t>第二章  投标人须知</w:t>
      </w:r>
    </w:p>
    <w:bookmarkEnd w:id="24"/>
    <w:bookmarkEnd w:id="25"/>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ascii="宋体" w:hAnsi="宋体" w:cs="宋体"/>
          <w:b/>
          <w:color w:val="auto"/>
          <w:sz w:val="30"/>
          <w:szCs w:val="30"/>
          <w:highlight w:val="none"/>
        </w:rPr>
      </w:pPr>
      <w:r>
        <w:rPr>
          <w:rFonts w:ascii="宋体" w:hAnsi="宋体" w:cs="宋体"/>
          <w:b/>
          <w:color w:val="auto"/>
          <w:sz w:val="30"/>
          <w:szCs w:val="30"/>
          <w:highlight w:val="none"/>
        </w:rPr>
        <w:t>前附表</w:t>
      </w:r>
    </w:p>
    <w:tbl>
      <w:tblPr>
        <w:tblStyle w:val="43"/>
        <w:tblW w:w="10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428"/>
        <w:gridCol w:w="8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“数字浙警”建设工程-教师绩效码和学生成长码-数据采集及应用场景迭代项目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容及数量</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详见招标文件第四章采购内容及需求部分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公告媒体</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易平台</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ind w:left="36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1、本项目应以人民币报价；</w:t>
            </w:r>
          </w:p>
          <w:p>
            <w:pPr>
              <w:keepNext w:val="0"/>
              <w:keepLines w:val="0"/>
              <w:pageBreakBefore w:val="0"/>
              <w:widowControl w:val="0"/>
              <w:kinsoku/>
              <w:wordWrap/>
              <w:overflowPunct/>
              <w:topLinePunct w:val="0"/>
              <w:bidi w:val="0"/>
              <w:adjustRightInd w:val="0"/>
              <w:snapToGrid w:val="0"/>
              <w:spacing w:line="320" w:lineRule="exact"/>
              <w:ind w:left="36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2、不论采购结果如何，供应商均应自行承担所有与投标有关的全部费用。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ind w:left="360" w:hanging="360" w:hanging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组织（详细内容）</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不组织,</w:t>
            </w:r>
            <w:r>
              <w:rPr>
                <w:rFonts w:hint="eastAsia" w:ascii="宋体" w:hAnsi="宋体" w:eastAsia="宋体" w:cs="宋体"/>
                <w:bCs/>
                <w:color w:val="auto"/>
                <w:sz w:val="24"/>
                <w:szCs w:val="24"/>
                <w:highlight w:val="none"/>
              </w:rPr>
              <w:t xml:space="preserve"> 投标人自行现场踏勘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提供（详细内容）</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color w:val="auto"/>
                <w:sz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w:t>
            </w:r>
            <w:r>
              <w:rPr>
                <w:rFonts w:hint="eastAsia" w:ascii="宋体" w:hAnsi="宋体" w:eastAsia="宋体" w:cs="宋体"/>
                <w:color w:val="auto"/>
                <w:sz w:val="24"/>
                <w:szCs w:val="24"/>
                <w:highlight w:val="none"/>
                <w:lang w:eastAsia="zh-CN"/>
              </w:rPr>
              <w:t>：</w:t>
            </w:r>
            <w:r>
              <w:rPr>
                <w:rFonts w:ascii="Times New Roman" w:hAnsi="Times New Roman"/>
                <w:color w:val="auto"/>
                <w:sz w:val="24"/>
                <w:highlight w:val="none"/>
              </w:rPr>
              <w:t>投标人需提供</w:t>
            </w:r>
            <w:r>
              <w:rPr>
                <w:rFonts w:hint="eastAsia" w:cs="宋体"/>
                <w:b/>
                <w:color w:val="auto"/>
                <w:sz w:val="24"/>
                <w:szCs w:val="24"/>
                <w:highlight w:val="none"/>
                <w:lang w:val="zh-CN"/>
              </w:rPr>
              <w:t>相关系统演示。演示文件需由投标人提前录制</w:t>
            </w:r>
            <w:r>
              <w:rPr>
                <w:rFonts w:ascii="Times New Roman" w:hAnsi="Times New Roman"/>
                <w:color w:val="auto"/>
                <w:sz w:val="24"/>
                <w:szCs w:val="24"/>
                <w:highlight w:val="none"/>
              </w:rPr>
              <w:t>，</w:t>
            </w:r>
            <w:r>
              <w:rPr>
                <w:rFonts w:hint="eastAsia" w:ascii="Times New Roman" w:hAnsi="Times New Roman" w:eastAsia="宋体" w:cs="Times New Roman"/>
                <w:color w:val="auto"/>
                <w:sz w:val="24"/>
                <w:highlight w:val="none"/>
              </w:rPr>
              <w:t>视频</w:t>
            </w:r>
            <w:r>
              <w:rPr>
                <w:rFonts w:hint="eastAsia" w:ascii="Times New Roman" w:hAnsi="Times New Roman" w:eastAsia="宋体" w:cs="Times New Roman"/>
                <w:color w:val="auto"/>
                <w:sz w:val="24"/>
                <w:highlight w:val="none"/>
                <w:lang w:val="en-US" w:eastAsia="zh-CN"/>
              </w:rPr>
              <w:t>须为真实平台操作录屏演示，如采用PPT，截图等其他非真实平台操作演示的不得分</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演示时长不超过20分钟，</w:t>
            </w:r>
            <w:r>
              <w:rPr>
                <w:rFonts w:ascii="Times New Roman" w:hAnsi="Times New Roman" w:eastAsia="宋体" w:cs="Times New Roman"/>
                <w:color w:val="auto"/>
                <w:sz w:val="24"/>
                <w:highlight w:val="none"/>
              </w:rPr>
              <w:t>格式要求为：MP4或AVI，用U盘介质提交，U盘要符合NTFS或者FAT32的格式，不能打开识别的视频文件其风</w:t>
            </w:r>
            <w:r>
              <w:rPr>
                <w:rFonts w:ascii="Times New Roman" w:hAnsi="Times New Roman"/>
                <w:color w:val="auto"/>
                <w:sz w:val="24"/>
                <w:highlight w:val="none"/>
              </w:rPr>
              <w:t>险由投标人自行承担。</w:t>
            </w:r>
          </w:p>
          <w:p>
            <w:pPr>
              <w:snapToGrid w:val="0"/>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lang w:val="en-US" w:eastAsia="zh-CN"/>
              </w:rPr>
              <w:t>演示文件</w:t>
            </w:r>
            <w:r>
              <w:rPr>
                <w:rFonts w:ascii="Times New Roman" w:hAnsi="Times New Roman"/>
                <w:color w:val="auto"/>
                <w:sz w:val="24"/>
                <w:highlight w:val="none"/>
              </w:rPr>
              <w:t>在投标截止时间前与“备份投标文件”一同密封递交，或单独密封递交。（邮寄地址：杭州市拱墅区大关路179号远洋国际中心A座17楼1706室，收件人：刘敏</w:t>
            </w:r>
            <w:r>
              <w:rPr>
                <w:rFonts w:hint="eastAsia" w:ascii="Times New Roman" w:hAnsi="Times New Roman"/>
                <w:color w:val="auto"/>
                <w:sz w:val="24"/>
                <w:highlight w:val="none"/>
                <w:lang w:eastAsia="zh-CN"/>
              </w:rPr>
              <w:t>，</w:t>
            </w:r>
            <w:r>
              <w:rPr>
                <w:rFonts w:ascii="Times New Roman" w:hAnsi="Times New Roman"/>
                <w:color w:val="auto"/>
                <w:sz w:val="24"/>
                <w:highlight w:val="none"/>
              </w:rPr>
              <w:t>联系电话：0571-87981527，</w:t>
            </w:r>
            <w:r>
              <w:rPr>
                <w:rFonts w:hint="eastAsia" w:ascii="Times New Roman" w:hAnsi="Times New Roman"/>
                <w:color w:val="auto"/>
                <w:sz w:val="24"/>
                <w:highlight w:val="none"/>
                <w:lang w:val="en-US" w:eastAsia="zh-CN"/>
              </w:rPr>
              <w:t>演示文件</w:t>
            </w:r>
            <w:r>
              <w:rPr>
                <w:rFonts w:ascii="Times New Roman" w:hAnsi="Times New Roman"/>
                <w:color w:val="auto"/>
                <w:sz w:val="24"/>
                <w:highlight w:val="none"/>
              </w:rPr>
              <w:t>递交时间以收件人收到邮件的时间为准）</w:t>
            </w:r>
          </w:p>
          <w:p>
            <w:pPr>
              <w:pStyle w:val="2"/>
              <w:keepNext w:val="0"/>
              <w:keepLines w:val="0"/>
              <w:pageBreakBefore w:val="0"/>
              <w:widowControl w:val="0"/>
              <w:kinsoku/>
              <w:wordWrap/>
              <w:overflowPunct/>
              <w:topLinePunct w:val="0"/>
              <w:bidi w:val="0"/>
              <w:adjustRightInd w:val="0"/>
              <w:snapToGrid w:val="0"/>
              <w:spacing w:line="32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视频演示次序以投标文件解密时间先后次序为准</w:t>
            </w:r>
          </w:p>
          <w:p>
            <w:pPr>
              <w:pStyle w:val="41"/>
              <w:keepNext w:val="0"/>
              <w:keepLines w:val="0"/>
              <w:pageBreakBefore w:val="0"/>
              <w:widowControl w:val="0"/>
              <w:kinsoku/>
              <w:wordWrap/>
              <w:overflowPunct/>
              <w:topLinePunct w:val="0"/>
              <w:autoSpaceDE/>
              <w:autoSpaceDN/>
              <w:bidi w:val="0"/>
              <w:adjustRightInd w:val="0"/>
              <w:snapToGrid w:val="0"/>
              <w:spacing w:after="0" w:line="32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件澄清</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投标人如认为招标文件表述不清晰、存在前后矛盾等内容的，应当在投标截止日7个工作日前以书面形式（纸质）要求招标采购单位作出书面（纸质）澄清。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件组成</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的编制</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360" w:hanging="361" w:hangingChars="1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1、“电子加密投标文件”：</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（2）供应商应先安装“政采云电子交易客户端”，并按照本招标文件和“政府采购云平台”的要求，通过“政采云电子交易客户端”编制并加密投标文件。</w:t>
            </w:r>
          </w:p>
          <w:p>
            <w:pPr>
              <w:keepNext w:val="0"/>
              <w:keepLines w:val="0"/>
              <w:pageBreakBefore w:val="0"/>
              <w:widowControl w:val="0"/>
              <w:kinsoku/>
              <w:wordWrap/>
              <w:overflowPunct/>
              <w:topLinePunct w:val="0"/>
              <w:bidi w:val="0"/>
              <w:adjustRightInd w:val="0"/>
              <w:snapToGrid w:val="0"/>
              <w:spacing w:line="320" w:lineRule="exact"/>
              <w:ind w:left="360" w:hanging="361" w:hanging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2、“电子备份投标文件”：</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（1）“电子备份投标文件”是指与“电子加密投标文件”同时生成的数据电文形式的电子文件。</w:t>
            </w:r>
          </w:p>
          <w:p>
            <w:pPr>
              <w:keepNext w:val="0"/>
              <w:keepLines w:val="0"/>
              <w:pageBreakBefore w:val="0"/>
              <w:widowControl w:val="0"/>
              <w:kinsoku/>
              <w:wordWrap/>
              <w:overflowPunct/>
              <w:topLinePunct w:val="0"/>
              <w:bidi w:val="0"/>
              <w:adjustRightInd w:val="0"/>
              <w:snapToGrid w:val="0"/>
              <w:spacing w:line="320" w:lineRule="exact"/>
              <w:ind w:left="360" w:hanging="361" w:hanging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（2）供应商可自主选择是否编制“电子备份投标文件”。</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的签章</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的包装、密封和递交</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1、“电子加密投标文件”的递交：在线上传递交。</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（1）供应商应在投标截止时间前将“电子加密投标文件”成功上传递交至“政府采购云平台”，否则投标无效。</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（2）“电子加密投标文件”成功上传递交后，供应商可自行打印投标文件接收回执。</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2、“电子备份投标文件”的密封、包装和递交：</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（1）供应商可自主选择是否递交“电子备份投标文件”。</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（2）“电子备份投标文件”存入U盘（一份）。</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（3）“电子备份投标文件” 应在投标截止时间前以邮寄或送达方式递交：邮寄或送达地址：杭州市拱墅区大关路179号远洋国际中心A座17楼1706室，收件人：刘敏，0571-87981527。</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时间和地址</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间和地址</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1、采购组织机构</w:t>
            </w:r>
            <w:r>
              <w:rPr>
                <w:rFonts w:hint="eastAsia" w:ascii="宋体" w:hAnsi="宋体" w:eastAsia="宋体" w:cs="宋体"/>
                <w:color w:val="auto"/>
                <w:sz w:val="24"/>
                <w:szCs w:val="24"/>
                <w:highlight w:val="none"/>
              </w:rPr>
              <w:t>（即代理机构）按照招标文件规定的时间通过电子交易平台组织开标，所有投标供应商均应当准时在线参加。</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2、开标时间后，采购组织机构将向各投标供应商发出“电子加密投标文件”的解密通知，各投标供应商代表应当在接到解密通知后30分钟内自行完成“电子加密投标文件”的在线解密。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3、通过“政府采购云平台”上传递交的“电子加密投标文件”已按时解密的，“电子备份投标文件”自动失效。</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5、投标截止时间前，投标供应商仅递交了“电子备份投标文件”而</w:t>
            </w:r>
            <w:r>
              <w:rPr>
                <w:rFonts w:hint="eastAsia" w:ascii="宋体" w:hAnsi="宋体" w:eastAsia="宋体" w:cs="宋体"/>
                <w:b/>
                <w:bCs/>
                <w:color w:val="auto"/>
                <w:sz w:val="24"/>
                <w:szCs w:val="24"/>
                <w:highlight w:val="none"/>
                <w:lang w:bidi="ar"/>
              </w:rPr>
              <w:t>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采购进</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口产品</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bidi w:val="0"/>
              <w:adjustRightInd w:val="0"/>
              <w:snapToGrid w:val="0"/>
              <w:spacing w:before="0" w:beforeLines="0" w:after="0" w:afterLines="0"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本项目不允许采购进口产品</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本项目允许采购进口产品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pageBreakBefore w:val="0"/>
              <w:widowControl w:val="0"/>
              <w:kinsoku/>
              <w:wordWrap/>
              <w:overflowPunct/>
              <w:topLinePunct w:val="0"/>
              <w:bidi w:val="0"/>
              <w:adjustRightInd w:val="0"/>
              <w:snapToGrid w:val="0"/>
              <w:spacing w:before="0" w:beforeLines="0" w:after="0" w:afterLines="0"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适用  </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不适用  </w:t>
            </w:r>
          </w:p>
          <w:p>
            <w:pPr>
              <w:pStyle w:val="22"/>
              <w:keepNext w:val="0"/>
              <w:keepLines w:val="0"/>
              <w:pageBreakBefore w:val="0"/>
              <w:widowControl w:val="0"/>
              <w:kinsoku/>
              <w:wordWrap/>
              <w:overflowPunct/>
              <w:topLinePunct w:val="0"/>
              <w:bidi w:val="0"/>
              <w:adjustRightInd w:val="0"/>
              <w:snapToGrid w:val="0"/>
              <w:spacing w:before="0" w:beforeLines="0" w:after="0" w:afterLines="0"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严格执行《财政部 发展改革委 生态环境部 市场监管总局关于调整优化节能产品、环境标志产品政府采购执行机制的通知》（财库〔2019〕9号）。</w:t>
            </w:r>
          </w:p>
          <w:p>
            <w:pPr>
              <w:pStyle w:val="22"/>
              <w:keepNext w:val="0"/>
              <w:keepLines w:val="0"/>
              <w:pageBreakBefore w:val="0"/>
              <w:widowControl w:val="0"/>
              <w:kinsoku/>
              <w:wordWrap/>
              <w:overflowPunct/>
              <w:topLinePunct w:val="0"/>
              <w:bidi w:val="0"/>
              <w:adjustRightInd w:val="0"/>
              <w:snapToGrid w:val="0"/>
              <w:spacing w:before="0" w:beforeLines="0" w:after="0" w:afterLines="0"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拟采购的产品属于品目清单范围的，</w:t>
            </w:r>
            <w:r>
              <w:rPr>
                <w:rFonts w:hint="eastAsia"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文件要求提供相关产品认证证书。</w:t>
            </w:r>
          </w:p>
          <w:p>
            <w:pPr>
              <w:pStyle w:val="22"/>
              <w:keepNext w:val="0"/>
              <w:keepLines w:val="0"/>
              <w:pageBreakBefore w:val="0"/>
              <w:widowControl w:val="0"/>
              <w:kinsoku/>
              <w:wordWrap/>
              <w:overflowPunct/>
              <w:topLinePunct w:val="0"/>
              <w:bidi w:val="0"/>
              <w:adjustRightInd w:val="0"/>
              <w:snapToGrid w:val="0"/>
              <w:spacing w:before="0" w:beforeLines="0" w:after="0" w:afterLines="0" w:line="320" w:lineRule="exact"/>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拟采购的产品属于政府强制采购的节能产品品目清单范围的，</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未按</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文件要求提供国家确定的认证机构出具的、处于有效期之内的节能产品认证证书，投标无效。</w:t>
            </w:r>
          </w:p>
          <w:p>
            <w:pPr>
              <w:pStyle w:val="22"/>
              <w:keepNext w:val="0"/>
              <w:keepLines w:val="0"/>
              <w:pageBreakBefore w:val="0"/>
              <w:widowControl w:val="0"/>
              <w:kinsoku/>
              <w:wordWrap/>
              <w:overflowPunct/>
              <w:topLinePunct w:val="0"/>
              <w:bidi w:val="0"/>
              <w:adjustRightInd w:val="0"/>
              <w:snapToGrid w:val="0"/>
              <w:spacing w:before="0" w:beforeLines="0" w:after="0" w:afterLines="0" w:line="32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属于政府优先采购产品类别的，须按照要求提供依据国家确定的认证机构出具的、处于有效期之内的节能产品或环境标志产品认证证书，否则不予认定。不适用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8"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促进中小</w:t>
            </w:r>
          </w:p>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企业发展</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1、本次采购为专门面向中小企业预留采购份额的采购项目。</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3、本次采购标的为</w:t>
            </w:r>
            <w:r>
              <w:rPr>
                <w:rFonts w:hint="eastAsia" w:ascii="宋体" w:hAnsi="宋体" w:cs="宋体"/>
                <w:b/>
                <w:bCs/>
                <w:color w:val="auto"/>
                <w:sz w:val="24"/>
                <w:highlight w:val="none"/>
                <w:u w:val="single"/>
                <w:lang w:eastAsia="zh-CN"/>
              </w:rPr>
              <w:t>“数字浙警”建设工程-教师绩效码和学生成长码-数据采集及应用场景迭代项目</w:t>
            </w:r>
            <w:r>
              <w:rPr>
                <w:rFonts w:hint="eastAsia" w:ascii="宋体" w:hAnsi="宋体" w:eastAsia="宋体" w:cs="宋体"/>
                <w:b w:val="0"/>
                <w:bCs w:val="0"/>
                <w:color w:val="auto"/>
                <w:sz w:val="24"/>
                <w:szCs w:val="24"/>
                <w:highlight w:val="none"/>
              </w:rPr>
              <w:t>，对应的中小企业划分标准所属行业是：</w:t>
            </w:r>
            <w:r>
              <w:rPr>
                <w:rFonts w:hint="eastAsia" w:ascii="宋体" w:hAnsi="宋体" w:eastAsia="宋体" w:cs="宋体"/>
                <w:b/>
                <w:bCs/>
                <w:color w:val="auto"/>
                <w:sz w:val="24"/>
                <w:szCs w:val="20"/>
                <w:highlight w:val="none"/>
                <w:u w:val="single"/>
              </w:rPr>
              <w:t>软件和信息技术服务业</w:t>
            </w:r>
            <w:r>
              <w:rPr>
                <w:rFonts w:hint="eastAsia" w:ascii="宋体" w:hAnsi="宋体" w:eastAsia="宋体" w:cs="宋体"/>
                <w:b w:val="0"/>
                <w:bCs w:val="0"/>
                <w:color w:val="auto"/>
                <w:sz w:val="24"/>
                <w:szCs w:val="24"/>
                <w:highlight w:val="none"/>
                <w:u w:val="single"/>
              </w:rPr>
              <w:t>。</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4、以联合体形式参加政府采购活动，联合体各方均为小微企业的，联合体视同小微企业。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5、符合小微企业划分标准的个体工商户，视同小微企业。</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6、本次采购的服务要求全部由中小企业承接。</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7、本项目接受投标单位为中型企业时，允许其与小微企业组成联合体投标。</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8、本项目允许中型企业向一家或者多家小微企业分包。</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9、残疾人福利性单位视同小微企业，享受小微企业同等的价格扣除。残疾人福利性单位参加政府采购活动时，应当提供《残疾人福利性单位声明函》。</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联合体</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b/>
                <w:bCs/>
                <w:color w:val="auto"/>
                <w:sz w:val="24"/>
                <w:szCs w:val="24"/>
                <w:highlight w:val="none"/>
              </w:rPr>
            </w:pPr>
            <w:r>
              <w:rPr>
                <w:rFonts w:hint="eastAsia" w:ascii="Wingdings" w:hAnsi="Wingdings" w:eastAsia="宋体" w:cs="宋体"/>
                <w:b/>
                <w:bCs/>
                <w:color w:val="auto"/>
                <w:kern w:val="0"/>
                <w:sz w:val="24"/>
                <w:szCs w:val="24"/>
                <w:highlight w:val="none"/>
                <w:lang w:val="en-US" w:eastAsia="zh-CN" w:bidi="ar-SA"/>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转包</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auto"/>
                <w:sz w:val="24"/>
                <w:highlight w:val="none"/>
              </w:rPr>
            </w:pPr>
            <w:r>
              <w:rPr>
                <w:rFonts w:hint="eastAsia" w:ascii="Wingdings" w:hAnsi="Wingdings" w:eastAsia="宋体" w:cs="宋体"/>
                <w:b/>
                <w:bCs/>
                <w:color w:val="auto"/>
                <w:kern w:val="0"/>
                <w:sz w:val="24"/>
                <w:szCs w:val="24"/>
                <w:highlight w:val="none"/>
                <w:lang w:val="en-US" w:eastAsia="zh-CN" w:bidi="ar-SA"/>
              </w:rPr>
              <w:t>þ</w:t>
            </w:r>
            <w:r>
              <w:rPr>
                <w:rFonts w:hint="eastAsia" w:ascii="宋体" w:hAnsi="宋体" w:cs="宋体"/>
                <w:b/>
                <w:bCs/>
                <w:color w:val="auto"/>
                <w:kern w:val="0"/>
                <w:sz w:val="24"/>
                <w:highlight w:val="none"/>
              </w:rPr>
              <w:t xml:space="preserve"> </w:t>
            </w:r>
            <w:r>
              <w:rPr>
                <w:rFonts w:hint="eastAsia" w:ascii="宋体" w:hAnsi="宋体" w:cs="宋体"/>
                <w:b/>
                <w:bCs/>
                <w:color w:val="auto"/>
                <w:sz w:val="24"/>
                <w:highlight w:val="none"/>
              </w:rPr>
              <w:t>同意将非主体、非关键性的</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培训及技术支持 </w:t>
            </w:r>
            <w:r>
              <w:rPr>
                <w:rFonts w:hint="eastAsia" w:ascii="宋体" w:hAnsi="宋体" w:cs="宋体"/>
                <w:b/>
                <w:bCs/>
                <w:color w:val="auto"/>
                <w:sz w:val="24"/>
                <w:highlight w:val="none"/>
              </w:rPr>
              <w:t>工作分包。</w:t>
            </w:r>
          </w:p>
          <w:p>
            <w:pPr>
              <w:rPr>
                <w:rFonts w:hint="eastAsia" w:ascii="宋体" w:hAnsi="宋体" w:eastAsia="宋体" w:cs="宋体"/>
                <w:color w:val="auto"/>
                <w:sz w:val="24"/>
                <w:szCs w:val="24"/>
                <w:highlight w:val="none"/>
              </w:rPr>
            </w:pPr>
            <w:r>
              <w:rPr>
                <w:rFonts w:ascii="MS Gothic" w:hAnsi="MS Gothic" w:eastAsia="宋体" w:cs="宋体"/>
                <w:b/>
                <w:bCs/>
                <w:color w:val="auto"/>
                <w:kern w:val="0"/>
                <w:sz w:val="24"/>
                <w:szCs w:val="24"/>
                <w:highlight w:val="none"/>
                <w:lang w:val="en-US" w:eastAsia="zh-CN" w:bidi="ar-SA"/>
              </w:rPr>
              <w:t>☐</w:t>
            </w:r>
            <w:r>
              <w:rPr>
                <w:rFonts w:hint="eastAsia" w:ascii="宋体" w:hAnsi="宋体" w:cs="宋体"/>
                <w:b/>
                <w:bCs/>
                <w:color w:val="auto"/>
                <w:kern w:val="0"/>
                <w:sz w:val="24"/>
                <w:highlight w:val="none"/>
              </w:rPr>
              <w:t xml:space="preserve"> </w:t>
            </w:r>
            <w:r>
              <w:rPr>
                <w:rFonts w:hint="eastAsia" w:ascii="宋体" w:hAnsi="宋体" w:cs="宋体"/>
                <w:b/>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□不要求提供</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要求提供：</w:t>
            </w:r>
          </w:p>
          <w:p>
            <w:pPr>
              <w:keepNext w:val="0"/>
              <w:keepLines w:val="0"/>
              <w:pageBreakBefore w:val="0"/>
              <w:widowControl w:val="0"/>
              <w:numPr>
                <w:ilvl w:val="0"/>
                <w:numId w:val="3"/>
              </w:numPr>
              <w:suppressLineNumbers w:val="0"/>
              <w:kinsoku/>
              <w:wordWrap/>
              <w:overflowPunct/>
              <w:topLinePunct w:val="0"/>
              <w:bidi w:val="0"/>
              <w:adjustRightInd w:val="0"/>
              <w:snapToGrid w:val="0"/>
              <w:spacing w:beforeAutospacing="0" w:afterAutospacing="0" w:line="3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金额为</w:t>
            </w:r>
            <w:r>
              <w:rPr>
                <w:rFonts w:hint="eastAsia" w:ascii="宋体" w:hAnsi="宋体" w:eastAsia="宋体" w:cs="宋体"/>
                <w:color w:val="auto"/>
                <w:sz w:val="24"/>
                <w:szCs w:val="24"/>
                <w:highlight w:val="none"/>
                <w:lang w:val="en-US" w:eastAsia="zh-CN"/>
              </w:rPr>
              <w:t>合同金额</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pPr>
              <w:keepNext w:val="0"/>
              <w:keepLines w:val="0"/>
              <w:pageBreakBefore w:val="0"/>
              <w:widowControl w:val="0"/>
              <w:numPr>
                <w:ilvl w:val="0"/>
                <w:numId w:val="3"/>
              </w:numPr>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hint="default" w:ascii="Times New Roman" w:hAnsi="Times New Roman"/>
                <w:color w:val="auto"/>
                <w:sz w:val="24"/>
                <w:szCs w:val="24"/>
                <w:highlight w:val="none"/>
              </w:rPr>
              <w:t>合同签订</w:t>
            </w:r>
            <w:r>
              <w:rPr>
                <w:rFonts w:hint="eastAsia" w:ascii="Times New Roman" w:hAnsi="Times New Roman"/>
                <w:color w:val="auto"/>
                <w:sz w:val="24"/>
                <w:szCs w:val="24"/>
                <w:highlight w:val="none"/>
                <w:lang w:val="en-US" w:eastAsia="zh-CN"/>
              </w:rPr>
              <w:t>生效</w:t>
            </w:r>
            <w:r>
              <w:rPr>
                <w:rFonts w:hint="default" w:ascii="Times New Roman" w:hAnsi="Times New Roman"/>
                <w:color w:val="auto"/>
                <w:sz w:val="24"/>
                <w:szCs w:val="24"/>
                <w:highlight w:val="none"/>
              </w:rPr>
              <w:t>后</w:t>
            </w:r>
            <w:r>
              <w:rPr>
                <w:rFonts w:hint="eastAsia" w:ascii="Times New Roman" w:hAnsi="Times New Roman"/>
                <w:color w:val="auto"/>
                <w:sz w:val="24"/>
                <w:szCs w:val="24"/>
                <w:highlight w:val="none"/>
                <w:lang w:val="en-US" w:eastAsia="zh-CN"/>
              </w:rPr>
              <w:t>5个工作日内</w:t>
            </w:r>
            <w:r>
              <w:rPr>
                <w:rFonts w:hint="default" w:ascii="Times New Roman" w:hAnsi="Times New Roman"/>
                <w:color w:val="auto"/>
                <w:sz w:val="24"/>
                <w:szCs w:val="24"/>
                <w:highlight w:val="none"/>
              </w:rPr>
              <w:t>向</w:t>
            </w:r>
            <w:r>
              <w:rPr>
                <w:rFonts w:hint="eastAsia" w:ascii="Times New Roman" w:hAnsi="Times New Roman"/>
                <w:color w:val="auto"/>
                <w:sz w:val="24"/>
                <w:szCs w:val="24"/>
                <w:highlight w:val="none"/>
                <w:lang w:eastAsia="zh-CN"/>
              </w:rPr>
              <w:t>采购人</w:t>
            </w:r>
            <w:r>
              <w:rPr>
                <w:rFonts w:hint="eastAsia" w:ascii="Times New Roman" w:hAnsi="Times New Roman"/>
                <w:color w:val="auto"/>
                <w:sz w:val="24"/>
                <w:szCs w:val="24"/>
                <w:highlight w:val="none"/>
                <w:lang w:val="en-US" w:eastAsia="zh-CN"/>
              </w:rPr>
              <w:t>缴纳</w:t>
            </w:r>
            <w:r>
              <w:rPr>
                <w:rFonts w:hint="default" w:ascii="Times New Roman" w:hAnsi="Times New Roman"/>
                <w:color w:val="auto"/>
                <w:sz w:val="24"/>
                <w:szCs w:val="24"/>
                <w:highlight w:val="none"/>
              </w:rPr>
              <w:t>履约保证金</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验收</w:t>
            </w:r>
            <w:r>
              <w:rPr>
                <w:rFonts w:hint="eastAsia" w:ascii="宋体" w:hAnsi="宋体" w:eastAsia="宋体" w:cs="宋体"/>
                <w:color w:val="auto"/>
                <w:sz w:val="24"/>
                <w:szCs w:val="24"/>
                <w:highlight w:val="none"/>
                <w:lang w:val="en-US" w:eastAsia="zh-CN"/>
              </w:rPr>
              <w:t>结束</w:t>
            </w:r>
            <w:r>
              <w:rPr>
                <w:rFonts w:hint="eastAsia" w:ascii="宋体" w:hAnsi="宋体" w:eastAsia="宋体" w:cs="宋体"/>
                <w:color w:val="auto"/>
                <w:sz w:val="24"/>
                <w:szCs w:val="24"/>
                <w:highlight w:val="none"/>
              </w:rPr>
              <w:t>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rPr>
                <w:rFonts w:hint="eastAsia" w:ascii="宋体" w:hAnsi="宋体" w:eastAsia="宋体" w:cs="宋体"/>
                <w:color w:val="auto"/>
                <w:sz w:val="24"/>
                <w:szCs w:val="24"/>
                <w:highlight w:val="none"/>
              </w:rPr>
            </w:pPr>
            <w:r>
              <w:rPr>
                <w:rFonts w:ascii="宋体" w:hAnsi="宋体" w:cs="宋体"/>
                <w:color w:val="auto"/>
                <w:sz w:val="24"/>
                <w:szCs w:val="24"/>
                <w:highlight w:val="none"/>
              </w:rPr>
              <w:t>本次采购代理服务费按国家计委计价格［2002］1980号文《招标代理服务收费管理暂行办法》文件规定的60%（不足2000元时按2000元），由成交人在接到成交通知书时支付给代理机构。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w:t>
            </w:r>
          </w:p>
        </w:tc>
        <w:tc>
          <w:tcPr>
            <w:tcW w:w="8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本招标文件的解释权属于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和采购代理机构。</w:t>
            </w:r>
          </w:p>
        </w:tc>
      </w:tr>
    </w:tbl>
    <w:p>
      <w:pPr>
        <w:pStyle w:val="22"/>
        <w:snapToGrid w:val="0"/>
        <w:spacing w:before="0" w:beforeLines="0" w:after="0" w:afterLines="0" w:line="360" w:lineRule="auto"/>
        <w:rPr>
          <w:rFonts w:hAnsi="宋体" w:cs="宋体"/>
          <w:b/>
          <w:color w:val="auto"/>
          <w:sz w:val="28"/>
          <w:szCs w:val="28"/>
          <w:highlight w:val="none"/>
        </w:rPr>
      </w:pPr>
      <w:r>
        <w:rPr>
          <w:rFonts w:hAnsi="宋体" w:cs="宋体"/>
          <w:color w:val="auto"/>
          <w:highlight w:val="none"/>
        </w:rPr>
        <w:br w:type="page"/>
      </w:r>
      <w:r>
        <w:rPr>
          <w:rFonts w:hAnsi="宋体" w:cs="宋体"/>
          <w:b/>
          <w:color w:val="auto"/>
          <w:sz w:val="28"/>
          <w:szCs w:val="28"/>
          <w:highlight w:val="none"/>
        </w:rPr>
        <w:t>一、总则</w:t>
      </w:r>
    </w:p>
    <w:p>
      <w:pPr>
        <w:snapToGrid w:val="0"/>
        <w:spacing w:line="360" w:lineRule="auto"/>
        <w:ind w:firstLine="354" w:firstLineChars="147"/>
        <w:jc w:val="left"/>
        <w:outlineLvl w:val="1"/>
        <w:rPr>
          <w:rFonts w:ascii="宋体" w:hAnsi="宋体" w:cs="宋体"/>
          <w:b/>
          <w:color w:val="auto"/>
          <w:sz w:val="24"/>
          <w:highlight w:val="none"/>
        </w:rPr>
      </w:pPr>
      <w:r>
        <w:rPr>
          <w:rFonts w:ascii="宋体" w:hAnsi="宋体" w:cs="宋体"/>
          <w:b/>
          <w:color w:val="auto"/>
          <w:sz w:val="24"/>
          <w:highlight w:val="none"/>
        </w:rPr>
        <w:t>（一）适用范围</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本招标文件适用于本次采购项目的招标、投标、评标、定标、验收、合同履约、付款等行为（法律、法规另有规定的，从其规定）。</w:t>
      </w:r>
    </w:p>
    <w:p>
      <w:pPr>
        <w:snapToGrid w:val="0"/>
        <w:spacing w:line="360" w:lineRule="auto"/>
        <w:ind w:firstLine="354" w:firstLineChars="147"/>
        <w:jc w:val="left"/>
        <w:outlineLvl w:val="1"/>
        <w:rPr>
          <w:rFonts w:ascii="宋体" w:hAnsi="宋体" w:cs="宋体"/>
          <w:b/>
          <w:color w:val="auto"/>
          <w:sz w:val="24"/>
          <w:highlight w:val="none"/>
        </w:rPr>
      </w:pPr>
      <w:r>
        <w:rPr>
          <w:rFonts w:ascii="宋体" w:hAnsi="宋体" w:cs="宋体"/>
          <w:b/>
          <w:color w:val="auto"/>
          <w:sz w:val="24"/>
          <w:highlight w:val="none"/>
        </w:rPr>
        <w:t>（二）定义</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1.招标采购单位：系指组织本次招标的代理机构和</w:t>
      </w:r>
      <w:r>
        <w:rPr>
          <w:rFonts w:hint="eastAsia" w:ascii="宋体" w:hAnsi="宋体" w:cs="宋体"/>
          <w:color w:val="auto"/>
          <w:sz w:val="24"/>
          <w:highlight w:val="none"/>
          <w:lang w:eastAsia="zh-CN"/>
        </w:rPr>
        <w:t>采购人</w:t>
      </w:r>
      <w:r>
        <w:rPr>
          <w:rFonts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2.投标人：系指向招标方提交投标文件的单位或个人，也称作供应商。</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3.投标人代表：是指参加本项目投标活动的供应商法定代表人或法定代表人授权代表。</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4.联合体：是指两个以上供应商组成联合体，以一个供应商的身份参加投标。</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5.甲方：是指合同签订的一方，一般与</w:t>
      </w:r>
      <w:r>
        <w:rPr>
          <w:rFonts w:hint="eastAsia" w:ascii="宋体" w:hAnsi="宋体" w:cs="宋体"/>
          <w:color w:val="auto"/>
          <w:sz w:val="24"/>
          <w:highlight w:val="none"/>
          <w:lang w:eastAsia="zh-CN"/>
        </w:rPr>
        <w:t>采购人</w:t>
      </w:r>
      <w:r>
        <w:rPr>
          <w:rFonts w:ascii="宋体" w:hAnsi="宋体" w:cs="宋体"/>
          <w:color w:val="auto"/>
          <w:sz w:val="24"/>
          <w:highlight w:val="none"/>
        </w:rPr>
        <w:t>、</w:t>
      </w:r>
      <w:r>
        <w:rPr>
          <w:rFonts w:hint="eastAsia" w:ascii="宋体" w:hAnsi="宋体" w:cs="宋体"/>
          <w:color w:val="auto"/>
          <w:sz w:val="24"/>
          <w:highlight w:val="none"/>
          <w:lang w:eastAsia="zh-CN"/>
        </w:rPr>
        <w:t>采购人</w:t>
      </w:r>
      <w:r>
        <w:rPr>
          <w:rFonts w:ascii="宋体" w:hAnsi="宋体" w:cs="宋体"/>
          <w:color w:val="auto"/>
          <w:sz w:val="24"/>
          <w:highlight w:val="none"/>
        </w:rPr>
        <w:t>、用户相同。</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6.乙方：是指合同签订的另一方，与中标人相同。</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7.“产品”系指供方按招标文件规定，须向</w:t>
      </w:r>
      <w:r>
        <w:rPr>
          <w:rFonts w:hint="eastAsia" w:ascii="宋体" w:hAnsi="宋体" w:cs="宋体"/>
          <w:color w:val="auto"/>
          <w:sz w:val="24"/>
          <w:highlight w:val="none"/>
          <w:lang w:eastAsia="zh-CN"/>
        </w:rPr>
        <w:t>采购人</w:t>
      </w:r>
      <w:r>
        <w:rPr>
          <w:rFonts w:ascii="宋体" w:hAnsi="宋体" w:cs="宋体"/>
          <w:color w:val="auto"/>
          <w:sz w:val="24"/>
          <w:highlight w:val="none"/>
        </w:rPr>
        <w:t>提供的一切设备、保险、税金、备品备件、工具、手册及其它有关技术资料和材料。</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8.“服务”系指招标文件规定投标人须</w:t>
      </w:r>
      <w:r>
        <w:rPr>
          <w:rFonts w:ascii="宋体" w:hAnsi="宋体" w:eastAsia="宋体" w:cs="宋体"/>
          <w:color w:val="auto"/>
          <w:sz w:val="24"/>
          <w:highlight w:val="none"/>
        </w:rPr>
        <w:t>承担</w:t>
      </w:r>
      <w:r>
        <w:rPr>
          <w:rFonts w:hint="eastAsia" w:ascii="宋体" w:hAnsi="宋体" w:eastAsia="宋体" w:cs="宋体"/>
          <w:color w:val="auto"/>
          <w:sz w:val="24"/>
          <w:highlight w:val="none"/>
          <w:lang w:val="en-US" w:eastAsia="zh-CN"/>
        </w:rPr>
        <w:t>本项目明确的服务内容及相关服务</w:t>
      </w:r>
      <w:r>
        <w:rPr>
          <w:rFonts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9.“项目”系指投标人按招标文件规定向</w:t>
      </w:r>
      <w:r>
        <w:rPr>
          <w:rFonts w:hint="eastAsia" w:ascii="宋体" w:hAnsi="宋体" w:cs="宋体"/>
          <w:color w:val="auto"/>
          <w:sz w:val="24"/>
          <w:highlight w:val="none"/>
          <w:lang w:eastAsia="zh-CN"/>
        </w:rPr>
        <w:t>采购人</w:t>
      </w:r>
      <w:r>
        <w:rPr>
          <w:rFonts w:ascii="宋体" w:hAnsi="宋体" w:cs="宋体"/>
          <w:color w:val="auto"/>
          <w:sz w:val="24"/>
          <w:highlight w:val="none"/>
        </w:rPr>
        <w:t>提供的产品和服务。</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10.“书面形式”包括信函、传真、电报等。</w:t>
      </w:r>
    </w:p>
    <w:p>
      <w:pPr>
        <w:snapToGrid w:val="0"/>
        <w:spacing w:line="360" w:lineRule="auto"/>
        <w:ind w:firstLine="482" w:firstLineChars="200"/>
        <w:jc w:val="left"/>
        <w:rPr>
          <w:rFonts w:ascii="宋体" w:hAnsi="宋体" w:cs="宋体"/>
          <w:b/>
          <w:bCs/>
          <w:color w:val="auto"/>
          <w:sz w:val="24"/>
          <w:szCs w:val="22"/>
          <w:highlight w:val="none"/>
        </w:rPr>
      </w:pPr>
      <w:r>
        <w:rPr>
          <w:rFonts w:ascii="宋体" w:hAnsi="宋体" w:cs="宋体"/>
          <w:b/>
          <w:bCs/>
          <w:color w:val="auto"/>
          <w:sz w:val="24"/>
          <w:szCs w:val="22"/>
          <w:highlight w:val="none"/>
        </w:rPr>
        <w:t>11.“▲”系指实质性要求条款。</w:t>
      </w:r>
    </w:p>
    <w:p>
      <w:pPr>
        <w:snapToGrid w:val="0"/>
        <w:spacing w:line="360" w:lineRule="auto"/>
        <w:ind w:firstLine="472" w:firstLineChars="196"/>
        <w:jc w:val="left"/>
        <w:outlineLvl w:val="1"/>
        <w:rPr>
          <w:rFonts w:ascii="宋体" w:hAnsi="宋体" w:cs="宋体"/>
          <w:b/>
          <w:color w:val="auto"/>
          <w:sz w:val="24"/>
          <w:highlight w:val="none"/>
        </w:rPr>
      </w:pPr>
      <w:r>
        <w:rPr>
          <w:rFonts w:ascii="宋体" w:hAnsi="宋体" w:cs="宋体"/>
          <w:b/>
          <w:color w:val="auto"/>
          <w:sz w:val="24"/>
          <w:highlight w:val="none"/>
        </w:rPr>
        <w:t>（三）招标方式</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本次招标采用公开招标方式进行。</w:t>
      </w:r>
    </w:p>
    <w:p>
      <w:pPr>
        <w:snapToGrid w:val="0"/>
        <w:spacing w:line="360" w:lineRule="auto"/>
        <w:ind w:firstLine="472" w:firstLineChars="196"/>
        <w:jc w:val="left"/>
        <w:outlineLvl w:val="1"/>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lang w:val="en-US" w:eastAsia="zh-CN"/>
        </w:rPr>
        <w:t>四</w:t>
      </w:r>
      <w:r>
        <w:rPr>
          <w:rFonts w:ascii="宋体" w:hAnsi="宋体" w:cs="宋体"/>
          <w:b/>
          <w:color w:val="auto"/>
          <w:sz w:val="24"/>
          <w:highlight w:val="none"/>
        </w:rPr>
        <w:t>）投标费用</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不论投标结果如何，投标人均应自行承担所有与投标有关的全部费用。</w:t>
      </w:r>
    </w:p>
    <w:p>
      <w:pPr>
        <w:keepNext w:val="0"/>
        <w:keepLines w:val="0"/>
        <w:pageBreakBefore w:val="0"/>
        <w:kinsoku/>
        <w:wordWrap/>
        <w:overflowPunct/>
        <w:topLinePunct w:val="0"/>
        <w:autoSpaceDE/>
        <w:autoSpaceDN/>
        <w:bidi w:val="0"/>
        <w:adjustRightInd w:val="0"/>
        <w:snapToGrid w:val="0"/>
        <w:spacing w:line="360" w:lineRule="auto"/>
        <w:ind w:firstLine="472" w:firstLineChars="196"/>
        <w:jc w:val="left"/>
        <w:textAlignment w:val="auto"/>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lang w:val="en-US" w:eastAsia="zh-CN"/>
        </w:rPr>
        <w:t>五</w:t>
      </w:r>
      <w:r>
        <w:rPr>
          <w:rFonts w:ascii="宋体" w:hAnsi="宋体" w:cs="宋体"/>
          <w:b/>
          <w:color w:val="auto"/>
          <w:sz w:val="24"/>
          <w:highlight w:val="none"/>
        </w:rPr>
        <w:t>）联合体投标</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color w:val="auto"/>
          <w:sz w:val="24"/>
          <w:highlight w:val="none"/>
        </w:rPr>
      </w:pPr>
      <w:r>
        <w:rPr>
          <w:rFonts w:hint="eastAsia"/>
          <w:color w:val="auto"/>
          <w:sz w:val="24"/>
          <w:highlight w:val="none"/>
          <w:lang w:val="en-US" w:eastAsia="zh-CN"/>
        </w:rPr>
        <w:t>详见投标人须知前附表</w:t>
      </w:r>
    </w:p>
    <w:p>
      <w:pPr>
        <w:keepNext w:val="0"/>
        <w:keepLines w:val="0"/>
        <w:pageBreakBefore w:val="0"/>
        <w:kinsoku/>
        <w:wordWrap/>
        <w:overflowPunct/>
        <w:topLinePunct w:val="0"/>
        <w:autoSpaceDE/>
        <w:autoSpaceDN/>
        <w:bidi w:val="0"/>
        <w:adjustRightInd w:val="0"/>
        <w:snapToGrid w:val="0"/>
        <w:spacing w:line="360" w:lineRule="auto"/>
        <w:ind w:firstLine="472" w:firstLineChars="196"/>
        <w:textAlignment w:val="auto"/>
        <w:rPr>
          <w:rFonts w:ascii="宋体" w:hAnsi="宋体" w:cs="宋体"/>
          <w:b/>
          <w:color w:val="auto"/>
          <w:kern w:val="0"/>
          <w:sz w:val="24"/>
          <w:highlight w:val="none"/>
        </w:rPr>
      </w:pPr>
      <w:r>
        <w:rPr>
          <w:rFonts w:ascii="宋体" w:hAnsi="宋体" w:cs="宋体"/>
          <w:b/>
          <w:color w:val="auto"/>
          <w:sz w:val="24"/>
          <w:highlight w:val="none"/>
        </w:rPr>
        <w:t>（</w:t>
      </w:r>
      <w:r>
        <w:rPr>
          <w:rFonts w:hint="eastAsia" w:ascii="宋体" w:hAnsi="宋体" w:cs="宋体"/>
          <w:b/>
          <w:color w:val="auto"/>
          <w:sz w:val="24"/>
          <w:highlight w:val="none"/>
          <w:lang w:val="en-US" w:eastAsia="zh-CN"/>
        </w:rPr>
        <w:t>六</w:t>
      </w:r>
      <w:r>
        <w:rPr>
          <w:rFonts w:ascii="宋体" w:hAnsi="宋体" w:cs="宋体"/>
          <w:b/>
          <w:color w:val="auto"/>
          <w:sz w:val="24"/>
          <w:highlight w:val="none"/>
        </w:rPr>
        <w:t>）</w:t>
      </w:r>
      <w:r>
        <w:rPr>
          <w:rFonts w:ascii="宋体" w:hAnsi="宋体" w:cs="宋体"/>
          <w:b/>
          <w:color w:val="auto"/>
          <w:kern w:val="0"/>
          <w:sz w:val="24"/>
          <w:highlight w:val="none"/>
        </w:rPr>
        <w:t>转包与分包</w:t>
      </w:r>
    </w:p>
    <w:p>
      <w:pPr>
        <w:pageBreakBefore w:val="0"/>
        <w:kinsoku/>
        <w:wordWrap/>
        <w:overflowPunct/>
        <w:topLinePunct w:val="0"/>
        <w:bidi w:val="0"/>
        <w:adjustRightInd w:val="0"/>
        <w:snapToGrid w:val="0"/>
        <w:spacing w:line="360" w:lineRule="auto"/>
        <w:ind w:firstLine="470" w:firstLineChars="196"/>
        <w:jc w:val="left"/>
        <w:outlineLvl w:val="1"/>
        <w:rPr>
          <w:rFonts w:hint="eastAsia"/>
          <w:color w:val="auto"/>
          <w:sz w:val="24"/>
          <w:highlight w:val="none"/>
          <w:lang w:val="en-US" w:eastAsia="zh-CN"/>
        </w:rPr>
      </w:pPr>
      <w:r>
        <w:rPr>
          <w:rFonts w:hint="eastAsia"/>
          <w:color w:val="auto"/>
          <w:sz w:val="24"/>
          <w:highlight w:val="none"/>
          <w:lang w:val="en-US" w:eastAsia="zh-CN"/>
        </w:rPr>
        <w:t>详见投标人须知前附表</w:t>
      </w:r>
    </w:p>
    <w:p>
      <w:pPr>
        <w:keepNext w:val="0"/>
        <w:keepLines w:val="0"/>
        <w:pageBreakBefore w:val="0"/>
        <w:kinsoku/>
        <w:wordWrap/>
        <w:overflowPunct/>
        <w:topLinePunct w:val="0"/>
        <w:autoSpaceDE/>
        <w:autoSpaceDN/>
        <w:bidi w:val="0"/>
        <w:adjustRightInd w:val="0"/>
        <w:snapToGrid w:val="0"/>
        <w:spacing w:line="360" w:lineRule="auto"/>
        <w:ind w:firstLine="472" w:firstLineChars="196"/>
        <w:jc w:val="left"/>
        <w:textAlignment w:val="auto"/>
        <w:outlineLvl w:val="1"/>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lang w:val="en-US" w:eastAsia="zh-CN"/>
        </w:rPr>
        <w:t>七</w:t>
      </w:r>
      <w:r>
        <w:rPr>
          <w:rFonts w:ascii="宋体" w:hAnsi="宋体" w:cs="宋体"/>
          <w:b/>
          <w:color w:val="auto"/>
          <w:sz w:val="24"/>
          <w:highlight w:val="none"/>
        </w:rPr>
        <w:t>）特别说明：</w:t>
      </w:r>
    </w:p>
    <w:p>
      <w:pPr>
        <w:pageBreakBefore w:val="0"/>
        <w:kinsoku/>
        <w:wordWrap/>
        <w:overflowPunct/>
        <w:topLinePunct w:val="0"/>
        <w:bidi w:val="0"/>
        <w:adjustRightInd w:val="0"/>
        <w:snapToGrid w:val="0"/>
        <w:spacing w:line="360" w:lineRule="auto"/>
        <w:ind w:firstLine="470" w:firstLineChars="196"/>
        <w:jc w:val="both"/>
        <w:outlineLvl w:val="1"/>
        <w:rPr>
          <w:rFonts w:hint="default"/>
          <w:color w:val="auto"/>
          <w:sz w:val="24"/>
          <w:highlight w:val="none"/>
        </w:rPr>
      </w:pPr>
      <w:r>
        <w:rPr>
          <w:rFonts w:hint="default"/>
          <w:color w:val="auto"/>
          <w:sz w:val="24"/>
          <w:highlight w:val="none"/>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ageBreakBefore w:val="0"/>
        <w:kinsoku/>
        <w:wordWrap/>
        <w:overflowPunct/>
        <w:topLinePunct w:val="0"/>
        <w:bidi w:val="0"/>
        <w:adjustRightInd w:val="0"/>
        <w:snapToGrid w:val="0"/>
        <w:spacing w:line="360" w:lineRule="auto"/>
        <w:ind w:firstLine="470" w:firstLineChars="196"/>
        <w:jc w:val="both"/>
        <w:outlineLvl w:val="1"/>
        <w:rPr>
          <w:rFonts w:hint="default"/>
          <w:color w:val="auto"/>
          <w:sz w:val="24"/>
          <w:highlight w:val="none"/>
        </w:rPr>
      </w:pPr>
      <w:r>
        <w:rPr>
          <w:rFonts w:hint="default"/>
          <w:color w:val="auto"/>
          <w:sz w:val="24"/>
          <w:highlight w:val="none"/>
        </w:rPr>
        <w:t>2.采购文件中所涉及的产品品牌或型号均为建议性要求或为代替部分技术指标描述，供应商可以选择其他品牌型号的产品参加投标但投标产品须具有相当于或优于采购文件要求的指标、性能。否则，评标委员会将对其作出不利的评审。</w:t>
      </w:r>
    </w:p>
    <w:p>
      <w:pPr>
        <w:pageBreakBefore w:val="0"/>
        <w:widowControl/>
        <w:kinsoku/>
        <w:wordWrap/>
        <w:overflowPunct/>
        <w:topLinePunct w:val="0"/>
        <w:bidi w:val="0"/>
        <w:adjustRightInd w:val="0"/>
        <w:snapToGrid w:val="0"/>
        <w:spacing w:line="360" w:lineRule="auto"/>
        <w:ind w:firstLine="480" w:firstLineChars="200"/>
        <w:jc w:val="both"/>
        <w:rPr>
          <w:rFonts w:hint="default"/>
          <w:color w:val="auto"/>
          <w:sz w:val="24"/>
          <w:highlight w:val="none"/>
        </w:rPr>
      </w:pPr>
      <w:r>
        <w:rPr>
          <w:rFonts w:hint="default"/>
          <w:color w:val="auto"/>
          <w:sz w:val="24"/>
          <w:highlight w:val="none"/>
        </w:rPr>
        <w:t>3.投标人应仔细阅读招标文件的所有内容，按照招标文件的要求提交投标文件，并对所提供的全部资料的真实性承担法律责任。</w:t>
      </w:r>
    </w:p>
    <w:p>
      <w:pPr>
        <w:pageBreakBefore w:val="0"/>
        <w:widowControl/>
        <w:kinsoku/>
        <w:wordWrap/>
        <w:overflowPunct/>
        <w:topLinePunct w:val="0"/>
        <w:bidi w:val="0"/>
        <w:adjustRightInd w:val="0"/>
        <w:snapToGrid w:val="0"/>
        <w:spacing w:line="360" w:lineRule="auto"/>
        <w:ind w:firstLine="480" w:firstLineChars="200"/>
        <w:jc w:val="both"/>
        <w:rPr>
          <w:rFonts w:hint="default"/>
          <w:color w:val="auto"/>
          <w:sz w:val="24"/>
          <w:highlight w:val="none"/>
        </w:rPr>
      </w:pPr>
      <w:r>
        <w:rPr>
          <w:rFonts w:hint="default"/>
          <w:color w:val="auto"/>
          <w:sz w:val="24"/>
          <w:highlight w:val="none"/>
        </w:rPr>
        <w:t>4.采购过程中出现以下情形，导致电子交易平台无法正常运行，或者无法保证电子交易的公平、公正和安全时，</w:t>
      </w:r>
      <w:r>
        <w:rPr>
          <w:rFonts w:hint="eastAsia"/>
          <w:color w:val="auto"/>
          <w:sz w:val="24"/>
          <w:highlight w:val="none"/>
          <w:lang w:eastAsia="zh-CN"/>
        </w:rPr>
        <w:t>采购人</w:t>
      </w:r>
      <w:r>
        <w:rPr>
          <w:rFonts w:hint="default"/>
          <w:color w:val="auto"/>
          <w:sz w:val="24"/>
          <w:highlight w:val="none"/>
        </w:rPr>
        <w:t>（或代理机构）可中止电子交易活动：</w:t>
      </w:r>
    </w:p>
    <w:p>
      <w:pPr>
        <w:pageBreakBefore w:val="0"/>
        <w:widowControl/>
        <w:kinsoku/>
        <w:wordWrap/>
        <w:overflowPunct/>
        <w:topLinePunct w:val="0"/>
        <w:bidi w:val="0"/>
        <w:adjustRightInd w:val="0"/>
        <w:snapToGrid w:val="0"/>
        <w:spacing w:line="360" w:lineRule="auto"/>
        <w:ind w:firstLine="480" w:firstLineChars="200"/>
        <w:jc w:val="both"/>
        <w:rPr>
          <w:rFonts w:hint="default"/>
          <w:color w:val="auto"/>
          <w:sz w:val="24"/>
          <w:highlight w:val="none"/>
        </w:rPr>
      </w:pPr>
      <w:r>
        <w:rPr>
          <w:rFonts w:hint="default"/>
          <w:color w:val="auto"/>
          <w:sz w:val="24"/>
          <w:highlight w:val="none"/>
        </w:rPr>
        <w:t>（1）电子交易平台发生故障而无法登录访问的；</w:t>
      </w:r>
    </w:p>
    <w:p>
      <w:pPr>
        <w:pageBreakBefore w:val="0"/>
        <w:widowControl/>
        <w:kinsoku/>
        <w:wordWrap/>
        <w:overflowPunct/>
        <w:topLinePunct w:val="0"/>
        <w:bidi w:val="0"/>
        <w:adjustRightInd w:val="0"/>
        <w:snapToGrid w:val="0"/>
        <w:spacing w:line="360" w:lineRule="auto"/>
        <w:ind w:firstLine="480" w:firstLineChars="200"/>
        <w:jc w:val="both"/>
        <w:rPr>
          <w:rFonts w:hint="default"/>
          <w:color w:val="auto"/>
          <w:sz w:val="24"/>
          <w:highlight w:val="none"/>
        </w:rPr>
      </w:pPr>
      <w:r>
        <w:rPr>
          <w:rFonts w:hint="default"/>
          <w:color w:val="auto"/>
          <w:sz w:val="24"/>
          <w:highlight w:val="none"/>
        </w:rPr>
        <w:t>（2）电子交易平台应用或数据库出现错误，不能进行正常操作的；</w:t>
      </w:r>
    </w:p>
    <w:p>
      <w:pPr>
        <w:pageBreakBefore w:val="0"/>
        <w:widowControl/>
        <w:kinsoku/>
        <w:wordWrap/>
        <w:overflowPunct/>
        <w:topLinePunct w:val="0"/>
        <w:bidi w:val="0"/>
        <w:adjustRightInd w:val="0"/>
        <w:snapToGrid w:val="0"/>
        <w:spacing w:line="360" w:lineRule="auto"/>
        <w:ind w:firstLine="480" w:firstLineChars="200"/>
        <w:jc w:val="both"/>
        <w:rPr>
          <w:rFonts w:hint="default"/>
          <w:color w:val="auto"/>
          <w:sz w:val="24"/>
          <w:highlight w:val="none"/>
        </w:rPr>
      </w:pPr>
      <w:r>
        <w:rPr>
          <w:rFonts w:hint="default"/>
          <w:color w:val="auto"/>
          <w:sz w:val="24"/>
          <w:highlight w:val="none"/>
        </w:rPr>
        <w:t>（3）电子交易平台发现严重安全漏洞，有潜在泄密危险的；</w:t>
      </w:r>
    </w:p>
    <w:p>
      <w:pPr>
        <w:pageBreakBefore w:val="0"/>
        <w:widowControl/>
        <w:kinsoku/>
        <w:wordWrap/>
        <w:overflowPunct/>
        <w:topLinePunct w:val="0"/>
        <w:bidi w:val="0"/>
        <w:adjustRightInd w:val="0"/>
        <w:snapToGrid w:val="0"/>
        <w:spacing w:line="360" w:lineRule="auto"/>
        <w:ind w:firstLine="480" w:firstLineChars="200"/>
        <w:jc w:val="both"/>
        <w:rPr>
          <w:rFonts w:hint="default"/>
          <w:color w:val="auto"/>
          <w:sz w:val="24"/>
          <w:highlight w:val="none"/>
        </w:rPr>
      </w:pPr>
      <w:r>
        <w:rPr>
          <w:rFonts w:hint="default"/>
          <w:color w:val="auto"/>
          <w:sz w:val="24"/>
          <w:highlight w:val="none"/>
        </w:rPr>
        <w:t>（4）病毒发作导致不能进行正常操作的；</w:t>
      </w:r>
    </w:p>
    <w:p>
      <w:pPr>
        <w:pageBreakBefore w:val="0"/>
        <w:widowControl/>
        <w:kinsoku/>
        <w:wordWrap/>
        <w:overflowPunct/>
        <w:topLinePunct w:val="0"/>
        <w:bidi w:val="0"/>
        <w:adjustRightInd w:val="0"/>
        <w:snapToGrid w:val="0"/>
        <w:spacing w:line="360" w:lineRule="auto"/>
        <w:ind w:firstLine="480" w:firstLineChars="200"/>
        <w:jc w:val="both"/>
        <w:rPr>
          <w:rFonts w:hint="default"/>
          <w:color w:val="auto"/>
          <w:sz w:val="24"/>
          <w:highlight w:val="none"/>
        </w:rPr>
      </w:pPr>
      <w:r>
        <w:rPr>
          <w:rFonts w:hint="default"/>
          <w:color w:val="auto"/>
          <w:sz w:val="24"/>
          <w:highlight w:val="none"/>
        </w:rPr>
        <w:t>（5）其他无法保证电子交易的公平、公正和安全的情况。</w:t>
      </w:r>
    </w:p>
    <w:p>
      <w:pPr>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color w:val="auto"/>
          <w:sz w:val="24"/>
          <w:highlight w:val="none"/>
        </w:rPr>
      </w:pPr>
      <w:r>
        <w:rPr>
          <w:rFonts w:hint="default"/>
          <w:color w:val="auto"/>
          <w:sz w:val="24"/>
          <w:highlight w:val="none"/>
        </w:rPr>
        <w:t>出现上述规定情形，不影响采购公平、公正性的，</w:t>
      </w:r>
      <w:r>
        <w:rPr>
          <w:rFonts w:hint="eastAsia"/>
          <w:color w:val="auto"/>
          <w:sz w:val="24"/>
          <w:highlight w:val="none"/>
          <w:lang w:eastAsia="zh-CN"/>
        </w:rPr>
        <w:t>采购人</w:t>
      </w:r>
      <w:r>
        <w:rPr>
          <w:rFonts w:hint="default"/>
          <w:color w:val="auto"/>
          <w:sz w:val="24"/>
          <w:highlight w:val="none"/>
        </w:rPr>
        <w:t>（或代理机构）可以待上述情形消除后继续组织电子交易活动，也可以决定某些环节以纸质形式进行。</w:t>
      </w:r>
    </w:p>
    <w:p>
      <w:pPr>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w:t>
      </w:r>
      <w:r>
        <w:rPr>
          <w:rFonts w:hint="eastAsia" w:ascii="Times New Roman" w:hAnsi="Times New Roman" w:eastAsia="宋体" w:cs="Times New Roman"/>
          <w:b/>
          <w:bCs/>
          <w:color w:val="auto"/>
          <w:sz w:val="24"/>
          <w:highlight w:val="none"/>
          <w:lang w:val="en-US" w:eastAsia="zh-CN"/>
        </w:rPr>
        <w:t>5.</w:t>
      </w:r>
      <w:r>
        <w:rPr>
          <w:rFonts w:hint="eastAsia" w:ascii="Times New Roman" w:hAnsi="Times New Roman" w:eastAsia="宋体" w:cs="Times New Roman"/>
          <w:b/>
          <w:bCs/>
          <w:color w:val="auto"/>
          <w:sz w:val="24"/>
          <w:highlight w:val="none"/>
        </w:rPr>
        <w:t>供应商</w:t>
      </w:r>
      <w:r>
        <w:rPr>
          <w:rFonts w:hint="default" w:ascii="Times New Roman" w:hAnsi="Times New Roman" w:eastAsia="宋体" w:cs="Times New Roman"/>
          <w:b/>
          <w:bCs/>
          <w:color w:val="auto"/>
          <w:sz w:val="24"/>
          <w:highlight w:val="none"/>
        </w:rPr>
        <w:t>对所投标项内的采购内容必须全部进行投标。</w:t>
      </w:r>
    </w:p>
    <w:p>
      <w:pPr>
        <w:pageBreakBefore w:val="0"/>
        <w:widowControl/>
        <w:numPr>
          <w:ilvl w:val="0"/>
          <w:numId w:val="4"/>
        </w:numPr>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采购文件中如有描述歧义或前后不一致的地方，评标委员会有权按公平、合理的原则进行评判，但对同一条款的评判适用于每个</w:t>
      </w:r>
      <w:r>
        <w:rPr>
          <w:rFonts w:hint="eastAsia" w:ascii="Times New Roman" w:hAnsi="Times New Roman" w:eastAsia="宋体" w:cs="Times New Roman"/>
          <w:color w:val="auto"/>
          <w:sz w:val="24"/>
          <w:highlight w:val="none"/>
        </w:rPr>
        <w:t>供应商</w:t>
      </w:r>
      <w:r>
        <w:rPr>
          <w:rFonts w:hint="default" w:ascii="Times New Roman" w:hAnsi="Times New Roman" w:eastAsia="宋体" w:cs="Times New Roman"/>
          <w:color w:val="auto"/>
          <w:sz w:val="24"/>
          <w:highlight w:val="none"/>
        </w:rPr>
        <w:t>。</w:t>
      </w:r>
    </w:p>
    <w:p>
      <w:pPr>
        <w:pageBreakBefore w:val="0"/>
        <w:widowControl/>
        <w:numPr>
          <w:ilvl w:val="0"/>
          <w:numId w:val="4"/>
        </w:numPr>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w:t>
      </w:r>
      <w:r>
        <w:rPr>
          <w:rFonts w:hint="default" w:ascii="Times New Roman" w:hAnsi="Times New Roman" w:eastAsia="宋体" w:cs="Times New Roman"/>
          <w:color w:val="auto"/>
          <w:sz w:val="24"/>
          <w:highlight w:val="none"/>
        </w:rPr>
        <w:t>须对所投产品、方案、技术、服务等拥有合法的占有、使用、收益、处分的权利，并对涉及项目的所有内容可能侵权行为指控负责，保证不伤害</w:t>
      </w:r>
      <w:r>
        <w:rPr>
          <w:rFonts w:hint="eastAsia" w:ascii="Times New Roman" w:hAnsi="Times New Roman" w:eastAsia="宋体" w:cs="Times New Roman"/>
          <w:color w:val="auto"/>
          <w:sz w:val="24"/>
          <w:highlight w:val="none"/>
          <w:lang w:eastAsia="zh-CN"/>
        </w:rPr>
        <w:t>采购人</w:t>
      </w:r>
      <w:r>
        <w:rPr>
          <w:rFonts w:hint="default" w:ascii="Times New Roman" w:hAnsi="Times New Roman" w:eastAsia="宋体" w:cs="Times New Roman"/>
          <w:color w:val="auto"/>
          <w:sz w:val="24"/>
          <w:highlight w:val="none"/>
        </w:rPr>
        <w:t>的利益。在法律范围内，如果出现文字、图片、商标和技术等侵权行为而造成的纠纷和产生的一切费用，</w:t>
      </w:r>
      <w:r>
        <w:rPr>
          <w:rFonts w:hint="eastAsia" w:ascii="Times New Roman" w:hAnsi="Times New Roman" w:eastAsia="宋体" w:cs="Times New Roman"/>
          <w:color w:val="auto"/>
          <w:sz w:val="24"/>
          <w:highlight w:val="none"/>
          <w:lang w:eastAsia="zh-CN"/>
        </w:rPr>
        <w:t>采购人</w:t>
      </w:r>
      <w:r>
        <w:rPr>
          <w:rFonts w:hint="default" w:ascii="Times New Roman" w:hAnsi="Times New Roman" w:eastAsia="宋体" w:cs="Times New Roman"/>
          <w:color w:val="auto"/>
          <w:sz w:val="24"/>
          <w:highlight w:val="none"/>
        </w:rPr>
        <w:t>概不负责，由此给</w:t>
      </w:r>
      <w:r>
        <w:rPr>
          <w:rFonts w:hint="eastAsia" w:ascii="Times New Roman" w:hAnsi="Times New Roman" w:eastAsia="宋体" w:cs="Times New Roman"/>
          <w:color w:val="auto"/>
          <w:sz w:val="24"/>
          <w:highlight w:val="none"/>
          <w:lang w:eastAsia="zh-CN"/>
        </w:rPr>
        <w:t>采购人</w:t>
      </w:r>
      <w:r>
        <w:rPr>
          <w:rFonts w:hint="default" w:ascii="Times New Roman" w:hAnsi="Times New Roman" w:eastAsia="宋体" w:cs="Times New Roman"/>
          <w:color w:val="auto"/>
          <w:sz w:val="24"/>
          <w:highlight w:val="none"/>
        </w:rPr>
        <w:t>造成损失的，供应商应承担相应后果，并负责赔偿。供应商为执行本项目合同而提供的技术资料等归</w:t>
      </w:r>
      <w:r>
        <w:rPr>
          <w:rFonts w:hint="eastAsia" w:ascii="Times New Roman" w:hAnsi="Times New Roman" w:eastAsia="宋体" w:cs="Times New Roman"/>
          <w:color w:val="auto"/>
          <w:sz w:val="24"/>
          <w:highlight w:val="none"/>
          <w:lang w:eastAsia="zh-CN"/>
        </w:rPr>
        <w:t>采购人</w:t>
      </w:r>
      <w:r>
        <w:rPr>
          <w:rFonts w:hint="default" w:ascii="Times New Roman" w:hAnsi="Times New Roman" w:eastAsia="宋体" w:cs="Times New Roman"/>
          <w:color w:val="auto"/>
          <w:sz w:val="24"/>
          <w:highlight w:val="none"/>
        </w:rPr>
        <w:t>所有。</w:t>
      </w:r>
    </w:p>
    <w:p>
      <w:pPr>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为证明供应商拥有的人员、业绩、荣誉、知识产权、项目案例等而在投标文件中提供的证明材料必须为供应商自身所有。不同法人、其他组织的资料与供应商无关。</w:t>
      </w:r>
    </w:p>
    <w:p>
      <w:pPr>
        <w:pStyle w:val="22"/>
        <w:snapToGrid w:val="0"/>
        <w:spacing w:before="0" w:beforeLines="0" w:after="0" w:afterLines="0" w:line="360" w:lineRule="auto"/>
        <w:ind w:firstLine="472" w:firstLineChars="196"/>
        <w:outlineLvl w:val="1"/>
        <w:rPr>
          <w:rFonts w:hAnsi="宋体" w:cs="宋体"/>
          <w:b/>
          <w:bCs/>
          <w:color w:val="auto"/>
          <w:highlight w:val="none"/>
        </w:rPr>
      </w:pPr>
      <w:r>
        <w:rPr>
          <w:rFonts w:hAnsi="宋体" w:cs="宋体"/>
          <w:b/>
          <w:bCs/>
          <w:color w:val="auto"/>
          <w:highlight w:val="none"/>
        </w:rPr>
        <w:t>（九）质疑和投诉</w:t>
      </w:r>
    </w:p>
    <w:p>
      <w:pPr>
        <w:pStyle w:val="22"/>
        <w:snapToGrid w:val="0"/>
        <w:spacing w:before="0" w:beforeLines="0" w:after="0" w:afterLines="0" w:line="360" w:lineRule="auto"/>
        <w:ind w:firstLine="480" w:firstLineChars="200"/>
        <w:rPr>
          <w:rFonts w:hAnsi="宋体" w:cs="宋体"/>
          <w:color w:val="auto"/>
          <w:highlight w:val="none"/>
        </w:rPr>
      </w:pPr>
      <w:r>
        <w:rPr>
          <w:rFonts w:hAnsi="宋体" w:cs="宋体"/>
          <w:bCs/>
          <w:color w:val="auto"/>
          <w:highlight w:val="none"/>
        </w:rPr>
        <w:t>1.投标人认为招标文件、招标过程或中标结果使自己的合法权益受到损害的，应当在知道或者应知其权益受到损害之日起七个工作日内，以书面形式（纸质）一次性向</w:t>
      </w:r>
      <w:r>
        <w:rPr>
          <w:rFonts w:hint="eastAsia" w:hAnsi="宋体" w:cs="宋体"/>
          <w:bCs/>
          <w:color w:val="auto"/>
          <w:highlight w:val="none"/>
          <w:lang w:eastAsia="zh-CN"/>
        </w:rPr>
        <w:t>采购人</w:t>
      </w:r>
      <w:r>
        <w:rPr>
          <w:rFonts w:hAnsi="宋体" w:cs="宋体"/>
          <w:bCs/>
          <w:color w:val="auto"/>
          <w:highlight w:val="none"/>
        </w:rPr>
        <w:t>、采购代理机构提出质疑。投标人对</w:t>
      </w:r>
      <w:r>
        <w:rPr>
          <w:rFonts w:hint="eastAsia" w:hAnsi="宋体" w:cs="宋体"/>
          <w:bCs/>
          <w:color w:val="auto"/>
          <w:highlight w:val="none"/>
          <w:lang w:eastAsia="zh-CN"/>
        </w:rPr>
        <w:t>采购人</w:t>
      </w:r>
      <w:r>
        <w:rPr>
          <w:rFonts w:hAnsi="宋体" w:cs="宋体"/>
          <w:bCs/>
          <w:color w:val="auto"/>
          <w:highlight w:val="none"/>
        </w:rPr>
        <w:t>、采购代理机构的质疑答复不满意或者</w:t>
      </w:r>
      <w:r>
        <w:rPr>
          <w:rFonts w:hint="eastAsia" w:hAnsi="宋体" w:cs="宋体"/>
          <w:bCs/>
          <w:color w:val="auto"/>
          <w:highlight w:val="none"/>
          <w:lang w:eastAsia="zh-CN"/>
        </w:rPr>
        <w:t>采购人</w:t>
      </w:r>
      <w:r>
        <w:rPr>
          <w:rFonts w:hAnsi="宋体" w:cs="宋体"/>
          <w:bCs/>
          <w:color w:val="auto"/>
          <w:highlight w:val="none"/>
        </w:rPr>
        <w:t>、采购代理机构未在规定时间内作出答复的，可以在答复期满后十五个工作日内向同级采购监管部门投诉。</w:t>
      </w:r>
    </w:p>
    <w:p>
      <w:pPr>
        <w:pStyle w:val="17"/>
        <w:spacing w:line="360" w:lineRule="auto"/>
        <w:ind w:left="359" w:leftChars="171" w:firstLine="0"/>
        <w:rPr>
          <w:rFonts w:hAnsi="宋体" w:cs="宋体"/>
          <w:color w:val="auto"/>
          <w:sz w:val="24"/>
          <w:highlight w:val="none"/>
        </w:rPr>
      </w:pPr>
      <w:r>
        <w:rPr>
          <w:rFonts w:hAnsi="宋体" w:cs="宋体"/>
          <w:color w:val="auto"/>
          <w:sz w:val="24"/>
          <w:highlight w:val="none"/>
        </w:rPr>
        <w:t>供应商应知其权益受到损害之日，是指：</w:t>
      </w:r>
    </w:p>
    <w:p>
      <w:pPr>
        <w:pStyle w:val="17"/>
        <w:spacing w:line="360" w:lineRule="auto"/>
        <w:rPr>
          <w:rFonts w:hAnsi="宋体" w:cs="宋体"/>
          <w:color w:val="auto"/>
          <w:sz w:val="24"/>
          <w:highlight w:val="none"/>
        </w:rPr>
      </w:pPr>
      <w:r>
        <w:rPr>
          <w:rFonts w:hAnsi="宋体" w:cs="宋体"/>
          <w:color w:val="auto"/>
          <w:sz w:val="24"/>
          <w:highlight w:val="none"/>
        </w:rPr>
        <w:t>（1）对可以质疑的招标文件提出质疑的，为获取招标文件之日（公告期限届满之日后获取招标文件的为招标公告期限届满之日）。</w:t>
      </w:r>
    </w:p>
    <w:p>
      <w:pPr>
        <w:pStyle w:val="17"/>
        <w:spacing w:line="360" w:lineRule="auto"/>
        <w:rPr>
          <w:rFonts w:hAnsi="宋体" w:cs="宋体"/>
          <w:color w:val="auto"/>
          <w:sz w:val="24"/>
          <w:highlight w:val="none"/>
        </w:rPr>
      </w:pPr>
      <w:r>
        <w:rPr>
          <w:rFonts w:hAnsi="宋体" w:cs="宋体"/>
          <w:color w:val="auto"/>
          <w:sz w:val="24"/>
          <w:highlight w:val="none"/>
        </w:rPr>
        <w:t>（2）对招标过程提出质疑的，为各招标程序环节结束之日。</w:t>
      </w:r>
    </w:p>
    <w:p>
      <w:pPr>
        <w:pStyle w:val="17"/>
        <w:spacing w:line="360" w:lineRule="auto"/>
        <w:rPr>
          <w:rFonts w:hAnsi="宋体" w:cs="宋体"/>
          <w:color w:val="auto"/>
          <w:sz w:val="24"/>
          <w:highlight w:val="none"/>
        </w:rPr>
      </w:pPr>
      <w:r>
        <w:rPr>
          <w:rFonts w:hAnsi="宋体" w:cs="宋体"/>
          <w:color w:val="auto"/>
          <w:sz w:val="24"/>
          <w:highlight w:val="none"/>
        </w:rPr>
        <w:t>（3）对中标结果提出质疑的，为中标结果公告期限届满之日。</w:t>
      </w:r>
    </w:p>
    <w:p>
      <w:pPr>
        <w:pStyle w:val="17"/>
        <w:spacing w:line="360" w:lineRule="auto"/>
        <w:ind w:firstLine="528" w:firstLineChars="228"/>
        <w:rPr>
          <w:rFonts w:hAnsi="宋体" w:cs="宋体"/>
          <w:color w:val="auto"/>
          <w:sz w:val="24"/>
          <w:highlight w:val="none"/>
        </w:rPr>
      </w:pPr>
      <w:r>
        <w:rPr>
          <w:rFonts w:hAnsi="宋体" w:cs="宋体"/>
          <w:color w:val="auto"/>
          <w:sz w:val="24"/>
          <w:highlight w:val="none"/>
        </w:rPr>
        <w:t>2.质疑、投诉应当采用书面形式（纸质），质疑书、投诉书均应明确阐述招标文件、招标过程或中标结果中使自己合法权益受到损害的实质性内容，提供相关事实、依据和证据及其来源或线索，便于有关单位调查、答复和处理。</w:t>
      </w:r>
    </w:p>
    <w:p>
      <w:pPr>
        <w:pStyle w:val="22"/>
        <w:snapToGrid w:val="0"/>
        <w:spacing w:before="0" w:beforeLines="0" w:after="0" w:afterLines="0" w:line="360" w:lineRule="auto"/>
        <w:outlineLvl w:val="0"/>
        <w:rPr>
          <w:rFonts w:hAnsi="宋体" w:cs="宋体"/>
          <w:b/>
          <w:color w:val="auto"/>
          <w:sz w:val="28"/>
          <w:szCs w:val="28"/>
          <w:highlight w:val="none"/>
        </w:rPr>
      </w:pPr>
      <w:bookmarkStart w:id="26" w:name="_Toc19015"/>
      <w:bookmarkStart w:id="27" w:name="_Toc28298"/>
      <w:bookmarkStart w:id="28" w:name="_Toc30349"/>
      <w:bookmarkStart w:id="29" w:name="_Toc31283"/>
      <w:r>
        <w:rPr>
          <w:rFonts w:hAnsi="宋体" w:cs="宋体"/>
          <w:b/>
          <w:color w:val="auto"/>
          <w:sz w:val="28"/>
          <w:szCs w:val="28"/>
          <w:highlight w:val="none"/>
        </w:rPr>
        <w:t>二、招标文件</w:t>
      </w:r>
      <w:bookmarkEnd w:id="26"/>
      <w:bookmarkEnd w:id="27"/>
      <w:bookmarkEnd w:id="28"/>
      <w:bookmarkEnd w:id="29"/>
    </w:p>
    <w:p>
      <w:pPr>
        <w:snapToGrid w:val="0"/>
        <w:spacing w:line="360" w:lineRule="auto"/>
        <w:ind w:firstLine="472" w:firstLineChars="196"/>
        <w:jc w:val="left"/>
        <w:rPr>
          <w:rFonts w:ascii="宋体" w:hAnsi="宋体" w:cs="宋体"/>
          <w:b/>
          <w:color w:val="auto"/>
          <w:sz w:val="24"/>
          <w:highlight w:val="none"/>
        </w:rPr>
      </w:pPr>
      <w:r>
        <w:rPr>
          <w:rFonts w:ascii="宋体" w:hAnsi="宋体" w:cs="宋体"/>
          <w:b/>
          <w:color w:val="auto"/>
          <w:sz w:val="24"/>
          <w:highlight w:val="none"/>
        </w:rPr>
        <w:t>（一）招标文件的构成。本招标文件由以下部份组成：</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1.招标公告</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2.投标人须知</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3.评标办法</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4.采购内容及需求</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5.合同主要条款</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6.投标文件格式</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7.本项目招标文件的澄清、修改内容（如有）</w:t>
      </w:r>
    </w:p>
    <w:p>
      <w:pPr>
        <w:snapToGrid w:val="0"/>
        <w:spacing w:line="360" w:lineRule="auto"/>
        <w:ind w:firstLine="472" w:firstLineChars="196"/>
        <w:jc w:val="left"/>
        <w:rPr>
          <w:rFonts w:ascii="宋体" w:hAnsi="宋体" w:cs="宋体"/>
          <w:b/>
          <w:color w:val="auto"/>
          <w:sz w:val="24"/>
          <w:highlight w:val="none"/>
        </w:rPr>
      </w:pPr>
      <w:r>
        <w:rPr>
          <w:rFonts w:ascii="宋体" w:hAnsi="宋体" w:cs="宋体"/>
          <w:b/>
          <w:color w:val="auto"/>
          <w:sz w:val="24"/>
          <w:highlight w:val="none"/>
        </w:rPr>
        <w:t>（二）投标人的风险</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r>
        <w:rPr>
          <w:rFonts w:ascii="宋体" w:hAnsi="宋体" w:cs="宋体"/>
          <w:b/>
          <w:bCs/>
          <w:color w:val="auto"/>
          <w:sz w:val="24"/>
          <w:highlight w:val="none"/>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r>
        <w:rPr>
          <w:rFonts w:ascii="宋体" w:hAnsi="宋体" w:cs="宋体"/>
          <w:color w:val="auto"/>
          <w:sz w:val="24"/>
          <w:highlight w:val="none"/>
        </w:rPr>
        <w:t>。</w:t>
      </w:r>
    </w:p>
    <w:p>
      <w:pPr>
        <w:snapToGrid w:val="0"/>
        <w:spacing w:line="360" w:lineRule="auto"/>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2.投标人没有按照招标文件要求提供全部资料，或者投标人没有对招标文件在各方面作出实质性响应是投标人的风险，并可能导致其投标无效。</w:t>
      </w:r>
    </w:p>
    <w:p>
      <w:pPr>
        <w:pStyle w:val="9"/>
        <w:widowControl w:val="0"/>
        <w:numPr>
          <w:ilvl w:val="0"/>
          <w:numId w:val="0"/>
        </w:numPr>
        <w:snapToGrid w:val="0"/>
        <w:spacing w:after="0" w:afterLines="0" w:line="360" w:lineRule="auto"/>
        <w:ind w:firstLine="472" w:firstLineChars="196"/>
        <w:rPr>
          <w:rFonts w:ascii="宋体" w:hAnsi="宋体" w:cs="宋体"/>
          <w:b/>
          <w:color w:val="auto"/>
          <w:szCs w:val="24"/>
          <w:highlight w:val="none"/>
        </w:rPr>
      </w:pPr>
      <w:r>
        <w:rPr>
          <w:rFonts w:ascii="宋体" w:hAnsi="宋体" w:cs="宋体"/>
          <w:b/>
          <w:color w:val="auto"/>
          <w:szCs w:val="24"/>
          <w:highlight w:val="none"/>
        </w:rPr>
        <w:t xml:space="preserve">（三）招标文件的澄清与修改 </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投标人应认真阅读本招标文件，发现其中有表述不清晰、前后矛盾等内容的，投标人可以在投标截止日7个工作日前以书面形式（纸质）要求招标采购单位澄清。招标采购单位对已发出的招标文件进行必要澄清、修改的内容可能影响投标文件编制的，应当在招标文件要求提交投标文件截止时间十五日前，在财政部门指定的政府采购信息发布媒体上发布更正公告，并以书面形式（纸质）通知所有招标文件收受人。</w:t>
      </w:r>
    </w:p>
    <w:p>
      <w:pPr>
        <w:snapToGrid w:val="0"/>
        <w:spacing w:line="360" w:lineRule="auto"/>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2.招标采购单位必须以书面形式（纸质）答复投标人要求澄清的问题，并将不包含问题来源的答复书面（纸质）通知所有合法获取了招标文件的投标人；除书面（纸质）答复以外的其他澄清方式及澄清内容均无效。</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3.招标文件澄清、修改的内容为招标文件的组成部分。当招标文件与招标文件的澄清、修改通知就同一内容的表述不一致时，以最后发出的书面（纸质）文件为准。</w:t>
      </w:r>
    </w:p>
    <w:p>
      <w:pPr>
        <w:pStyle w:val="22"/>
        <w:snapToGrid w:val="0"/>
        <w:spacing w:before="0" w:beforeLines="0" w:after="0" w:afterLines="0" w:line="360" w:lineRule="auto"/>
        <w:ind w:firstLine="480" w:firstLineChars="200"/>
        <w:rPr>
          <w:rFonts w:hAnsi="宋体" w:cs="宋体"/>
          <w:color w:val="auto"/>
          <w:highlight w:val="none"/>
        </w:rPr>
      </w:pPr>
      <w:r>
        <w:rPr>
          <w:rFonts w:hAnsi="宋体" w:cs="宋体"/>
          <w:color w:val="auto"/>
          <w:highlight w:val="none"/>
        </w:rPr>
        <w:t>4.招标文件的澄清、修改都应该通过本代理机构发布。</w:t>
      </w:r>
    </w:p>
    <w:p>
      <w:pPr>
        <w:pStyle w:val="22"/>
        <w:snapToGrid w:val="0"/>
        <w:spacing w:before="0" w:beforeLines="0" w:after="0" w:afterLines="0" w:line="360" w:lineRule="auto"/>
        <w:outlineLvl w:val="1"/>
        <w:rPr>
          <w:rFonts w:hAnsi="宋体" w:cs="宋体"/>
          <w:b/>
          <w:color w:val="auto"/>
          <w:sz w:val="28"/>
          <w:szCs w:val="28"/>
          <w:highlight w:val="none"/>
        </w:rPr>
      </w:pPr>
      <w:r>
        <w:rPr>
          <w:rFonts w:hAnsi="宋体" w:cs="宋体"/>
          <w:b/>
          <w:color w:val="auto"/>
          <w:sz w:val="28"/>
          <w:szCs w:val="28"/>
          <w:highlight w:val="none"/>
        </w:rPr>
        <w:t>三、投标文件的编制</w:t>
      </w:r>
    </w:p>
    <w:p>
      <w:pPr>
        <w:snapToGrid w:val="0"/>
        <w:spacing w:line="360" w:lineRule="auto"/>
        <w:ind w:firstLine="472" w:firstLineChars="196"/>
        <w:jc w:val="left"/>
        <w:outlineLvl w:val="0"/>
        <w:rPr>
          <w:rFonts w:ascii="宋体" w:hAnsi="宋体" w:cs="宋体"/>
          <w:b/>
          <w:color w:val="auto"/>
          <w:sz w:val="24"/>
          <w:highlight w:val="none"/>
        </w:rPr>
      </w:pPr>
      <w:bookmarkStart w:id="30" w:name="_Toc9965"/>
      <w:bookmarkStart w:id="31" w:name="_Toc5443"/>
      <w:bookmarkStart w:id="32" w:name="_Toc6231"/>
      <w:bookmarkStart w:id="33" w:name="_Toc22551"/>
      <w:r>
        <w:rPr>
          <w:rFonts w:ascii="宋体" w:hAnsi="宋体" w:cs="宋体"/>
          <w:b/>
          <w:color w:val="auto"/>
          <w:sz w:val="24"/>
          <w:highlight w:val="none"/>
        </w:rPr>
        <w:t>（一）投标文件的组成</w:t>
      </w:r>
      <w:bookmarkEnd w:id="30"/>
      <w:bookmarkEnd w:id="31"/>
      <w:bookmarkEnd w:id="32"/>
      <w:bookmarkEnd w:id="33"/>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投标文件由资格证明文件、商务技术文件、报价文件三部份组成。</w:t>
      </w:r>
    </w:p>
    <w:p>
      <w:pPr>
        <w:snapToGrid w:val="0"/>
        <w:spacing w:line="360" w:lineRule="auto"/>
        <w:ind w:firstLine="472" w:firstLineChars="196"/>
        <w:jc w:val="left"/>
        <w:rPr>
          <w:rFonts w:ascii="宋体" w:hAnsi="宋体" w:cs="宋体"/>
          <w:b/>
          <w:color w:val="auto"/>
          <w:sz w:val="24"/>
          <w:highlight w:val="none"/>
        </w:rPr>
      </w:pPr>
      <w:r>
        <w:rPr>
          <w:rFonts w:ascii="宋体" w:hAnsi="宋体" w:cs="宋体"/>
          <w:b/>
          <w:color w:val="auto"/>
          <w:sz w:val="24"/>
          <w:highlight w:val="none"/>
        </w:rPr>
        <w:t>1.资格证明文件</w:t>
      </w:r>
    </w:p>
    <w:p>
      <w:pPr>
        <w:snapToGrid w:val="0"/>
        <w:spacing w:line="360" w:lineRule="auto"/>
        <w:ind w:left="105" w:leftChars="50" w:firstLine="480" w:firstLineChars="200"/>
        <w:rPr>
          <w:rFonts w:hint="default"/>
          <w:color w:val="auto"/>
          <w:sz w:val="24"/>
          <w:szCs w:val="21"/>
          <w:highlight w:val="none"/>
        </w:rPr>
      </w:pPr>
      <w:r>
        <w:rPr>
          <w:rFonts w:hint="default"/>
          <w:color w:val="auto"/>
          <w:sz w:val="24"/>
          <w:szCs w:val="21"/>
          <w:highlight w:val="none"/>
        </w:rPr>
        <w:t>基本资格条件审查材料(以联合体形式进行政府采购的，参加联合体的供应商均应当提供）：</w:t>
      </w:r>
    </w:p>
    <w:p>
      <w:pPr>
        <w:numPr>
          <w:ilvl w:val="0"/>
          <w:numId w:val="5"/>
        </w:numPr>
        <w:snapToGrid w:val="0"/>
        <w:spacing w:line="360" w:lineRule="auto"/>
        <w:ind w:left="105" w:leftChars="50" w:firstLine="480" w:firstLineChars="200"/>
        <w:rPr>
          <w:color w:val="auto"/>
          <w:sz w:val="24"/>
          <w:szCs w:val="21"/>
          <w:highlight w:val="none"/>
        </w:rPr>
      </w:pPr>
      <w:r>
        <w:rPr>
          <w:rFonts w:hint="eastAsia"/>
          <w:color w:val="auto"/>
          <w:sz w:val="24"/>
          <w:szCs w:val="21"/>
          <w:highlight w:val="none"/>
          <w:lang w:eastAsia="zh-CN"/>
        </w:rPr>
        <w:t>符合参加政府采购活动应当具备的一般条件的承诺函</w:t>
      </w:r>
      <w:r>
        <w:rPr>
          <w:color w:val="auto"/>
          <w:sz w:val="24"/>
          <w:szCs w:val="21"/>
          <w:highlight w:val="none"/>
        </w:rPr>
        <w:t>【声明函1】</w:t>
      </w:r>
      <w:r>
        <w:rPr>
          <w:rFonts w:hint="eastAsia"/>
          <w:color w:val="auto"/>
          <w:sz w:val="24"/>
          <w:szCs w:val="21"/>
          <w:highlight w:val="none"/>
          <w:lang w:eastAsia="zh-CN"/>
        </w:rPr>
        <w:t>；</w:t>
      </w:r>
    </w:p>
    <w:p>
      <w:pPr>
        <w:numPr>
          <w:ilvl w:val="0"/>
          <w:numId w:val="5"/>
        </w:numPr>
        <w:snapToGrid w:val="0"/>
        <w:spacing w:line="360" w:lineRule="auto"/>
        <w:ind w:left="105" w:leftChars="50" w:firstLine="480" w:firstLineChars="200"/>
        <w:rPr>
          <w:rFonts w:hint="default" w:ascii="Times New Roman" w:hAnsi="Times New Roman" w:eastAsia="宋体" w:cs="Times New Roman"/>
          <w:color w:val="auto"/>
          <w:sz w:val="24"/>
          <w:szCs w:val="21"/>
          <w:highlight w:val="none"/>
          <w:lang w:eastAsia="zh-CN"/>
        </w:rPr>
      </w:pPr>
      <w:r>
        <w:rPr>
          <w:rFonts w:hint="default" w:ascii="Times New Roman" w:hAnsi="Times New Roman" w:eastAsia="宋体" w:cs="Times New Roman"/>
          <w:color w:val="auto"/>
          <w:sz w:val="24"/>
          <w:szCs w:val="21"/>
          <w:highlight w:val="none"/>
          <w:lang w:eastAsia="zh-CN"/>
        </w:rPr>
        <w:t>中小企业声明函、残疾人福利性单位声明函、属于监狱企业的证明文件（由省级以上监狱管理局、戒毒管理局（含新疆生产建设兵团）出具的属于监狱企业的证明文件</w:t>
      </w:r>
      <w:r>
        <w:rPr>
          <w:rFonts w:hint="eastAsia" w:ascii="Times New Roman" w:hAnsi="Times New Roman" w:eastAsia="宋体" w:cs="Times New Roman"/>
          <w:color w:val="auto"/>
          <w:sz w:val="24"/>
          <w:szCs w:val="21"/>
          <w:highlight w:val="none"/>
          <w:lang w:eastAsia="zh-CN"/>
        </w:rPr>
        <w:t>；</w:t>
      </w:r>
    </w:p>
    <w:p>
      <w:pPr>
        <w:numPr>
          <w:ilvl w:val="0"/>
          <w:numId w:val="5"/>
        </w:numPr>
        <w:snapToGrid w:val="0"/>
        <w:spacing w:line="360" w:lineRule="auto"/>
        <w:ind w:left="105" w:leftChars="50" w:firstLine="480" w:firstLineChars="200"/>
        <w:rPr>
          <w:rFonts w:hint="default" w:ascii="Times New Roman" w:hAnsi="Times New Roman" w:eastAsia="宋体" w:cs="Times New Roman"/>
          <w:color w:val="auto"/>
          <w:sz w:val="24"/>
          <w:szCs w:val="21"/>
          <w:highlight w:val="none"/>
          <w:lang w:eastAsia="zh-CN"/>
        </w:rPr>
      </w:pPr>
      <w:r>
        <w:rPr>
          <w:rFonts w:hint="default" w:ascii="Times New Roman" w:hAnsi="Times New Roman" w:eastAsia="宋体" w:cs="Times New Roman"/>
          <w:color w:val="auto"/>
          <w:sz w:val="24"/>
          <w:szCs w:val="21"/>
          <w:highlight w:val="none"/>
          <w:lang w:eastAsia="zh-CN"/>
        </w:rPr>
        <w:t>联合体协议书（如有）；</w:t>
      </w:r>
    </w:p>
    <w:p>
      <w:pPr>
        <w:numPr>
          <w:ilvl w:val="0"/>
          <w:numId w:val="5"/>
        </w:numPr>
        <w:snapToGrid w:val="0"/>
        <w:spacing w:line="360" w:lineRule="auto"/>
        <w:ind w:left="105" w:leftChars="50"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eastAsia="zh-CN"/>
        </w:rPr>
        <w:t>符合特定资格条件的相关证明材料</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lang w:val="en-US" w:eastAsia="zh-CN"/>
        </w:rPr>
        <w:t>按公告要求</w:t>
      </w:r>
      <w:r>
        <w:rPr>
          <w:rFonts w:hint="eastAsia" w:ascii="Times New Roman" w:hAnsi="Times New Roman" w:eastAsia="宋体" w:cs="Times New Roman"/>
          <w:color w:val="auto"/>
          <w:sz w:val="24"/>
          <w:szCs w:val="21"/>
          <w:highlight w:val="none"/>
          <w:lang w:eastAsia="zh-CN"/>
        </w:rPr>
        <w:t>）；</w:t>
      </w:r>
    </w:p>
    <w:p>
      <w:pPr>
        <w:snapToGrid w:val="0"/>
        <w:spacing w:line="360" w:lineRule="auto"/>
        <w:ind w:firstLine="470" w:firstLineChars="196"/>
        <w:jc w:val="left"/>
        <w:rPr>
          <w:rFonts w:hint="default"/>
          <w:color w:val="auto"/>
          <w:sz w:val="24"/>
          <w:szCs w:val="21"/>
          <w:highlight w:val="none"/>
        </w:rPr>
      </w:pPr>
      <w:r>
        <w:rPr>
          <w:rFonts w:hint="default"/>
          <w:color w:val="auto"/>
          <w:sz w:val="24"/>
          <w:szCs w:val="21"/>
          <w:highlight w:val="none"/>
        </w:rPr>
        <w:t>上述资格条件审查材料有一项不提供的，视为资格审查不通过。</w:t>
      </w:r>
    </w:p>
    <w:p>
      <w:pPr>
        <w:snapToGrid w:val="0"/>
        <w:spacing w:line="360" w:lineRule="auto"/>
        <w:ind w:firstLine="472" w:firstLineChars="196"/>
        <w:jc w:val="left"/>
        <w:rPr>
          <w:rFonts w:ascii="宋体" w:hAnsi="宋体" w:cs="宋体"/>
          <w:b/>
          <w:color w:val="auto"/>
          <w:sz w:val="24"/>
          <w:highlight w:val="none"/>
        </w:rPr>
      </w:pPr>
      <w:r>
        <w:rPr>
          <w:rFonts w:ascii="宋体" w:hAnsi="宋体" w:cs="宋体"/>
          <w:b/>
          <w:color w:val="auto"/>
          <w:sz w:val="24"/>
          <w:highlight w:val="none"/>
        </w:rPr>
        <w:t>2.商务技术文件</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（1）法定代表人授权委托书；</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（2）法定代表人及授权委托人的身份证(复印件加盖公章)；</w:t>
      </w:r>
    </w:p>
    <w:p>
      <w:pPr>
        <w:snapToGrid w:val="0"/>
        <w:spacing w:line="360" w:lineRule="auto"/>
        <w:ind w:firstLine="470" w:firstLineChars="196"/>
        <w:jc w:val="left"/>
        <w:rPr>
          <w:rFonts w:ascii="宋体" w:hAnsi="宋体" w:cs="宋体"/>
          <w:color w:val="auto"/>
          <w:sz w:val="24"/>
          <w:highlight w:val="none"/>
          <w:u w:val="none" w:color="000000"/>
        </w:rPr>
      </w:pPr>
      <w:r>
        <w:rPr>
          <w:rFonts w:ascii="宋体" w:hAnsi="宋体" w:cs="宋体"/>
          <w:color w:val="auto"/>
          <w:sz w:val="24"/>
          <w:highlight w:val="none"/>
        </w:rPr>
        <w:t>（3）同类项目业绩表</w:t>
      </w:r>
      <w:r>
        <w:rPr>
          <w:rFonts w:hint="default"/>
          <w:bCs/>
          <w:color w:val="auto"/>
          <w:sz w:val="24"/>
          <w:highlight w:val="none"/>
        </w:rPr>
        <w:t>（联合体参加的，联合体各方分别提供与联合体协议中规定的分工内容相应的业绩证明材料，</w:t>
      </w:r>
      <w:r>
        <w:rPr>
          <w:bCs/>
          <w:color w:val="auto"/>
          <w:sz w:val="24"/>
          <w:highlight w:val="none"/>
        </w:rPr>
        <w:t>分工内容相同的</w:t>
      </w:r>
      <w:r>
        <w:rPr>
          <w:rFonts w:hint="default"/>
          <w:bCs/>
          <w:color w:val="auto"/>
          <w:sz w:val="24"/>
          <w:highlight w:val="none"/>
        </w:rPr>
        <w:t>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ascii="宋体" w:hAnsi="宋体" w:cs="宋体"/>
          <w:color w:val="auto"/>
          <w:sz w:val="24"/>
          <w:highlight w:val="none"/>
          <w:u w:val="none" w:color="000000"/>
        </w:rPr>
        <w:t>；</w:t>
      </w:r>
    </w:p>
    <w:p>
      <w:pPr>
        <w:numPr>
          <w:ilvl w:val="0"/>
          <w:numId w:val="0"/>
        </w:numPr>
        <w:snapToGrid w:val="0"/>
        <w:spacing w:line="360" w:lineRule="auto"/>
        <w:ind w:left="0" w:leftChars="0" w:firstLine="480" w:firstLineChars="200"/>
        <w:rPr>
          <w:rFonts w:hint="eastAsia" w:ascii="宋体" w:hAnsi="宋体" w:eastAsia="宋体" w:cs="宋体"/>
          <w:color w:val="auto"/>
          <w:sz w:val="24"/>
          <w:szCs w:val="20"/>
          <w:highlight w:val="none"/>
          <w:lang w:eastAsia="zh-CN"/>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w:t>
      </w:r>
      <w:r>
        <w:rPr>
          <w:rFonts w:hint="eastAsia" w:ascii="宋体" w:hAnsi="宋体" w:eastAsia="宋体" w:cs="宋体"/>
          <w:color w:val="auto"/>
          <w:sz w:val="24"/>
          <w:szCs w:val="20"/>
          <w:highlight w:val="none"/>
          <w:lang w:val="en-US" w:eastAsia="zh-CN"/>
        </w:rPr>
        <w:t>分包意向协议</w:t>
      </w:r>
      <w:r>
        <w:rPr>
          <w:rFonts w:hint="eastAsia" w:ascii="宋体" w:hAnsi="宋体" w:eastAsia="宋体" w:cs="宋体"/>
          <w:color w:val="auto"/>
          <w:sz w:val="24"/>
          <w:szCs w:val="20"/>
          <w:highlight w:val="none"/>
          <w:lang w:eastAsia="zh-CN"/>
        </w:rPr>
        <w:t>（如有）</w:t>
      </w:r>
      <w:r>
        <w:rPr>
          <w:rFonts w:hint="eastAsia" w:ascii="宋体" w:hAnsi="宋体" w:eastAsia="宋体" w:cs="宋体"/>
          <w:color w:val="auto"/>
          <w:sz w:val="24"/>
          <w:szCs w:val="20"/>
          <w:highlight w:val="none"/>
          <w:lang w:val="en-US" w:eastAsia="zh-CN"/>
        </w:rPr>
        <w:t>；</w:t>
      </w:r>
    </w:p>
    <w:p>
      <w:pPr>
        <w:numPr>
          <w:ilvl w:val="0"/>
          <w:numId w:val="0"/>
        </w:numPr>
        <w:snapToGrid w:val="0"/>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技术偏离表</w:t>
      </w:r>
      <w:r>
        <w:rPr>
          <w:rFonts w:ascii="宋体" w:hAnsi="宋体" w:eastAsia="宋体" w:cs="宋体"/>
          <w:color w:val="auto"/>
          <w:sz w:val="24"/>
          <w:highlight w:val="none"/>
        </w:rPr>
        <w:t>；</w:t>
      </w:r>
    </w:p>
    <w:p>
      <w:pPr>
        <w:pageBreakBefore w:val="0"/>
        <w:widowControl/>
        <w:numPr>
          <w:ilvl w:val="0"/>
          <w:numId w:val="0"/>
        </w:numPr>
        <w:kinsoku/>
        <w:wordWrap/>
        <w:overflowPunct/>
        <w:topLinePunct w:val="0"/>
        <w:bidi w:val="0"/>
        <w:adjustRightInd/>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（6）评标标准相应的商务技术资料</w:t>
      </w:r>
    </w:p>
    <w:p>
      <w:pPr>
        <w:numPr>
          <w:ilvl w:val="0"/>
          <w:numId w:val="0"/>
        </w:num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其他必要提供的资料</w:t>
      </w:r>
      <w:r>
        <w:rPr>
          <w:rFonts w:hint="eastAsia" w:ascii="宋体" w:hAnsi="宋体" w:eastAsia="宋体" w:cs="宋体"/>
          <w:color w:val="auto"/>
          <w:sz w:val="24"/>
          <w:highlight w:val="none"/>
          <w:lang w:eastAsia="zh-CN"/>
        </w:rPr>
        <w:t>。</w:t>
      </w:r>
    </w:p>
    <w:p>
      <w:pPr>
        <w:snapToGrid w:val="0"/>
        <w:spacing w:line="360" w:lineRule="auto"/>
        <w:ind w:firstLine="472" w:firstLineChars="196"/>
        <w:jc w:val="left"/>
        <w:rPr>
          <w:rFonts w:ascii="宋体" w:hAnsi="宋体" w:cs="宋体"/>
          <w:b/>
          <w:color w:val="auto"/>
          <w:sz w:val="24"/>
          <w:highlight w:val="none"/>
        </w:rPr>
      </w:pPr>
      <w:r>
        <w:rPr>
          <w:rFonts w:ascii="宋体" w:hAnsi="宋体" w:cs="宋体"/>
          <w:b/>
          <w:color w:val="auto"/>
          <w:sz w:val="24"/>
          <w:highlight w:val="none"/>
        </w:rPr>
        <w:t>3.报价文件：</w:t>
      </w:r>
    </w:p>
    <w:p>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（1）投标函（格式见第六章）； </w:t>
      </w:r>
    </w:p>
    <w:p>
      <w:pPr>
        <w:pStyle w:val="23"/>
        <w:snapToGrid w:val="0"/>
        <w:spacing w:line="360" w:lineRule="auto"/>
        <w:ind w:leftChars="0"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（2）开标一览表（格式按电子交易平台）；</w:t>
      </w:r>
    </w:p>
    <w:p>
      <w:pPr>
        <w:tabs>
          <w:tab w:val="left" w:pos="3870"/>
          <w:tab w:val="left" w:pos="4085"/>
        </w:tabs>
        <w:snapToGrid w:val="0"/>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（3）投标报价明细表（格式见第六章）；</w:t>
      </w:r>
    </w:p>
    <w:p>
      <w:pPr>
        <w:tabs>
          <w:tab w:val="left" w:pos="3870"/>
          <w:tab w:val="left" w:pos="4085"/>
        </w:tabs>
        <w:snapToGrid w:val="0"/>
        <w:spacing w:line="360" w:lineRule="auto"/>
        <w:ind w:firstLine="480" w:firstLineChars="200"/>
        <w:jc w:val="left"/>
        <w:rPr>
          <w:rFonts w:hint="eastAsia" w:ascii="宋体" w:hAnsi="宋体" w:eastAsia="宋体" w:cs="宋体"/>
          <w:color w:val="auto"/>
          <w:sz w:val="24"/>
          <w:highlight w:val="none"/>
          <w:lang w:eastAsia="zh-CN"/>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）代理服务费支付承诺书</w:t>
      </w:r>
      <w:r>
        <w:rPr>
          <w:rFonts w:hint="eastAsia" w:ascii="宋体" w:hAnsi="宋体" w:eastAsia="宋体" w:cs="宋体"/>
          <w:color w:val="auto"/>
          <w:sz w:val="24"/>
          <w:highlight w:val="none"/>
          <w:lang w:eastAsia="zh-CN"/>
        </w:rPr>
        <w:t>。</w:t>
      </w:r>
    </w:p>
    <w:p>
      <w:pPr>
        <w:pStyle w:val="23"/>
        <w:snapToGrid w:val="0"/>
        <w:spacing w:line="360" w:lineRule="auto"/>
        <w:ind w:leftChars="0"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w:t>
      </w:r>
      <w:r>
        <w:rPr>
          <w:rFonts w:hint="default" w:ascii="宋体" w:hAnsi="宋体" w:eastAsia="宋体" w:cs="宋体"/>
          <w:b/>
          <w:bCs/>
          <w:color w:val="auto"/>
          <w:sz w:val="24"/>
          <w:szCs w:val="24"/>
          <w:highlight w:val="none"/>
        </w:rPr>
        <w:t>1、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w:t>
      </w:r>
      <w:r>
        <w:rPr>
          <w:rFonts w:hint="eastAsia" w:ascii="宋体" w:hAnsi="宋体" w:eastAsia="宋体" w:cs="宋体"/>
          <w:b/>
          <w:bCs/>
          <w:color w:val="auto"/>
          <w:sz w:val="24"/>
          <w:szCs w:val="24"/>
          <w:highlight w:val="none"/>
          <w:lang w:eastAsia="zh-CN"/>
        </w:rPr>
        <w:t>采购人</w:t>
      </w:r>
      <w:r>
        <w:rPr>
          <w:rFonts w:hint="default" w:ascii="宋体" w:hAnsi="宋体" w:eastAsia="宋体" w:cs="宋体"/>
          <w:b/>
          <w:bCs/>
          <w:color w:val="auto"/>
          <w:sz w:val="24"/>
          <w:szCs w:val="24"/>
          <w:highlight w:val="none"/>
        </w:rPr>
        <w:t>签订合同，并就采购合同约定的事项对</w:t>
      </w:r>
      <w:r>
        <w:rPr>
          <w:rFonts w:hint="eastAsia" w:ascii="宋体" w:hAnsi="宋体" w:eastAsia="宋体" w:cs="宋体"/>
          <w:b/>
          <w:bCs/>
          <w:color w:val="auto"/>
          <w:sz w:val="24"/>
          <w:szCs w:val="24"/>
          <w:highlight w:val="none"/>
          <w:lang w:eastAsia="zh-CN"/>
        </w:rPr>
        <w:t>采购人</w:t>
      </w:r>
      <w:r>
        <w:rPr>
          <w:rFonts w:hint="default" w:ascii="宋体" w:hAnsi="宋体" w:eastAsia="宋体" w:cs="宋体"/>
          <w:b/>
          <w:bCs/>
          <w:color w:val="auto"/>
          <w:sz w:val="24"/>
          <w:szCs w:val="24"/>
          <w:highlight w:val="none"/>
        </w:rPr>
        <w:t>承担连带责任。联合体协议中仅约定由牵头人或联合体成员中某一方与</w:t>
      </w:r>
      <w:r>
        <w:rPr>
          <w:rFonts w:hint="eastAsia" w:ascii="宋体" w:hAnsi="宋体" w:eastAsia="宋体" w:cs="宋体"/>
          <w:b/>
          <w:bCs/>
          <w:color w:val="auto"/>
          <w:sz w:val="24"/>
          <w:szCs w:val="24"/>
          <w:highlight w:val="none"/>
          <w:lang w:eastAsia="zh-CN"/>
        </w:rPr>
        <w:t>采购人</w:t>
      </w:r>
      <w:r>
        <w:rPr>
          <w:rFonts w:hint="default" w:ascii="宋体" w:hAnsi="宋体" w:eastAsia="宋体" w:cs="宋体"/>
          <w:b/>
          <w:bCs/>
          <w:color w:val="auto"/>
          <w:sz w:val="24"/>
          <w:szCs w:val="24"/>
          <w:highlight w:val="none"/>
        </w:rPr>
        <w:t>签订合同的，或联合体协议中仅约定由牵头人或联合体成员中某一方就采购合同约定的事项对</w:t>
      </w:r>
      <w:r>
        <w:rPr>
          <w:rFonts w:hint="eastAsia" w:ascii="宋体" w:hAnsi="宋体" w:eastAsia="宋体" w:cs="宋体"/>
          <w:b/>
          <w:bCs/>
          <w:color w:val="auto"/>
          <w:sz w:val="24"/>
          <w:szCs w:val="24"/>
          <w:highlight w:val="none"/>
          <w:lang w:eastAsia="zh-CN"/>
        </w:rPr>
        <w:t>采购人</w:t>
      </w:r>
      <w:r>
        <w:rPr>
          <w:rFonts w:hint="default" w:ascii="宋体" w:hAnsi="宋体" w:eastAsia="宋体" w:cs="宋体"/>
          <w:b/>
          <w:bCs/>
          <w:color w:val="auto"/>
          <w:sz w:val="24"/>
          <w:szCs w:val="24"/>
          <w:highlight w:val="none"/>
        </w:rPr>
        <w:t>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eastAsia="宋体" w:cs="宋体"/>
          <w:color w:val="auto"/>
          <w:sz w:val="24"/>
          <w:szCs w:val="24"/>
          <w:highlight w:val="none"/>
        </w:rPr>
        <w:t>）</w:t>
      </w:r>
    </w:p>
    <w:p>
      <w:pPr>
        <w:numPr>
          <w:ilvl w:val="0"/>
          <w:numId w:val="0"/>
        </w:numPr>
        <w:snapToGrid w:val="0"/>
        <w:spacing w:line="360" w:lineRule="auto"/>
        <w:ind w:leftChars="0" w:firstLine="480" w:firstLineChars="20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联合体各方资信情况证明文件（营业执照、符合资格条件的声明函、业绩证明材料）由各方成员盖章签字，其他内容以联合体牵头单位为主签署投标文件。</w:t>
      </w:r>
    </w:p>
    <w:p>
      <w:pPr>
        <w:pStyle w:val="42"/>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3、附件中有参考格式的，参照格式，没有参考格式的，供应商根据招标文件要求自行编制。</w:t>
      </w:r>
    </w:p>
    <w:p>
      <w:pPr>
        <w:pStyle w:val="42"/>
        <w:numPr>
          <w:ilvl w:val="0"/>
          <w:numId w:val="0"/>
        </w:numPr>
        <w:spacing w:line="360" w:lineRule="auto"/>
        <w:ind w:leftChars="0"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4、供应商应根据“政采云供应商项目采购-电子招投标操作指南”及本招标文件规定的格式和顺序编制电子响应文件并进行关联定位。以便评标委员会在评审过程中，点击评分项，可直接定位到该评分项内容。</w:t>
      </w:r>
    </w:p>
    <w:p>
      <w:pPr>
        <w:snapToGrid w:val="0"/>
        <w:spacing w:line="360" w:lineRule="auto"/>
        <w:ind w:firstLine="472" w:firstLineChars="196"/>
        <w:jc w:val="left"/>
        <w:outlineLvl w:val="0"/>
        <w:rPr>
          <w:rFonts w:ascii="宋体" w:hAnsi="宋体" w:cs="宋体"/>
          <w:b/>
          <w:color w:val="auto"/>
          <w:sz w:val="24"/>
          <w:highlight w:val="none"/>
        </w:rPr>
      </w:pPr>
      <w:bookmarkStart w:id="34" w:name="_Toc24514"/>
      <w:bookmarkStart w:id="35" w:name="_Toc31780"/>
      <w:bookmarkStart w:id="36" w:name="_Toc32602"/>
      <w:bookmarkStart w:id="37" w:name="_Toc17967"/>
      <w:r>
        <w:rPr>
          <w:rFonts w:ascii="宋体" w:hAnsi="宋体" w:cs="宋体"/>
          <w:b/>
          <w:color w:val="auto"/>
          <w:sz w:val="24"/>
          <w:highlight w:val="none"/>
        </w:rPr>
        <w:t>（二）投标文件的语言及计量</w:t>
      </w:r>
      <w:bookmarkEnd w:id="34"/>
      <w:bookmarkEnd w:id="35"/>
      <w:bookmarkEnd w:id="36"/>
      <w:bookmarkEnd w:id="37"/>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宋体"/>
          <w:b/>
          <w:color w:val="auto"/>
          <w:sz w:val="24"/>
          <w:highlight w:val="none"/>
        </w:rPr>
      </w:pPr>
      <w:bookmarkStart w:id="38" w:name="_Toc27951"/>
      <w:bookmarkStart w:id="39" w:name="_Toc3775"/>
      <w:bookmarkStart w:id="40" w:name="_Toc20158"/>
      <w:bookmarkStart w:id="41" w:name="_Toc2734"/>
      <w:r>
        <w:rPr>
          <w:rFonts w:ascii="宋体" w:hAnsi="宋体" w:cs="宋体"/>
          <w:b/>
          <w:color w:val="auto"/>
          <w:sz w:val="24"/>
          <w:highlight w:val="none"/>
        </w:rPr>
        <w:t>（三）投标报价</w:t>
      </w:r>
      <w:bookmarkEnd w:id="38"/>
      <w:bookmarkEnd w:id="39"/>
      <w:bookmarkEnd w:id="40"/>
      <w:bookmarkEnd w:id="41"/>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1.报价应按采购文件中相关附表格式填写。</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投标人根据招标文件的要求，服务期内的人工费、材料费、措施费、专用工具费、交通费、食宿费、管理费、保险费、税金等一切费用（包括各种风险因素）及中标后向采购代理机构支付的代理服务费都包含在投标报价中。</w:t>
      </w:r>
    </w:p>
    <w:p>
      <w:pPr>
        <w:pageBreakBefore w:val="0"/>
        <w:kinsoku/>
        <w:wordWrap/>
        <w:overflowPunct/>
        <w:topLinePunct w:val="0"/>
        <w:bidi w:val="0"/>
        <w:adjustRightInd w:val="0"/>
        <w:snapToGrid w:val="0"/>
        <w:spacing w:line="360" w:lineRule="auto"/>
        <w:ind w:firstLine="482" w:firstLineChars="200"/>
        <w:jc w:val="left"/>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3</w:t>
      </w:r>
      <w:r>
        <w:rPr>
          <w:rFonts w:hint="default" w:ascii="Times New Roman" w:hAnsi="Times New Roman" w:eastAsia="宋体" w:cs="Times New Roman"/>
          <w:b/>
          <w:bCs/>
          <w:color w:val="auto"/>
          <w:sz w:val="24"/>
          <w:highlight w:val="none"/>
        </w:rPr>
        <w:t>.投标文件只允许有一个报价，有选择或有条件的报价将不予接受，其投标无效。</w:t>
      </w:r>
    </w:p>
    <w:p>
      <w:pPr>
        <w:pStyle w:val="9"/>
        <w:widowControl w:val="0"/>
        <w:numPr>
          <w:ilvl w:val="0"/>
          <w:numId w:val="0"/>
        </w:numPr>
        <w:snapToGrid w:val="0"/>
        <w:spacing w:after="0" w:afterLines="0" w:line="360" w:lineRule="auto"/>
        <w:ind w:firstLine="472" w:firstLineChars="196"/>
        <w:rPr>
          <w:rFonts w:ascii="宋体" w:hAnsi="宋体" w:cs="宋体"/>
          <w:b/>
          <w:color w:val="auto"/>
          <w:szCs w:val="24"/>
          <w:highlight w:val="none"/>
        </w:rPr>
      </w:pPr>
      <w:r>
        <w:rPr>
          <w:rFonts w:ascii="宋体" w:hAnsi="宋体" w:cs="宋体"/>
          <w:b/>
          <w:color w:val="auto"/>
          <w:szCs w:val="24"/>
          <w:highlight w:val="none"/>
        </w:rPr>
        <w:t>（四）投标文件的有效期</w:t>
      </w:r>
    </w:p>
    <w:p>
      <w:pPr>
        <w:pStyle w:val="9"/>
        <w:widowControl w:val="0"/>
        <w:numPr>
          <w:ilvl w:val="0"/>
          <w:numId w:val="0"/>
        </w:numPr>
        <w:snapToGrid w:val="0"/>
        <w:spacing w:after="0" w:afterLines="0" w:line="360" w:lineRule="auto"/>
        <w:ind w:firstLine="482" w:firstLineChars="200"/>
        <w:rPr>
          <w:rFonts w:ascii="宋体" w:hAnsi="宋体" w:cs="宋体"/>
          <w:b/>
          <w:bCs/>
          <w:color w:val="auto"/>
          <w:szCs w:val="24"/>
          <w:highlight w:val="none"/>
        </w:rPr>
      </w:pPr>
      <w:r>
        <w:rPr>
          <w:rFonts w:ascii="宋体" w:hAnsi="宋体" w:cs="宋体"/>
          <w:b/>
          <w:bCs/>
          <w:color w:val="auto"/>
          <w:szCs w:val="24"/>
          <w:highlight w:val="none"/>
        </w:rPr>
        <w:t>1.自投标截止日起</w:t>
      </w:r>
      <w:r>
        <w:rPr>
          <w:rFonts w:ascii="宋体" w:hAnsi="宋体" w:cs="宋体"/>
          <w:b/>
          <w:bCs/>
          <w:color w:val="auto"/>
          <w:szCs w:val="24"/>
          <w:highlight w:val="none"/>
          <w:u w:val="single"/>
        </w:rPr>
        <w:t xml:space="preserve"> 90 </w:t>
      </w:r>
      <w:r>
        <w:rPr>
          <w:rFonts w:ascii="宋体" w:hAnsi="宋体" w:cs="宋体"/>
          <w:b/>
          <w:bCs/>
          <w:color w:val="auto"/>
          <w:szCs w:val="24"/>
          <w:highlight w:val="none"/>
        </w:rPr>
        <w:t>天投标文件应保持有效。有效期不足的投标文件将被视为无效。</w:t>
      </w:r>
    </w:p>
    <w:p>
      <w:pPr>
        <w:pStyle w:val="9"/>
        <w:widowControl w:val="0"/>
        <w:numPr>
          <w:ilvl w:val="0"/>
          <w:numId w:val="0"/>
        </w:numPr>
        <w:snapToGrid w:val="0"/>
        <w:spacing w:after="0" w:afterLines="0" w:line="360" w:lineRule="auto"/>
        <w:ind w:firstLine="480" w:firstLineChars="200"/>
        <w:rPr>
          <w:rFonts w:ascii="宋体" w:hAnsi="宋体" w:cs="宋体"/>
          <w:color w:val="auto"/>
          <w:szCs w:val="24"/>
          <w:highlight w:val="none"/>
        </w:rPr>
      </w:pPr>
      <w:r>
        <w:rPr>
          <w:rFonts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ascii="宋体" w:hAnsi="宋体" w:cs="宋体"/>
          <w:color w:val="auto"/>
          <w:szCs w:val="24"/>
          <w:highlight w:val="none"/>
        </w:rPr>
        <w:t>可与投标人协商延长投标书的有效期，这种要求和答复均以书面形式进行。</w:t>
      </w:r>
    </w:p>
    <w:p>
      <w:pPr>
        <w:snapToGrid w:val="0"/>
        <w:spacing w:line="360" w:lineRule="auto"/>
        <w:ind w:firstLine="480" w:firstLineChars="200"/>
        <w:jc w:val="left"/>
        <w:outlineLvl w:val="0"/>
        <w:rPr>
          <w:rFonts w:ascii="宋体" w:hAnsi="宋体" w:cs="宋体"/>
          <w:b/>
          <w:color w:val="auto"/>
          <w:sz w:val="24"/>
          <w:highlight w:val="none"/>
        </w:rPr>
      </w:pPr>
      <w:bookmarkStart w:id="42" w:name="_Toc22937"/>
      <w:bookmarkStart w:id="43" w:name="_Toc12342"/>
      <w:bookmarkStart w:id="44" w:name="_Toc14084"/>
      <w:bookmarkStart w:id="45" w:name="_Toc7404"/>
      <w:r>
        <w:rPr>
          <w:rFonts w:ascii="宋体" w:hAnsi="宋体" w:cs="宋体"/>
          <w:color w:val="auto"/>
          <w:sz w:val="24"/>
          <w:highlight w:val="none"/>
        </w:rPr>
        <w:t>3.</w:t>
      </w:r>
      <w:r>
        <w:rPr>
          <w:rFonts w:ascii="宋体" w:hAnsi="宋体" w:cs="宋体"/>
          <w:color w:val="auto"/>
          <w:highlight w:val="none"/>
        </w:rPr>
        <w:t xml:space="preserve"> </w:t>
      </w:r>
      <w:r>
        <w:rPr>
          <w:rFonts w:ascii="宋体" w:hAnsi="宋体" w:cs="宋体"/>
          <w:color w:val="auto"/>
          <w:sz w:val="24"/>
          <w:highlight w:val="none"/>
        </w:rPr>
        <w:t>投标人可拒绝接受延期要求。同意延长有效期的，投标人不能修改其投标文件。</w:t>
      </w:r>
      <w:bookmarkEnd w:id="42"/>
      <w:bookmarkEnd w:id="43"/>
      <w:bookmarkEnd w:id="44"/>
      <w:bookmarkEnd w:id="45"/>
      <w:r>
        <w:rPr>
          <w:rFonts w:ascii="宋体" w:hAnsi="宋体" w:cs="宋体"/>
          <w:b/>
          <w:color w:val="auto"/>
          <w:sz w:val="24"/>
          <w:highlight w:val="none"/>
        </w:rPr>
        <w:t xml:space="preserve"> </w:t>
      </w:r>
    </w:p>
    <w:p>
      <w:pPr>
        <w:snapToGrid w:val="0"/>
        <w:spacing w:line="360" w:lineRule="auto"/>
        <w:ind w:firstLine="480" w:firstLineChars="200"/>
        <w:jc w:val="left"/>
        <w:outlineLvl w:val="0"/>
        <w:rPr>
          <w:rFonts w:ascii="宋体" w:hAnsi="宋体" w:cs="宋体"/>
          <w:b/>
          <w:color w:val="auto"/>
          <w:sz w:val="24"/>
          <w:highlight w:val="none"/>
        </w:rPr>
      </w:pPr>
      <w:bookmarkStart w:id="46" w:name="_Toc4018"/>
      <w:bookmarkStart w:id="47" w:name="_Toc17993"/>
      <w:bookmarkStart w:id="48" w:name="_Toc32595"/>
      <w:bookmarkStart w:id="49" w:name="_Toc28942"/>
      <w:r>
        <w:rPr>
          <w:rFonts w:ascii="宋体" w:hAnsi="宋体" w:cs="宋体"/>
          <w:color w:val="auto"/>
          <w:sz w:val="24"/>
          <w:highlight w:val="none"/>
        </w:rPr>
        <w:t>4.中标人的投标文件自开标之日起至合同履行完毕止均应保持有效。</w:t>
      </w:r>
      <w:bookmarkEnd w:id="46"/>
      <w:bookmarkEnd w:id="47"/>
      <w:bookmarkEnd w:id="48"/>
      <w:bookmarkEnd w:id="49"/>
    </w:p>
    <w:p>
      <w:pPr>
        <w:pStyle w:val="9"/>
        <w:widowControl w:val="0"/>
        <w:numPr>
          <w:ilvl w:val="0"/>
          <w:numId w:val="0"/>
        </w:numPr>
        <w:tabs>
          <w:tab w:val="left" w:pos="900"/>
        </w:tabs>
        <w:snapToGrid w:val="0"/>
        <w:spacing w:after="0" w:afterLines="0" w:line="360" w:lineRule="auto"/>
        <w:ind w:firstLine="472" w:firstLineChars="196"/>
        <w:rPr>
          <w:rFonts w:ascii="宋体" w:hAnsi="宋体" w:cs="宋体"/>
          <w:b/>
          <w:color w:val="auto"/>
          <w:szCs w:val="24"/>
          <w:highlight w:val="none"/>
        </w:rPr>
      </w:pPr>
      <w:r>
        <w:rPr>
          <w:rFonts w:ascii="宋体" w:hAnsi="宋体" w:cs="宋体"/>
          <w:b/>
          <w:color w:val="auto"/>
          <w:szCs w:val="24"/>
          <w:highlight w:val="none"/>
        </w:rPr>
        <w:t>（五）投标文件的编制</w:t>
      </w:r>
    </w:p>
    <w:p>
      <w:pPr>
        <w:autoSpaceDE w:val="0"/>
        <w:autoSpaceDN w:val="0"/>
        <w:adjustRightInd w:val="0"/>
        <w:spacing w:line="360" w:lineRule="auto"/>
        <w:ind w:left="359" w:leftChars="171" w:firstLine="120" w:firstLineChars="50"/>
        <w:jc w:val="left"/>
        <w:rPr>
          <w:rFonts w:ascii="宋体" w:hAnsi="宋体" w:cs="宋体"/>
          <w:color w:val="auto"/>
          <w:sz w:val="24"/>
          <w:highlight w:val="none"/>
          <w:lang w:bidi="ar"/>
        </w:rPr>
      </w:pPr>
      <w:r>
        <w:rPr>
          <w:rFonts w:ascii="宋体" w:hAnsi="宋体" w:cs="宋体"/>
          <w:color w:val="auto"/>
          <w:sz w:val="24"/>
          <w:highlight w:val="none"/>
          <w:lang w:bidi="ar"/>
        </w:rPr>
        <w:t>1.“电子加密投标文件”：</w:t>
      </w:r>
    </w:p>
    <w:p>
      <w:pPr>
        <w:autoSpaceDE w:val="0"/>
        <w:autoSpaceDN w:val="0"/>
        <w:adjustRightInd w:val="0"/>
        <w:spacing w:line="360" w:lineRule="auto"/>
        <w:ind w:firstLine="360" w:firstLineChars="150"/>
        <w:jc w:val="left"/>
        <w:rPr>
          <w:rFonts w:ascii="宋体" w:hAnsi="宋体" w:cs="宋体"/>
          <w:color w:val="auto"/>
          <w:sz w:val="24"/>
          <w:highlight w:val="none"/>
          <w:lang w:bidi="ar"/>
        </w:rPr>
      </w:pPr>
      <w:r>
        <w:rPr>
          <w:rFonts w:ascii="宋体" w:hAnsi="宋体" w:cs="宋体"/>
          <w:color w:val="auto"/>
          <w:sz w:val="24"/>
          <w:highlight w:val="none"/>
          <w:lang w:bidi="ar"/>
        </w:rPr>
        <w:t>（1）“电子加密投标文件”是指通过“政采云电子交易客户端”完成投标文件编制后生成并加密的数据电文形式的投标文件。</w:t>
      </w:r>
    </w:p>
    <w:p>
      <w:pPr>
        <w:spacing w:line="360" w:lineRule="auto"/>
        <w:ind w:firstLine="360" w:firstLineChars="150"/>
        <w:rPr>
          <w:rFonts w:ascii="宋体" w:hAnsi="宋体" w:cs="宋体"/>
          <w:color w:val="auto"/>
          <w:sz w:val="24"/>
          <w:highlight w:val="none"/>
          <w:lang w:bidi="ar"/>
        </w:rPr>
      </w:pPr>
      <w:r>
        <w:rPr>
          <w:rFonts w:ascii="宋体" w:hAnsi="宋体" w:cs="宋体"/>
          <w:color w:val="auto"/>
          <w:sz w:val="24"/>
          <w:highlight w:val="none"/>
          <w:lang w:bidi="ar"/>
        </w:rPr>
        <w:t>（2）供应商应先安装“政采云电子交易客户端”，并按照本招标文件和“政府采购云平台”的要求，通过“政采云电子交易客户端”编制并加密投标文件。</w:t>
      </w:r>
    </w:p>
    <w:p>
      <w:pPr>
        <w:spacing w:line="360" w:lineRule="auto"/>
        <w:ind w:left="359" w:leftChars="171" w:firstLine="120" w:firstLineChars="50"/>
        <w:rPr>
          <w:rFonts w:ascii="宋体" w:hAnsi="宋体" w:cs="宋体"/>
          <w:color w:val="auto"/>
          <w:sz w:val="24"/>
          <w:highlight w:val="none"/>
          <w:lang w:bidi="ar"/>
        </w:rPr>
      </w:pPr>
      <w:r>
        <w:rPr>
          <w:rFonts w:ascii="宋体" w:hAnsi="宋体" w:cs="宋体"/>
          <w:color w:val="auto"/>
          <w:sz w:val="24"/>
          <w:highlight w:val="none"/>
          <w:lang w:bidi="ar"/>
        </w:rPr>
        <w:t>2.“电子备份投标文件”：</w:t>
      </w:r>
    </w:p>
    <w:p>
      <w:pPr>
        <w:adjustRightInd w:val="0"/>
        <w:snapToGrid w:val="0"/>
        <w:spacing w:afterLines="0" w:line="360" w:lineRule="auto"/>
        <w:ind w:firstLine="360" w:firstLineChars="150"/>
        <w:rPr>
          <w:rFonts w:ascii="宋体" w:hAnsi="宋体" w:cs="宋体"/>
          <w:color w:val="auto"/>
          <w:sz w:val="24"/>
          <w:highlight w:val="none"/>
          <w:lang w:bidi="ar"/>
        </w:rPr>
      </w:pPr>
      <w:r>
        <w:rPr>
          <w:rFonts w:ascii="宋体" w:hAnsi="宋体" w:cs="宋体"/>
          <w:color w:val="auto"/>
          <w:sz w:val="24"/>
          <w:highlight w:val="none"/>
          <w:lang w:bidi="ar"/>
        </w:rPr>
        <w:t>（1）“电子备份投标文件”是指与“电子加密投标文件”同时生成的数据电文形式的电子文件。</w:t>
      </w:r>
    </w:p>
    <w:p>
      <w:pPr>
        <w:adjustRightInd w:val="0"/>
        <w:snapToGrid w:val="0"/>
        <w:spacing w:afterLines="0" w:line="360" w:lineRule="auto"/>
        <w:ind w:left="359" w:leftChars="171"/>
        <w:rPr>
          <w:rFonts w:ascii="宋体" w:hAnsi="宋体" w:cs="宋体"/>
          <w:color w:val="auto"/>
          <w:sz w:val="24"/>
          <w:highlight w:val="none"/>
          <w:lang w:bidi="ar"/>
        </w:rPr>
      </w:pPr>
      <w:r>
        <w:rPr>
          <w:rFonts w:ascii="宋体" w:hAnsi="宋体" w:cs="宋体"/>
          <w:color w:val="auto"/>
          <w:sz w:val="24"/>
          <w:highlight w:val="none"/>
          <w:lang w:bidi="ar"/>
        </w:rPr>
        <w:t>（2）供应商可自主选择是否编制“电子备份投标文件”。</w:t>
      </w:r>
    </w:p>
    <w:p>
      <w:pPr>
        <w:adjustRightInd w:val="0"/>
        <w:snapToGrid w:val="0"/>
        <w:spacing w:afterLines="0" w:line="360" w:lineRule="auto"/>
        <w:ind w:firstLine="361" w:firstLineChars="150"/>
        <w:jc w:val="left"/>
        <w:rPr>
          <w:rFonts w:ascii="宋体" w:hAnsi="宋体" w:cs="宋体"/>
          <w:b/>
          <w:bCs/>
          <w:color w:val="auto"/>
          <w:sz w:val="24"/>
          <w:highlight w:val="none"/>
        </w:rPr>
      </w:pPr>
      <w:r>
        <w:rPr>
          <w:rFonts w:ascii="宋体" w:hAnsi="宋体" w:cs="宋体"/>
          <w:b/>
          <w:bCs/>
          <w:color w:val="auto"/>
          <w:sz w:val="24"/>
          <w:highlight w:val="none"/>
          <w:lang w:bidi="ar"/>
        </w:rPr>
        <w:t>（3）其他方式编制的备份投标文件视为无效备份投标文件。</w:t>
      </w:r>
    </w:p>
    <w:p>
      <w:pPr>
        <w:pStyle w:val="9"/>
        <w:widowControl w:val="0"/>
        <w:numPr>
          <w:ilvl w:val="0"/>
          <w:numId w:val="0"/>
        </w:numPr>
        <w:tabs>
          <w:tab w:val="left" w:pos="900"/>
        </w:tabs>
        <w:adjustRightInd w:val="0"/>
        <w:snapToGrid w:val="0"/>
        <w:spacing w:after="0" w:afterLines="0" w:line="360" w:lineRule="auto"/>
        <w:ind w:firstLine="472" w:firstLineChars="196"/>
        <w:rPr>
          <w:rFonts w:ascii="宋体" w:hAnsi="宋体" w:cs="宋体"/>
          <w:b/>
          <w:color w:val="auto"/>
          <w:szCs w:val="24"/>
          <w:highlight w:val="none"/>
        </w:rPr>
      </w:pPr>
      <w:r>
        <w:rPr>
          <w:rFonts w:ascii="宋体" w:hAnsi="宋体" w:cs="宋体"/>
          <w:b/>
          <w:color w:val="auto"/>
          <w:szCs w:val="24"/>
          <w:highlight w:val="none"/>
        </w:rPr>
        <w:t>（六）投标文件的签章</w:t>
      </w:r>
    </w:p>
    <w:p>
      <w:pPr>
        <w:snapToGrid w:val="0"/>
        <w:spacing w:line="360" w:lineRule="auto"/>
        <w:ind w:firstLine="472" w:firstLineChars="197"/>
        <w:jc w:val="left"/>
        <w:rPr>
          <w:rFonts w:ascii="宋体" w:hAnsi="宋体" w:cs="宋体"/>
          <w:color w:val="auto"/>
          <w:sz w:val="24"/>
          <w:highlight w:val="none"/>
        </w:rPr>
      </w:pPr>
      <w:r>
        <w:rPr>
          <w:rFonts w:ascii="宋体" w:hAnsi="宋体" w:cs="宋体"/>
          <w:color w:val="auto"/>
          <w:sz w:val="24"/>
          <w:highlight w:val="none"/>
        </w:rPr>
        <w:t>采用电子签章。</w:t>
      </w:r>
    </w:p>
    <w:p>
      <w:pPr>
        <w:pStyle w:val="9"/>
        <w:widowControl w:val="0"/>
        <w:numPr>
          <w:ilvl w:val="0"/>
          <w:numId w:val="0"/>
        </w:numPr>
        <w:tabs>
          <w:tab w:val="left" w:pos="900"/>
        </w:tabs>
        <w:snapToGrid w:val="0"/>
        <w:spacing w:after="0" w:afterLines="0" w:line="360" w:lineRule="auto"/>
        <w:ind w:firstLine="472" w:firstLineChars="196"/>
        <w:rPr>
          <w:rFonts w:ascii="宋体" w:hAnsi="宋体" w:cs="宋体"/>
          <w:b/>
          <w:color w:val="auto"/>
          <w:szCs w:val="24"/>
          <w:highlight w:val="none"/>
        </w:rPr>
      </w:pPr>
      <w:r>
        <w:rPr>
          <w:rFonts w:ascii="宋体" w:hAnsi="宋体" w:cs="宋体"/>
          <w:b/>
          <w:color w:val="auto"/>
          <w:szCs w:val="24"/>
          <w:highlight w:val="none"/>
        </w:rPr>
        <w:t>（七）投标文件的包装、密封和递交</w:t>
      </w:r>
    </w:p>
    <w:p>
      <w:pPr>
        <w:autoSpaceDE w:val="0"/>
        <w:autoSpaceDN w:val="0"/>
        <w:snapToGrid w:val="0"/>
        <w:spacing w:line="360" w:lineRule="auto"/>
        <w:ind w:firstLine="480" w:firstLineChars="200"/>
        <w:textAlignment w:val="bottom"/>
        <w:rPr>
          <w:rFonts w:ascii="宋体" w:hAnsi="宋体" w:cs="宋体"/>
          <w:color w:val="auto"/>
          <w:sz w:val="24"/>
          <w:highlight w:val="none"/>
          <w:lang w:bidi="ar"/>
        </w:rPr>
      </w:pPr>
      <w:r>
        <w:rPr>
          <w:rFonts w:ascii="宋体" w:hAnsi="宋体" w:cs="宋体"/>
          <w:color w:val="auto"/>
          <w:sz w:val="24"/>
          <w:highlight w:val="none"/>
          <w:lang w:bidi="ar"/>
        </w:rPr>
        <w:t>1.“电子加密投标文件”的递交：在线上传递交。</w:t>
      </w:r>
    </w:p>
    <w:p>
      <w:pPr>
        <w:spacing w:line="360" w:lineRule="auto"/>
        <w:ind w:firstLine="361" w:firstLineChars="150"/>
        <w:rPr>
          <w:rFonts w:ascii="宋体" w:hAnsi="宋体" w:cs="宋体"/>
          <w:b/>
          <w:bCs/>
          <w:color w:val="auto"/>
          <w:sz w:val="24"/>
          <w:highlight w:val="none"/>
          <w:lang w:bidi="ar"/>
        </w:rPr>
      </w:pPr>
      <w:r>
        <w:rPr>
          <w:rFonts w:ascii="宋体" w:hAnsi="宋体" w:cs="宋体"/>
          <w:b/>
          <w:bCs/>
          <w:color w:val="auto"/>
          <w:sz w:val="24"/>
          <w:highlight w:val="none"/>
          <w:lang w:bidi="ar"/>
        </w:rPr>
        <w:t>（1）供应商应在投标截止时间前将“电子加密投标文件”成功上传递交至“政府采购云平台”，否则投标无效。</w:t>
      </w:r>
    </w:p>
    <w:p>
      <w:pPr>
        <w:spacing w:line="360" w:lineRule="auto"/>
        <w:ind w:left="959" w:leftChars="171" w:hanging="600" w:hangingChars="250"/>
        <w:rPr>
          <w:rFonts w:ascii="宋体" w:hAnsi="宋体" w:cs="宋体"/>
          <w:color w:val="auto"/>
          <w:sz w:val="24"/>
          <w:highlight w:val="none"/>
          <w:lang w:bidi="ar"/>
        </w:rPr>
      </w:pPr>
      <w:r>
        <w:rPr>
          <w:rFonts w:ascii="宋体" w:hAnsi="宋体" w:cs="宋体"/>
          <w:color w:val="auto"/>
          <w:sz w:val="24"/>
          <w:highlight w:val="none"/>
          <w:lang w:bidi="ar"/>
        </w:rPr>
        <w:t>（2）“电子加密投标文件”成功上传递交后，供应商可自行打印投标文件接收回执。</w:t>
      </w:r>
    </w:p>
    <w:p>
      <w:pPr>
        <w:spacing w:line="360" w:lineRule="auto"/>
        <w:ind w:firstLine="480" w:firstLineChars="200"/>
        <w:rPr>
          <w:rFonts w:ascii="宋体" w:hAnsi="宋体" w:cs="宋体"/>
          <w:color w:val="auto"/>
          <w:sz w:val="24"/>
          <w:highlight w:val="none"/>
          <w:lang w:bidi="ar"/>
        </w:rPr>
      </w:pPr>
      <w:r>
        <w:rPr>
          <w:rFonts w:ascii="宋体" w:hAnsi="宋体" w:cs="宋体"/>
          <w:color w:val="auto"/>
          <w:sz w:val="24"/>
          <w:highlight w:val="none"/>
          <w:lang w:bidi="ar"/>
        </w:rPr>
        <w:t>2.“电子备份投标文件”的密封、包装和递交：</w:t>
      </w:r>
    </w:p>
    <w:p>
      <w:pPr>
        <w:spacing w:line="360" w:lineRule="auto"/>
        <w:ind w:firstLine="360" w:firstLineChars="150"/>
        <w:rPr>
          <w:rFonts w:ascii="宋体" w:hAnsi="宋体" w:cs="宋体"/>
          <w:color w:val="auto"/>
          <w:sz w:val="24"/>
          <w:highlight w:val="none"/>
          <w:lang w:bidi="ar"/>
        </w:rPr>
      </w:pPr>
      <w:r>
        <w:rPr>
          <w:rFonts w:ascii="宋体" w:hAnsi="宋体" w:cs="宋体"/>
          <w:color w:val="auto"/>
          <w:sz w:val="24"/>
          <w:highlight w:val="none"/>
          <w:lang w:bidi="ar"/>
        </w:rPr>
        <w:t>（1）供应商可自主选择是否递交“电子备份投标文件”。</w:t>
      </w:r>
    </w:p>
    <w:p>
      <w:pPr>
        <w:spacing w:line="360" w:lineRule="auto"/>
        <w:ind w:firstLine="360" w:firstLineChars="150"/>
        <w:rPr>
          <w:rFonts w:ascii="宋体" w:hAnsi="宋体" w:cs="宋体"/>
          <w:color w:val="auto"/>
          <w:sz w:val="24"/>
          <w:highlight w:val="none"/>
          <w:lang w:bidi="ar"/>
        </w:rPr>
      </w:pPr>
      <w:r>
        <w:rPr>
          <w:rFonts w:ascii="宋体" w:hAnsi="宋体" w:cs="宋体"/>
          <w:color w:val="auto"/>
          <w:sz w:val="24"/>
          <w:highlight w:val="none"/>
          <w:lang w:bidi="ar"/>
        </w:rPr>
        <w:t>（2）“电子备份投标文件”存入U盘（一份）。</w:t>
      </w:r>
    </w:p>
    <w:p>
      <w:pPr>
        <w:autoSpaceDE w:val="0"/>
        <w:autoSpaceDN w:val="0"/>
        <w:snapToGrid w:val="0"/>
        <w:spacing w:line="360" w:lineRule="auto"/>
        <w:ind w:firstLine="360" w:firstLineChars="150"/>
        <w:textAlignment w:val="bottom"/>
        <w:rPr>
          <w:rFonts w:ascii="宋体" w:hAnsi="宋体" w:cs="宋体"/>
          <w:color w:val="auto"/>
          <w:sz w:val="24"/>
          <w:highlight w:val="none"/>
          <w:lang w:bidi="ar"/>
        </w:rPr>
      </w:pPr>
      <w:r>
        <w:rPr>
          <w:rFonts w:ascii="宋体" w:hAnsi="宋体" w:cs="宋体"/>
          <w:color w:val="auto"/>
          <w:sz w:val="24"/>
          <w:highlight w:val="none"/>
          <w:lang w:bidi="ar"/>
        </w:rPr>
        <w:t>（3）“电子备份投标文件” 应当在投标截止时间前以邮寄或送达方式递交。</w:t>
      </w:r>
    </w:p>
    <w:p>
      <w:pPr>
        <w:snapToGrid w:val="0"/>
        <w:spacing w:line="360" w:lineRule="auto"/>
        <w:ind w:firstLine="352" w:firstLineChars="147"/>
        <w:jc w:val="left"/>
        <w:rPr>
          <w:rFonts w:ascii="宋体" w:hAnsi="宋体" w:cs="宋体"/>
          <w:b/>
          <w:color w:val="auto"/>
          <w:sz w:val="24"/>
          <w:highlight w:val="none"/>
        </w:rPr>
      </w:pPr>
      <w:r>
        <w:rPr>
          <w:rFonts w:ascii="宋体" w:hAnsi="宋体" w:cs="宋体"/>
          <w:color w:val="auto"/>
          <w:sz w:val="24"/>
          <w:highlight w:val="none"/>
          <w:lang w:bidi="ar"/>
        </w:rPr>
        <w:t>（4）“电子备投标应文件”应当密封包装，</w:t>
      </w:r>
      <w:r>
        <w:rPr>
          <w:rFonts w:ascii="宋体" w:hAnsi="宋体" w:cs="宋体"/>
          <w:color w:val="auto"/>
          <w:sz w:val="24"/>
          <w:highlight w:val="none"/>
        </w:rPr>
        <w:t>并在包装上标注投标项目编号、项目名称、投标单位名称等并加盖公章（详见第六章投标文件格式）。没有密封包装或者逾期送达至指定地点的“电子备份投标文件”将不予接收。</w:t>
      </w:r>
    </w:p>
    <w:p>
      <w:pPr>
        <w:snapToGrid w:val="0"/>
        <w:spacing w:line="360" w:lineRule="auto"/>
        <w:ind w:firstLine="354" w:firstLineChars="147"/>
        <w:jc w:val="left"/>
        <w:rPr>
          <w:rFonts w:ascii="宋体" w:hAnsi="宋体" w:cs="宋体"/>
          <w:b/>
          <w:color w:val="auto"/>
          <w:sz w:val="24"/>
          <w:highlight w:val="none"/>
        </w:rPr>
      </w:pPr>
      <w:r>
        <w:rPr>
          <w:rFonts w:ascii="宋体" w:hAnsi="宋体" w:cs="宋体"/>
          <w:b/>
          <w:color w:val="auto"/>
          <w:sz w:val="24"/>
          <w:highlight w:val="none"/>
        </w:rPr>
        <w:t>（八）投标文件的修改和撤回</w:t>
      </w:r>
    </w:p>
    <w:p>
      <w:pPr>
        <w:autoSpaceDE w:val="0"/>
        <w:autoSpaceDN w:val="0"/>
        <w:snapToGrid w:val="0"/>
        <w:spacing w:line="360" w:lineRule="auto"/>
        <w:ind w:left="479" w:leftChars="228"/>
        <w:textAlignment w:val="bottom"/>
        <w:rPr>
          <w:rFonts w:ascii="宋体" w:hAnsi="宋体" w:cs="宋体"/>
          <w:color w:val="auto"/>
          <w:sz w:val="24"/>
          <w:highlight w:val="none"/>
          <w:lang w:bidi="ar"/>
        </w:rPr>
      </w:pPr>
      <w:r>
        <w:rPr>
          <w:rFonts w:ascii="宋体" w:hAnsi="宋体" w:cs="宋体"/>
          <w:color w:val="auto"/>
          <w:sz w:val="24"/>
          <w:highlight w:val="none"/>
          <w:lang w:bidi="ar"/>
        </w:rPr>
        <w:t>1.投标人在投标截止时间前可以补充、修改或者撤回投标文件。</w:t>
      </w:r>
    </w:p>
    <w:p>
      <w:pPr>
        <w:autoSpaceDE w:val="0"/>
        <w:autoSpaceDN w:val="0"/>
        <w:snapToGrid w:val="0"/>
        <w:spacing w:line="360" w:lineRule="auto"/>
        <w:ind w:firstLine="480" w:firstLineChars="200"/>
        <w:textAlignment w:val="bottom"/>
        <w:rPr>
          <w:rFonts w:ascii="宋体" w:hAnsi="宋体" w:cs="宋体"/>
          <w:color w:val="auto"/>
          <w:sz w:val="24"/>
          <w:highlight w:val="none"/>
          <w:lang w:bidi="ar"/>
        </w:rPr>
      </w:pPr>
      <w:r>
        <w:rPr>
          <w:rFonts w:ascii="宋体" w:hAnsi="宋体" w:cs="宋体"/>
          <w:color w:val="auto"/>
          <w:sz w:val="24"/>
          <w:highlight w:val="none"/>
          <w:lang w:bidi="ar"/>
        </w:rPr>
        <w:t>2.补充或者修改投标文件的，应当先行撤回原投标文件，补充、修改后重新上传递交。</w:t>
      </w:r>
    </w:p>
    <w:p>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lang w:bidi="ar"/>
        </w:rPr>
        <w:t>3.投标截止时间前未完成上传的，视为撤回投标文件。</w:t>
      </w:r>
    </w:p>
    <w:p>
      <w:pPr>
        <w:pStyle w:val="17"/>
        <w:snapToGrid w:val="0"/>
        <w:spacing w:line="360" w:lineRule="auto"/>
        <w:ind w:firstLine="0"/>
        <w:outlineLvl w:val="1"/>
        <w:rPr>
          <w:rFonts w:hAnsi="宋体" w:cs="宋体"/>
          <w:b/>
          <w:snapToGrid w:val="0"/>
          <w:color w:val="auto"/>
          <w:sz w:val="28"/>
          <w:szCs w:val="28"/>
          <w:highlight w:val="none"/>
        </w:rPr>
      </w:pPr>
      <w:r>
        <w:rPr>
          <w:rFonts w:hAnsi="宋体" w:cs="宋体"/>
          <w:b/>
          <w:color w:val="auto"/>
          <w:sz w:val="28"/>
          <w:szCs w:val="28"/>
          <w:highlight w:val="none"/>
        </w:rPr>
        <w:t>四、开标</w:t>
      </w:r>
    </w:p>
    <w:p>
      <w:pPr>
        <w:pStyle w:val="5"/>
        <w:spacing w:before="0" w:after="0" w:line="360" w:lineRule="auto"/>
        <w:ind w:left="716" w:leftChars="171" w:hanging="357" w:hangingChars="148"/>
        <w:rPr>
          <w:rFonts w:ascii="宋体" w:hAnsi="宋体" w:cs="宋体"/>
          <w:color w:val="auto"/>
          <w:sz w:val="24"/>
          <w:szCs w:val="24"/>
          <w:highlight w:val="none"/>
        </w:rPr>
      </w:pPr>
      <w:r>
        <w:rPr>
          <w:rFonts w:ascii="宋体" w:hAnsi="宋体" w:cs="宋体"/>
          <w:color w:val="auto"/>
          <w:sz w:val="24"/>
          <w:szCs w:val="24"/>
          <w:highlight w:val="none"/>
        </w:rPr>
        <w:t>（一）开标形式</w:t>
      </w:r>
    </w:p>
    <w:p>
      <w:pPr>
        <w:spacing w:line="360" w:lineRule="auto"/>
        <w:ind w:firstLine="424" w:firstLineChars="177"/>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bidi="ar"/>
        </w:rPr>
        <w:t>采购组织机构（即代理机构）</w:t>
      </w:r>
      <w:r>
        <w:rPr>
          <w:rFonts w:ascii="宋体" w:hAnsi="宋体" w:cs="宋体"/>
          <w:color w:val="auto"/>
          <w:sz w:val="24"/>
          <w:highlight w:val="none"/>
        </w:rPr>
        <w:t>将按照招标文件规定的时间通过“政府采购云平台”组织在线开标，所有投标供应商均应当准时在线参加。</w:t>
      </w:r>
    </w:p>
    <w:p>
      <w:pPr>
        <w:pStyle w:val="5"/>
        <w:spacing w:before="0" w:after="0" w:line="360" w:lineRule="auto"/>
        <w:ind w:left="716" w:leftChars="171" w:hanging="357" w:hangingChars="148"/>
        <w:rPr>
          <w:rFonts w:ascii="宋体" w:hAnsi="宋体" w:cs="宋体"/>
          <w:color w:val="auto"/>
          <w:sz w:val="24"/>
          <w:szCs w:val="24"/>
          <w:highlight w:val="none"/>
        </w:rPr>
      </w:pPr>
      <w:r>
        <w:rPr>
          <w:rFonts w:ascii="宋体" w:hAnsi="宋体" w:cs="宋体"/>
          <w:color w:val="auto"/>
          <w:sz w:val="24"/>
          <w:szCs w:val="24"/>
          <w:highlight w:val="none"/>
        </w:rPr>
        <w:t>（二）开标准备</w:t>
      </w:r>
    </w:p>
    <w:p>
      <w:pPr>
        <w:spacing w:line="360" w:lineRule="auto"/>
        <w:ind w:firstLine="422" w:firstLineChars="176"/>
        <w:rPr>
          <w:rFonts w:ascii="宋体" w:hAnsi="宋体" w:cs="宋体"/>
          <w:color w:val="auto"/>
          <w:kern w:val="0"/>
          <w:sz w:val="24"/>
          <w:highlight w:val="none"/>
        </w:rPr>
      </w:pPr>
      <w:r>
        <w:rPr>
          <w:rFonts w:ascii="宋体" w:hAnsi="宋体" w:cs="宋体"/>
          <w:color w:val="auto"/>
          <w:kern w:val="0"/>
          <w:sz w:val="24"/>
          <w:highlight w:val="none"/>
        </w:rPr>
        <w:t>1.开标的准备工作由</w:t>
      </w:r>
      <w:r>
        <w:rPr>
          <w:rFonts w:ascii="宋体" w:hAnsi="宋体" w:cs="宋体"/>
          <w:color w:val="auto"/>
          <w:sz w:val="24"/>
          <w:highlight w:val="none"/>
          <w:lang w:bidi="ar"/>
        </w:rPr>
        <w:t>采购组织机构</w:t>
      </w:r>
      <w:r>
        <w:rPr>
          <w:rFonts w:ascii="宋体" w:hAnsi="宋体" w:cs="宋体"/>
          <w:color w:val="auto"/>
          <w:kern w:val="0"/>
          <w:sz w:val="24"/>
          <w:highlight w:val="none"/>
        </w:rPr>
        <w:t>负责落实。</w:t>
      </w:r>
    </w:p>
    <w:p>
      <w:pPr>
        <w:spacing w:line="360" w:lineRule="auto"/>
        <w:ind w:firstLine="422" w:firstLineChars="176"/>
        <w:rPr>
          <w:rFonts w:ascii="宋体" w:hAnsi="宋体" w:cs="宋体"/>
          <w:color w:val="auto"/>
          <w:kern w:val="0"/>
          <w:sz w:val="24"/>
          <w:highlight w:val="none"/>
        </w:rPr>
      </w:pPr>
      <w:r>
        <w:rPr>
          <w:rFonts w:ascii="宋体" w:hAnsi="宋体" w:cs="宋体"/>
          <w:color w:val="auto"/>
          <w:kern w:val="0"/>
          <w:sz w:val="24"/>
          <w:highlight w:val="none"/>
        </w:rPr>
        <w:t>2.</w:t>
      </w:r>
      <w:r>
        <w:rPr>
          <w:rFonts w:ascii="宋体" w:hAnsi="宋体" w:cs="宋体"/>
          <w:color w:val="auto"/>
          <w:sz w:val="24"/>
          <w:highlight w:val="none"/>
          <w:lang w:bidi="ar"/>
        </w:rPr>
        <w:t>采购组织机构</w:t>
      </w:r>
      <w:r>
        <w:rPr>
          <w:rFonts w:ascii="宋体" w:hAnsi="宋体" w:cs="宋体"/>
          <w:color w:val="auto"/>
          <w:sz w:val="24"/>
          <w:highlight w:val="none"/>
        </w:rPr>
        <w:t>将按照招标文件规定的时间通过“政府采购云平台”组织开标，所有投标供应商均应当准时在线参加。</w:t>
      </w:r>
      <w:r>
        <w:rPr>
          <w:rFonts w:ascii="宋体" w:hAnsi="宋体" w:cs="宋体"/>
          <w:color w:val="auto"/>
          <w:kern w:val="0"/>
          <w:sz w:val="24"/>
          <w:highlight w:val="none"/>
        </w:rPr>
        <w:t>投标供应商自行承担因不参加在线开标而产生的不利后果。</w:t>
      </w:r>
    </w:p>
    <w:p>
      <w:pPr>
        <w:pStyle w:val="5"/>
        <w:spacing w:before="0" w:after="0" w:line="360" w:lineRule="auto"/>
        <w:ind w:left="716" w:leftChars="171" w:hanging="357" w:hangingChars="148"/>
        <w:rPr>
          <w:rFonts w:ascii="宋体" w:hAnsi="宋体" w:cs="宋体"/>
          <w:color w:val="auto"/>
          <w:sz w:val="24"/>
          <w:szCs w:val="24"/>
          <w:highlight w:val="none"/>
        </w:rPr>
      </w:pPr>
      <w:r>
        <w:rPr>
          <w:rFonts w:ascii="宋体" w:hAnsi="宋体" w:cs="宋体"/>
          <w:color w:val="auto"/>
          <w:sz w:val="24"/>
          <w:szCs w:val="24"/>
          <w:highlight w:val="none"/>
        </w:rPr>
        <w:t>（三）开标流程</w:t>
      </w:r>
    </w:p>
    <w:p>
      <w:pPr>
        <w:spacing w:line="360" w:lineRule="auto"/>
        <w:ind w:firstLine="426" w:firstLineChars="177"/>
        <w:jc w:val="left"/>
        <w:rPr>
          <w:rFonts w:ascii="宋体" w:hAnsi="宋体" w:cs="宋体"/>
          <w:b/>
          <w:color w:val="auto"/>
          <w:kern w:val="0"/>
          <w:sz w:val="24"/>
          <w:highlight w:val="none"/>
        </w:rPr>
      </w:pPr>
      <w:r>
        <w:rPr>
          <w:rFonts w:ascii="宋体" w:hAnsi="宋体" w:cs="宋体"/>
          <w:b/>
          <w:color w:val="auto"/>
          <w:kern w:val="0"/>
          <w:sz w:val="24"/>
          <w:highlight w:val="none"/>
        </w:rPr>
        <w:t>1.开标第一阶段</w:t>
      </w:r>
    </w:p>
    <w:p>
      <w:pPr>
        <w:spacing w:line="360" w:lineRule="auto"/>
        <w:ind w:firstLine="424" w:firstLineChars="177"/>
        <w:jc w:val="left"/>
        <w:rPr>
          <w:rFonts w:ascii="宋体" w:hAnsi="宋体" w:cs="宋体"/>
          <w:color w:val="auto"/>
          <w:kern w:val="0"/>
          <w:sz w:val="24"/>
          <w:highlight w:val="none"/>
        </w:rPr>
      </w:pPr>
      <w:r>
        <w:rPr>
          <w:rFonts w:ascii="宋体" w:hAnsi="宋体" w:cs="宋体"/>
          <w:color w:val="auto"/>
          <w:kern w:val="0"/>
          <w:sz w:val="24"/>
          <w:highlight w:val="none"/>
        </w:rPr>
        <w:t>（1）向各投标供应商发出电子加密投标文件【开始解密】通知，</w:t>
      </w:r>
      <w:r>
        <w:rPr>
          <w:rFonts w:ascii="宋体" w:hAnsi="宋体" w:cs="宋体"/>
          <w:color w:val="auto"/>
          <w:sz w:val="24"/>
          <w:highlight w:val="none"/>
          <w:lang w:bidi="ar"/>
        </w:rPr>
        <w:t>各投标供应商代表应当在接到解密通知后</w:t>
      </w:r>
      <w:r>
        <w:rPr>
          <w:rFonts w:ascii="宋体" w:hAnsi="宋体" w:cs="宋体"/>
          <w:i w:val="0"/>
          <w:iCs/>
          <w:color w:val="auto"/>
          <w:sz w:val="24"/>
          <w:highlight w:val="none"/>
          <w:u w:val="single"/>
          <w:lang w:bidi="ar"/>
        </w:rPr>
        <w:t>30</w:t>
      </w:r>
      <w:r>
        <w:rPr>
          <w:rFonts w:ascii="宋体" w:hAnsi="宋体" w:cs="宋体"/>
          <w:color w:val="auto"/>
          <w:sz w:val="24"/>
          <w:highlight w:val="none"/>
          <w:lang w:bidi="ar"/>
        </w:rPr>
        <w:t>分钟内自行完成“电子加密投标文件”的在线解密。</w:t>
      </w:r>
      <w:r>
        <w:rPr>
          <w:rFonts w:ascii="宋体" w:hAnsi="宋体" w:cs="宋体"/>
          <w:color w:val="auto"/>
          <w:kern w:val="0"/>
          <w:sz w:val="24"/>
          <w:highlight w:val="none"/>
        </w:rPr>
        <w:t>投标供应商在规定的时间内无法完成“电子加密投标文件”解密的，</w:t>
      </w:r>
      <w:r>
        <w:rPr>
          <w:rFonts w:ascii="宋体" w:hAnsi="宋体" w:cs="宋体"/>
          <w:color w:val="auto"/>
          <w:sz w:val="24"/>
          <w:highlight w:val="none"/>
          <w:lang w:bidi="ar"/>
        </w:rPr>
        <w:t>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pacing w:line="360" w:lineRule="auto"/>
        <w:ind w:firstLine="424" w:firstLineChars="177"/>
        <w:jc w:val="left"/>
        <w:rPr>
          <w:rFonts w:ascii="宋体" w:hAnsi="宋体" w:cs="宋体"/>
          <w:color w:val="auto"/>
          <w:kern w:val="0"/>
          <w:sz w:val="24"/>
          <w:highlight w:val="none"/>
        </w:rPr>
      </w:pPr>
      <w:r>
        <w:rPr>
          <w:rFonts w:ascii="宋体" w:hAnsi="宋体" w:cs="宋体"/>
          <w:color w:val="auto"/>
          <w:kern w:val="0"/>
          <w:sz w:val="24"/>
          <w:highlight w:val="none"/>
        </w:rPr>
        <w:t>（2）开启</w:t>
      </w:r>
      <w:r>
        <w:rPr>
          <w:rFonts w:ascii="宋体" w:hAnsi="宋体" w:cs="宋体"/>
          <w:color w:val="auto"/>
          <w:sz w:val="24"/>
          <w:highlight w:val="none"/>
        </w:rPr>
        <w:t>资格证明文件、商务技术文件</w:t>
      </w:r>
      <w:r>
        <w:rPr>
          <w:rFonts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jc w:val="left"/>
        <w:textAlignment w:val="auto"/>
        <w:rPr>
          <w:rFonts w:ascii="宋体" w:hAnsi="宋体" w:cs="宋体"/>
          <w:color w:val="auto"/>
          <w:kern w:val="0"/>
          <w:sz w:val="24"/>
          <w:highlight w:val="none"/>
        </w:rPr>
      </w:pPr>
      <w:r>
        <w:rPr>
          <w:rFonts w:ascii="宋体" w:hAnsi="宋体" w:cs="宋体"/>
          <w:color w:val="auto"/>
          <w:kern w:val="0"/>
          <w:sz w:val="24"/>
          <w:highlight w:val="none"/>
        </w:rPr>
        <w:t>（3）进行资格审查。对通过资格审查的投标供应商进行符合性审查、商务技术评审。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6" w:firstLineChars="177"/>
        <w:jc w:val="left"/>
        <w:textAlignment w:val="auto"/>
        <w:rPr>
          <w:rFonts w:ascii="宋体" w:hAnsi="宋体" w:cs="宋体"/>
          <w:b/>
          <w:color w:val="auto"/>
          <w:kern w:val="0"/>
          <w:sz w:val="24"/>
          <w:highlight w:val="none"/>
        </w:rPr>
      </w:pPr>
      <w:r>
        <w:rPr>
          <w:rFonts w:ascii="宋体" w:hAnsi="宋体" w:cs="宋体"/>
          <w:b/>
          <w:color w:val="auto"/>
          <w:kern w:val="0"/>
          <w:sz w:val="24"/>
          <w:highlight w:val="none"/>
        </w:rPr>
        <w:t>2.开标第二阶段</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jc w:val="left"/>
        <w:textAlignment w:val="auto"/>
        <w:rPr>
          <w:rFonts w:ascii="宋体" w:hAnsi="宋体" w:cs="宋体"/>
          <w:color w:val="auto"/>
          <w:kern w:val="0"/>
          <w:sz w:val="24"/>
          <w:highlight w:val="none"/>
        </w:rPr>
      </w:pPr>
      <w:r>
        <w:rPr>
          <w:rFonts w:ascii="宋体" w:hAnsi="宋体" w:cs="宋体"/>
          <w:color w:val="auto"/>
          <w:kern w:val="0"/>
          <w:sz w:val="24"/>
          <w:highlight w:val="none"/>
        </w:rPr>
        <w:t>（1）资格审查、符合性审查、商务技术评审结束后，进入开标第二阶段。</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jc w:val="left"/>
        <w:textAlignment w:val="auto"/>
        <w:rPr>
          <w:rFonts w:ascii="宋体" w:hAnsi="宋体" w:cs="宋体"/>
          <w:color w:val="auto"/>
          <w:kern w:val="0"/>
          <w:sz w:val="24"/>
          <w:highlight w:val="none"/>
        </w:rPr>
      </w:pPr>
      <w:r>
        <w:rPr>
          <w:rFonts w:ascii="宋体" w:hAnsi="宋体" w:cs="宋体"/>
          <w:color w:val="auto"/>
          <w:kern w:val="0"/>
          <w:sz w:val="24"/>
          <w:highlight w:val="none"/>
        </w:rPr>
        <w:t>（2）通过</w:t>
      </w:r>
      <w:r>
        <w:rPr>
          <w:rFonts w:ascii="宋体" w:hAnsi="宋体" w:cs="宋体"/>
          <w:color w:val="auto"/>
          <w:sz w:val="24"/>
          <w:highlight w:val="none"/>
        </w:rPr>
        <w:t>电子交易平台</w:t>
      </w:r>
      <w:r>
        <w:rPr>
          <w:rFonts w:ascii="宋体" w:hAnsi="宋体" w:cs="宋体"/>
          <w:color w:val="auto"/>
          <w:kern w:val="0"/>
          <w:sz w:val="24"/>
          <w:highlight w:val="none"/>
        </w:rPr>
        <w:t>公布无效供应商名单及导致无效的原因；公布有效供应商的名单及其商务得分、技术得分。</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（3）开启有效供应商的《报价文件》，系统形成开标记录。</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177"/>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（4）价格评审。价格评审结束后，通过电子交易平台公布中标候选供应商名单。</w:t>
      </w:r>
    </w:p>
    <w:p>
      <w:pPr>
        <w:pStyle w:val="17"/>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pPr>
      <w:r>
        <w:rPr>
          <w:rFonts w:hint="eastAsia" w:ascii="Times New Roman" w:hAnsi="Times New Roman" w:eastAsia="宋体" w:cs="Times New Roman"/>
          <w:b/>
          <w:bCs/>
          <w:color w:val="auto"/>
          <w:spacing w:val="0"/>
          <w:kern w:val="0"/>
          <w:sz w:val="24"/>
          <w:szCs w:val="20"/>
          <w:highlight w:val="none"/>
          <w:lang w:val="en-US" w:eastAsia="zh-CN" w:bidi="ar-SA"/>
        </w:rPr>
        <w:t>特别说明：如遇“政府采购云平台”电子化开标程序调整的，按调整后程序执行。</w:t>
      </w:r>
    </w:p>
    <w:p>
      <w:pPr>
        <w:pStyle w:val="2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outlineLvl w:val="1"/>
        <w:rPr>
          <w:rFonts w:hAnsi="宋体" w:cs="宋体"/>
          <w:b/>
          <w:color w:val="auto"/>
          <w:sz w:val="28"/>
          <w:szCs w:val="28"/>
          <w:highlight w:val="none"/>
        </w:rPr>
      </w:pPr>
      <w:r>
        <w:rPr>
          <w:rFonts w:hAnsi="宋体" w:cs="宋体"/>
          <w:b/>
          <w:color w:val="auto"/>
          <w:sz w:val="28"/>
          <w:szCs w:val="28"/>
          <w:highlight w:val="none"/>
        </w:rPr>
        <w:t>五、评标</w:t>
      </w:r>
    </w:p>
    <w:p>
      <w:pPr>
        <w:pStyle w:val="2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720" w:leftChars="228" w:hanging="241" w:hangingChars="100"/>
        <w:textAlignment w:val="auto"/>
        <w:rPr>
          <w:rFonts w:hAnsi="宋体" w:cs="宋体"/>
          <w:b/>
          <w:color w:val="auto"/>
          <w:highlight w:val="none"/>
        </w:rPr>
      </w:pPr>
      <w:r>
        <w:rPr>
          <w:rFonts w:hAnsi="宋体" w:cs="宋体"/>
          <w:b/>
          <w:color w:val="auto"/>
          <w:highlight w:val="none"/>
        </w:rPr>
        <w:t>（一）组建评标委员会（评审小组）</w:t>
      </w:r>
    </w:p>
    <w:p>
      <w:pPr>
        <w:pStyle w:val="22"/>
        <w:snapToGrid w:val="0"/>
        <w:spacing w:before="0" w:beforeLines="0" w:after="0" w:afterLines="0" w:line="360" w:lineRule="auto"/>
        <w:ind w:firstLine="480" w:firstLineChars="200"/>
        <w:rPr>
          <w:rFonts w:hAnsi="宋体" w:cs="宋体"/>
          <w:color w:val="auto"/>
          <w:highlight w:val="none"/>
        </w:rPr>
      </w:pPr>
      <w:r>
        <w:rPr>
          <w:rFonts w:hAnsi="宋体" w:cs="宋体"/>
          <w:color w:val="auto"/>
          <w:kern w:val="0"/>
          <w:highlight w:val="none"/>
        </w:rPr>
        <w:t>评标委员会由</w:t>
      </w:r>
      <w:r>
        <w:rPr>
          <w:rFonts w:hint="eastAsia" w:hAnsi="宋体" w:cs="宋体"/>
          <w:color w:val="auto"/>
          <w:kern w:val="0"/>
          <w:highlight w:val="none"/>
          <w:lang w:eastAsia="zh-CN"/>
        </w:rPr>
        <w:t>采购人</w:t>
      </w:r>
      <w:r>
        <w:rPr>
          <w:rFonts w:hAnsi="宋体" w:cs="宋体"/>
          <w:color w:val="auto"/>
          <w:kern w:val="0"/>
          <w:highlight w:val="none"/>
        </w:rPr>
        <w:t>代表和有关技术、经济等方面的专家组成，成员人数应当为五人以上单数。其中，技术、经济等方面的专家不得少于成员总数的三分之二。</w:t>
      </w:r>
    </w:p>
    <w:p>
      <w:pPr>
        <w:pStyle w:val="22"/>
        <w:snapToGrid w:val="0"/>
        <w:spacing w:before="0" w:beforeLines="0" w:after="0" w:afterLines="0" w:line="360" w:lineRule="auto"/>
        <w:ind w:left="720" w:leftChars="228" w:hanging="241" w:hangingChars="100"/>
        <w:rPr>
          <w:rFonts w:hAnsi="宋体" w:cs="宋体"/>
          <w:b/>
          <w:color w:val="auto"/>
          <w:highlight w:val="none"/>
        </w:rPr>
      </w:pPr>
      <w:r>
        <w:rPr>
          <w:rFonts w:hAnsi="宋体" w:cs="宋体"/>
          <w:b/>
          <w:color w:val="auto"/>
          <w:highlight w:val="none"/>
        </w:rPr>
        <w:t>（二）评标程序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1.在评审专家中推选评审小组组长。</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采购人</w:t>
      </w:r>
      <w:r>
        <w:rPr>
          <w:rFonts w:ascii="宋体" w:hAnsi="宋体" w:cs="宋体"/>
          <w:color w:val="auto"/>
          <w:sz w:val="24"/>
          <w:highlight w:val="none"/>
        </w:rPr>
        <w:t>或者采购代理机构对各投标人的资格进行审查，投标人资格条件不符合招标文件要求的投标无效，不再进入符合性审查。</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4.评审小组对各投标文件的符合性进行审查，确定是否对招标文件作出了实质性响应。实质上没有响应招标文件要求的投标将被视为无效投标，不再进入下一阶段的评审。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5.评审人员按招标文件规定的评审方法和评审标准，依法独立对供应商投标文件进行评估、比较，并给予评价或打分，不受任何单位和个人的干预。</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6.各投标人的得分为所有评委的有效评分的算术平均数，由指定专人进行计算复核。</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7.评标委员会完成评标后，评委对各部分得分汇总，计算出本项目最终得分。评标委员会按评标原则推荐中标候选人，同时起草评标报告。</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8.实质上响应招标文件要求的投标人不足三家的，除财政部门另有规定外，应当作废标处理。</w:t>
      </w:r>
    </w:p>
    <w:p>
      <w:pPr>
        <w:snapToGrid w:val="0"/>
        <w:spacing w:line="360" w:lineRule="auto"/>
        <w:ind w:firstLine="482" w:firstLineChars="200"/>
        <w:rPr>
          <w:rFonts w:ascii="宋体" w:hAnsi="宋体" w:cs="宋体"/>
          <w:b/>
          <w:color w:val="auto"/>
          <w:sz w:val="24"/>
          <w:highlight w:val="none"/>
        </w:rPr>
      </w:pPr>
      <w:r>
        <w:rPr>
          <w:rFonts w:ascii="宋体" w:hAnsi="宋体" w:cs="宋体"/>
          <w:b/>
          <w:color w:val="auto"/>
          <w:sz w:val="24"/>
          <w:highlight w:val="none"/>
        </w:rPr>
        <w:t>（三）澄清问题的形式</w:t>
      </w:r>
    </w:p>
    <w:p>
      <w:pPr>
        <w:pageBreakBefore w:val="0"/>
        <w:kinsoku/>
        <w:wordWrap/>
        <w:overflowPunct/>
        <w:topLinePunct w:val="0"/>
        <w:autoSpaceDE w:val="0"/>
        <w:autoSpaceDN w:val="0"/>
        <w:bidi w:val="0"/>
        <w:adjustRightInd w:val="0"/>
        <w:snapToGrid w:val="0"/>
        <w:spacing w:line="360" w:lineRule="auto"/>
        <w:ind w:firstLine="480" w:firstLineChars="200"/>
        <w:jc w:val="left"/>
        <w:rPr>
          <w:rFonts w:hint="default"/>
          <w:color w:val="auto"/>
          <w:sz w:val="24"/>
          <w:highlight w:val="none"/>
        </w:rPr>
      </w:pPr>
      <w:r>
        <w:rPr>
          <w:rFonts w:hint="default"/>
          <w:color w:val="auto"/>
          <w:sz w:val="24"/>
          <w:highlight w:val="none"/>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pPr>
        <w:pageBreakBefore w:val="0"/>
        <w:kinsoku/>
        <w:wordWrap/>
        <w:overflowPunct/>
        <w:topLinePunct w:val="0"/>
        <w:bidi w:val="0"/>
        <w:adjustRightInd w:val="0"/>
        <w:snapToGrid w:val="0"/>
        <w:spacing w:line="360" w:lineRule="auto"/>
        <w:ind w:firstLine="480" w:firstLineChars="200"/>
        <w:rPr>
          <w:rFonts w:hint="default"/>
          <w:color w:val="auto"/>
          <w:sz w:val="24"/>
          <w:highlight w:val="none"/>
        </w:rPr>
      </w:pPr>
      <w:r>
        <w:rPr>
          <w:rFonts w:hint="default"/>
          <w:color w:val="auto"/>
          <w:sz w:val="24"/>
          <w:highlight w:val="none"/>
        </w:rPr>
        <w:t>评标委员会发出澄清内容后，供应商应当在</w:t>
      </w:r>
      <w:r>
        <w:rPr>
          <w:rFonts w:hint="default"/>
          <w:iCs/>
          <w:color w:val="auto"/>
          <w:sz w:val="24"/>
          <w:highlight w:val="none"/>
          <w:u w:val="single"/>
        </w:rPr>
        <w:t>30</w:t>
      </w:r>
      <w:r>
        <w:rPr>
          <w:rFonts w:hint="default"/>
          <w:color w:val="auto"/>
          <w:sz w:val="24"/>
          <w:highlight w:val="none"/>
        </w:rPr>
        <w:t>分钟内提交澄清说明或补正，否则视为供应商放弃答复，并</w:t>
      </w:r>
      <w:r>
        <w:rPr>
          <w:rFonts w:hint="default"/>
          <w:color w:val="auto"/>
          <w:kern w:val="0"/>
          <w:sz w:val="24"/>
          <w:highlight w:val="none"/>
        </w:rPr>
        <w:t>自行承担因此而产生的不利后果。</w:t>
      </w:r>
      <w:r>
        <w:rPr>
          <w:rFonts w:hint="default"/>
          <w:color w:val="auto"/>
          <w:sz w:val="24"/>
          <w:highlight w:val="none"/>
        </w:rPr>
        <w:t>澄清、说明或者补正不得超出投标文件的范围或者改变投标文件的实质性内容。</w:t>
      </w:r>
    </w:p>
    <w:p>
      <w:pPr>
        <w:pageBreakBefore w:val="0"/>
        <w:kinsoku/>
        <w:wordWrap/>
        <w:overflowPunct/>
        <w:topLinePunct w:val="0"/>
        <w:autoSpaceDE w:val="0"/>
        <w:autoSpaceDN w:val="0"/>
        <w:bidi w:val="0"/>
        <w:adjustRightInd w:val="0"/>
        <w:snapToGrid w:val="0"/>
        <w:spacing w:line="360" w:lineRule="auto"/>
        <w:ind w:firstLine="482" w:firstLineChars="200"/>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合理报价澄清说明</w:t>
      </w:r>
      <w:r>
        <w:rPr>
          <w:rFonts w:hint="eastAsia" w:ascii="Times New Roman" w:hAnsi="Times New Roman" w:eastAsia="宋体"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评标委员会认为供应商的报价明显低于其他通过符合性审查供应商的报价，有可能影响产品质量或者不能诚信履约的，应当要求其在30分钟内提供书面说明，必要时提交相关证</w:t>
      </w:r>
      <w:r>
        <w:rPr>
          <w:rFonts w:hint="default" w:ascii="Times New Roman" w:hAnsi="Times New Roman" w:eastAsia="宋体" w:cs="Times New Roman"/>
          <w:b/>
          <w:bCs/>
          <w:color w:val="auto"/>
          <w:sz w:val="24"/>
          <w:highlight w:val="none"/>
        </w:rPr>
        <w:t>明材料；供应商不能证明其报价合理性的，评标委员会应当将其作为无效投标处理。</w:t>
      </w:r>
    </w:p>
    <w:p>
      <w:pPr>
        <w:pStyle w:val="22"/>
        <w:snapToGrid w:val="0"/>
        <w:spacing w:before="0" w:beforeLines="0" w:after="0" w:afterLines="0" w:line="360" w:lineRule="auto"/>
        <w:ind w:left="720" w:leftChars="228" w:hanging="241" w:hangingChars="100"/>
        <w:rPr>
          <w:rFonts w:hAnsi="宋体" w:cs="宋体"/>
          <w:b/>
          <w:color w:val="auto"/>
          <w:highlight w:val="none"/>
        </w:rPr>
      </w:pPr>
      <w:r>
        <w:rPr>
          <w:rFonts w:hAnsi="宋体" w:cs="宋体"/>
          <w:b/>
          <w:color w:val="auto"/>
          <w:highlight w:val="none"/>
        </w:rPr>
        <w:t>（四）错误修正</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投标文件如果出现计算或表达上的错误，修正错误的原则如下：</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1.电子交易平台生成的开标记录表内容与投标文件中相应内容不一致的，以电子交易平台生成的开标记录表为准（出现万元或元单位错误时，则以投标人澄清确认后的合理报价为准）；</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2.大写金额和小写金额不一致的，以大写金额为准；</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3.单价金额小数点或者百分比有明显错位的，以开标一览表的总价为准，并修改单价；</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4.总价金额与按单价汇总金额不一致的，以单价金额计算结果为准。</w:t>
      </w:r>
    </w:p>
    <w:p>
      <w:pPr>
        <w:pStyle w:val="22"/>
        <w:snapToGrid w:val="0"/>
        <w:spacing w:before="0" w:beforeLines="0" w:after="0" w:afterLines="0" w:line="360" w:lineRule="auto"/>
        <w:ind w:firstLine="482" w:firstLineChars="200"/>
        <w:rPr>
          <w:rFonts w:hAnsi="宋体" w:cs="宋体"/>
          <w:b/>
          <w:bCs/>
          <w:color w:val="auto"/>
          <w:highlight w:val="none"/>
        </w:rPr>
      </w:pPr>
      <w:r>
        <w:rPr>
          <w:rFonts w:hAnsi="宋体" w:cs="宋体"/>
          <w:b/>
          <w:color w:val="auto"/>
          <w:highlight w:val="none"/>
        </w:rPr>
        <w:t>同时出现两种以上不一致的，按照前款规定的顺序修正。评标委员会应当通过电子交易平台要求投标人对修正后的报价予以确认并对投标人产生约束力。投标人在</w:t>
      </w:r>
      <w:r>
        <w:rPr>
          <w:rFonts w:hAnsi="宋体" w:cs="宋体"/>
          <w:b/>
          <w:i/>
          <w:color w:val="auto"/>
          <w:highlight w:val="none"/>
          <w:u w:val="single"/>
        </w:rPr>
        <w:t>30</w:t>
      </w:r>
      <w:r>
        <w:rPr>
          <w:rFonts w:hAnsi="宋体" w:cs="宋体"/>
          <w:b/>
          <w:color w:val="auto"/>
          <w:highlight w:val="none"/>
        </w:rPr>
        <w:t>分钟内不予确认的，其投标无效。</w:t>
      </w:r>
    </w:p>
    <w:p>
      <w:pPr>
        <w:pStyle w:val="22"/>
        <w:tabs>
          <w:tab w:val="left" w:pos="630"/>
        </w:tabs>
        <w:snapToGrid w:val="0"/>
        <w:spacing w:before="0" w:beforeLines="0" w:after="0" w:afterLines="0" w:line="360" w:lineRule="auto"/>
        <w:ind w:firstLine="472" w:firstLineChars="196"/>
        <w:rPr>
          <w:rFonts w:hAnsi="宋体" w:cs="宋体"/>
          <w:b/>
          <w:color w:val="auto"/>
          <w:highlight w:val="none"/>
        </w:rPr>
      </w:pPr>
      <w:r>
        <w:rPr>
          <w:rFonts w:hAnsi="宋体" w:cs="宋体"/>
          <w:b/>
          <w:color w:val="auto"/>
          <w:highlight w:val="none"/>
        </w:rPr>
        <w:t>（五）评标原则和评标办法</w:t>
      </w:r>
    </w:p>
    <w:p>
      <w:pPr>
        <w:pStyle w:val="22"/>
        <w:snapToGrid w:val="0"/>
        <w:spacing w:before="0" w:beforeLines="0" w:after="0" w:afterLines="0" w:line="360" w:lineRule="auto"/>
        <w:ind w:firstLine="480" w:firstLineChars="200"/>
        <w:rPr>
          <w:rFonts w:hAnsi="宋体" w:cs="宋体"/>
          <w:color w:val="auto"/>
          <w:highlight w:val="none"/>
        </w:rPr>
      </w:pPr>
      <w:r>
        <w:rPr>
          <w:rFonts w:hAnsi="宋体" w:cs="宋体"/>
          <w:color w:val="auto"/>
          <w:highlight w:val="none"/>
        </w:rPr>
        <w:t>1.评审小组必须公平、公正、客观，不带任何倾向性和启发性；不得向外界透露任何与评标有关的内容；任何单位和个人不得干扰、影响评标的正常进行；评审小组及有关工作人员不得私下与投标人接触。</w:t>
      </w:r>
    </w:p>
    <w:p>
      <w:pPr>
        <w:pStyle w:val="22"/>
        <w:snapToGrid w:val="0"/>
        <w:spacing w:before="0" w:beforeLines="0" w:after="0" w:afterLines="0" w:line="360" w:lineRule="auto"/>
        <w:ind w:firstLine="480" w:firstLineChars="200"/>
        <w:rPr>
          <w:rFonts w:hAnsi="宋体" w:cs="宋体"/>
          <w:color w:val="auto"/>
          <w:highlight w:val="none"/>
        </w:rPr>
      </w:pPr>
      <w:r>
        <w:rPr>
          <w:rFonts w:hAnsi="宋体" w:cs="宋体"/>
          <w:color w:val="auto"/>
          <w:highlight w:val="none"/>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pPr>
        <w:pStyle w:val="22"/>
        <w:snapToGrid w:val="0"/>
        <w:spacing w:before="0" w:beforeLines="0" w:after="0" w:afterLines="0" w:line="360" w:lineRule="auto"/>
        <w:ind w:firstLine="480" w:firstLineChars="200"/>
        <w:rPr>
          <w:rFonts w:hAnsi="宋体" w:cs="宋体"/>
          <w:color w:val="auto"/>
          <w:highlight w:val="none"/>
        </w:rPr>
      </w:pPr>
      <w:r>
        <w:rPr>
          <w:rFonts w:hAnsi="宋体" w:cs="宋体"/>
          <w:color w:val="auto"/>
          <w:highlight w:val="none"/>
        </w:rPr>
        <w:t>非单一产品采购项目中，多家供应商提供的核心产品品牌相同的，按前款规定处理。核心产品（如有）描述详见《第四章：招标内容及需求》。</w:t>
      </w:r>
    </w:p>
    <w:p>
      <w:pPr>
        <w:pStyle w:val="22"/>
        <w:snapToGrid w:val="0"/>
        <w:spacing w:before="0" w:beforeLines="0" w:after="0" w:afterLines="0" w:line="360" w:lineRule="auto"/>
        <w:ind w:firstLine="480" w:firstLineChars="200"/>
        <w:rPr>
          <w:rFonts w:hAnsi="宋体" w:cs="宋体"/>
          <w:color w:val="auto"/>
          <w:highlight w:val="none"/>
        </w:rPr>
      </w:pPr>
      <w:r>
        <w:rPr>
          <w:rFonts w:hAnsi="宋体" w:cs="宋体"/>
          <w:color w:val="auto"/>
          <w:highlight w:val="none"/>
        </w:rPr>
        <w:t>3.本项目评标办法是综合评分法，具体评标内容及评分标准等详见《第三章：评标办法》。</w:t>
      </w:r>
    </w:p>
    <w:p>
      <w:pPr>
        <w:pStyle w:val="22"/>
        <w:snapToGrid w:val="0"/>
        <w:spacing w:before="0" w:beforeLines="0" w:after="0" w:afterLines="0" w:line="360" w:lineRule="auto"/>
        <w:outlineLvl w:val="1"/>
        <w:rPr>
          <w:rFonts w:hAnsi="宋体" w:cs="宋体"/>
          <w:b/>
          <w:color w:val="auto"/>
          <w:sz w:val="28"/>
          <w:szCs w:val="28"/>
          <w:highlight w:val="none"/>
        </w:rPr>
      </w:pPr>
      <w:r>
        <w:rPr>
          <w:rFonts w:hAnsi="宋体" w:cs="宋体"/>
          <w:b/>
          <w:color w:val="auto"/>
          <w:sz w:val="28"/>
          <w:szCs w:val="28"/>
          <w:highlight w:val="none"/>
        </w:rPr>
        <w:t>六、定标</w:t>
      </w:r>
    </w:p>
    <w:p>
      <w:pPr>
        <w:pStyle w:val="22"/>
        <w:snapToGrid w:val="0"/>
        <w:spacing w:before="0" w:beforeLines="0" w:after="0" w:afterLines="0" w:line="360" w:lineRule="auto"/>
        <w:ind w:firstLine="472" w:firstLineChars="196"/>
        <w:rPr>
          <w:rFonts w:hAnsi="宋体" w:cs="宋体"/>
          <w:b/>
          <w:bCs/>
          <w:color w:val="auto"/>
          <w:highlight w:val="none"/>
        </w:rPr>
      </w:pPr>
      <w:r>
        <w:rPr>
          <w:rFonts w:hAnsi="宋体" w:cs="宋体"/>
          <w:b/>
          <w:bCs/>
          <w:color w:val="auto"/>
          <w:highlight w:val="none"/>
        </w:rPr>
        <w:t>（一）确定中标人</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采购人</w:t>
      </w:r>
      <w:r>
        <w:rPr>
          <w:rFonts w:ascii="宋体" w:hAnsi="宋体" w:cs="宋体"/>
          <w:color w:val="auto"/>
          <w:sz w:val="24"/>
          <w:highlight w:val="none"/>
        </w:rPr>
        <w:t>依法确定1名中标人。确定中标人后2个工作日内，代理机构以书面（纸质）形式发出《中标通知书》，并同时在相关网站上发布中标公告。</w:t>
      </w:r>
    </w:p>
    <w:p>
      <w:pPr>
        <w:pStyle w:val="22"/>
        <w:snapToGrid w:val="0"/>
        <w:spacing w:before="0" w:beforeLines="0" w:after="0" w:afterLines="0" w:line="360" w:lineRule="auto"/>
        <w:outlineLvl w:val="1"/>
        <w:rPr>
          <w:rFonts w:hAnsi="宋体" w:cs="宋体"/>
          <w:b/>
          <w:color w:val="auto"/>
          <w:sz w:val="28"/>
          <w:szCs w:val="28"/>
          <w:highlight w:val="none"/>
        </w:rPr>
      </w:pPr>
      <w:r>
        <w:rPr>
          <w:rFonts w:hAnsi="宋体" w:cs="宋体"/>
          <w:b/>
          <w:color w:val="auto"/>
          <w:sz w:val="28"/>
          <w:szCs w:val="28"/>
          <w:highlight w:val="none"/>
        </w:rPr>
        <w:t>七、合同授予</w:t>
      </w:r>
    </w:p>
    <w:p>
      <w:pPr>
        <w:snapToGrid w:val="0"/>
        <w:spacing w:line="360" w:lineRule="auto"/>
        <w:ind w:firstLine="472" w:firstLineChars="196"/>
        <w:rPr>
          <w:rFonts w:ascii="宋体" w:hAnsi="宋体" w:cs="宋体"/>
          <w:b/>
          <w:bCs/>
          <w:color w:val="auto"/>
          <w:sz w:val="24"/>
          <w:highlight w:val="none"/>
        </w:rPr>
      </w:pPr>
      <w:r>
        <w:rPr>
          <w:rFonts w:ascii="宋体" w:hAnsi="宋体" w:cs="宋体"/>
          <w:b/>
          <w:bCs/>
          <w:color w:val="auto"/>
          <w:sz w:val="24"/>
          <w:highlight w:val="none"/>
        </w:rPr>
        <w:t>（一）签订合同</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采购人</w:t>
      </w:r>
      <w:r>
        <w:rPr>
          <w:rFonts w:ascii="宋体" w:hAnsi="宋体" w:cs="宋体"/>
          <w:color w:val="auto"/>
          <w:sz w:val="24"/>
          <w:highlight w:val="none"/>
        </w:rPr>
        <w:t>与中标人应当在《中标通知书》发出之日起30日内签订政府采购合同。</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2.中标人拖延、拒签合同的，将被取消中标资格。</w:t>
      </w:r>
    </w:p>
    <w:p>
      <w:pPr>
        <w:pStyle w:val="22"/>
        <w:snapToGrid w:val="0"/>
        <w:spacing w:before="0" w:beforeLines="0" w:after="0" w:afterLines="0" w:line="360" w:lineRule="auto"/>
        <w:ind w:firstLine="472" w:firstLineChars="196"/>
        <w:rPr>
          <w:rFonts w:hAnsi="宋体" w:cs="宋体"/>
          <w:b/>
          <w:color w:val="auto"/>
          <w:highlight w:val="none"/>
        </w:rPr>
      </w:pPr>
      <w:r>
        <w:rPr>
          <w:rFonts w:hAnsi="宋体" w:cs="宋体"/>
          <w:b/>
          <w:color w:val="auto"/>
          <w:highlight w:val="none"/>
        </w:rPr>
        <w:t>（二）履约保证金</w:t>
      </w:r>
    </w:p>
    <w:p>
      <w:pPr>
        <w:pStyle w:val="22"/>
        <w:snapToGrid w:val="0"/>
        <w:spacing w:before="0" w:beforeLines="0" w:after="0" w:afterLines="0" w:line="360" w:lineRule="auto"/>
        <w:ind w:firstLine="480" w:firstLineChars="200"/>
        <w:rPr>
          <w:rFonts w:hAnsi="宋体" w:cs="宋体"/>
          <w:color w:val="auto"/>
          <w:highlight w:val="none"/>
        </w:rPr>
      </w:pPr>
      <w:r>
        <w:rPr>
          <w:rFonts w:hAnsi="宋体" w:cs="宋体"/>
          <w:color w:val="auto"/>
          <w:highlight w:val="none"/>
        </w:rPr>
        <w:t>1.签订合同后，中标人应按招标文件确定的履约保证金的金额，向</w:t>
      </w:r>
      <w:r>
        <w:rPr>
          <w:rFonts w:hint="eastAsia" w:hAnsi="宋体" w:cs="宋体"/>
          <w:color w:val="auto"/>
          <w:highlight w:val="none"/>
          <w:lang w:eastAsia="zh-CN"/>
        </w:rPr>
        <w:t>采购人</w:t>
      </w:r>
      <w:r>
        <w:rPr>
          <w:rFonts w:hAnsi="宋体" w:cs="宋体"/>
          <w:color w:val="auto"/>
          <w:highlight w:val="none"/>
        </w:rPr>
        <w:t>交纳履约保证金。</w:t>
      </w:r>
    </w:p>
    <w:p>
      <w:pPr>
        <w:pStyle w:val="22"/>
        <w:snapToGrid w:val="0"/>
        <w:spacing w:before="0" w:beforeLines="0" w:after="0" w:afterLines="0" w:line="360" w:lineRule="auto"/>
        <w:ind w:firstLine="480" w:firstLineChars="200"/>
        <w:rPr>
          <w:rFonts w:hAnsi="宋体" w:cs="宋体"/>
          <w:color w:val="auto"/>
          <w:highlight w:val="none"/>
        </w:rPr>
      </w:pPr>
      <w:r>
        <w:rPr>
          <w:rFonts w:hAnsi="宋体" w:cs="宋体"/>
          <w:color w:val="auto"/>
          <w:highlight w:val="none"/>
        </w:rPr>
        <w:t>2.签订合同后，如中标人不按双方合同约定履约，则没收其全部履约保证金，履约保证金不足以赔偿损失的，按实际损失赔偿。</w:t>
      </w:r>
    </w:p>
    <w:p>
      <w:pPr>
        <w:snapToGrid w:val="0"/>
        <w:spacing w:line="360" w:lineRule="auto"/>
        <w:ind w:left="238"/>
        <w:jc w:val="center"/>
        <w:rPr>
          <w:rStyle w:val="52"/>
          <w:color w:val="auto"/>
          <w:sz w:val="44"/>
          <w:szCs w:val="44"/>
          <w:highlight w:val="none"/>
        </w:rPr>
      </w:pPr>
      <w:r>
        <w:rPr>
          <w:rFonts w:ascii="宋体" w:hAnsi="宋体" w:cs="宋体"/>
          <w:color w:val="auto"/>
          <w:highlight w:val="none"/>
        </w:rPr>
        <w:br w:type="page"/>
      </w:r>
      <w:bookmarkStart w:id="50" w:name="_Toc18595"/>
      <w:bookmarkStart w:id="51" w:name="_Toc32152"/>
      <w:r>
        <w:rPr>
          <w:rStyle w:val="52"/>
          <w:color w:val="auto"/>
          <w:sz w:val="44"/>
          <w:szCs w:val="44"/>
          <w:highlight w:val="none"/>
        </w:rPr>
        <w:t>第三章  评标办法</w:t>
      </w:r>
    </w:p>
    <w:bookmarkEnd w:id="50"/>
    <w:bookmarkEnd w:id="51"/>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为公正、公平、科学地选择中标人，根据《中华人民共和国政府采购法》等有关法律法规的规定，并结合本项目的实际，制定本办法。</w:t>
      </w:r>
    </w:p>
    <w:p>
      <w:pPr>
        <w:spacing w:line="360" w:lineRule="auto"/>
        <w:ind w:firstLine="551" w:firstLineChars="196"/>
        <w:rPr>
          <w:rFonts w:ascii="宋体" w:hAnsi="宋体" w:cs="宋体"/>
          <w:b/>
          <w:color w:val="auto"/>
          <w:sz w:val="28"/>
          <w:szCs w:val="28"/>
          <w:highlight w:val="none"/>
        </w:rPr>
      </w:pPr>
      <w:r>
        <w:rPr>
          <w:rFonts w:ascii="宋体" w:hAnsi="宋体" w:cs="宋体"/>
          <w:b/>
          <w:color w:val="auto"/>
          <w:sz w:val="28"/>
          <w:szCs w:val="28"/>
          <w:highlight w:val="none"/>
        </w:rPr>
        <w:t>一、总则</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20</w:t>
      </w:r>
      <w:r>
        <w:rPr>
          <w:rFonts w:ascii="宋体" w:hAnsi="宋体" w:cs="宋体"/>
          <w:color w:val="auto"/>
          <w:sz w:val="24"/>
          <w:highlight w:val="none"/>
        </w:rPr>
        <w:t>分，商务技术分</w:t>
      </w:r>
      <w:r>
        <w:rPr>
          <w:rFonts w:hint="eastAsia" w:ascii="宋体" w:hAnsi="宋体" w:cs="宋体"/>
          <w:color w:val="auto"/>
          <w:sz w:val="24"/>
          <w:highlight w:val="none"/>
          <w:lang w:val="en-US" w:eastAsia="zh-CN"/>
        </w:rPr>
        <w:t>80</w:t>
      </w:r>
      <w:r>
        <w:rPr>
          <w:rFonts w:ascii="宋体" w:hAnsi="宋体" w:cs="宋体"/>
          <w:color w:val="auto"/>
          <w:sz w:val="24"/>
          <w:highlight w:val="none"/>
        </w:rPr>
        <w:t>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除财政部门另有规定外，评标委员会推荐得分排列前3名的投标人为中标候选人。</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商务技术分=评标委员会所有成员评分合计数/评标委员会组成人员数</w:t>
      </w:r>
    </w:p>
    <w:p>
      <w:pPr>
        <w:spacing w:line="360" w:lineRule="auto"/>
        <w:ind w:firstLine="480" w:firstLineChars="200"/>
        <w:rPr>
          <w:rFonts w:ascii="宋体" w:hAnsi="宋体" w:cs="宋体"/>
          <w:bCs/>
          <w:color w:val="auto"/>
          <w:sz w:val="24"/>
          <w:highlight w:val="none"/>
        </w:rPr>
      </w:pPr>
      <w:r>
        <w:rPr>
          <w:rFonts w:ascii="宋体" w:hAnsi="宋体" w:cs="宋体"/>
          <w:color w:val="auto"/>
          <w:sz w:val="24"/>
          <w:highlight w:val="none"/>
        </w:rPr>
        <w:t>投标人评标</w:t>
      </w:r>
      <w:r>
        <w:rPr>
          <w:rFonts w:ascii="宋体" w:hAnsi="宋体" w:cs="宋体"/>
          <w:bCs/>
          <w:color w:val="auto"/>
          <w:sz w:val="24"/>
          <w:highlight w:val="none"/>
        </w:rPr>
        <w:t>综合得分=价格分+商务技术分</w:t>
      </w:r>
    </w:p>
    <w:p>
      <w:pPr>
        <w:spacing w:line="360" w:lineRule="auto"/>
        <w:ind w:firstLine="551" w:firstLineChars="196"/>
        <w:rPr>
          <w:rFonts w:ascii="宋体" w:hAnsi="宋体" w:cs="宋体"/>
          <w:b/>
          <w:color w:val="auto"/>
          <w:sz w:val="28"/>
          <w:szCs w:val="28"/>
          <w:highlight w:val="none"/>
        </w:rPr>
      </w:pPr>
      <w:r>
        <w:rPr>
          <w:rFonts w:ascii="宋体" w:hAnsi="宋体" w:cs="宋体"/>
          <w:b/>
          <w:color w:val="auto"/>
          <w:sz w:val="28"/>
          <w:szCs w:val="28"/>
          <w:highlight w:val="none"/>
        </w:rPr>
        <w:t>二、资格审查</w:t>
      </w:r>
    </w:p>
    <w:p>
      <w:pPr>
        <w:snapToGrid w:val="0"/>
        <w:spacing w:line="360" w:lineRule="auto"/>
        <w:ind w:firstLine="470" w:firstLineChars="196"/>
        <w:outlineLvl w:val="2"/>
        <w:rPr>
          <w:rFonts w:ascii="宋体" w:hAnsi="宋体" w:cs="宋体"/>
          <w:bCs/>
          <w:color w:val="auto"/>
          <w:sz w:val="24"/>
          <w:szCs w:val="28"/>
          <w:highlight w:val="none"/>
        </w:rPr>
      </w:pPr>
      <w:r>
        <w:rPr>
          <w:rFonts w:hint="eastAsia" w:ascii="宋体" w:hAnsi="宋体" w:cs="宋体"/>
          <w:bCs/>
          <w:color w:val="auto"/>
          <w:sz w:val="24"/>
          <w:highlight w:val="none"/>
          <w:lang w:eastAsia="zh-CN"/>
        </w:rPr>
        <w:t>采购人</w:t>
      </w:r>
      <w:r>
        <w:rPr>
          <w:rFonts w:ascii="宋体" w:hAnsi="宋体" w:cs="宋体"/>
          <w:bCs/>
          <w:color w:val="auto"/>
          <w:sz w:val="24"/>
          <w:highlight w:val="none"/>
        </w:rPr>
        <w:t>或者采购代理机构对各投标人的资格进行审查，投标人资格条件不符合招标文件要求的投标无效，不再进入符合性审查。</w:t>
      </w:r>
    </w:p>
    <w:p>
      <w:pPr>
        <w:snapToGrid w:val="0"/>
        <w:spacing w:line="360" w:lineRule="auto"/>
        <w:ind w:firstLine="551" w:firstLineChars="196"/>
        <w:outlineLvl w:val="2"/>
        <w:rPr>
          <w:rFonts w:ascii="宋体" w:hAnsi="宋体" w:cs="宋体"/>
          <w:b/>
          <w:color w:val="auto"/>
          <w:sz w:val="28"/>
          <w:szCs w:val="28"/>
          <w:highlight w:val="none"/>
        </w:rPr>
      </w:pPr>
      <w:r>
        <w:rPr>
          <w:rFonts w:ascii="宋体" w:hAnsi="宋体" w:cs="宋体"/>
          <w:b/>
          <w:color w:val="auto"/>
          <w:sz w:val="28"/>
          <w:szCs w:val="28"/>
          <w:highlight w:val="none"/>
        </w:rPr>
        <w:t>三、符合性审查</w:t>
      </w:r>
    </w:p>
    <w:p>
      <w:pPr>
        <w:snapToGrid w:val="0"/>
        <w:spacing w:line="360" w:lineRule="auto"/>
        <w:ind w:firstLine="480" w:firstLineChars="200"/>
        <w:jc w:val="both"/>
        <w:rPr>
          <w:rFonts w:hint="default"/>
          <w:bCs/>
          <w:color w:val="auto"/>
          <w:sz w:val="24"/>
          <w:highlight w:val="none"/>
        </w:rPr>
      </w:pPr>
      <w:r>
        <w:rPr>
          <w:rFonts w:hint="default"/>
          <w:bCs/>
          <w:color w:val="auto"/>
          <w:sz w:val="24"/>
          <w:highlight w:val="none"/>
        </w:rPr>
        <w:t>评审小组对资格审查合格的投标文件进行符合性审查，确定是否对招标文件作出了实质性响应。符合性审查不合格的投标无效，不再进行商务和技术评估、综合比较与评价。</w:t>
      </w:r>
    </w:p>
    <w:p>
      <w:pPr>
        <w:snapToGrid w:val="0"/>
        <w:spacing w:line="360" w:lineRule="auto"/>
        <w:ind w:firstLine="472" w:firstLineChars="196"/>
        <w:rPr>
          <w:rFonts w:ascii="宋体" w:hAnsi="宋体" w:cs="宋体"/>
          <w:b/>
          <w:bCs/>
          <w:color w:val="auto"/>
          <w:sz w:val="24"/>
          <w:highlight w:val="none"/>
        </w:rPr>
      </w:pPr>
      <w:r>
        <w:rPr>
          <w:rFonts w:ascii="宋体" w:hAnsi="宋体" w:cs="宋体"/>
          <w:b/>
          <w:bCs/>
          <w:color w:val="auto"/>
          <w:sz w:val="24"/>
          <w:highlight w:val="none"/>
        </w:rPr>
        <w:t>1.在商务、技术评审时，如发现下列情形之一的，投标将被视为无效：</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1）供应商提交两份或两份以上内容不同的投标方案，未声明哪一份有效的；</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2）投标文件非供应商法定代表人签署的，未提供或提供无效的法定代表人授权书；</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snapToGrid w:val="0"/>
          <w:color w:val="auto"/>
          <w:kern w:val="0"/>
          <w:sz w:val="24"/>
          <w:szCs w:val="24"/>
          <w:highlight w:val="none"/>
        </w:rPr>
        <w:t>3）投标文件中法定代表人和授权代表身份证复印件不齐全的；</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4）投标文件内容未按采购文件规定盖章的；</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5）投标文件内容不全或内容字迹模糊辨认不清的等而导致评标活动无法正常进行；</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6）供应商未按采购文件变更通知更改投标文件的；</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7）未实质性响应采购文件中带“▲”条款要求的投标文件；</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snapToGrid w:val="0"/>
          <w:color w:val="auto"/>
          <w:kern w:val="0"/>
          <w:sz w:val="24"/>
          <w:szCs w:val="24"/>
          <w:highlight w:val="none"/>
        </w:rPr>
        <w:t>商务条款</w:t>
      </w:r>
      <w:r>
        <w:rPr>
          <w:rFonts w:hint="eastAsia" w:ascii="宋体" w:hAnsi="宋体" w:eastAsia="宋体" w:cs="宋体"/>
          <w:b w:val="0"/>
          <w:bCs w:val="0"/>
          <w:snapToGrid w:val="0"/>
          <w:color w:val="auto"/>
          <w:kern w:val="0"/>
          <w:sz w:val="24"/>
          <w:szCs w:val="24"/>
          <w:highlight w:val="none"/>
          <w:lang w:val="en-US" w:eastAsia="zh-CN"/>
        </w:rPr>
        <w:t>中</w:t>
      </w:r>
      <w:r>
        <w:rPr>
          <w:rFonts w:hint="eastAsia" w:ascii="宋体" w:hAnsi="宋体" w:eastAsia="宋体" w:cs="宋体"/>
          <w:b w:val="0"/>
          <w:bCs w:val="0"/>
          <w:snapToGrid w:val="0"/>
          <w:color w:val="auto"/>
          <w:kern w:val="0"/>
          <w:sz w:val="24"/>
          <w:szCs w:val="24"/>
          <w:highlight w:val="none"/>
        </w:rPr>
        <w:t>投标有效期、交货期、质保期不能满足采购文件要求的；</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）投标文件附有</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不能接受的条款；</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）投标文件中提供了与采购无关的赠品、回扣或者其他商品、服务；</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）供应商串通投标，妨碍其他供应商的竞争行为，损害</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或者其他供应商的合法权益；</w:t>
      </w:r>
    </w:p>
    <w:p>
      <w:pPr>
        <w:snapToGrid w:val="0"/>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）违反国家及政府部门相关法律、法规、文件规定或经评标委员会认定的其他属于重大偏离。</w:t>
      </w:r>
    </w:p>
    <w:p>
      <w:pPr>
        <w:pStyle w:val="17"/>
        <w:snapToGrid w:val="0"/>
        <w:spacing w:line="360" w:lineRule="auto"/>
        <w:ind w:firstLine="457" w:firstLineChars="196"/>
        <w:rPr>
          <w:rFonts w:hAnsi="宋体" w:cs="宋体"/>
          <w:b/>
          <w:bCs/>
          <w:color w:val="auto"/>
          <w:sz w:val="24"/>
          <w:highlight w:val="none"/>
        </w:rPr>
      </w:pPr>
      <w:r>
        <w:rPr>
          <w:rFonts w:hAnsi="宋体" w:cs="宋体"/>
          <w:b/>
          <w:bCs/>
          <w:color w:val="auto"/>
          <w:sz w:val="24"/>
          <w:highlight w:val="none"/>
        </w:rPr>
        <w:t>2.在报价评审时，如发现下列情形之一的，投标将被视为无效：</w:t>
      </w:r>
    </w:p>
    <w:p>
      <w:pPr>
        <w:snapToGrid w:val="0"/>
        <w:spacing w:line="360" w:lineRule="auto"/>
        <w:ind w:firstLine="480" w:firstLineChars="200"/>
        <w:jc w:val="both"/>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1）报价文件未按招标文件要求盖章的；</w:t>
      </w:r>
    </w:p>
    <w:p>
      <w:pPr>
        <w:snapToGrid w:val="0"/>
        <w:spacing w:line="360" w:lineRule="auto"/>
        <w:ind w:firstLine="480" w:firstLineChars="200"/>
        <w:jc w:val="both"/>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2）报价超出最高限价，或者超出采购预算金额；</w:t>
      </w:r>
    </w:p>
    <w:p>
      <w:pPr>
        <w:snapToGrid w:val="0"/>
        <w:spacing w:line="360" w:lineRule="auto"/>
        <w:ind w:firstLine="480" w:firstLineChars="200"/>
        <w:jc w:val="both"/>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3）投标报价具有选择性的；</w:t>
      </w:r>
    </w:p>
    <w:p>
      <w:pPr>
        <w:snapToGrid w:val="0"/>
        <w:spacing w:line="360" w:lineRule="auto"/>
        <w:ind w:firstLine="480" w:firstLineChars="200"/>
        <w:jc w:val="both"/>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4）不接受按招标文件规定的修正错误原则修正后的报价的；</w:t>
      </w:r>
    </w:p>
    <w:p>
      <w:pPr>
        <w:snapToGrid w:val="0"/>
        <w:spacing w:line="360" w:lineRule="auto"/>
        <w:ind w:firstLine="480" w:firstLineChars="200"/>
        <w:jc w:val="both"/>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投标人的报价明显低于其他通过符合性审查投标人的报价，有可能影响产品或服务质量或者不能诚信履约，未能按评标委员会要求其在评标现场合理的时间内提供书面说明及相关证明材料以证明其报价合理性的；</w:t>
      </w:r>
    </w:p>
    <w:p>
      <w:pPr>
        <w:snapToGrid w:val="0"/>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6）投标文件附有采购人不能接受的条款；</w:t>
      </w:r>
    </w:p>
    <w:p>
      <w:pPr>
        <w:snapToGrid w:val="0"/>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7）投标文件中提供了与采购无关的赠品、回扣或者其他商品、服务；</w:t>
      </w:r>
    </w:p>
    <w:p>
      <w:pPr>
        <w:snapToGrid w:val="0"/>
        <w:spacing w:line="360" w:lineRule="auto"/>
        <w:ind w:firstLine="480" w:firstLineChars="20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8)违反国家及政府部门相关法律、法规、文件规定或经评标委员会认定的其他属于重大偏离</w:t>
      </w:r>
      <w:r>
        <w:rPr>
          <w:rFonts w:hint="default" w:ascii="宋体" w:hAnsi="宋体" w:eastAsia="宋体" w:cs="宋体"/>
          <w:b w:val="0"/>
          <w:bCs w:val="0"/>
          <w:color w:val="auto"/>
          <w:sz w:val="24"/>
          <w:szCs w:val="24"/>
          <w:highlight w:val="none"/>
          <w:lang w:val="en-US" w:eastAsia="zh-CN"/>
        </w:rPr>
        <w:t>。</w:t>
      </w:r>
    </w:p>
    <w:p>
      <w:pPr>
        <w:spacing w:line="360" w:lineRule="auto"/>
        <w:ind w:firstLine="562" w:firstLineChars="200"/>
        <w:rPr>
          <w:rFonts w:ascii="宋体" w:hAnsi="宋体" w:cs="宋体"/>
          <w:b/>
          <w:color w:val="auto"/>
          <w:sz w:val="28"/>
          <w:szCs w:val="28"/>
          <w:highlight w:val="none"/>
        </w:rPr>
      </w:pPr>
      <w:r>
        <w:rPr>
          <w:rFonts w:ascii="宋体" w:hAnsi="宋体" w:cs="宋体"/>
          <w:b/>
          <w:color w:val="auto"/>
          <w:sz w:val="28"/>
          <w:szCs w:val="28"/>
          <w:highlight w:val="none"/>
        </w:rPr>
        <w:t xml:space="preserve">四、评审内容及标准 </w:t>
      </w:r>
    </w:p>
    <w:p>
      <w:pPr>
        <w:pStyle w:val="17"/>
        <w:spacing w:line="360" w:lineRule="auto"/>
        <w:ind w:firstLine="300" w:firstLineChars="129"/>
        <w:rPr>
          <w:rFonts w:hAnsi="宋体" w:cs="宋体"/>
          <w:b/>
          <w:color w:val="auto"/>
          <w:sz w:val="24"/>
          <w:highlight w:val="none"/>
        </w:rPr>
      </w:pPr>
      <w:r>
        <w:rPr>
          <w:rFonts w:hAnsi="宋体" w:cs="宋体"/>
          <w:b/>
          <w:color w:val="auto"/>
          <w:sz w:val="24"/>
          <w:highlight w:val="none"/>
        </w:rPr>
        <w:t>（一）商务技术分（</w:t>
      </w:r>
      <w:r>
        <w:rPr>
          <w:rFonts w:hint="eastAsia" w:hAnsi="宋体" w:cs="宋体"/>
          <w:b/>
          <w:color w:val="auto"/>
          <w:sz w:val="24"/>
          <w:highlight w:val="none"/>
          <w:lang w:val="en-US" w:eastAsia="zh-CN"/>
        </w:rPr>
        <w:t>80</w:t>
      </w:r>
      <w:r>
        <w:rPr>
          <w:rFonts w:hAnsi="宋体" w:cs="宋体"/>
          <w:b/>
          <w:color w:val="auto"/>
          <w:sz w:val="24"/>
          <w:highlight w:val="none"/>
        </w:rPr>
        <w:t>分）</w:t>
      </w:r>
    </w:p>
    <w:tbl>
      <w:tblPr>
        <w:tblStyle w:val="43"/>
        <w:tblW w:w="10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375"/>
        <w:gridCol w:w="777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序号</w:t>
            </w:r>
          </w:p>
        </w:tc>
        <w:tc>
          <w:tcPr>
            <w:tcW w:w="9150" w:type="dxa"/>
            <w:gridSpan w:val="2"/>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评审内容</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right="-97" w:rightChars="-46" w:firstLine="0" w:firstLineChars="0"/>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业绩</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right="-97" w:rightChars="-46" w:firstLine="0" w:firstLineChars="0"/>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投标人自2019年1月1日以来具有类似项目业绩的，每个得1分，最高得2分。</w:t>
            </w:r>
          </w:p>
          <w:p>
            <w:pPr>
              <w:pStyle w:val="17"/>
              <w:spacing w:line="240" w:lineRule="auto"/>
              <w:ind w:right="-97" w:rightChars="-46" w:firstLine="0" w:firstLineChars="0"/>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证明材料：合同</w:t>
            </w:r>
            <w:r>
              <w:rPr>
                <w:rFonts w:hint="eastAsia" w:hAnsi="宋体" w:eastAsia="宋体" w:cs="宋体"/>
                <w:color w:val="auto"/>
                <w:spacing w:val="-6"/>
                <w:sz w:val="24"/>
                <w:szCs w:val="24"/>
                <w:highlight w:val="none"/>
                <w:lang w:val="en-US" w:eastAsia="zh-CN"/>
              </w:rPr>
              <w:t>及验收回单（或用户使用报告）</w:t>
            </w:r>
            <w:r>
              <w:rPr>
                <w:rFonts w:hint="eastAsia" w:ascii="宋体" w:hAnsi="宋体" w:eastAsia="宋体" w:cs="宋体"/>
                <w:color w:val="auto"/>
                <w:spacing w:val="-6"/>
                <w:sz w:val="24"/>
                <w:szCs w:val="24"/>
                <w:highlight w:val="none"/>
                <w:lang w:val="en-US" w:eastAsia="zh-CN"/>
              </w:rPr>
              <w:t>扫描件加盖公章</w:t>
            </w:r>
            <w:r>
              <w:rPr>
                <w:rFonts w:hint="eastAsia" w:hAnsi="宋体" w:eastAsia="宋体" w:cs="宋体"/>
                <w:color w:val="auto"/>
                <w:spacing w:val="-6"/>
                <w:sz w:val="24"/>
                <w:szCs w:val="24"/>
                <w:highlight w:val="none"/>
                <w:lang w:val="en-US" w:eastAsia="zh-CN"/>
              </w:rPr>
              <w:t>，缺一不得分</w:t>
            </w:r>
            <w:r>
              <w:rPr>
                <w:rFonts w:hint="eastAsia" w:ascii="宋体" w:hAnsi="宋体" w:eastAsia="宋体" w:cs="宋体"/>
                <w:color w:val="auto"/>
                <w:spacing w:val="-6"/>
                <w:sz w:val="24"/>
                <w:szCs w:val="24"/>
                <w:highlight w:val="none"/>
                <w:lang w:val="en-US" w:eastAsia="zh-CN"/>
              </w:rPr>
              <w:t>，时间以合同签订时间为准。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right="-97" w:rightChars="-46" w:firstLine="0" w:firstLineChars="0"/>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2</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right="-97" w:rightChars="-46" w:firstLine="0" w:firstLineChars="0"/>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体系认证</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right="-97" w:rightChars="-46" w:firstLine="0" w:firstLineChars="0"/>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投标人具有有效的</w:t>
            </w:r>
            <w:r>
              <w:rPr>
                <w:rFonts w:hint="eastAsia" w:ascii="宋体" w:hAnsi="宋体" w:eastAsia="宋体" w:cs="宋体"/>
                <w:color w:val="auto"/>
                <w:spacing w:val="-6"/>
                <w:sz w:val="24"/>
                <w:szCs w:val="24"/>
                <w:highlight w:val="none"/>
              </w:rPr>
              <w:t>信息安全管理体系认证证书</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信息技术服务管理体系认证证书</w:t>
            </w:r>
            <w:r>
              <w:rPr>
                <w:rFonts w:hint="eastAsia" w:ascii="宋体" w:hAnsi="宋体" w:eastAsia="宋体" w:cs="宋体"/>
                <w:color w:val="auto"/>
                <w:spacing w:val="-6"/>
                <w:sz w:val="24"/>
                <w:szCs w:val="24"/>
                <w:highlight w:val="none"/>
                <w:lang w:val="en-US" w:eastAsia="zh-CN"/>
              </w:rPr>
              <w:t>的每个得1分，最高得2分。</w:t>
            </w:r>
          </w:p>
          <w:p>
            <w:pPr>
              <w:pStyle w:val="17"/>
              <w:spacing w:line="240" w:lineRule="auto"/>
              <w:ind w:right="-97" w:rightChars="-46" w:firstLine="0"/>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证明材料：</w:t>
            </w:r>
            <w:r>
              <w:rPr>
                <w:rFonts w:hint="eastAsia" w:ascii="宋体" w:hAnsi="宋体" w:eastAsia="宋体" w:cs="宋体"/>
                <w:color w:val="auto"/>
                <w:spacing w:val="-6"/>
                <w:sz w:val="24"/>
                <w:szCs w:val="24"/>
                <w:highlight w:val="none"/>
              </w:rPr>
              <w:t>管理体系认证证书</w:t>
            </w:r>
            <w:r>
              <w:rPr>
                <w:rFonts w:hint="eastAsia" w:ascii="宋体" w:hAnsi="宋体" w:eastAsia="宋体" w:cs="宋体"/>
                <w:color w:val="auto"/>
                <w:spacing w:val="-6"/>
                <w:sz w:val="24"/>
                <w:szCs w:val="24"/>
                <w:highlight w:val="none"/>
                <w:lang w:val="en-US" w:eastAsia="zh-CN"/>
              </w:rPr>
              <w:t>扫描件加盖公章</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right="-97" w:rightChars="-46" w:firstLine="0" w:firstLineChars="0"/>
              <w:jc w:val="center"/>
              <w:rPr>
                <w:rFonts w:hint="default" w:ascii="宋体" w:hAnsi="宋体" w:eastAsia="宋体" w:cs="宋体"/>
                <w:color w:val="auto"/>
                <w:spacing w:val="-6"/>
                <w:sz w:val="24"/>
                <w:szCs w:val="24"/>
                <w:highlight w:val="none"/>
                <w:lang w:val="en-US" w:eastAsia="zh-CN"/>
              </w:rPr>
            </w:pPr>
            <w:r>
              <w:rPr>
                <w:rFonts w:hint="eastAsia" w:hAnsi="宋体" w:eastAsia="宋体" w:cs="宋体"/>
                <w:color w:val="auto"/>
                <w:spacing w:val="-6"/>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3</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240" w:lineRule="auto"/>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highlight w:val="none"/>
              </w:rPr>
              <w:t>自主研发能力</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投标人具有本项目相关</w:t>
            </w:r>
            <w:r>
              <w:rPr>
                <w:rFonts w:hint="eastAsia" w:ascii="宋体" w:hAnsi="宋体" w:eastAsia="宋体" w:cs="宋体"/>
                <w:color w:val="auto"/>
                <w:sz w:val="24"/>
                <w:highlight w:val="none"/>
              </w:rPr>
              <w:t>的软件著作权证书</w:t>
            </w:r>
            <w:r>
              <w:rPr>
                <w:rFonts w:hint="eastAsia" w:ascii="宋体" w:hAnsi="宋体" w:eastAsia="宋体" w:cs="宋体"/>
                <w:color w:val="auto"/>
                <w:sz w:val="24"/>
                <w:highlight w:val="none"/>
                <w:lang w:val="en-US" w:eastAsia="zh-CN"/>
              </w:rPr>
              <w:t>的，</w:t>
            </w:r>
            <w:r>
              <w:rPr>
                <w:rFonts w:hint="eastAsia" w:ascii="宋体" w:hAnsi="宋体"/>
                <w:color w:val="auto"/>
                <w:sz w:val="24"/>
                <w:highlight w:val="none"/>
              </w:rPr>
              <w:t>含教育信息化服务平台软件著作权</w:t>
            </w:r>
            <w:r>
              <w:rPr>
                <w:rFonts w:hint="eastAsia" w:ascii="宋体" w:hAnsi="宋体"/>
                <w:color w:val="auto"/>
                <w:sz w:val="24"/>
                <w:highlight w:val="none"/>
                <w:lang w:eastAsia="zh-Hans"/>
              </w:rPr>
              <w:t>、</w:t>
            </w:r>
            <w:r>
              <w:rPr>
                <w:rFonts w:hint="eastAsia" w:ascii="宋体" w:hAnsi="宋体"/>
                <w:color w:val="auto"/>
                <w:sz w:val="24"/>
                <w:highlight w:val="none"/>
              </w:rPr>
              <w:t>能力开放平台软件著作权</w:t>
            </w:r>
            <w:r>
              <w:rPr>
                <w:rFonts w:hint="eastAsia" w:ascii="宋体" w:hAnsi="宋体"/>
                <w:color w:val="auto"/>
                <w:sz w:val="24"/>
                <w:highlight w:val="none"/>
                <w:lang w:eastAsia="zh-Hans"/>
              </w:rPr>
              <w:t>、</w:t>
            </w:r>
            <w:r>
              <w:rPr>
                <w:rFonts w:hint="eastAsia" w:ascii="宋体" w:hAnsi="宋体"/>
                <w:color w:val="auto"/>
                <w:sz w:val="24"/>
                <w:highlight w:val="none"/>
              </w:rPr>
              <w:t>容器云管理平台软件著作权</w:t>
            </w:r>
            <w:r>
              <w:rPr>
                <w:rFonts w:hint="eastAsia" w:ascii="宋体" w:hAnsi="宋体"/>
                <w:color w:val="auto"/>
                <w:sz w:val="24"/>
                <w:highlight w:val="none"/>
                <w:lang w:eastAsia="zh-Hans"/>
              </w:rPr>
              <w:t>、</w:t>
            </w:r>
            <w:r>
              <w:rPr>
                <w:rFonts w:hint="eastAsia" w:ascii="宋体" w:hAnsi="宋体"/>
                <w:color w:val="auto"/>
                <w:sz w:val="24"/>
                <w:highlight w:val="none"/>
              </w:rPr>
              <w:t>微服务治理及快速开发平台软件著作权证书等。</w:t>
            </w:r>
            <w:r>
              <w:rPr>
                <w:rFonts w:hint="eastAsia" w:ascii="宋体" w:hAnsi="宋体" w:eastAsia="宋体" w:cs="宋体"/>
                <w:color w:val="auto"/>
                <w:sz w:val="24"/>
                <w:highlight w:val="none"/>
                <w:lang w:val="en-US" w:eastAsia="zh-CN"/>
              </w:rPr>
              <w:t>每个得0.5分，最高得2分</w:t>
            </w:r>
            <w:r>
              <w:rPr>
                <w:rFonts w:hint="eastAsia" w:ascii="宋体" w:hAnsi="宋体" w:eastAsia="宋体" w:cs="宋体"/>
                <w:color w:val="auto"/>
                <w:spacing w:val="-6"/>
                <w:kern w:val="2"/>
                <w:sz w:val="24"/>
                <w:szCs w:val="24"/>
                <w:highlight w:val="none"/>
                <w:lang w:val="en-US" w:eastAsia="zh-CN" w:bidi="ar-SA"/>
              </w:rPr>
              <w:t>。</w:t>
            </w:r>
          </w:p>
          <w:p>
            <w:pPr>
              <w:bidi w:val="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证明材料：</w:t>
            </w:r>
            <w:r>
              <w:rPr>
                <w:rFonts w:hint="eastAsia" w:ascii="宋体" w:hAnsi="宋体" w:eastAsia="宋体" w:cs="宋体"/>
                <w:color w:val="auto"/>
                <w:sz w:val="24"/>
                <w:highlight w:val="none"/>
              </w:rPr>
              <w:t>软件著作权证书</w:t>
            </w:r>
            <w:r>
              <w:rPr>
                <w:rFonts w:hint="eastAsia" w:ascii="宋体" w:hAnsi="宋体" w:eastAsia="宋体" w:cs="宋体"/>
                <w:color w:val="auto"/>
                <w:spacing w:val="-6"/>
                <w:kern w:val="2"/>
                <w:sz w:val="24"/>
                <w:szCs w:val="24"/>
                <w:highlight w:val="none"/>
                <w:lang w:val="en-US" w:eastAsia="zh-CN" w:bidi="ar-SA"/>
              </w:rPr>
              <w:t>扫描件加盖公章。</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240" w:lineRule="auto"/>
              <w:jc w:val="center"/>
              <w:rPr>
                <w:rFonts w:hint="eastAsia" w:ascii="宋体" w:hAnsi="宋体" w:eastAsia="宋体" w:cs="宋体"/>
                <w:color w:val="auto"/>
                <w:spacing w:val="-6"/>
                <w:kern w:val="2"/>
                <w:sz w:val="24"/>
                <w:szCs w:val="24"/>
                <w:highlight w:val="none"/>
                <w:lang w:val="en-US" w:eastAsia="zh-CN" w:bidi="ar-SA"/>
              </w:rPr>
            </w:pPr>
            <w:r>
              <w:rPr>
                <w:rFonts w:hint="eastAsia" w:hAnsi="宋体" w:eastAsia="宋体" w:cs="宋体"/>
                <w:color w:val="auto"/>
                <w:spacing w:val="-6"/>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restart"/>
            <w:tcBorders>
              <w:top w:val="single" w:color="auto" w:sz="4" w:space="0"/>
              <w:left w:val="single" w:color="auto" w:sz="4" w:space="0"/>
              <w:right w:val="single" w:color="auto" w:sz="4" w:space="0"/>
            </w:tcBorders>
            <w:noWrap w:val="0"/>
            <w:vAlign w:val="center"/>
          </w:tcPr>
          <w:p>
            <w:pPr>
              <w:numPr>
                <w:ilvl w:val="0"/>
                <w:numId w:val="0"/>
              </w:numPr>
              <w:snapToGrid w:val="0"/>
              <w:spacing w:line="240" w:lineRule="auto"/>
              <w:ind w:right="-21" w:rightChars="-10"/>
              <w:jc w:val="center"/>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4</w:t>
            </w:r>
          </w:p>
        </w:tc>
        <w:tc>
          <w:tcPr>
            <w:tcW w:w="1375"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技术方案</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right="-21" w:rightChars="-10"/>
              <w:jc w:val="left"/>
              <w:rPr>
                <w:rFonts w:hint="eastAsia" w:ascii="宋体" w:hAnsi="宋体"/>
                <w:color w:val="auto"/>
                <w:sz w:val="24"/>
                <w:highlight w:val="none"/>
                <w:lang w:eastAsia="zh-CN"/>
              </w:rPr>
            </w:pPr>
            <w:r>
              <w:rPr>
                <w:rFonts w:hint="eastAsia" w:ascii="宋体" w:hAnsi="宋体"/>
                <w:color w:val="auto"/>
                <w:sz w:val="24"/>
                <w:highlight w:val="none"/>
              </w:rPr>
              <w:t>项目总体</w:t>
            </w:r>
            <w:r>
              <w:rPr>
                <w:rFonts w:hint="eastAsia" w:ascii="宋体" w:hAnsi="宋体"/>
                <w:color w:val="auto"/>
                <w:sz w:val="24"/>
                <w:highlight w:val="none"/>
                <w:lang w:val="en-US" w:eastAsia="zh-CN"/>
              </w:rPr>
              <w:t>构架</w:t>
            </w:r>
            <w:r>
              <w:rPr>
                <w:rFonts w:hint="eastAsia" w:ascii="宋体" w:hAnsi="宋体"/>
                <w:color w:val="auto"/>
                <w:sz w:val="24"/>
                <w:highlight w:val="none"/>
              </w:rPr>
              <w:t>方案</w:t>
            </w:r>
            <w:r>
              <w:rPr>
                <w:rFonts w:hint="eastAsia" w:ascii="宋体" w:hAnsi="宋体"/>
                <w:color w:val="auto"/>
                <w:sz w:val="24"/>
                <w:highlight w:val="none"/>
                <w:lang w:eastAsia="zh-CN"/>
              </w:rPr>
              <w:t>：</w:t>
            </w:r>
          </w:p>
          <w:p>
            <w:pPr>
              <w:numPr>
                <w:ilvl w:val="0"/>
                <w:numId w:val="6"/>
              </w:numPr>
              <w:snapToGrid w:val="0"/>
              <w:spacing w:line="240" w:lineRule="auto"/>
              <w:ind w:right="-21" w:rightChars="-1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项目总体构架方案详细，内容完整，满足采购文件要求的得5分；</w:t>
            </w:r>
          </w:p>
          <w:p>
            <w:pPr>
              <w:numPr>
                <w:ilvl w:val="0"/>
                <w:numId w:val="6"/>
              </w:numPr>
              <w:snapToGrid w:val="0"/>
              <w:spacing w:line="240" w:lineRule="auto"/>
              <w:ind w:right="-21" w:rightChars="-10"/>
              <w:jc w:val="left"/>
              <w:rPr>
                <w:rFonts w:hint="eastAsia" w:ascii="宋体" w:hAnsi="宋体"/>
                <w:color w:val="auto"/>
                <w:sz w:val="24"/>
                <w:highlight w:val="none"/>
                <w:lang w:val="en-US" w:eastAsia="zh-CN"/>
              </w:rPr>
            </w:pPr>
            <w:r>
              <w:rPr>
                <w:rFonts w:hint="eastAsia" w:ascii="宋体" w:hAnsi="宋体"/>
                <w:color w:val="auto"/>
                <w:sz w:val="24"/>
                <w:highlight w:val="none"/>
              </w:rPr>
              <w:t>项目总体架构方案</w:t>
            </w:r>
            <w:r>
              <w:rPr>
                <w:rFonts w:hint="eastAsia" w:ascii="宋体" w:hAnsi="宋体"/>
                <w:color w:val="auto"/>
                <w:sz w:val="24"/>
                <w:highlight w:val="none"/>
                <w:lang w:val="en-US" w:eastAsia="zh-CN"/>
              </w:rPr>
              <w:t>较详细，内容较</w:t>
            </w:r>
            <w:r>
              <w:rPr>
                <w:rFonts w:hint="eastAsia" w:ascii="宋体" w:hAnsi="宋体"/>
                <w:color w:val="auto"/>
                <w:sz w:val="24"/>
                <w:highlight w:val="none"/>
              </w:rPr>
              <w:t>完整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与采购文件要求的存在细微偏差的得4分；</w:t>
            </w:r>
          </w:p>
          <w:p>
            <w:pPr>
              <w:numPr>
                <w:ilvl w:val="0"/>
                <w:numId w:val="6"/>
              </w:numPr>
              <w:snapToGrid w:val="0"/>
              <w:spacing w:line="240" w:lineRule="auto"/>
              <w:ind w:right="-21" w:rightChars="-10"/>
              <w:jc w:val="left"/>
              <w:rPr>
                <w:rFonts w:hint="eastAsia" w:ascii="宋体" w:hAnsi="宋体" w:eastAsia="宋体" w:cs="宋体"/>
                <w:color w:val="auto"/>
                <w:kern w:val="2"/>
                <w:sz w:val="24"/>
                <w:highlight w:val="none"/>
                <w:lang w:val="en-US" w:eastAsia="zh-CN" w:bidi="ar-SA"/>
              </w:rPr>
            </w:pPr>
            <w:r>
              <w:rPr>
                <w:rFonts w:hint="eastAsia" w:ascii="宋体" w:hAnsi="宋体"/>
                <w:color w:val="auto"/>
                <w:sz w:val="24"/>
                <w:highlight w:val="none"/>
              </w:rPr>
              <w:t>项目总体架构方案</w:t>
            </w:r>
            <w:r>
              <w:rPr>
                <w:rFonts w:hint="eastAsia" w:ascii="宋体" w:hAnsi="宋体"/>
                <w:color w:val="auto"/>
                <w:sz w:val="24"/>
                <w:highlight w:val="none"/>
                <w:lang w:val="en-US" w:eastAsia="zh-CN"/>
              </w:rPr>
              <w:t>较简单，内容不完整，部分满足采购文件要求的得2分。</w:t>
            </w:r>
          </w:p>
          <w:p>
            <w:pPr>
              <w:bidi w:val="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color w:val="auto"/>
                <w:sz w:val="24"/>
                <w:highlight w:val="none"/>
                <w:lang w:val="en-US" w:eastAsia="zh-CN"/>
              </w:rPr>
              <w:t>4）未提供</w:t>
            </w:r>
            <w:r>
              <w:rPr>
                <w:rFonts w:hint="eastAsia" w:ascii="宋体" w:hAnsi="宋体"/>
                <w:color w:val="auto"/>
                <w:sz w:val="24"/>
                <w:highlight w:val="none"/>
              </w:rPr>
              <w:t>总体</w:t>
            </w:r>
            <w:r>
              <w:rPr>
                <w:rFonts w:hint="eastAsia" w:ascii="宋体" w:hAnsi="宋体"/>
                <w:color w:val="auto"/>
                <w:sz w:val="24"/>
                <w:highlight w:val="none"/>
                <w:lang w:val="en-US" w:eastAsia="zh-CN"/>
              </w:rPr>
              <w:t>构架</w:t>
            </w:r>
            <w:r>
              <w:rPr>
                <w:rFonts w:hint="eastAsia" w:ascii="宋体" w:hAnsi="宋体"/>
                <w:color w:val="auto"/>
                <w:sz w:val="24"/>
                <w:highlight w:val="none"/>
              </w:rPr>
              <w:t>方案</w:t>
            </w:r>
            <w:r>
              <w:rPr>
                <w:rFonts w:hint="eastAsia" w:ascii="宋体" w:hAnsi="宋体"/>
                <w:color w:val="auto"/>
                <w:sz w:val="24"/>
                <w:highlight w:val="none"/>
                <w:lang w:val="en-US" w:eastAsia="zh-CN"/>
              </w:rPr>
              <w:t>或提供的方案与采购文件要求无关的不得分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spacing w:line="240" w:lineRule="auto"/>
              <w:jc w:val="center"/>
              <w:rPr>
                <w:rFonts w:hint="default" w:hAnsi="宋体" w:eastAsia="宋体" w:cs="宋体"/>
                <w:color w:val="auto"/>
                <w:spacing w:val="-6"/>
                <w:kern w:val="2"/>
                <w:sz w:val="24"/>
                <w:szCs w:val="24"/>
                <w:highlight w:val="none"/>
                <w:lang w:val="en-US" w:eastAsia="zh-CN" w:bidi="ar-SA"/>
              </w:rPr>
            </w:pPr>
            <w:r>
              <w:rPr>
                <w:rFonts w:hint="eastAsia" w:hAnsi="宋体" w:eastAsia="宋体" w:cs="宋体"/>
                <w:color w:val="auto"/>
                <w:spacing w:val="-6"/>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9" w:type="dxa"/>
            <w:vMerge w:val="continue"/>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sz w:val="24"/>
                <w:highlight w:val="none"/>
              </w:rPr>
            </w:pPr>
          </w:p>
        </w:tc>
        <w:tc>
          <w:tcPr>
            <w:tcW w:w="777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napToGrid w:val="0"/>
              <w:spacing w:line="240" w:lineRule="auto"/>
              <w:ind w:left="0" w:leftChars="0" w:firstLine="0" w:firstLineChars="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项目技术平台方案：</w:t>
            </w:r>
          </w:p>
          <w:p>
            <w:pPr>
              <w:numPr>
                <w:ilvl w:val="0"/>
                <w:numId w:val="0"/>
              </w:numPr>
              <w:snapToGrid w:val="0"/>
              <w:spacing w:line="240" w:lineRule="auto"/>
              <w:ind w:left="0" w:leftChars="0" w:firstLine="0" w:firstLineChars="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1）项目技术平台方案满足</w:t>
            </w:r>
            <w:r>
              <w:rPr>
                <w:rFonts w:hint="eastAsia" w:ascii="宋体" w:hAnsi="宋体"/>
                <w:color w:val="auto"/>
                <w:sz w:val="24"/>
                <w:highlight w:val="none"/>
              </w:rPr>
              <w:t>学校</w:t>
            </w:r>
            <w:r>
              <w:rPr>
                <w:rFonts w:hint="eastAsia" w:ascii="宋体" w:hAnsi="宋体"/>
                <w:color w:val="auto"/>
                <w:sz w:val="24"/>
                <w:highlight w:val="none"/>
                <w:lang w:val="en-US" w:eastAsia="zh-Hans"/>
              </w:rPr>
              <w:t>业务融合、数据集成</w:t>
            </w:r>
            <w:r>
              <w:rPr>
                <w:rFonts w:hint="eastAsia" w:ascii="宋体" w:hAnsi="宋体"/>
                <w:color w:val="auto"/>
                <w:sz w:val="24"/>
                <w:highlight w:val="none"/>
                <w:lang w:eastAsia="zh-Hans"/>
              </w:rPr>
              <w:t>的可持续</w:t>
            </w:r>
            <w:r>
              <w:rPr>
                <w:rFonts w:hint="eastAsia" w:ascii="宋体" w:hAnsi="宋体"/>
                <w:color w:val="auto"/>
                <w:sz w:val="24"/>
                <w:highlight w:val="none"/>
              </w:rPr>
              <w:t>建设</w:t>
            </w:r>
            <w:r>
              <w:rPr>
                <w:rFonts w:hint="eastAsia" w:ascii="宋体" w:hAnsi="宋体"/>
                <w:color w:val="auto"/>
                <w:sz w:val="24"/>
                <w:highlight w:val="none"/>
                <w:lang w:eastAsia="zh-Hans"/>
              </w:rPr>
              <w:t>发展</w:t>
            </w:r>
            <w:r>
              <w:rPr>
                <w:rFonts w:hint="eastAsia" w:ascii="宋体" w:hAnsi="宋体"/>
                <w:color w:val="auto"/>
                <w:sz w:val="24"/>
                <w:highlight w:val="none"/>
                <w:lang w:val="en-US" w:eastAsia="zh-CN"/>
              </w:rPr>
              <w:t>的得5分；</w:t>
            </w:r>
          </w:p>
          <w:p>
            <w:pPr>
              <w:numPr>
                <w:ilvl w:val="0"/>
                <w:numId w:val="0"/>
              </w:numPr>
              <w:snapToGrid w:val="0"/>
              <w:spacing w:line="240" w:lineRule="auto"/>
              <w:ind w:left="0" w:leftChars="0" w:firstLine="0" w:firstLineChars="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2）项目技术平台方案基本能满足</w:t>
            </w:r>
            <w:r>
              <w:rPr>
                <w:rFonts w:hint="eastAsia" w:ascii="宋体" w:hAnsi="宋体"/>
                <w:color w:val="auto"/>
                <w:sz w:val="24"/>
                <w:highlight w:val="none"/>
              </w:rPr>
              <w:t>学校</w:t>
            </w:r>
            <w:r>
              <w:rPr>
                <w:rFonts w:hint="eastAsia" w:ascii="宋体" w:hAnsi="宋体"/>
                <w:color w:val="auto"/>
                <w:sz w:val="24"/>
                <w:highlight w:val="none"/>
                <w:lang w:val="en-US" w:eastAsia="zh-Hans"/>
              </w:rPr>
              <w:t>业务融合、数据集成</w:t>
            </w:r>
            <w:r>
              <w:rPr>
                <w:rFonts w:hint="eastAsia" w:ascii="宋体" w:hAnsi="宋体"/>
                <w:color w:val="auto"/>
                <w:sz w:val="24"/>
                <w:highlight w:val="none"/>
                <w:lang w:eastAsia="zh-Hans"/>
              </w:rPr>
              <w:t>的可持续</w:t>
            </w:r>
            <w:r>
              <w:rPr>
                <w:rFonts w:hint="eastAsia" w:ascii="宋体" w:hAnsi="宋体"/>
                <w:color w:val="auto"/>
                <w:sz w:val="24"/>
                <w:highlight w:val="none"/>
              </w:rPr>
              <w:t>建设</w:t>
            </w:r>
            <w:r>
              <w:rPr>
                <w:rFonts w:hint="eastAsia" w:ascii="宋体" w:hAnsi="宋体"/>
                <w:color w:val="auto"/>
                <w:sz w:val="24"/>
                <w:highlight w:val="none"/>
                <w:lang w:eastAsia="zh-Hans"/>
              </w:rPr>
              <w:t>发展</w:t>
            </w:r>
            <w:r>
              <w:rPr>
                <w:rFonts w:hint="eastAsia" w:ascii="宋体" w:hAnsi="宋体"/>
                <w:color w:val="auto"/>
                <w:sz w:val="24"/>
                <w:highlight w:val="none"/>
                <w:lang w:val="en-US" w:eastAsia="zh-CN"/>
              </w:rPr>
              <w:t>的得4分；</w:t>
            </w:r>
          </w:p>
          <w:p>
            <w:pPr>
              <w:numPr>
                <w:ilvl w:val="0"/>
                <w:numId w:val="0"/>
              </w:numPr>
              <w:snapToGrid w:val="0"/>
              <w:spacing w:line="240" w:lineRule="auto"/>
              <w:ind w:left="0" w:leftChars="0" w:firstLine="0" w:firstLineChars="0"/>
              <w:rPr>
                <w:rFonts w:hint="eastAsia" w:ascii="宋体" w:hAnsi="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olor w:val="auto"/>
                <w:sz w:val="24"/>
                <w:highlight w:val="none"/>
                <w:lang w:val="en-US" w:eastAsia="zh-CN"/>
              </w:rPr>
              <w:t>项目技术平台方案部分能满足</w:t>
            </w:r>
            <w:r>
              <w:rPr>
                <w:rFonts w:hint="eastAsia" w:ascii="宋体" w:hAnsi="宋体"/>
                <w:color w:val="auto"/>
                <w:sz w:val="24"/>
                <w:highlight w:val="none"/>
              </w:rPr>
              <w:t>学校</w:t>
            </w:r>
            <w:r>
              <w:rPr>
                <w:rFonts w:hint="eastAsia" w:ascii="宋体" w:hAnsi="宋体"/>
                <w:color w:val="auto"/>
                <w:sz w:val="24"/>
                <w:highlight w:val="none"/>
                <w:lang w:val="en-US" w:eastAsia="zh-Hans"/>
              </w:rPr>
              <w:t>业务融合</w:t>
            </w:r>
            <w:r>
              <w:rPr>
                <w:rFonts w:hint="eastAsia" w:ascii="宋体" w:hAnsi="宋体"/>
                <w:color w:val="auto"/>
                <w:sz w:val="24"/>
                <w:highlight w:val="none"/>
                <w:lang w:val="en-US" w:eastAsia="zh-CN"/>
              </w:rPr>
              <w:t>、</w:t>
            </w:r>
            <w:r>
              <w:rPr>
                <w:rFonts w:hint="eastAsia" w:ascii="宋体" w:hAnsi="宋体"/>
                <w:color w:val="auto"/>
                <w:sz w:val="24"/>
                <w:highlight w:val="none"/>
                <w:lang w:val="en-US" w:eastAsia="zh-Hans"/>
              </w:rPr>
              <w:t>数据集成</w:t>
            </w:r>
            <w:r>
              <w:rPr>
                <w:rFonts w:hint="eastAsia" w:ascii="宋体" w:hAnsi="宋体"/>
                <w:color w:val="auto"/>
                <w:sz w:val="24"/>
                <w:highlight w:val="none"/>
                <w:lang w:eastAsia="zh-Hans"/>
              </w:rPr>
              <w:t>的可持续</w:t>
            </w:r>
            <w:r>
              <w:rPr>
                <w:rFonts w:hint="eastAsia" w:ascii="宋体" w:hAnsi="宋体"/>
                <w:color w:val="auto"/>
                <w:sz w:val="24"/>
                <w:highlight w:val="none"/>
              </w:rPr>
              <w:t>建设</w:t>
            </w:r>
            <w:r>
              <w:rPr>
                <w:rFonts w:hint="eastAsia" w:ascii="宋体" w:hAnsi="宋体"/>
                <w:color w:val="auto"/>
                <w:sz w:val="24"/>
                <w:highlight w:val="none"/>
                <w:lang w:eastAsia="zh-Hans"/>
              </w:rPr>
              <w:t>发展</w:t>
            </w:r>
            <w:r>
              <w:rPr>
                <w:rFonts w:hint="eastAsia" w:ascii="宋体" w:hAnsi="宋体"/>
                <w:color w:val="auto"/>
                <w:sz w:val="24"/>
                <w:highlight w:val="none"/>
                <w:lang w:val="en-US" w:eastAsia="zh-CN"/>
              </w:rPr>
              <w:t>的得2分；</w:t>
            </w:r>
          </w:p>
          <w:p>
            <w:pPr>
              <w:numPr>
                <w:ilvl w:val="0"/>
                <w:numId w:val="0"/>
              </w:numPr>
              <w:snapToGrid w:val="0"/>
              <w:spacing w:line="240" w:lineRule="auto"/>
              <w:ind w:left="0" w:leftChars="0" w:firstLine="0" w:firstLineChars="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4）未提供项目技术平台方案或提供的方案不满足</w:t>
            </w:r>
            <w:r>
              <w:rPr>
                <w:rFonts w:hint="eastAsia" w:ascii="宋体" w:hAnsi="宋体"/>
                <w:color w:val="auto"/>
                <w:sz w:val="24"/>
                <w:highlight w:val="none"/>
              </w:rPr>
              <w:t>学校</w:t>
            </w:r>
            <w:r>
              <w:rPr>
                <w:rFonts w:hint="eastAsia" w:ascii="宋体" w:hAnsi="宋体"/>
                <w:color w:val="auto"/>
                <w:sz w:val="24"/>
                <w:highlight w:val="none"/>
                <w:lang w:val="en-US" w:eastAsia="zh-Hans"/>
              </w:rPr>
              <w:t>业务融合</w:t>
            </w:r>
            <w:r>
              <w:rPr>
                <w:rFonts w:hint="eastAsia" w:ascii="宋体" w:hAnsi="宋体"/>
                <w:color w:val="auto"/>
                <w:sz w:val="24"/>
                <w:highlight w:val="none"/>
                <w:lang w:val="en-US" w:eastAsia="zh-CN"/>
              </w:rPr>
              <w:t>、</w:t>
            </w:r>
            <w:r>
              <w:rPr>
                <w:rFonts w:hint="eastAsia" w:ascii="宋体" w:hAnsi="宋体"/>
                <w:color w:val="auto"/>
                <w:sz w:val="24"/>
                <w:highlight w:val="none"/>
                <w:lang w:val="en-US" w:eastAsia="zh-Hans"/>
              </w:rPr>
              <w:t>数据集成</w:t>
            </w:r>
            <w:r>
              <w:rPr>
                <w:rFonts w:hint="eastAsia" w:ascii="宋体" w:hAnsi="宋体"/>
                <w:color w:val="auto"/>
                <w:sz w:val="24"/>
                <w:highlight w:val="none"/>
                <w:lang w:eastAsia="zh-Hans"/>
              </w:rPr>
              <w:t>的可持续</w:t>
            </w:r>
            <w:r>
              <w:rPr>
                <w:rFonts w:hint="eastAsia" w:ascii="宋体" w:hAnsi="宋体"/>
                <w:color w:val="auto"/>
                <w:sz w:val="24"/>
                <w:highlight w:val="none"/>
              </w:rPr>
              <w:t>建设</w:t>
            </w:r>
            <w:r>
              <w:rPr>
                <w:rFonts w:hint="eastAsia" w:ascii="宋体" w:hAnsi="宋体"/>
                <w:color w:val="auto"/>
                <w:sz w:val="24"/>
                <w:highlight w:val="none"/>
                <w:lang w:eastAsia="zh-Hans"/>
              </w:rPr>
              <w:t>发展</w:t>
            </w:r>
            <w:r>
              <w:rPr>
                <w:rFonts w:hint="eastAsia" w:ascii="宋体" w:hAnsi="宋体"/>
                <w:color w:val="auto"/>
                <w:sz w:val="24"/>
                <w:highlight w:val="none"/>
                <w:lang w:val="en-US" w:eastAsia="zh-CN"/>
              </w:rPr>
              <w:t>的得0分。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29" w:type="dxa"/>
            <w:vMerge w:val="continue"/>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sz w:val="24"/>
                <w:highlight w:val="none"/>
              </w:rPr>
            </w:pPr>
          </w:p>
        </w:tc>
        <w:tc>
          <w:tcPr>
            <w:tcW w:w="777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napToGrid w:val="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办公管理、消耗品管理、运动场馆预约、项目过程化管理、民警培训移动端应用场景进行融合的业务需求分析</w:t>
            </w:r>
            <w:r>
              <w:rPr>
                <w:rFonts w:hint="eastAsia" w:ascii="宋体" w:hAnsi="宋体" w:eastAsia="宋体" w:cs="Times New Roman"/>
                <w:color w:val="auto"/>
                <w:sz w:val="24"/>
                <w:highlight w:val="none"/>
              </w:rPr>
              <w:t>方案</w:t>
            </w:r>
            <w:r>
              <w:rPr>
                <w:rFonts w:hint="eastAsia" w:ascii="宋体" w:hAnsi="宋体" w:eastAsia="宋体" w:cs="Times New Roman"/>
                <w:color w:val="auto"/>
                <w:sz w:val="24"/>
                <w:highlight w:val="none"/>
                <w:lang w:eastAsia="zh-CN"/>
              </w:rPr>
              <w:t>：</w:t>
            </w:r>
          </w:p>
          <w:p>
            <w:pPr>
              <w:numPr>
                <w:ilvl w:val="0"/>
                <w:numId w:val="0"/>
              </w:numPr>
              <w:snapToGrid w:val="0"/>
              <w:spacing w:line="240" w:lineRule="auto"/>
              <w:ind w:right="-21" w:rightChars="-1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w:t>
            </w:r>
            <w:r>
              <w:rPr>
                <w:rFonts w:hint="eastAsia" w:ascii="宋体" w:hAnsi="宋体" w:eastAsia="宋体" w:cs="Times New Roman"/>
                <w:color w:val="auto"/>
                <w:sz w:val="24"/>
                <w:highlight w:val="none"/>
                <w:lang w:val="en-US" w:eastAsia="zh-CN"/>
              </w:rPr>
              <w:t>业务需求分析</w:t>
            </w:r>
            <w:r>
              <w:rPr>
                <w:rFonts w:hint="eastAsia" w:ascii="宋体" w:hAnsi="宋体" w:eastAsia="宋体" w:cs="Times New Roman"/>
                <w:color w:val="auto"/>
                <w:sz w:val="24"/>
                <w:highlight w:val="none"/>
              </w:rPr>
              <w:t>方案</w:t>
            </w:r>
            <w:r>
              <w:rPr>
                <w:rFonts w:hint="eastAsia" w:ascii="宋体" w:hAnsi="宋体"/>
                <w:color w:val="auto"/>
                <w:sz w:val="24"/>
                <w:highlight w:val="none"/>
                <w:lang w:val="en-US" w:eastAsia="zh-CN"/>
              </w:rPr>
              <w:t>详细，内容完整，满足采购文件要求的得5分；</w:t>
            </w:r>
          </w:p>
          <w:p>
            <w:pPr>
              <w:numPr>
                <w:ilvl w:val="0"/>
                <w:numId w:val="0"/>
              </w:numPr>
              <w:snapToGrid w:val="0"/>
              <w:spacing w:line="240" w:lineRule="auto"/>
              <w:ind w:right="-21" w:rightChars="-1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eastAsia="宋体" w:cs="Times New Roman"/>
                <w:color w:val="auto"/>
                <w:sz w:val="24"/>
                <w:highlight w:val="none"/>
                <w:lang w:val="en-US" w:eastAsia="zh-CN"/>
              </w:rPr>
              <w:t>业务需求分析</w:t>
            </w:r>
            <w:r>
              <w:rPr>
                <w:rFonts w:hint="eastAsia" w:ascii="宋体" w:hAnsi="宋体" w:eastAsia="宋体" w:cs="Times New Roman"/>
                <w:color w:val="auto"/>
                <w:sz w:val="24"/>
                <w:highlight w:val="none"/>
              </w:rPr>
              <w:t>方案</w:t>
            </w:r>
            <w:r>
              <w:rPr>
                <w:rFonts w:hint="eastAsia" w:ascii="宋体" w:hAnsi="宋体"/>
                <w:color w:val="auto"/>
                <w:sz w:val="24"/>
                <w:highlight w:val="none"/>
                <w:lang w:val="en-US" w:eastAsia="zh-CN"/>
              </w:rPr>
              <w:t>较详细，内容较</w:t>
            </w:r>
            <w:r>
              <w:rPr>
                <w:rFonts w:hint="eastAsia" w:ascii="宋体" w:hAnsi="宋体"/>
                <w:color w:val="auto"/>
                <w:sz w:val="24"/>
                <w:highlight w:val="none"/>
              </w:rPr>
              <w:t>完整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与采购文件要求的存在细微偏差的得4分；</w:t>
            </w:r>
          </w:p>
          <w:p>
            <w:pPr>
              <w:numPr>
                <w:ilvl w:val="0"/>
                <w:numId w:val="0"/>
              </w:numPr>
              <w:snapToGrid w:val="0"/>
              <w:spacing w:line="240" w:lineRule="auto"/>
              <w:ind w:right="-21" w:rightChars="-10"/>
              <w:jc w:val="left"/>
              <w:rPr>
                <w:rFonts w:hint="eastAsia" w:ascii="宋体" w:hAnsi="宋体" w:eastAsia="宋体" w:cs="宋体"/>
                <w:color w:val="auto"/>
                <w:kern w:val="2"/>
                <w:sz w:val="24"/>
                <w:highlight w:val="none"/>
                <w:lang w:val="en-US" w:eastAsia="zh-CN" w:bidi="ar-SA"/>
              </w:rPr>
            </w:pPr>
            <w:r>
              <w:rPr>
                <w:rFonts w:hint="eastAsia" w:ascii="宋体" w:hAnsi="宋体"/>
                <w:color w:val="auto"/>
                <w:sz w:val="24"/>
                <w:highlight w:val="none"/>
                <w:lang w:val="en-US" w:eastAsia="zh-CN"/>
              </w:rPr>
              <w:t>3）</w:t>
            </w:r>
            <w:r>
              <w:rPr>
                <w:rFonts w:hint="eastAsia" w:ascii="宋体" w:hAnsi="宋体" w:eastAsia="宋体" w:cs="Times New Roman"/>
                <w:color w:val="auto"/>
                <w:sz w:val="24"/>
                <w:highlight w:val="none"/>
                <w:lang w:val="en-US" w:eastAsia="zh-CN"/>
              </w:rPr>
              <w:t>业务需求分析</w:t>
            </w:r>
            <w:r>
              <w:rPr>
                <w:rFonts w:hint="eastAsia" w:ascii="宋体" w:hAnsi="宋体" w:eastAsia="宋体" w:cs="Times New Roman"/>
                <w:color w:val="auto"/>
                <w:sz w:val="24"/>
                <w:highlight w:val="none"/>
              </w:rPr>
              <w:t>方案</w:t>
            </w:r>
            <w:r>
              <w:rPr>
                <w:rFonts w:hint="eastAsia" w:ascii="宋体" w:hAnsi="宋体"/>
                <w:color w:val="auto"/>
                <w:sz w:val="24"/>
                <w:highlight w:val="none"/>
                <w:lang w:val="en-US" w:eastAsia="zh-CN"/>
              </w:rPr>
              <w:t>较简单，内容不完整，部分满足采购文件要求的得2分；</w:t>
            </w:r>
          </w:p>
          <w:p>
            <w:pPr>
              <w:rPr>
                <w:rFonts w:hint="default"/>
                <w:color w:val="auto"/>
                <w:highlight w:val="none"/>
                <w:lang w:val="en-US" w:eastAsia="zh-CN"/>
              </w:rPr>
            </w:pPr>
            <w:r>
              <w:rPr>
                <w:rFonts w:hint="eastAsia" w:ascii="宋体" w:hAnsi="宋体"/>
                <w:color w:val="auto"/>
                <w:sz w:val="24"/>
                <w:highlight w:val="none"/>
                <w:lang w:val="en-US" w:eastAsia="zh-CN"/>
              </w:rPr>
              <w:t>4）未提供</w:t>
            </w:r>
            <w:r>
              <w:rPr>
                <w:rFonts w:hint="eastAsia" w:ascii="宋体" w:hAnsi="宋体" w:eastAsia="宋体" w:cs="Times New Roman"/>
                <w:color w:val="auto"/>
                <w:sz w:val="24"/>
                <w:highlight w:val="none"/>
                <w:lang w:val="en-US" w:eastAsia="zh-CN"/>
              </w:rPr>
              <w:t>业务需求分析</w:t>
            </w:r>
            <w:r>
              <w:rPr>
                <w:rFonts w:hint="eastAsia" w:ascii="宋体" w:hAnsi="宋体" w:eastAsia="宋体" w:cs="Times New Roman"/>
                <w:color w:val="auto"/>
                <w:sz w:val="24"/>
                <w:highlight w:val="none"/>
              </w:rPr>
              <w:t>方案</w:t>
            </w:r>
            <w:r>
              <w:rPr>
                <w:rFonts w:hint="eastAsia" w:ascii="宋体" w:hAnsi="宋体"/>
                <w:color w:val="auto"/>
                <w:sz w:val="24"/>
                <w:highlight w:val="none"/>
                <w:lang w:val="en-US" w:eastAsia="zh-CN"/>
              </w:rPr>
              <w:t>或提供的方案与采购文件要求无关的不得分。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29" w:type="dxa"/>
            <w:vMerge w:val="restart"/>
            <w:tcBorders>
              <w:top w:val="single" w:color="auto" w:sz="4" w:space="0"/>
              <w:left w:val="single" w:color="auto" w:sz="4" w:space="0"/>
              <w:right w:val="single" w:color="auto" w:sz="4" w:space="0"/>
            </w:tcBorders>
            <w:noWrap w:val="0"/>
            <w:vAlign w:val="center"/>
          </w:tcPr>
          <w:p>
            <w:pPr>
              <w:pStyle w:val="17"/>
              <w:spacing w:line="240" w:lineRule="auto"/>
              <w:ind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hAnsi="宋体" w:eastAsia="宋体" w:cs="宋体"/>
                <w:color w:val="auto"/>
                <w:spacing w:val="-6"/>
                <w:kern w:val="2"/>
                <w:sz w:val="24"/>
                <w:szCs w:val="24"/>
                <w:highlight w:val="none"/>
                <w:lang w:val="en-US" w:eastAsia="zh-CN" w:bidi="ar-SA"/>
              </w:rPr>
              <w:t>5</w:t>
            </w:r>
          </w:p>
        </w:tc>
        <w:tc>
          <w:tcPr>
            <w:tcW w:w="1375" w:type="dxa"/>
            <w:vMerge w:val="restart"/>
            <w:tcBorders>
              <w:top w:val="single" w:color="auto" w:sz="4" w:space="0"/>
              <w:left w:val="single" w:color="auto" w:sz="4" w:space="0"/>
              <w:right w:val="single" w:color="auto" w:sz="4" w:space="0"/>
            </w:tcBorders>
            <w:noWrap w:val="0"/>
            <w:vAlign w:val="center"/>
          </w:tcPr>
          <w:p>
            <w:pPr>
              <w:pStyle w:val="132"/>
              <w:spacing w:line="240" w:lineRule="auto"/>
              <w:ind w:left="107" w:leftChars="0"/>
              <w:jc w:val="center"/>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实施方案</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w:t>
            </w:r>
            <w:r>
              <w:rPr>
                <w:rFonts w:hint="eastAsia" w:ascii="宋体" w:hAnsi="宋体" w:eastAsia="宋体" w:cs="Times New Roman"/>
                <w:color w:val="auto"/>
                <w:sz w:val="24"/>
                <w:highlight w:val="none"/>
              </w:rPr>
              <w:t>项目进度计划</w:t>
            </w:r>
            <w:r>
              <w:rPr>
                <w:rFonts w:hint="eastAsia" w:ascii="宋体" w:hAnsi="宋体" w:eastAsia="宋体" w:cs="Times New Roman"/>
                <w:color w:val="auto"/>
                <w:sz w:val="24"/>
                <w:highlight w:val="none"/>
                <w:lang w:val="en-US" w:eastAsia="zh-CN"/>
              </w:rPr>
              <w:t>安排：</w:t>
            </w:r>
          </w:p>
          <w:p>
            <w:pPr>
              <w:numPr>
                <w:ilvl w:val="0"/>
                <w:numId w:val="7"/>
              </w:num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进度计划合理、满足采购文件要求的得</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分</w:t>
            </w:r>
            <w:r>
              <w:rPr>
                <w:rFonts w:hint="eastAsia" w:ascii="宋体" w:hAnsi="宋体" w:eastAsia="宋体" w:cs="Times New Roman"/>
                <w:color w:val="auto"/>
                <w:sz w:val="24"/>
                <w:highlight w:val="none"/>
                <w:lang w:eastAsia="zh-CN"/>
              </w:rPr>
              <w:t>；</w:t>
            </w:r>
          </w:p>
          <w:p>
            <w:pPr>
              <w:numPr>
                <w:ilvl w:val="0"/>
                <w:numId w:val="7"/>
              </w:num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进度计划较合理、基本满足采购文件要求的得</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分</w:t>
            </w:r>
            <w:r>
              <w:rPr>
                <w:rFonts w:hint="eastAsia" w:ascii="宋体" w:hAnsi="宋体" w:eastAsia="宋体" w:cs="Times New Roman"/>
                <w:color w:val="auto"/>
                <w:sz w:val="24"/>
                <w:highlight w:val="none"/>
                <w:lang w:eastAsia="zh-CN"/>
              </w:rPr>
              <w:t>；</w:t>
            </w:r>
          </w:p>
          <w:p>
            <w:pPr>
              <w:numPr>
                <w:ilvl w:val="0"/>
                <w:numId w:val="7"/>
              </w:num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进度计划一般，</w:t>
            </w:r>
            <w:r>
              <w:rPr>
                <w:rFonts w:hint="eastAsia" w:ascii="宋体" w:hAnsi="宋体" w:eastAsia="宋体" w:cs="Times New Roman"/>
                <w:color w:val="auto"/>
                <w:sz w:val="24"/>
                <w:highlight w:val="none"/>
                <w:lang w:val="en-US" w:eastAsia="zh-CN"/>
              </w:rPr>
              <w:t>难以</w:t>
            </w:r>
            <w:r>
              <w:rPr>
                <w:rFonts w:hint="eastAsia" w:ascii="宋体" w:hAnsi="宋体" w:eastAsia="宋体" w:cs="Times New Roman"/>
                <w:color w:val="auto"/>
                <w:sz w:val="24"/>
                <w:highlight w:val="none"/>
              </w:rPr>
              <w:t>满足采购文件要求的得1分</w:t>
            </w:r>
            <w:r>
              <w:rPr>
                <w:rFonts w:hint="eastAsia" w:ascii="宋体" w:hAnsi="宋体" w:eastAsia="宋体" w:cs="Times New Roman"/>
                <w:color w:val="auto"/>
                <w:sz w:val="24"/>
                <w:highlight w:val="none"/>
                <w:lang w:eastAsia="zh-CN"/>
              </w:rPr>
              <w:t>；</w:t>
            </w:r>
          </w:p>
          <w:p>
            <w:pPr>
              <w:numPr>
                <w:ilvl w:val="0"/>
                <w:numId w:val="7"/>
              </w:num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未</w:t>
            </w:r>
            <w:r>
              <w:rPr>
                <w:rFonts w:hint="eastAsia" w:ascii="宋体" w:hAnsi="宋体" w:eastAsia="宋体" w:cs="Times New Roman"/>
                <w:color w:val="auto"/>
                <w:sz w:val="24"/>
                <w:highlight w:val="none"/>
              </w:rPr>
              <w:t>提供进度计划</w:t>
            </w:r>
            <w:r>
              <w:rPr>
                <w:rFonts w:hint="eastAsia" w:ascii="宋体" w:hAnsi="宋体" w:eastAsia="宋体" w:cs="Times New Roman"/>
                <w:color w:val="auto"/>
                <w:sz w:val="24"/>
                <w:highlight w:val="none"/>
                <w:lang w:val="en-US" w:eastAsia="zh-CN"/>
              </w:rPr>
              <w:t>或进度计划不满足采购文件要求的不得分</w:t>
            </w:r>
            <w:r>
              <w:rPr>
                <w:rFonts w:hint="eastAsia" w:ascii="宋体" w:hAnsi="宋体" w:eastAsia="宋体" w:cs="Times New Roman"/>
                <w:color w:val="auto"/>
                <w:sz w:val="24"/>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729" w:type="dxa"/>
            <w:vMerge w:val="continue"/>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kern w:val="2"/>
                <w:sz w:val="24"/>
                <w:highlight w:val="none"/>
                <w:lang w:val="en-US" w:eastAsia="zh-CN" w:bidi="ar-SA"/>
              </w:rPr>
            </w:pPr>
          </w:p>
        </w:tc>
        <w:tc>
          <w:tcPr>
            <w:tcW w:w="77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拟投入的</w:t>
            </w:r>
            <w:r>
              <w:rPr>
                <w:rFonts w:hint="eastAsia" w:ascii="宋体" w:hAnsi="宋体" w:eastAsia="宋体" w:cs="Times New Roman"/>
                <w:color w:val="auto"/>
                <w:sz w:val="24"/>
                <w:highlight w:val="none"/>
              </w:rPr>
              <w:t>作业设备、软硬件</w:t>
            </w:r>
            <w:r>
              <w:rPr>
                <w:rFonts w:hint="eastAsia" w:ascii="宋体" w:hAnsi="宋体" w:eastAsia="宋体" w:cs="Times New Roman"/>
                <w:color w:val="auto"/>
                <w:sz w:val="24"/>
                <w:highlight w:val="none"/>
                <w:lang w:val="en-US" w:eastAsia="zh-CN"/>
              </w:rPr>
              <w:t>情况：</w:t>
            </w:r>
          </w:p>
          <w:p>
            <w:pPr>
              <w:numPr>
                <w:ilvl w:val="0"/>
                <w:numId w:val="8"/>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拟投入的</w:t>
            </w:r>
            <w:r>
              <w:rPr>
                <w:rFonts w:hint="eastAsia" w:ascii="宋体" w:hAnsi="宋体" w:eastAsia="宋体" w:cs="Times New Roman"/>
                <w:color w:val="auto"/>
                <w:sz w:val="24"/>
                <w:highlight w:val="none"/>
              </w:rPr>
              <w:t>作业设备、软硬件</w:t>
            </w:r>
            <w:r>
              <w:rPr>
                <w:rFonts w:hint="eastAsia" w:ascii="宋体" w:hAnsi="宋体" w:eastAsia="宋体" w:cs="Times New Roman"/>
                <w:color w:val="auto"/>
                <w:sz w:val="24"/>
                <w:highlight w:val="none"/>
                <w:lang w:val="en-US" w:eastAsia="zh-CN"/>
              </w:rPr>
              <w:t>情况满足项目要求的得3分；</w:t>
            </w:r>
          </w:p>
          <w:p>
            <w:pPr>
              <w:numPr>
                <w:ilvl w:val="0"/>
                <w:numId w:val="8"/>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拟投入的</w:t>
            </w:r>
            <w:r>
              <w:rPr>
                <w:rFonts w:hint="eastAsia" w:ascii="宋体" w:hAnsi="宋体" w:eastAsia="宋体" w:cs="Times New Roman"/>
                <w:color w:val="auto"/>
                <w:sz w:val="24"/>
                <w:highlight w:val="none"/>
              </w:rPr>
              <w:t>作业设备、软硬件</w:t>
            </w:r>
            <w:r>
              <w:rPr>
                <w:rFonts w:hint="eastAsia" w:ascii="宋体" w:hAnsi="宋体" w:eastAsia="宋体" w:cs="Times New Roman"/>
                <w:color w:val="auto"/>
                <w:sz w:val="24"/>
                <w:highlight w:val="none"/>
                <w:lang w:val="en-US" w:eastAsia="zh-CN"/>
              </w:rPr>
              <w:t>情况基本上满足项目要求的得2分；</w:t>
            </w:r>
          </w:p>
          <w:p>
            <w:pPr>
              <w:numPr>
                <w:ilvl w:val="0"/>
                <w:numId w:val="8"/>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拟投入的</w:t>
            </w:r>
            <w:r>
              <w:rPr>
                <w:rFonts w:hint="eastAsia" w:ascii="宋体" w:hAnsi="宋体" w:eastAsia="宋体" w:cs="Times New Roman"/>
                <w:color w:val="auto"/>
                <w:sz w:val="24"/>
                <w:highlight w:val="none"/>
              </w:rPr>
              <w:t>作业设备、软硬件</w:t>
            </w:r>
            <w:r>
              <w:rPr>
                <w:rFonts w:hint="eastAsia" w:ascii="宋体" w:hAnsi="宋体" w:eastAsia="宋体" w:cs="Times New Roman"/>
                <w:color w:val="auto"/>
                <w:sz w:val="24"/>
                <w:highlight w:val="none"/>
                <w:lang w:val="en-US" w:eastAsia="zh-CN"/>
              </w:rPr>
              <w:t>情况部分满足项目要求的得1分；</w:t>
            </w:r>
          </w:p>
          <w:p>
            <w:pPr>
              <w:numPr>
                <w:ilvl w:val="0"/>
                <w:numId w:val="8"/>
              </w:numP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未提供拟投入的</w:t>
            </w:r>
            <w:r>
              <w:rPr>
                <w:rFonts w:hint="eastAsia" w:ascii="宋体" w:hAnsi="宋体" w:eastAsia="宋体" w:cs="Times New Roman"/>
                <w:color w:val="auto"/>
                <w:sz w:val="24"/>
                <w:highlight w:val="none"/>
              </w:rPr>
              <w:t>作业设备、软硬件</w:t>
            </w:r>
            <w:r>
              <w:rPr>
                <w:rFonts w:hint="eastAsia" w:ascii="宋体" w:hAnsi="宋体" w:eastAsia="宋体" w:cs="Times New Roman"/>
                <w:color w:val="auto"/>
                <w:sz w:val="24"/>
                <w:highlight w:val="none"/>
                <w:lang w:val="en-US" w:eastAsia="zh-CN"/>
              </w:rPr>
              <w:t>或提供得不符合项目要求的不得分。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729" w:type="dxa"/>
            <w:vMerge w:val="continue"/>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kern w:val="2"/>
                <w:sz w:val="24"/>
                <w:highlight w:val="none"/>
                <w:lang w:val="en-US" w:eastAsia="zh-CN" w:bidi="ar-SA"/>
              </w:rPr>
            </w:pPr>
          </w:p>
        </w:tc>
        <w:tc>
          <w:tcPr>
            <w:tcW w:w="77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olor w:val="auto"/>
                <w:sz w:val="24"/>
                <w:highlight w:val="none"/>
                <w:lang w:eastAsia="zh-CN"/>
              </w:rPr>
            </w:pPr>
            <w:r>
              <w:rPr>
                <w:rFonts w:hint="eastAsia" w:ascii="宋体" w:hAnsi="宋体"/>
                <w:color w:val="auto"/>
                <w:sz w:val="24"/>
                <w:highlight w:val="none"/>
              </w:rPr>
              <w:t>质量保证目标</w:t>
            </w:r>
            <w:r>
              <w:rPr>
                <w:rFonts w:hint="eastAsia" w:ascii="宋体" w:hAnsi="宋体"/>
                <w:color w:val="auto"/>
                <w:sz w:val="24"/>
                <w:highlight w:val="none"/>
                <w:lang w:eastAsia="zh-CN"/>
              </w:rPr>
              <w:t>、</w:t>
            </w:r>
            <w:r>
              <w:rPr>
                <w:rFonts w:hint="eastAsia" w:ascii="宋体" w:hAnsi="宋体"/>
                <w:color w:val="auto"/>
                <w:sz w:val="24"/>
                <w:highlight w:val="none"/>
              </w:rPr>
              <w:t>质量保证措施和体系</w:t>
            </w:r>
            <w:r>
              <w:rPr>
                <w:rFonts w:hint="eastAsia" w:ascii="宋体" w:hAnsi="宋体"/>
                <w:color w:val="auto"/>
                <w:sz w:val="24"/>
                <w:highlight w:val="none"/>
                <w:lang w:eastAsia="zh-CN"/>
              </w:rPr>
              <w:t>：</w:t>
            </w:r>
          </w:p>
          <w:p>
            <w:pPr>
              <w:numPr>
                <w:ilvl w:val="0"/>
                <w:numId w:val="9"/>
              </w:numPr>
              <w:rPr>
                <w:rFonts w:hint="eastAsia" w:ascii="宋体" w:hAnsi="宋体"/>
                <w:color w:val="auto"/>
                <w:sz w:val="24"/>
                <w:highlight w:val="none"/>
                <w:lang w:val="en-US" w:eastAsia="zh-CN"/>
              </w:rPr>
            </w:pPr>
            <w:r>
              <w:rPr>
                <w:rFonts w:hint="eastAsia" w:ascii="宋体" w:hAnsi="宋体"/>
                <w:color w:val="auto"/>
                <w:sz w:val="24"/>
                <w:highlight w:val="none"/>
              </w:rPr>
              <w:t>质量保证目标</w:t>
            </w:r>
            <w:r>
              <w:rPr>
                <w:rFonts w:hint="eastAsia" w:ascii="宋体" w:hAnsi="宋体"/>
                <w:color w:val="auto"/>
                <w:sz w:val="24"/>
                <w:highlight w:val="none"/>
                <w:lang w:val="en-US" w:eastAsia="zh-CN"/>
              </w:rPr>
              <w:t>明确</w:t>
            </w:r>
            <w:r>
              <w:rPr>
                <w:rFonts w:hint="eastAsia" w:ascii="宋体" w:hAnsi="宋体"/>
                <w:color w:val="auto"/>
                <w:sz w:val="24"/>
                <w:highlight w:val="none"/>
                <w:lang w:eastAsia="zh-CN"/>
              </w:rPr>
              <w:t>、</w:t>
            </w:r>
            <w:r>
              <w:rPr>
                <w:rFonts w:hint="eastAsia" w:ascii="宋体" w:hAnsi="宋体"/>
                <w:color w:val="auto"/>
                <w:sz w:val="24"/>
                <w:highlight w:val="none"/>
              </w:rPr>
              <w:t>质量保证措施</w:t>
            </w:r>
            <w:r>
              <w:rPr>
                <w:rFonts w:hint="eastAsia" w:ascii="宋体" w:hAnsi="宋体"/>
                <w:color w:val="auto"/>
                <w:sz w:val="24"/>
                <w:highlight w:val="none"/>
                <w:lang w:val="en-US" w:eastAsia="zh-CN"/>
              </w:rPr>
              <w:t>合理</w:t>
            </w:r>
            <w:r>
              <w:rPr>
                <w:rFonts w:hint="eastAsia" w:ascii="宋体" w:hAnsi="宋体"/>
                <w:color w:val="auto"/>
                <w:sz w:val="24"/>
                <w:highlight w:val="none"/>
              </w:rPr>
              <w:t>和体系</w:t>
            </w:r>
            <w:r>
              <w:rPr>
                <w:rFonts w:hint="eastAsia" w:ascii="宋体" w:hAnsi="宋体"/>
                <w:color w:val="auto"/>
                <w:sz w:val="24"/>
                <w:highlight w:val="none"/>
                <w:lang w:val="en-US" w:eastAsia="zh-CN"/>
              </w:rPr>
              <w:t>完善的得3分；</w:t>
            </w:r>
          </w:p>
          <w:p>
            <w:pPr>
              <w:numPr>
                <w:ilvl w:val="0"/>
                <w:numId w:val="9"/>
              </w:numPr>
              <w:rPr>
                <w:rFonts w:hint="default" w:ascii="宋体" w:hAnsi="宋体"/>
                <w:color w:val="auto"/>
                <w:sz w:val="24"/>
                <w:highlight w:val="none"/>
                <w:lang w:val="en-US" w:eastAsia="zh-CN"/>
              </w:rPr>
            </w:pPr>
            <w:r>
              <w:rPr>
                <w:rFonts w:hint="eastAsia" w:ascii="宋体" w:hAnsi="宋体"/>
                <w:color w:val="auto"/>
                <w:sz w:val="24"/>
                <w:highlight w:val="none"/>
              </w:rPr>
              <w:t>质量保证目标</w:t>
            </w:r>
            <w:r>
              <w:rPr>
                <w:rFonts w:hint="eastAsia" w:ascii="宋体" w:hAnsi="宋体"/>
                <w:color w:val="auto"/>
                <w:sz w:val="24"/>
                <w:highlight w:val="none"/>
                <w:lang w:val="en-US" w:eastAsia="zh-CN"/>
              </w:rPr>
              <w:t>基本明确</w:t>
            </w:r>
            <w:r>
              <w:rPr>
                <w:rFonts w:hint="eastAsia" w:ascii="宋体" w:hAnsi="宋体"/>
                <w:color w:val="auto"/>
                <w:sz w:val="24"/>
                <w:highlight w:val="none"/>
                <w:lang w:eastAsia="zh-CN"/>
              </w:rPr>
              <w:t>、</w:t>
            </w:r>
            <w:r>
              <w:rPr>
                <w:rFonts w:hint="eastAsia" w:ascii="宋体" w:hAnsi="宋体"/>
                <w:color w:val="auto"/>
                <w:sz w:val="24"/>
                <w:highlight w:val="none"/>
              </w:rPr>
              <w:t>质量保证措施</w:t>
            </w:r>
            <w:r>
              <w:rPr>
                <w:rFonts w:hint="eastAsia" w:ascii="宋体" w:hAnsi="宋体"/>
                <w:color w:val="auto"/>
                <w:sz w:val="24"/>
                <w:highlight w:val="none"/>
                <w:lang w:val="en-US" w:eastAsia="zh-CN"/>
              </w:rPr>
              <w:t>基本合理</w:t>
            </w:r>
            <w:r>
              <w:rPr>
                <w:rFonts w:hint="eastAsia" w:ascii="宋体" w:hAnsi="宋体"/>
                <w:color w:val="auto"/>
                <w:sz w:val="24"/>
                <w:highlight w:val="none"/>
              </w:rPr>
              <w:t>和体系</w:t>
            </w:r>
            <w:r>
              <w:rPr>
                <w:rFonts w:hint="eastAsia" w:ascii="宋体" w:hAnsi="宋体"/>
                <w:color w:val="auto"/>
                <w:sz w:val="24"/>
                <w:highlight w:val="none"/>
                <w:lang w:val="en-US" w:eastAsia="zh-CN"/>
              </w:rPr>
              <w:t>基本完善的得2分；</w:t>
            </w:r>
          </w:p>
          <w:p>
            <w:pPr>
              <w:numPr>
                <w:ilvl w:val="0"/>
                <w:numId w:val="9"/>
              </w:numPr>
              <w:rPr>
                <w:rFonts w:hint="default" w:ascii="宋体" w:hAnsi="宋体"/>
                <w:color w:val="auto"/>
                <w:sz w:val="24"/>
                <w:highlight w:val="none"/>
                <w:lang w:val="en-US" w:eastAsia="zh-CN"/>
              </w:rPr>
            </w:pPr>
            <w:r>
              <w:rPr>
                <w:rFonts w:hint="eastAsia" w:ascii="宋体" w:hAnsi="宋体"/>
                <w:color w:val="auto"/>
                <w:sz w:val="24"/>
                <w:highlight w:val="none"/>
              </w:rPr>
              <w:t>质量保证目标</w:t>
            </w:r>
            <w:r>
              <w:rPr>
                <w:rFonts w:hint="eastAsia" w:ascii="宋体" w:hAnsi="宋体"/>
                <w:color w:val="auto"/>
                <w:sz w:val="24"/>
                <w:highlight w:val="none"/>
                <w:lang w:val="en-US" w:eastAsia="zh-CN"/>
              </w:rPr>
              <w:t>基本明确</w:t>
            </w:r>
            <w:r>
              <w:rPr>
                <w:rFonts w:hint="eastAsia" w:ascii="宋体" w:hAnsi="宋体"/>
                <w:color w:val="auto"/>
                <w:sz w:val="24"/>
                <w:highlight w:val="none"/>
                <w:lang w:eastAsia="zh-CN"/>
              </w:rPr>
              <w:t>、</w:t>
            </w:r>
            <w:r>
              <w:rPr>
                <w:rFonts w:hint="eastAsia" w:ascii="宋体" w:hAnsi="宋体"/>
                <w:color w:val="auto"/>
                <w:sz w:val="24"/>
                <w:highlight w:val="none"/>
              </w:rPr>
              <w:t>质量保证措施</w:t>
            </w:r>
            <w:r>
              <w:rPr>
                <w:rFonts w:hint="eastAsia" w:ascii="宋体" w:hAnsi="宋体"/>
                <w:color w:val="auto"/>
                <w:sz w:val="24"/>
                <w:highlight w:val="none"/>
                <w:lang w:val="en-US" w:eastAsia="zh-CN"/>
              </w:rPr>
              <w:t>部分合理</w:t>
            </w:r>
            <w:r>
              <w:rPr>
                <w:rFonts w:hint="eastAsia" w:ascii="宋体" w:hAnsi="宋体"/>
                <w:color w:val="auto"/>
                <w:sz w:val="24"/>
                <w:highlight w:val="none"/>
              </w:rPr>
              <w:t>和体系</w:t>
            </w:r>
            <w:r>
              <w:rPr>
                <w:rFonts w:hint="eastAsia" w:ascii="宋体" w:hAnsi="宋体"/>
                <w:color w:val="auto"/>
                <w:sz w:val="24"/>
                <w:highlight w:val="none"/>
                <w:lang w:val="en-US" w:eastAsia="zh-CN"/>
              </w:rPr>
              <w:t>欠缺的得1分；</w:t>
            </w:r>
          </w:p>
          <w:p>
            <w:pPr>
              <w:numPr>
                <w:ilvl w:val="0"/>
                <w:numId w:val="9"/>
              </w:numPr>
              <w:rPr>
                <w:rFonts w:hint="default" w:ascii="宋体" w:hAnsi="宋体"/>
                <w:color w:val="auto"/>
                <w:sz w:val="24"/>
                <w:highlight w:val="none"/>
                <w:lang w:val="en-US" w:eastAsia="zh-CN"/>
              </w:rPr>
            </w:pPr>
            <w:r>
              <w:rPr>
                <w:rFonts w:hint="eastAsia" w:ascii="宋体" w:hAnsi="宋体"/>
                <w:color w:val="auto"/>
                <w:sz w:val="24"/>
                <w:highlight w:val="none"/>
                <w:lang w:val="en-US" w:eastAsia="zh-CN"/>
              </w:rPr>
              <w:t>未提供</w:t>
            </w:r>
            <w:r>
              <w:rPr>
                <w:rFonts w:hint="eastAsia" w:ascii="宋体" w:hAnsi="宋体"/>
                <w:color w:val="auto"/>
                <w:sz w:val="24"/>
                <w:highlight w:val="none"/>
              </w:rPr>
              <w:t>质量保证目标</w:t>
            </w:r>
            <w:r>
              <w:rPr>
                <w:rFonts w:hint="eastAsia" w:ascii="宋体" w:hAnsi="宋体"/>
                <w:color w:val="auto"/>
                <w:sz w:val="24"/>
                <w:highlight w:val="none"/>
                <w:lang w:eastAsia="zh-CN"/>
              </w:rPr>
              <w:t>、</w:t>
            </w:r>
            <w:r>
              <w:rPr>
                <w:rFonts w:hint="eastAsia" w:ascii="宋体" w:hAnsi="宋体"/>
                <w:color w:val="auto"/>
                <w:sz w:val="24"/>
                <w:highlight w:val="none"/>
              </w:rPr>
              <w:t>质量保证措施和体系</w:t>
            </w:r>
            <w:r>
              <w:rPr>
                <w:rFonts w:hint="eastAsia" w:ascii="宋体" w:hAnsi="宋体"/>
                <w:color w:val="auto"/>
                <w:sz w:val="24"/>
                <w:highlight w:val="none"/>
                <w:lang w:val="en-US" w:eastAsia="zh-CN"/>
              </w:rPr>
              <w:t>的得0分。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729" w:type="dxa"/>
            <w:vMerge w:val="continue"/>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kern w:val="2"/>
                <w:sz w:val="24"/>
                <w:highlight w:val="none"/>
                <w:lang w:val="en-US" w:eastAsia="zh-CN" w:bidi="ar-SA"/>
              </w:rPr>
            </w:pPr>
          </w:p>
        </w:tc>
        <w:tc>
          <w:tcPr>
            <w:tcW w:w="77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测试方案：</w:t>
            </w:r>
          </w:p>
          <w:p>
            <w:pPr>
              <w:numPr>
                <w:ilvl w:val="0"/>
                <w:numId w:val="0"/>
              </w:numP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1）测试方案详细、合理，</w:t>
            </w:r>
            <w:r>
              <w:rPr>
                <w:rFonts w:hint="eastAsia" w:ascii="宋体" w:hAnsi="宋体" w:eastAsia="宋体" w:cs="Times New Roman"/>
                <w:color w:val="auto"/>
                <w:sz w:val="24"/>
                <w:highlight w:val="none"/>
              </w:rPr>
              <w:t>满足采购文件要求的得</w:t>
            </w:r>
            <w:r>
              <w:rPr>
                <w:rFonts w:hint="default" w:ascii="宋体" w:hAnsi="宋体" w:eastAsia="宋体" w:cs="Times New Roman"/>
                <w:color w:val="auto"/>
                <w:sz w:val="24"/>
                <w:highlight w:val="none"/>
              </w:rPr>
              <w:t>3</w:t>
            </w:r>
            <w:r>
              <w:rPr>
                <w:rFonts w:hint="eastAsia" w:ascii="宋体" w:hAnsi="宋体" w:eastAsia="宋体" w:cs="Times New Roman"/>
                <w:color w:val="auto"/>
                <w:sz w:val="24"/>
                <w:highlight w:val="none"/>
              </w:rPr>
              <w:t>分</w:t>
            </w:r>
            <w:r>
              <w:rPr>
                <w:rFonts w:hint="eastAsia" w:ascii="宋体" w:hAnsi="宋体"/>
                <w:color w:val="auto"/>
                <w:sz w:val="24"/>
                <w:highlight w:val="none"/>
                <w:lang w:val="en-US" w:eastAsia="zh-CN"/>
              </w:rPr>
              <w:t>；</w:t>
            </w:r>
          </w:p>
          <w:p>
            <w:pPr>
              <w:numPr>
                <w:ilvl w:val="0"/>
                <w:numId w:val="10"/>
              </w:numPr>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测试方案较详细、较合理，基本</w:t>
            </w:r>
            <w:r>
              <w:rPr>
                <w:rFonts w:hint="eastAsia" w:ascii="宋体" w:hAnsi="宋体" w:eastAsia="宋体" w:cs="Times New Roman"/>
                <w:color w:val="auto"/>
                <w:sz w:val="24"/>
                <w:highlight w:val="none"/>
              </w:rPr>
              <w:t>满足采购文件要求的得</w:t>
            </w:r>
            <w:r>
              <w:rPr>
                <w:rFonts w:hint="default" w:ascii="宋体" w:hAnsi="宋体" w:eastAsia="宋体" w:cs="Times New Roman"/>
                <w:color w:val="auto"/>
                <w:sz w:val="24"/>
                <w:highlight w:val="none"/>
              </w:rPr>
              <w:t>2</w:t>
            </w:r>
            <w:r>
              <w:rPr>
                <w:rFonts w:hint="eastAsia" w:ascii="宋体" w:hAnsi="宋体" w:eastAsia="宋体" w:cs="Times New Roman"/>
                <w:color w:val="auto"/>
                <w:sz w:val="24"/>
                <w:highlight w:val="none"/>
              </w:rPr>
              <w:t>分</w:t>
            </w:r>
            <w:r>
              <w:rPr>
                <w:rFonts w:hint="eastAsia" w:ascii="宋体" w:hAnsi="宋体" w:eastAsia="宋体" w:cs="Times New Roman"/>
                <w:color w:val="auto"/>
                <w:sz w:val="24"/>
                <w:highlight w:val="none"/>
                <w:lang w:eastAsia="zh-CN"/>
              </w:rPr>
              <w:t>；</w:t>
            </w:r>
          </w:p>
          <w:p>
            <w:pPr>
              <w:numPr>
                <w:ilvl w:val="0"/>
                <w:numId w:val="10"/>
              </w:numPr>
              <w:rPr>
                <w:rFonts w:hint="eastAsia" w:ascii="宋体" w:hAnsi="宋体" w:eastAsia="宋体" w:cs="Times New Roman"/>
                <w:color w:val="auto"/>
                <w:sz w:val="24"/>
                <w:highlight w:val="none"/>
                <w:lang w:val="en-US" w:eastAsia="zh-CN"/>
              </w:rPr>
            </w:pPr>
            <w:r>
              <w:rPr>
                <w:rFonts w:hint="eastAsia" w:ascii="宋体" w:hAnsi="宋体"/>
                <w:color w:val="auto"/>
                <w:sz w:val="24"/>
                <w:highlight w:val="none"/>
                <w:lang w:val="en-US" w:eastAsia="zh-CN"/>
              </w:rPr>
              <w:t>测试方案较简单、部分合理，部分</w:t>
            </w:r>
            <w:r>
              <w:rPr>
                <w:rFonts w:hint="eastAsia" w:ascii="宋体" w:hAnsi="宋体" w:eastAsia="宋体" w:cs="Times New Roman"/>
                <w:color w:val="auto"/>
                <w:sz w:val="24"/>
                <w:highlight w:val="none"/>
              </w:rPr>
              <w:t>满足采购文件要求的得</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分</w:t>
            </w:r>
            <w:r>
              <w:rPr>
                <w:rFonts w:hint="eastAsia" w:ascii="宋体" w:hAnsi="宋体" w:eastAsia="宋体" w:cs="Times New Roman"/>
                <w:color w:val="auto"/>
                <w:sz w:val="24"/>
                <w:highlight w:val="none"/>
                <w:lang w:eastAsia="zh-CN"/>
              </w:rPr>
              <w:t>；</w:t>
            </w:r>
          </w:p>
          <w:p>
            <w:pPr>
              <w:numPr>
                <w:ilvl w:val="0"/>
                <w:numId w:val="1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未提供</w:t>
            </w:r>
            <w:r>
              <w:rPr>
                <w:rFonts w:hint="eastAsia" w:ascii="宋体" w:hAnsi="宋体"/>
                <w:color w:val="auto"/>
                <w:sz w:val="24"/>
                <w:highlight w:val="none"/>
                <w:lang w:val="en-US" w:eastAsia="zh-CN"/>
              </w:rPr>
              <w:t>测试方案或测试方案与采购文件要求无关的不得分。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default" w:ascii="宋体" w:hAnsi="宋体" w:eastAsia="宋体" w:cs="宋体"/>
                <w:color w:val="auto"/>
                <w:spacing w:val="-6"/>
                <w:kern w:val="2"/>
                <w:sz w:val="24"/>
                <w:szCs w:val="24"/>
                <w:highlight w:val="none"/>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29" w:type="dxa"/>
            <w:vMerge w:val="restart"/>
            <w:tcBorders>
              <w:top w:val="single" w:color="auto" w:sz="4" w:space="0"/>
              <w:left w:val="single" w:color="auto" w:sz="4" w:space="0"/>
              <w:right w:val="single" w:color="auto" w:sz="4" w:space="0"/>
            </w:tcBorders>
            <w:noWrap w:val="0"/>
            <w:vAlign w:val="center"/>
          </w:tcPr>
          <w:p>
            <w:pPr>
              <w:pStyle w:val="17"/>
              <w:spacing w:line="240" w:lineRule="auto"/>
              <w:ind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hAnsi="宋体" w:eastAsia="宋体" w:cs="宋体"/>
                <w:color w:val="auto"/>
                <w:spacing w:val="-6"/>
                <w:kern w:val="2"/>
                <w:sz w:val="24"/>
                <w:szCs w:val="24"/>
                <w:highlight w:val="none"/>
                <w:lang w:val="en-US" w:eastAsia="zh-CN" w:bidi="ar-SA"/>
              </w:rPr>
              <w:t>6</w:t>
            </w:r>
          </w:p>
        </w:tc>
        <w:tc>
          <w:tcPr>
            <w:tcW w:w="1375" w:type="dxa"/>
            <w:vMerge w:val="restart"/>
            <w:tcBorders>
              <w:top w:val="single" w:color="auto" w:sz="4" w:space="0"/>
              <w:left w:val="single" w:color="auto" w:sz="4" w:space="0"/>
              <w:right w:val="single" w:color="auto" w:sz="4" w:space="0"/>
            </w:tcBorders>
            <w:noWrap w:val="0"/>
            <w:vAlign w:val="center"/>
          </w:tcPr>
          <w:p>
            <w:pPr>
              <w:numPr>
                <w:ilvl w:val="0"/>
                <w:numId w:val="0"/>
              </w:numPr>
              <w:rPr>
                <w:rFonts w:hint="eastAsia" w:ascii="宋体" w:hAnsi="宋体" w:eastAsia="宋体" w:cs="Times New Roman"/>
                <w:color w:val="auto"/>
                <w:kern w:val="2"/>
                <w:sz w:val="24"/>
                <w:highlight w:val="none"/>
                <w:lang w:val="en-US" w:eastAsia="zh-Hans" w:bidi="ar-SA"/>
              </w:rPr>
            </w:pPr>
            <w:r>
              <w:rPr>
                <w:rFonts w:hint="eastAsia" w:ascii="宋体" w:hAnsi="宋体" w:eastAsia="宋体" w:cs="Times New Roman"/>
                <w:color w:val="auto"/>
                <w:kern w:val="2"/>
                <w:sz w:val="24"/>
                <w:highlight w:val="none"/>
                <w:lang w:val="en-US" w:eastAsia="zh-Hans" w:bidi="ar-SA"/>
              </w:rPr>
              <w:t>项目团队人员配置情况</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Times New Roman"/>
                <w:color w:val="auto"/>
                <w:sz w:val="24"/>
                <w:highlight w:val="none"/>
                <w:lang w:val="en-US" w:eastAsia="zh-Hans"/>
              </w:rPr>
            </w:pPr>
            <w:r>
              <w:rPr>
                <w:rFonts w:hint="eastAsia" w:ascii="宋体" w:hAnsi="宋体" w:eastAsia="宋体" w:cs="Times New Roman"/>
                <w:color w:val="auto"/>
                <w:sz w:val="24"/>
                <w:highlight w:val="none"/>
                <w:lang w:val="en-US" w:eastAsia="zh-Hans"/>
              </w:rPr>
              <w:t>拟派项目组团队人员中具有系统分析师、系统规划与管理师、信息安全工程师、网络工程师的每个证书得1分（同类证书不重复得分），最高得4分。</w:t>
            </w:r>
          </w:p>
          <w:p>
            <w:pPr>
              <w:numPr>
                <w:ilvl w:val="0"/>
                <w:numId w:val="0"/>
              </w:numPr>
              <w:rPr>
                <w:rFonts w:hint="eastAsia" w:ascii="宋体" w:hAnsi="宋体" w:eastAsia="宋体" w:cs="Times New Roman"/>
                <w:color w:val="auto"/>
                <w:sz w:val="24"/>
                <w:highlight w:val="none"/>
                <w:lang w:val="en-US" w:eastAsia="zh-Hans"/>
              </w:rPr>
            </w:pPr>
            <w:r>
              <w:rPr>
                <w:rFonts w:hint="eastAsia" w:ascii="宋体" w:hAnsi="宋体" w:eastAsia="宋体" w:cs="Times New Roman"/>
                <w:color w:val="auto"/>
                <w:sz w:val="24"/>
                <w:highlight w:val="none"/>
                <w:lang w:val="en-US" w:eastAsia="zh-Hans"/>
              </w:rPr>
              <w:t>证明材料：相关证书及社保扫描件加盖公章，缺一不得分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jc w:val="center"/>
        </w:trPr>
        <w:tc>
          <w:tcPr>
            <w:tcW w:w="729" w:type="dxa"/>
            <w:vMerge w:val="continue"/>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kern w:val="2"/>
                <w:sz w:val="24"/>
                <w:highlight w:val="none"/>
                <w:lang w:val="en-US" w:eastAsia="zh-Hans" w:bidi="ar-SA"/>
              </w:rPr>
            </w:pPr>
          </w:p>
        </w:tc>
        <w:tc>
          <w:tcPr>
            <w:tcW w:w="777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Times New Roman"/>
                <w:color w:val="auto"/>
                <w:sz w:val="24"/>
                <w:highlight w:val="none"/>
                <w:lang w:val="en-US" w:eastAsia="zh-Hans"/>
              </w:rPr>
            </w:pPr>
            <w:r>
              <w:rPr>
                <w:rFonts w:hint="eastAsia" w:ascii="宋体" w:hAnsi="宋体" w:eastAsia="宋体" w:cs="Times New Roman"/>
                <w:color w:val="auto"/>
                <w:sz w:val="24"/>
                <w:highlight w:val="none"/>
              </w:rPr>
              <w:t>项目组</w:t>
            </w:r>
            <w:r>
              <w:rPr>
                <w:rFonts w:hint="eastAsia" w:ascii="宋体" w:hAnsi="宋体" w:eastAsia="宋体" w:cs="Times New Roman"/>
                <w:color w:val="auto"/>
                <w:sz w:val="24"/>
                <w:highlight w:val="none"/>
                <w:lang w:val="en-US" w:eastAsia="zh-CN"/>
              </w:rPr>
              <w:t>团</w:t>
            </w:r>
            <w:r>
              <w:rPr>
                <w:rFonts w:hint="eastAsia" w:ascii="宋体" w:hAnsi="宋体" w:eastAsia="宋体" w:cs="Times New Roman"/>
                <w:color w:val="auto"/>
                <w:sz w:val="24"/>
                <w:highlight w:val="none"/>
                <w:lang w:val="en-US" w:eastAsia="zh-Hans"/>
              </w:rPr>
              <w:t>队</w:t>
            </w:r>
            <w:r>
              <w:rPr>
                <w:rFonts w:hint="eastAsia" w:ascii="宋体" w:hAnsi="宋体" w:eastAsia="宋体" w:cs="Times New Roman"/>
                <w:color w:val="auto"/>
                <w:sz w:val="24"/>
                <w:highlight w:val="none"/>
                <w:lang w:eastAsia="zh-Hans"/>
              </w:rPr>
              <w:t>人员</w:t>
            </w:r>
            <w:r>
              <w:rPr>
                <w:rFonts w:hint="eastAsia" w:ascii="宋体" w:hAnsi="宋体" w:eastAsia="宋体" w:cs="Times New Roman"/>
                <w:color w:val="auto"/>
                <w:sz w:val="24"/>
                <w:highlight w:val="none"/>
                <w:lang w:val="en-US" w:eastAsia="zh-CN"/>
              </w:rPr>
              <w:t>配置</w:t>
            </w:r>
            <w:r>
              <w:rPr>
                <w:rFonts w:hint="eastAsia" w:ascii="宋体" w:hAnsi="宋体" w:eastAsia="宋体" w:cs="Times New Roman"/>
                <w:color w:val="auto"/>
                <w:sz w:val="24"/>
                <w:highlight w:val="none"/>
                <w:lang w:val="en-US" w:eastAsia="zh-Hans"/>
              </w:rPr>
              <w:t>情况（包括项目经理、技术负责人、需求人员、系统分析师、软件开发人员、测试人员、用户培训人员、实施人员、运行维护人员等角色）：</w:t>
            </w:r>
          </w:p>
          <w:p>
            <w:pPr>
              <w:numPr>
                <w:ilvl w:val="0"/>
                <w:numId w:val="0"/>
              </w:numPr>
              <w:rPr>
                <w:rFonts w:hint="eastAsia" w:ascii="宋体" w:hAnsi="宋体" w:eastAsia="宋体" w:cs="Times New Roman"/>
                <w:color w:val="auto"/>
                <w:sz w:val="24"/>
                <w:highlight w:val="none"/>
                <w:lang w:val="en-US" w:eastAsia="zh-Hans"/>
              </w:rPr>
            </w:pPr>
            <w:r>
              <w:rPr>
                <w:rFonts w:hint="eastAsia" w:ascii="宋体" w:hAnsi="宋体" w:eastAsia="宋体" w:cs="Times New Roman"/>
                <w:color w:val="auto"/>
                <w:sz w:val="24"/>
                <w:highlight w:val="none"/>
                <w:lang w:val="en-US" w:eastAsia="zh-Hans"/>
              </w:rPr>
              <w:t>1）</w:t>
            </w:r>
            <w:r>
              <w:rPr>
                <w:rFonts w:hint="eastAsia" w:ascii="宋体" w:hAnsi="宋体" w:eastAsia="宋体" w:cs="Times New Roman"/>
                <w:color w:val="auto"/>
                <w:sz w:val="24"/>
                <w:highlight w:val="none"/>
                <w:lang w:eastAsia="zh-Hans"/>
              </w:rPr>
              <w:t>项目组</w:t>
            </w:r>
            <w:r>
              <w:rPr>
                <w:rFonts w:hint="eastAsia" w:ascii="宋体" w:hAnsi="宋体" w:eastAsia="宋体" w:cs="Times New Roman"/>
                <w:color w:val="auto"/>
                <w:sz w:val="24"/>
                <w:highlight w:val="none"/>
                <w:lang w:val="en-US" w:eastAsia="zh-Hans"/>
              </w:rPr>
              <w:t>团队</w:t>
            </w:r>
            <w:r>
              <w:rPr>
                <w:rFonts w:hint="eastAsia" w:ascii="宋体" w:hAnsi="宋体" w:eastAsia="宋体" w:cs="Times New Roman"/>
                <w:color w:val="auto"/>
                <w:sz w:val="24"/>
                <w:highlight w:val="none"/>
                <w:lang w:eastAsia="zh-Hans"/>
              </w:rPr>
              <w:t>人员</w:t>
            </w:r>
            <w:r>
              <w:rPr>
                <w:rFonts w:hint="eastAsia" w:ascii="宋体" w:hAnsi="宋体" w:eastAsia="宋体" w:cs="Times New Roman"/>
                <w:color w:val="auto"/>
                <w:sz w:val="24"/>
                <w:highlight w:val="none"/>
                <w:lang w:val="en-US" w:eastAsia="zh-CN"/>
              </w:rPr>
              <w:t>配置</w:t>
            </w:r>
            <w:r>
              <w:rPr>
                <w:rFonts w:hint="eastAsia" w:ascii="宋体" w:hAnsi="宋体" w:eastAsia="宋体" w:cs="Times New Roman"/>
                <w:color w:val="auto"/>
                <w:sz w:val="24"/>
                <w:highlight w:val="none"/>
                <w:lang w:val="en-US" w:eastAsia="zh-Hans"/>
              </w:rPr>
              <w:t>合理、分工明确，人员配置满足项目要求的得4分；</w:t>
            </w:r>
          </w:p>
          <w:p>
            <w:pPr>
              <w:numPr>
                <w:ilvl w:val="0"/>
                <w:numId w:val="0"/>
              </w:numPr>
              <w:rPr>
                <w:rFonts w:hint="eastAsia" w:ascii="宋体" w:hAnsi="宋体" w:eastAsia="宋体" w:cs="Times New Roman"/>
                <w:color w:val="auto"/>
                <w:sz w:val="24"/>
                <w:highlight w:val="none"/>
                <w:lang w:val="en-US" w:eastAsia="zh-Hans"/>
              </w:rPr>
            </w:pPr>
            <w:r>
              <w:rPr>
                <w:rFonts w:hint="eastAsia" w:ascii="宋体" w:hAnsi="宋体" w:eastAsia="宋体" w:cs="Times New Roman"/>
                <w:color w:val="auto"/>
                <w:sz w:val="24"/>
                <w:highlight w:val="none"/>
                <w:lang w:val="en-US" w:eastAsia="zh-Hans"/>
              </w:rPr>
              <w:t>2）</w:t>
            </w:r>
            <w:r>
              <w:rPr>
                <w:rFonts w:hint="eastAsia" w:ascii="宋体" w:hAnsi="宋体" w:eastAsia="宋体" w:cs="Times New Roman"/>
                <w:color w:val="auto"/>
                <w:sz w:val="24"/>
                <w:highlight w:val="none"/>
                <w:lang w:eastAsia="zh-Hans"/>
              </w:rPr>
              <w:t>项目组</w:t>
            </w:r>
            <w:r>
              <w:rPr>
                <w:rFonts w:hint="eastAsia" w:ascii="宋体" w:hAnsi="宋体" w:eastAsia="宋体" w:cs="Times New Roman"/>
                <w:color w:val="auto"/>
                <w:sz w:val="24"/>
                <w:highlight w:val="none"/>
                <w:lang w:val="en-US" w:eastAsia="zh-Hans"/>
              </w:rPr>
              <w:t>团队</w:t>
            </w:r>
            <w:r>
              <w:rPr>
                <w:rFonts w:hint="eastAsia" w:ascii="宋体" w:hAnsi="宋体" w:eastAsia="宋体" w:cs="Times New Roman"/>
                <w:color w:val="auto"/>
                <w:sz w:val="24"/>
                <w:highlight w:val="none"/>
                <w:lang w:eastAsia="zh-Hans"/>
              </w:rPr>
              <w:t>人员</w:t>
            </w:r>
            <w:r>
              <w:rPr>
                <w:rFonts w:hint="eastAsia" w:ascii="宋体" w:hAnsi="宋体" w:eastAsia="宋体" w:cs="Times New Roman"/>
                <w:color w:val="auto"/>
                <w:sz w:val="24"/>
                <w:highlight w:val="none"/>
                <w:lang w:val="en-US" w:eastAsia="zh-CN"/>
              </w:rPr>
              <w:t>配置</w:t>
            </w:r>
            <w:r>
              <w:rPr>
                <w:rFonts w:hint="eastAsia" w:ascii="宋体" w:hAnsi="宋体" w:eastAsia="宋体" w:cs="Times New Roman"/>
                <w:color w:val="auto"/>
                <w:sz w:val="24"/>
                <w:highlight w:val="none"/>
                <w:lang w:val="en-US" w:eastAsia="zh-Hans"/>
              </w:rPr>
              <w:t>基本合理、分工基本明确，人员配置基本满足项目要求的得3分；</w:t>
            </w:r>
          </w:p>
          <w:p>
            <w:pPr>
              <w:numPr>
                <w:ilvl w:val="0"/>
                <w:numId w:val="0"/>
              </w:numPr>
              <w:rPr>
                <w:rFonts w:hint="eastAsia" w:ascii="宋体" w:hAnsi="宋体" w:eastAsia="宋体" w:cs="Times New Roman"/>
                <w:color w:val="auto"/>
                <w:sz w:val="24"/>
                <w:highlight w:val="none"/>
                <w:lang w:val="en-US" w:eastAsia="zh-Hans"/>
              </w:rPr>
            </w:pPr>
            <w:r>
              <w:rPr>
                <w:rFonts w:hint="eastAsia" w:ascii="宋体" w:hAnsi="宋体" w:eastAsia="宋体" w:cs="Times New Roman"/>
                <w:color w:val="auto"/>
                <w:kern w:val="2"/>
                <w:sz w:val="24"/>
                <w:highlight w:val="none"/>
                <w:lang w:val="en-US" w:eastAsia="zh-Hans" w:bidi="ar-SA"/>
              </w:rPr>
              <w:t>3）</w:t>
            </w:r>
            <w:r>
              <w:rPr>
                <w:rFonts w:hint="eastAsia" w:ascii="宋体" w:hAnsi="宋体" w:eastAsia="宋体" w:cs="Times New Roman"/>
                <w:color w:val="auto"/>
                <w:sz w:val="24"/>
                <w:highlight w:val="none"/>
                <w:lang w:eastAsia="zh-Hans"/>
              </w:rPr>
              <w:t>项目组</w:t>
            </w:r>
            <w:r>
              <w:rPr>
                <w:rFonts w:hint="eastAsia" w:ascii="宋体" w:hAnsi="宋体" w:eastAsia="宋体" w:cs="Times New Roman"/>
                <w:color w:val="auto"/>
                <w:sz w:val="24"/>
                <w:highlight w:val="none"/>
                <w:lang w:val="en-US" w:eastAsia="zh-Hans"/>
              </w:rPr>
              <w:t>团队</w:t>
            </w:r>
            <w:r>
              <w:rPr>
                <w:rFonts w:hint="eastAsia" w:ascii="宋体" w:hAnsi="宋体" w:eastAsia="宋体" w:cs="Times New Roman"/>
                <w:color w:val="auto"/>
                <w:sz w:val="24"/>
                <w:highlight w:val="none"/>
                <w:lang w:eastAsia="zh-Hans"/>
              </w:rPr>
              <w:t>人员</w:t>
            </w:r>
            <w:r>
              <w:rPr>
                <w:rFonts w:hint="eastAsia" w:ascii="宋体" w:hAnsi="宋体" w:eastAsia="宋体" w:cs="Times New Roman"/>
                <w:color w:val="auto"/>
                <w:sz w:val="24"/>
                <w:highlight w:val="none"/>
                <w:lang w:val="en-US" w:eastAsia="zh-CN"/>
              </w:rPr>
              <w:t>配置</w:t>
            </w:r>
            <w:r>
              <w:rPr>
                <w:rFonts w:hint="eastAsia" w:ascii="宋体" w:hAnsi="宋体" w:eastAsia="宋体" w:cs="Times New Roman"/>
                <w:color w:val="auto"/>
                <w:sz w:val="24"/>
                <w:highlight w:val="none"/>
                <w:lang w:val="en-US" w:eastAsia="zh-Hans"/>
              </w:rPr>
              <w:t>不太合理、分工不明确，人员配置</w:t>
            </w:r>
            <w:r>
              <w:rPr>
                <w:rFonts w:hint="eastAsia" w:ascii="宋体" w:hAnsi="宋体" w:eastAsia="宋体" w:cs="Times New Roman"/>
                <w:color w:val="auto"/>
                <w:sz w:val="24"/>
                <w:highlight w:val="none"/>
                <w:lang w:val="en-US" w:eastAsia="zh-CN"/>
              </w:rPr>
              <w:t>难以</w:t>
            </w:r>
            <w:r>
              <w:rPr>
                <w:rFonts w:hint="eastAsia" w:ascii="宋体" w:hAnsi="宋体" w:eastAsia="宋体" w:cs="Times New Roman"/>
                <w:color w:val="auto"/>
                <w:sz w:val="24"/>
                <w:highlight w:val="none"/>
                <w:lang w:val="en-US" w:eastAsia="zh-Hans"/>
              </w:rPr>
              <w:t>满足项目要求的得1分；</w:t>
            </w:r>
          </w:p>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Hans"/>
              </w:rPr>
              <w:t>4）未提供</w:t>
            </w:r>
            <w:r>
              <w:rPr>
                <w:rFonts w:hint="eastAsia" w:ascii="宋体" w:hAnsi="宋体" w:eastAsia="宋体" w:cs="Times New Roman"/>
                <w:color w:val="auto"/>
                <w:sz w:val="24"/>
                <w:highlight w:val="none"/>
                <w:lang w:eastAsia="zh-Hans"/>
              </w:rPr>
              <w:t>项目组</w:t>
            </w:r>
            <w:r>
              <w:rPr>
                <w:rFonts w:hint="eastAsia" w:ascii="宋体" w:hAnsi="宋体" w:eastAsia="宋体" w:cs="Times New Roman"/>
                <w:color w:val="auto"/>
                <w:sz w:val="24"/>
                <w:highlight w:val="none"/>
                <w:lang w:val="en-US" w:eastAsia="zh-Hans"/>
              </w:rPr>
              <w:t>团队</w:t>
            </w:r>
            <w:r>
              <w:rPr>
                <w:rFonts w:hint="eastAsia" w:ascii="宋体" w:hAnsi="宋体" w:eastAsia="宋体" w:cs="Times New Roman"/>
                <w:color w:val="auto"/>
                <w:sz w:val="24"/>
                <w:highlight w:val="none"/>
                <w:lang w:eastAsia="zh-Hans"/>
              </w:rPr>
              <w:t>人员</w:t>
            </w:r>
            <w:r>
              <w:rPr>
                <w:rFonts w:hint="eastAsia" w:ascii="宋体" w:hAnsi="宋体" w:eastAsia="宋体" w:cs="Times New Roman"/>
                <w:color w:val="auto"/>
                <w:sz w:val="24"/>
                <w:highlight w:val="none"/>
                <w:lang w:val="en-US" w:eastAsia="zh-CN"/>
              </w:rPr>
              <w:t>配置</w:t>
            </w:r>
            <w:r>
              <w:rPr>
                <w:rFonts w:hint="eastAsia" w:ascii="宋体" w:hAnsi="宋体" w:eastAsia="宋体" w:cs="Times New Roman"/>
                <w:color w:val="auto"/>
                <w:sz w:val="24"/>
                <w:highlight w:val="none"/>
                <w:lang w:val="en-US" w:eastAsia="zh-Hans"/>
              </w:rPr>
              <w:t>情况的不得分。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29" w:type="dxa"/>
            <w:tcBorders>
              <w:left w:val="single" w:color="auto" w:sz="4" w:space="0"/>
              <w:right w:val="single" w:color="auto" w:sz="4" w:space="0"/>
            </w:tcBorders>
            <w:noWrap w:val="0"/>
            <w:vAlign w:val="center"/>
          </w:tcPr>
          <w:p>
            <w:pPr>
              <w:pStyle w:val="17"/>
              <w:spacing w:line="240" w:lineRule="auto"/>
              <w:ind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hAnsi="宋体" w:eastAsia="宋体" w:cs="宋体"/>
                <w:color w:val="auto"/>
                <w:spacing w:val="-6"/>
                <w:kern w:val="2"/>
                <w:sz w:val="24"/>
                <w:szCs w:val="24"/>
                <w:highlight w:val="none"/>
                <w:lang w:val="en-US" w:eastAsia="zh-CN" w:bidi="ar-SA"/>
              </w:rPr>
              <w:t>7</w:t>
            </w:r>
          </w:p>
        </w:tc>
        <w:tc>
          <w:tcPr>
            <w:tcW w:w="1375" w:type="dxa"/>
            <w:tcBorders>
              <w:left w:val="single" w:color="auto" w:sz="4" w:space="0"/>
              <w:right w:val="single" w:color="auto" w:sz="4" w:space="0"/>
            </w:tcBorders>
            <w:noWrap w:val="0"/>
            <w:vAlign w:val="center"/>
          </w:tcPr>
          <w:p>
            <w:pPr>
              <w:pStyle w:val="132"/>
              <w:spacing w:line="240" w:lineRule="auto"/>
              <w:ind w:left="107" w:leftChars="0"/>
              <w:jc w:val="center"/>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培训计划</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Times New Roman"/>
                <w:color w:val="auto"/>
                <w:sz w:val="24"/>
                <w:highlight w:val="none"/>
                <w:lang w:val="en-US" w:eastAsia="zh-Hans"/>
              </w:rPr>
            </w:pPr>
            <w:r>
              <w:rPr>
                <w:rFonts w:hint="eastAsia" w:ascii="宋体" w:hAnsi="宋体" w:eastAsia="宋体" w:cs="Times New Roman"/>
                <w:color w:val="auto"/>
                <w:sz w:val="24"/>
                <w:highlight w:val="none"/>
                <w:lang w:val="en-US" w:eastAsia="zh-Hans"/>
              </w:rPr>
              <w:t>培训计划(包括</w:t>
            </w:r>
            <w:r>
              <w:rPr>
                <w:rFonts w:hint="eastAsia" w:ascii="宋体" w:hAnsi="宋体" w:eastAsia="宋体" w:cs="Times New Roman"/>
                <w:color w:val="auto"/>
                <w:sz w:val="24"/>
                <w:highlight w:val="none"/>
                <w:lang w:eastAsia="zh-Hans"/>
              </w:rPr>
              <w:t>培训</w:t>
            </w:r>
            <w:r>
              <w:rPr>
                <w:rFonts w:hint="eastAsia" w:ascii="宋体" w:hAnsi="宋体" w:eastAsia="宋体" w:cs="Times New Roman"/>
                <w:color w:val="auto"/>
                <w:sz w:val="24"/>
                <w:highlight w:val="none"/>
                <w:lang w:val="en-US" w:eastAsia="zh-Hans"/>
              </w:rPr>
              <w:t>内容</w:t>
            </w:r>
            <w:r>
              <w:rPr>
                <w:rFonts w:hint="eastAsia" w:ascii="宋体" w:hAnsi="宋体" w:eastAsia="宋体" w:cs="Times New Roman"/>
                <w:color w:val="auto"/>
                <w:sz w:val="24"/>
                <w:highlight w:val="none"/>
                <w:lang w:eastAsia="zh-Hans"/>
              </w:rPr>
              <w:t>、人数、地点</w:t>
            </w:r>
            <w:r>
              <w:rPr>
                <w:rFonts w:hint="eastAsia" w:ascii="宋体" w:hAnsi="宋体" w:eastAsia="宋体" w:cs="Times New Roman"/>
                <w:color w:val="auto"/>
                <w:sz w:val="24"/>
                <w:highlight w:val="none"/>
                <w:lang w:val="en-US" w:eastAsia="zh-Hans"/>
              </w:rPr>
              <w:t>)：</w:t>
            </w:r>
          </w:p>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Hans"/>
              </w:rPr>
              <w:t>1）</w:t>
            </w:r>
            <w:r>
              <w:rPr>
                <w:rFonts w:hint="eastAsia" w:ascii="宋体" w:hAnsi="宋体" w:eastAsia="宋体" w:cs="Times New Roman"/>
                <w:color w:val="auto"/>
                <w:sz w:val="24"/>
                <w:highlight w:val="none"/>
                <w:lang w:val="en-US" w:eastAsia="zh-CN"/>
              </w:rPr>
              <w:t>培训计划(包括</w:t>
            </w:r>
            <w:r>
              <w:rPr>
                <w:rFonts w:hint="eastAsia" w:ascii="宋体" w:hAnsi="宋体" w:eastAsia="宋体" w:cs="Times New Roman"/>
                <w:color w:val="auto"/>
                <w:sz w:val="24"/>
                <w:highlight w:val="none"/>
                <w:lang w:eastAsia="zh-CN"/>
              </w:rPr>
              <w:t>培训</w:t>
            </w:r>
            <w:r>
              <w:rPr>
                <w:rFonts w:hint="eastAsia" w:ascii="宋体" w:hAnsi="宋体" w:eastAsia="宋体" w:cs="Times New Roman"/>
                <w:color w:val="auto"/>
                <w:sz w:val="24"/>
                <w:highlight w:val="none"/>
                <w:lang w:val="en-US" w:eastAsia="zh-CN"/>
              </w:rPr>
              <w:t>内容</w:t>
            </w:r>
            <w:r>
              <w:rPr>
                <w:rFonts w:hint="eastAsia" w:ascii="宋体" w:hAnsi="宋体" w:eastAsia="宋体" w:cs="Times New Roman"/>
                <w:color w:val="auto"/>
                <w:sz w:val="24"/>
                <w:highlight w:val="none"/>
                <w:lang w:eastAsia="zh-CN"/>
              </w:rPr>
              <w:t>、人数、地点</w:t>
            </w:r>
            <w:r>
              <w:rPr>
                <w:rFonts w:hint="eastAsia" w:ascii="宋体" w:hAnsi="宋体" w:eastAsia="宋体" w:cs="Times New Roman"/>
                <w:color w:val="auto"/>
                <w:sz w:val="24"/>
                <w:highlight w:val="none"/>
                <w:lang w:val="en-US" w:eastAsia="zh-CN"/>
              </w:rPr>
              <w:t>)详细、内容完整，</w:t>
            </w:r>
            <w:r>
              <w:rPr>
                <w:rFonts w:hint="eastAsia" w:ascii="宋体" w:hAnsi="宋体" w:eastAsia="宋体" w:cs="Times New Roman"/>
                <w:color w:val="auto"/>
                <w:sz w:val="24"/>
                <w:highlight w:val="none"/>
                <w:lang w:val="en-US" w:eastAsia="zh-Hans"/>
              </w:rPr>
              <w:t>满足项目要求的得</w:t>
            </w:r>
            <w:r>
              <w:rPr>
                <w:rFonts w:hint="default" w:ascii="宋体" w:hAnsi="宋体" w:eastAsia="宋体" w:cs="Times New Roman"/>
                <w:color w:val="auto"/>
                <w:sz w:val="24"/>
                <w:highlight w:val="none"/>
                <w:lang w:eastAsia="zh-Hans"/>
              </w:rPr>
              <w:t>3</w:t>
            </w:r>
            <w:r>
              <w:rPr>
                <w:rFonts w:hint="eastAsia" w:ascii="宋体" w:hAnsi="宋体" w:eastAsia="宋体" w:cs="Times New Roman"/>
                <w:color w:val="auto"/>
                <w:sz w:val="24"/>
                <w:highlight w:val="none"/>
                <w:lang w:val="en-US" w:eastAsia="zh-Hans"/>
              </w:rPr>
              <w:t>分</w:t>
            </w:r>
            <w:r>
              <w:rPr>
                <w:rFonts w:hint="eastAsia" w:ascii="宋体" w:hAnsi="宋体" w:eastAsia="宋体" w:cs="Times New Roman"/>
                <w:color w:val="auto"/>
                <w:sz w:val="24"/>
                <w:highlight w:val="none"/>
                <w:lang w:val="en-US" w:eastAsia="zh-CN"/>
              </w:rPr>
              <w:t>；</w:t>
            </w:r>
          </w:p>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Hans"/>
              </w:rPr>
              <w:t>2）培训计划(包括</w:t>
            </w:r>
            <w:r>
              <w:rPr>
                <w:rFonts w:hint="eastAsia" w:ascii="宋体" w:hAnsi="宋体" w:eastAsia="宋体" w:cs="Times New Roman"/>
                <w:color w:val="auto"/>
                <w:sz w:val="24"/>
                <w:highlight w:val="none"/>
                <w:lang w:eastAsia="zh-Hans"/>
              </w:rPr>
              <w:t>培训</w:t>
            </w:r>
            <w:r>
              <w:rPr>
                <w:rFonts w:hint="eastAsia" w:ascii="宋体" w:hAnsi="宋体" w:eastAsia="宋体" w:cs="Times New Roman"/>
                <w:color w:val="auto"/>
                <w:sz w:val="24"/>
                <w:highlight w:val="none"/>
                <w:lang w:val="en-US" w:eastAsia="zh-Hans"/>
              </w:rPr>
              <w:t>内容</w:t>
            </w:r>
            <w:r>
              <w:rPr>
                <w:rFonts w:hint="eastAsia" w:ascii="宋体" w:hAnsi="宋体" w:eastAsia="宋体" w:cs="Times New Roman"/>
                <w:color w:val="auto"/>
                <w:sz w:val="24"/>
                <w:highlight w:val="none"/>
                <w:lang w:eastAsia="zh-Hans"/>
              </w:rPr>
              <w:t>、人数、地点</w:t>
            </w:r>
            <w:r>
              <w:rPr>
                <w:rFonts w:hint="eastAsia" w:ascii="宋体" w:hAnsi="宋体" w:eastAsia="宋体" w:cs="Times New Roman"/>
                <w:color w:val="auto"/>
                <w:sz w:val="24"/>
                <w:highlight w:val="none"/>
                <w:lang w:val="en-US" w:eastAsia="zh-Hans"/>
              </w:rPr>
              <w:t>)</w:t>
            </w:r>
            <w:r>
              <w:rPr>
                <w:rFonts w:hint="eastAsia" w:ascii="宋体" w:hAnsi="宋体" w:eastAsia="宋体" w:cs="Times New Roman"/>
                <w:color w:val="auto"/>
                <w:sz w:val="24"/>
                <w:highlight w:val="none"/>
                <w:lang w:val="en-US" w:eastAsia="zh-CN"/>
              </w:rPr>
              <w:t>较详细、内容较完整，</w:t>
            </w:r>
            <w:r>
              <w:rPr>
                <w:rFonts w:hint="eastAsia" w:ascii="宋体" w:hAnsi="宋体" w:eastAsia="宋体" w:cs="Times New Roman"/>
                <w:color w:val="auto"/>
                <w:sz w:val="24"/>
                <w:highlight w:val="none"/>
                <w:lang w:val="en-US" w:eastAsia="zh-Hans"/>
              </w:rPr>
              <w:t>基本满足项目要求的得</w:t>
            </w:r>
            <w:r>
              <w:rPr>
                <w:rFonts w:hint="default" w:ascii="宋体" w:hAnsi="宋体" w:eastAsia="宋体" w:cs="Times New Roman"/>
                <w:color w:val="auto"/>
                <w:sz w:val="24"/>
                <w:highlight w:val="none"/>
                <w:lang w:eastAsia="zh-Hans"/>
              </w:rPr>
              <w:t>2</w:t>
            </w:r>
            <w:r>
              <w:rPr>
                <w:rFonts w:hint="eastAsia" w:ascii="宋体" w:hAnsi="宋体" w:eastAsia="宋体" w:cs="Times New Roman"/>
                <w:color w:val="auto"/>
                <w:sz w:val="24"/>
                <w:highlight w:val="none"/>
                <w:lang w:val="en-US" w:eastAsia="zh-CN"/>
              </w:rPr>
              <w:t>分；</w:t>
            </w:r>
          </w:p>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Hans"/>
              </w:rPr>
              <w:t>3）培训计划(包括</w:t>
            </w:r>
            <w:r>
              <w:rPr>
                <w:rFonts w:hint="eastAsia" w:ascii="宋体" w:hAnsi="宋体" w:eastAsia="宋体" w:cs="Times New Roman"/>
                <w:color w:val="auto"/>
                <w:sz w:val="24"/>
                <w:highlight w:val="none"/>
                <w:lang w:eastAsia="zh-Hans"/>
              </w:rPr>
              <w:t>培训</w:t>
            </w:r>
            <w:r>
              <w:rPr>
                <w:rFonts w:hint="eastAsia" w:ascii="宋体" w:hAnsi="宋体" w:eastAsia="宋体" w:cs="Times New Roman"/>
                <w:color w:val="auto"/>
                <w:sz w:val="24"/>
                <w:highlight w:val="none"/>
                <w:lang w:val="en-US" w:eastAsia="zh-Hans"/>
              </w:rPr>
              <w:t>内容</w:t>
            </w:r>
            <w:r>
              <w:rPr>
                <w:rFonts w:hint="eastAsia" w:ascii="宋体" w:hAnsi="宋体" w:eastAsia="宋体" w:cs="Times New Roman"/>
                <w:color w:val="auto"/>
                <w:sz w:val="24"/>
                <w:highlight w:val="none"/>
                <w:lang w:eastAsia="zh-Hans"/>
              </w:rPr>
              <w:t>、人数、地点</w:t>
            </w:r>
            <w:r>
              <w:rPr>
                <w:rFonts w:hint="eastAsia" w:ascii="宋体" w:hAnsi="宋体" w:eastAsia="宋体" w:cs="Times New Roman"/>
                <w:color w:val="auto"/>
                <w:sz w:val="24"/>
                <w:highlight w:val="none"/>
                <w:lang w:val="en-US" w:eastAsia="zh-Hans"/>
              </w:rPr>
              <w:t>)</w:t>
            </w:r>
            <w:r>
              <w:rPr>
                <w:rFonts w:hint="eastAsia" w:ascii="宋体" w:hAnsi="宋体" w:eastAsia="宋体" w:cs="Times New Roman"/>
                <w:color w:val="auto"/>
                <w:sz w:val="24"/>
                <w:highlight w:val="none"/>
                <w:lang w:val="en-US" w:eastAsia="zh-CN"/>
              </w:rPr>
              <w:t>较简单，内容不完整，部分</w:t>
            </w:r>
            <w:r>
              <w:rPr>
                <w:rFonts w:hint="eastAsia" w:ascii="宋体" w:hAnsi="宋体" w:eastAsia="宋体" w:cs="Times New Roman"/>
                <w:color w:val="auto"/>
                <w:sz w:val="24"/>
                <w:highlight w:val="none"/>
                <w:lang w:val="en-US" w:eastAsia="zh-Hans"/>
              </w:rPr>
              <w:t>满足项目要求的得</w:t>
            </w:r>
            <w:r>
              <w:rPr>
                <w:rFonts w:hint="eastAsia" w:ascii="宋体" w:hAnsi="宋体" w:eastAsia="宋体" w:cs="Times New Roman"/>
                <w:color w:val="auto"/>
                <w:sz w:val="24"/>
                <w:highlight w:val="none"/>
                <w:lang w:val="en-US" w:eastAsia="zh-CN"/>
              </w:rPr>
              <w:t>1分；</w:t>
            </w:r>
          </w:p>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Hans"/>
              </w:rPr>
              <w:t>4）</w:t>
            </w:r>
            <w:r>
              <w:rPr>
                <w:rFonts w:hint="eastAsia" w:ascii="宋体" w:hAnsi="宋体" w:eastAsia="宋体" w:cs="Times New Roman"/>
                <w:color w:val="auto"/>
                <w:sz w:val="24"/>
                <w:highlight w:val="none"/>
                <w:lang w:val="en-US" w:eastAsia="zh-CN"/>
              </w:rPr>
              <w:t>未提供</w:t>
            </w:r>
            <w:r>
              <w:rPr>
                <w:rFonts w:hint="eastAsia" w:ascii="宋体" w:hAnsi="宋体" w:eastAsia="宋体" w:cs="Times New Roman"/>
                <w:color w:val="auto"/>
                <w:sz w:val="24"/>
                <w:highlight w:val="none"/>
                <w:lang w:val="en-US" w:eastAsia="zh-Hans"/>
              </w:rPr>
              <w:t>培训计划</w:t>
            </w:r>
            <w:r>
              <w:rPr>
                <w:rFonts w:hint="eastAsia" w:ascii="宋体" w:hAnsi="宋体" w:eastAsia="宋体" w:cs="Times New Roman"/>
                <w:color w:val="auto"/>
                <w:sz w:val="24"/>
                <w:highlight w:val="none"/>
                <w:lang w:val="en-US" w:eastAsia="zh-CN"/>
              </w:rPr>
              <w:t>或培训计划与采购项目无关的</w:t>
            </w:r>
            <w:r>
              <w:rPr>
                <w:rFonts w:hint="eastAsia" w:ascii="宋体" w:hAnsi="宋体" w:eastAsia="宋体" w:cs="Times New Roman"/>
                <w:color w:val="auto"/>
                <w:sz w:val="24"/>
                <w:highlight w:val="none"/>
                <w:lang w:val="en-US" w:eastAsia="zh-Hans"/>
              </w:rPr>
              <w:t>得</w:t>
            </w:r>
            <w:r>
              <w:rPr>
                <w:rFonts w:hint="eastAsia" w:ascii="宋体" w:hAnsi="宋体" w:eastAsia="宋体" w:cs="Times New Roman"/>
                <w:color w:val="auto"/>
                <w:sz w:val="24"/>
                <w:highlight w:val="none"/>
                <w:lang w:val="en-US" w:eastAsia="zh-CN"/>
              </w:rPr>
              <w:t>0分。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eastAsia" w:ascii="宋体" w:hAnsi="宋体" w:eastAsia="宋体" w:cs="Times New Roman"/>
                <w:color w:val="auto"/>
                <w:spacing w:val="0"/>
                <w:kern w:val="2"/>
                <w:sz w:val="24"/>
                <w:szCs w:val="20"/>
                <w:highlight w:val="none"/>
                <w:lang w:val="en-US" w:eastAsia="zh-CN" w:bidi="ar-SA"/>
              </w:rPr>
            </w:pPr>
            <w:r>
              <w:rPr>
                <w:rFonts w:hint="default" w:ascii="宋体" w:hAnsi="宋体" w:eastAsia="宋体" w:cs="Times New Roman"/>
                <w:color w:val="auto"/>
                <w:spacing w:val="0"/>
                <w:kern w:val="2"/>
                <w:sz w:val="24"/>
                <w:szCs w:val="20"/>
                <w:highlight w:val="none"/>
                <w:lang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29" w:type="dxa"/>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r>
              <w:rPr>
                <w:rFonts w:hint="eastAsia" w:hAnsi="宋体" w:eastAsia="宋体" w:cs="宋体"/>
                <w:color w:val="auto"/>
                <w:spacing w:val="-6"/>
                <w:kern w:val="2"/>
                <w:sz w:val="24"/>
                <w:szCs w:val="24"/>
                <w:highlight w:val="none"/>
                <w:lang w:val="en-US" w:eastAsia="zh-CN" w:bidi="ar-SA"/>
              </w:rPr>
              <w:t>8</w:t>
            </w:r>
          </w:p>
        </w:tc>
        <w:tc>
          <w:tcPr>
            <w:tcW w:w="1375" w:type="dxa"/>
            <w:tcBorders>
              <w:left w:val="single" w:color="auto" w:sz="4" w:space="0"/>
              <w:right w:val="single" w:color="auto" w:sz="4" w:space="0"/>
            </w:tcBorders>
            <w:noWrap w:val="0"/>
            <w:vAlign w:val="center"/>
          </w:tcPr>
          <w:p>
            <w:pPr>
              <w:pStyle w:val="132"/>
              <w:spacing w:line="240" w:lineRule="auto"/>
              <w:ind w:left="107" w:leftChars="0"/>
              <w:jc w:val="center"/>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系统安全</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Hans"/>
              </w:rPr>
              <w:t>承诺系统符合</w:t>
            </w:r>
            <w:r>
              <w:rPr>
                <w:rFonts w:hint="eastAsia" w:ascii="宋体" w:hAnsi="宋体" w:eastAsia="宋体" w:cs="Times New Roman"/>
                <w:color w:val="auto"/>
                <w:sz w:val="24"/>
                <w:highlight w:val="none"/>
                <w:lang w:eastAsia="zh-Hans"/>
              </w:rPr>
              <w:t>公安厅、教育厅关于系统平台安全的要求，涉及的联网的系统，达到等保二级</w:t>
            </w:r>
            <w:r>
              <w:rPr>
                <w:rFonts w:hint="eastAsia" w:ascii="宋体" w:hAnsi="宋体" w:eastAsia="宋体" w:cs="Times New Roman"/>
                <w:color w:val="auto"/>
                <w:sz w:val="24"/>
                <w:highlight w:val="none"/>
                <w:lang w:val="en-US" w:eastAsia="zh-CN"/>
              </w:rPr>
              <w:t>及</w:t>
            </w:r>
            <w:r>
              <w:rPr>
                <w:rFonts w:hint="eastAsia" w:ascii="宋体" w:hAnsi="宋体" w:eastAsia="宋体" w:cs="Times New Roman"/>
                <w:color w:val="auto"/>
                <w:sz w:val="24"/>
                <w:highlight w:val="none"/>
                <w:lang w:eastAsia="zh-Hans"/>
              </w:rPr>
              <w:t>以上</w:t>
            </w:r>
            <w:r>
              <w:rPr>
                <w:rFonts w:hint="eastAsia" w:ascii="宋体" w:hAnsi="宋体" w:eastAsia="宋体" w:cs="Times New Roman"/>
                <w:color w:val="auto"/>
                <w:sz w:val="24"/>
                <w:highlight w:val="none"/>
                <w:lang w:eastAsia="zh-CN"/>
              </w:rPr>
              <w:t>或承诺能够通过学校漏扫测试</w:t>
            </w:r>
            <w:r>
              <w:rPr>
                <w:rFonts w:hint="eastAsia" w:ascii="宋体" w:hAnsi="宋体" w:eastAsia="宋体" w:cs="Times New Roman"/>
                <w:color w:val="auto"/>
                <w:sz w:val="24"/>
                <w:highlight w:val="none"/>
                <w:lang w:val="en-US" w:eastAsia="zh-CN"/>
              </w:rPr>
              <w:t>的得3分，承诺格式自拟，未承诺得不得分。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Times New Roman"/>
                <w:color w:val="auto"/>
                <w:spacing w:val="0"/>
                <w:kern w:val="2"/>
                <w:sz w:val="24"/>
                <w:szCs w:val="20"/>
                <w:highlight w:val="none"/>
                <w:lang w:val="en-US" w:eastAsia="zh-CN" w:bidi="ar-SA"/>
              </w:rPr>
            </w:pPr>
            <w:r>
              <w:rPr>
                <w:rFonts w:hint="eastAsia" w:ascii="宋体" w:hAnsi="宋体" w:eastAsia="宋体" w:cs="Times New Roman"/>
                <w:color w:val="auto"/>
                <w:spacing w:val="0"/>
                <w:kern w:val="2"/>
                <w:sz w:val="24"/>
                <w:szCs w:val="20"/>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9" w:type="dxa"/>
            <w:vMerge w:val="restart"/>
            <w:tcBorders>
              <w:left w:val="single" w:color="auto" w:sz="4" w:space="0"/>
              <w:right w:val="single" w:color="auto" w:sz="4" w:space="0"/>
            </w:tcBorders>
            <w:noWrap w:val="0"/>
            <w:vAlign w:val="center"/>
          </w:tcPr>
          <w:p>
            <w:pPr>
              <w:pStyle w:val="17"/>
              <w:spacing w:line="240" w:lineRule="auto"/>
              <w:ind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hAnsi="宋体" w:eastAsia="宋体" w:cs="宋体"/>
                <w:color w:val="auto"/>
                <w:spacing w:val="-6"/>
                <w:kern w:val="2"/>
                <w:sz w:val="24"/>
                <w:szCs w:val="24"/>
                <w:highlight w:val="none"/>
                <w:lang w:val="en-US" w:eastAsia="zh-CN" w:bidi="ar-SA"/>
              </w:rPr>
              <w:t>9</w:t>
            </w:r>
          </w:p>
        </w:tc>
        <w:tc>
          <w:tcPr>
            <w:tcW w:w="1375" w:type="dxa"/>
            <w:vMerge w:val="restart"/>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售后服务</w:t>
            </w:r>
          </w:p>
        </w:tc>
        <w:tc>
          <w:tcPr>
            <w:tcW w:w="77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质保期在满足招标文件的基础上每增加半年加1分，最多加4分，不足半年不得分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default" w:ascii="宋体" w:hAnsi="宋体" w:eastAsia="宋体" w:cs="Times New Roman"/>
                <w:color w:val="auto"/>
                <w:spacing w:val="0"/>
                <w:kern w:val="2"/>
                <w:sz w:val="24"/>
                <w:szCs w:val="20"/>
                <w:highlight w:val="none"/>
                <w:lang w:val="en-US" w:eastAsia="zh-CN" w:bidi="ar-SA"/>
              </w:rPr>
            </w:pPr>
            <w:r>
              <w:rPr>
                <w:rFonts w:hint="eastAsia" w:ascii="宋体" w:hAnsi="宋体" w:eastAsia="宋体" w:cs="Times New Roman"/>
                <w:color w:val="auto"/>
                <w:spacing w:val="0"/>
                <w:kern w:val="2"/>
                <w:sz w:val="24"/>
                <w:szCs w:val="20"/>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729" w:type="dxa"/>
            <w:vMerge w:val="continue"/>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kern w:val="2"/>
                <w:sz w:val="24"/>
                <w:highlight w:val="none"/>
                <w:lang w:val="en-US" w:eastAsia="zh-CN" w:bidi="ar-SA"/>
              </w:rPr>
            </w:pPr>
          </w:p>
        </w:tc>
        <w:tc>
          <w:tcPr>
            <w:tcW w:w="77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售后服务</w:t>
            </w:r>
            <w:r>
              <w:rPr>
                <w:rFonts w:hint="eastAsia" w:ascii="宋体" w:hAnsi="宋体" w:eastAsia="宋体" w:cs="Times New Roman"/>
                <w:color w:val="auto"/>
                <w:sz w:val="24"/>
                <w:highlight w:val="none"/>
                <w:lang w:val="en-US" w:eastAsia="zh-CN"/>
              </w:rPr>
              <w:t>方案：</w:t>
            </w:r>
          </w:p>
          <w:p>
            <w:pPr>
              <w:numPr>
                <w:ilvl w:val="0"/>
                <w:numId w:val="0"/>
              </w:numP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售后服务</w:t>
            </w:r>
            <w:r>
              <w:rPr>
                <w:rFonts w:hint="eastAsia" w:ascii="宋体" w:hAnsi="宋体" w:eastAsia="宋体" w:cs="Times New Roman"/>
                <w:color w:val="auto"/>
                <w:sz w:val="24"/>
                <w:highlight w:val="none"/>
                <w:lang w:val="en-US" w:eastAsia="zh-CN"/>
              </w:rPr>
              <w:t>响应及时，定期维护的时间区间、周期合理，规划（方式、人员和详细的维护内容）详细的得4分</w:t>
            </w:r>
            <w:r>
              <w:rPr>
                <w:rFonts w:hint="eastAsia" w:ascii="宋体" w:hAnsi="宋体" w:eastAsia="宋体" w:cs="Times New Roman"/>
                <w:color w:val="auto"/>
                <w:sz w:val="24"/>
                <w:highlight w:val="none"/>
                <w:lang w:eastAsia="zh-CN"/>
              </w:rPr>
              <w:t>；</w:t>
            </w:r>
          </w:p>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售后服务</w:t>
            </w:r>
            <w:r>
              <w:rPr>
                <w:rFonts w:hint="eastAsia" w:ascii="宋体" w:hAnsi="宋体" w:eastAsia="宋体" w:cs="Times New Roman"/>
                <w:color w:val="auto"/>
                <w:sz w:val="24"/>
                <w:highlight w:val="none"/>
                <w:lang w:val="en-US" w:eastAsia="zh-CN"/>
              </w:rPr>
              <w:t>响应比较及时，定期维护的时间区间、周期较合理，规划（方式、人员和详细的维护内容）部分详细的得2分；</w:t>
            </w:r>
          </w:p>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售后服务</w:t>
            </w:r>
            <w:r>
              <w:rPr>
                <w:rFonts w:hint="eastAsia" w:ascii="宋体" w:hAnsi="宋体" w:eastAsia="宋体" w:cs="Times New Roman"/>
                <w:color w:val="auto"/>
                <w:sz w:val="24"/>
                <w:highlight w:val="none"/>
                <w:lang w:val="en-US" w:eastAsia="zh-CN"/>
              </w:rPr>
              <w:t>响应不及时，定期维护的时间区间、周期部分合理，规划（方式、人员和详细的维护内容）较简单的得1分</w:t>
            </w:r>
          </w:p>
          <w:p>
            <w:pPr>
              <w:numPr>
                <w:ilvl w:val="0"/>
                <w:numId w:val="0"/>
              </w:numP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4）未提供</w:t>
            </w:r>
            <w:r>
              <w:rPr>
                <w:rFonts w:hint="eastAsia" w:ascii="宋体" w:hAnsi="宋体" w:eastAsia="宋体" w:cs="Times New Roman"/>
                <w:color w:val="auto"/>
                <w:sz w:val="24"/>
                <w:highlight w:val="none"/>
                <w:lang w:eastAsia="zh-CN"/>
              </w:rPr>
              <w:t>售后服务</w:t>
            </w:r>
            <w:r>
              <w:rPr>
                <w:rFonts w:hint="eastAsia" w:ascii="宋体" w:hAnsi="宋体" w:eastAsia="宋体" w:cs="Times New Roman"/>
                <w:color w:val="auto"/>
                <w:sz w:val="24"/>
                <w:highlight w:val="none"/>
                <w:lang w:val="en-US" w:eastAsia="zh-CN"/>
              </w:rPr>
              <w:t>方案的不得分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default" w:ascii="宋体" w:hAnsi="宋体" w:eastAsia="宋体" w:cs="Times New Roman"/>
                <w:color w:val="auto"/>
                <w:spacing w:val="0"/>
                <w:kern w:val="2"/>
                <w:sz w:val="24"/>
                <w:szCs w:val="20"/>
                <w:highlight w:val="none"/>
                <w:lang w:val="en-US" w:eastAsia="zh-CN" w:bidi="ar-SA"/>
              </w:rPr>
            </w:pPr>
            <w:r>
              <w:rPr>
                <w:rFonts w:hint="eastAsia" w:ascii="宋体" w:hAnsi="宋体" w:eastAsia="宋体" w:cs="Times New Roman"/>
                <w:color w:val="auto"/>
                <w:spacing w:val="0"/>
                <w:kern w:val="2"/>
                <w:sz w:val="24"/>
                <w:szCs w:val="20"/>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spacing w:line="240" w:lineRule="auto"/>
              <w:ind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hAnsi="宋体" w:eastAsia="宋体" w:cs="宋体"/>
                <w:color w:val="auto"/>
                <w:spacing w:val="-6"/>
                <w:kern w:val="2"/>
                <w:sz w:val="24"/>
                <w:szCs w:val="24"/>
                <w:highlight w:val="none"/>
                <w:lang w:val="en-US" w:eastAsia="zh-CN" w:bidi="ar-SA"/>
              </w:rPr>
              <w:t>10</w:t>
            </w:r>
          </w:p>
        </w:tc>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highlight w:val="none"/>
              </w:rPr>
              <w:t>系统演示</w:t>
            </w:r>
          </w:p>
        </w:tc>
        <w:tc>
          <w:tcPr>
            <w:tcW w:w="777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napToGrid/>
              <w:spacing w:line="240" w:lineRule="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演示</w:t>
            </w:r>
            <w:r>
              <w:rPr>
                <w:rFonts w:hint="eastAsia" w:ascii="宋体" w:hAnsi="宋体" w:eastAsia="宋体" w:cs="Times New Roman"/>
                <w:color w:val="auto"/>
                <w:sz w:val="24"/>
                <w:highlight w:val="none"/>
                <w:lang w:val="en-US" w:eastAsia="zh-CN"/>
              </w:rPr>
              <w:t>办公管理模块</w:t>
            </w:r>
            <w:r>
              <w:rPr>
                <w:rFonts w:hint="eastAsia" w:ascii="宋体" w:hAnsi="宋体" w:eastAsia="宋体" w:cs="Times New Roman"/>
                <w:color w:val="auto"/>
                <w:sz w:val="24"/>
                <w:highlight w:val="none"/>
                <w:lang w:eastAsia="zh-CN"/>
              </w:rPr>
              <w:t>的</w:t>
            </w:r>
            <w:r>
              <w:rPr>
                <w:rFonts w:hint="eastAsia" w:ascii="宋体" w:hAnsi="宋体" w:eastAsia="宋体" w:cs="Times New Roman"/>
                <w:color w:val="auto"/>
                <w:sz w:val="24"/>
                <w:highlight w:val="none"/>
                <w:lang w:val="en-US" w:eastAsia="zh-CN"/>
              </w:rPr>
              <w:t>集成</w:t>
            </w:r>
            <w:r>
              <w:rPr>
                <w:rFonts w:hint="eastAsia" w:ascii="宋体" w:hAnsi="宋体" w:eastAsia="宋体" w:cs="Times New Roman"/>
                <w:color w:val="auto"/>
                <w:sz w:val="24"/>
                <w:highlight w:val="none"/>
              </w:rPr>
              <w:t>能力：</w:t>
            </w:r>
          </w:p>
          <w:p>
            <w:pPr>
              <w:numPr>
                <w:ilvl w:val="0"/>
                <w:numId w:val="0"/>
              </w:numPr>
              <w:snapToGrid/>
              <w:spacing w:line="240" w:lineRule="auto"/>
              <w:ind w:left="0" w:firstLine="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实现</w:t>
            </w:r>
            <w:r>
              <w:rPr>
                <w:rFonts w:hint="eastAsia" w:ascii="宋体" w:hAnsi="宋体" w:eastAsia="宋体" w:cs="Times New Roman"/>
                <w:color w:val="auto"/>
                <w:sz w:val="24"/>
                <w:highlight w:val="none"/>
                <w:lang w:val="en-US" w:eastAsia="zh-CN"/>
              </w:rPr>
              <w:t>任务、会议、活动统一集成在日程模块</w:t>
            </w:r>
            <w:r>
              <w:rPr>
                <w:rFonts w:hint="eastAsia" w:ascii="宋体" w:hAnsi="宋体" w:eastAsia="宋体" w:cs="Times New Roman"/>
                <w:color w:val="auto"/>
                <w:sz w:val="24"/>
                <w:highlight w:val="none"/>
                <w:lang w:eastAsia="zh-CN"/>
              </w:rPr>
              <w:t>的</w:t>
            </w:r>
            <w:r>
              <w:rPr>
                <w:rFonts w:hint="eastAsia" w:ascii="宋体" w:hAnsi="宋体" w:eastAsia="宋体" w:cs="Times New Roman"/>
                <w:color w:val="auto"/>
                <w:sz w:val="24"/>
                <w:highlight w:val="none"/>
              </w:rPr>
              <w:t>能力</w:t>
            </w:r>
            <w:r>
              <w:rPr>
                <w:rFonts w:hint="eastAsia" w:ascii="宋体" w:hAnsi="宋体" w:eastAsia="宋体" w:cs="Times New Roman"/>
                <w:color w:val="auto"/>
                <w:sz w:val="24"/>
                <w:highlight w:val="none"/>
                <w:lang w:val="en-US" w:eastAsia="zh-CN"/>
              </w:rPr>
              <w:t>演示，功能演示齐全得2分，演示部分功能得1分，未演示或演示功能不匹配的得0分</w:t>
            </w:r>
            <w:r>
              <w:rPr>
                <w:rFonts w:hint="eastAsia" w:ascii="宋体" w:hAnsi="宋体" w:eastAsia="宋体" w:cs="Times New Roman"/>
                <w:color w:val="auto"/>
                <w:sz w:val="24"/>
                <w:highlight w:val="none"/>
              </w:rPr>
              <w:t>；</w:t>
            </w:r>
          </w:p>
          <w:p>
            <w:pPr>
              <w:numPr>
                <w:ilvl w:val="0"/>
                <w:numId w:val="0"/>
              </w:numPr>
              <w:snapToGrid/>
              <w:spacing w:line="240" w:lineRule="auto"/>
              <w:ind w:left="0" w:leftChars="0" w:firstLine="0" w:firstLineChars="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实现</w:t>
            </w:r>
            <w:r>
              <w:rPr>
                <w:rFonts w:hint="eastAsia" w:ascii="宋体" w:hAnsi="宋体" w:eastAsia="宋体" w:cs="Times New Roman"/>
                <w:color w:val="auto"/>
                <w:sz w:val="24"/>
                <w:highlight w:val="none"/>
                <w:lang w:val="en-US" w:eastAsia="zh-CN"/>
              </w:rPr>
              <w:t>办公管理模块看板集成在个人门户，按角色权限查看的</w:t>
            </w:r>
            <w:r>
              <w:rPr>
                <w:rFonts w:hint="eastAsia" w:ascii="宋体" w:hAnsi="宋体" w:eastAsia="宋体" w:cs="Times New Roman"/>
                <w:color w:val="auto"/>
                <w:sz w:val="24"/>
                <w:highlight w:val="none"/>
                <w:lang w:eastAsia="zh-CN"/>
              </w:rPr>
              <w:t>能力</w:t>
            </w:r>
            <w:r>
              <w:rPr>
                <w:rFonts w:hint="eastAsia" w:ascii="宋体" w:hAnsi="宋体" w:eastAsia="宋体" w:cs="Times New Roman"/>
                <w:color w:val="auto"/>
                <w:sz w:val="24"/>
                <w:highlight w:val="none"/>
                <w:lang w:val="en-US" w:eastAsia="zh-CN"/>
              </w:rPr>
              <w:t>演示，功能演示齐全得2分，演示部分功能得1分，未演示或演示功能不匹配的得0分</w:t>
            </w:r>
            <w:r>
              <w:rPr>
                <w:rFonts w:ascii="宋体" w:hAnsi="宋体" w:eastAsia="宋体" w:cs="Times New Roman"/>
                <w:color w:val="auto"/>
                <w:sz w:val="24"/>
                <w:highlight w:val="none"/>
              </w:rPr>
              <w:t>。</w:t>
            </w:r>
          </w:p>
          <w:p>
            <w:pPr>
              <w:numPr>
                <w:ilvl w:val="0"/>
                <w:numId w:val="0"/>
              </w:numPr>
              <w:rPr>
                <w:rFonts w:hint="eastAsia" w:ascii="宋体" w:hAnsi="宋体" w:eastAsia="宋体" w:cs="Times New Roman"/>
                <w:color w:val="auto"/>
                <w:sz w:val="24"/>
                <w:highlight w:val="none"/>
                <w:lang w:eastAsia="zh-CN"/>
              </w:rPr>
            </w:pPr>
            <w:r>
              <w:rPr>
                <w:rFonts w:ascii="宋体" w:hAnsi="宋体" w:eastAsia="宋体" w:cs="Times New Roman"/>
                <w:color w:val="auto"/>
                <w:sz w:val="24"/>
                <w:highlight w:val="none"/>
              </w:rPr>
              <w:t>3</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实现</w:t>
            </w:r>
            <w:r>
              <w:rPr>
                <w:rFonts w:hint="eastAsia" w:ascii="宋体" w:hAnsi="宋体" w:eastAsia="宋体" w:cs="Times New Roman"/>
                <w:color w:val="auto"/>
                <w:sz w:val="24"/>
                <w:highlight w:val="none"/>
                <w:lang w:eastAsia="zh-CN"/>
              </w:rPr>
              <w:t>批量审批功能，包括考勤申报审批、加班审批、教研申报审批等，在待办事项勾选多条审批单后，统一审批处理</w:t>
            </w:r>
            <w:r>
              <w:rPr>
                <w:rFonts w:hint="eastAsia" w:ascii="宋体" w:hAnsi="宋体" w:eastAsia="宋体" w:cs="Times New Roman"/>
                <w:color w:val="auto"/>
                <w:sz w:val="24"/>
                <w:highlight w:val="none"/>
                <w:lang w:val="en-US" w:eastAsia="zh-CN"/>
              </w:rPr>
              <w:t>，功能演示齐全得2分，演示部分功能得1分，未演示或演示功能不匹配的得0分</w:t>
            </w:r>
            <w:r>
              <w:rPr>
                <w:rFonts w:ascii="宋体" w:hAnsi="宋体" w:eastAsia="宋体" w:cs="Times New Roman"/>
                <w:color w:val="auto"/>
                <w:sz w:val="24"/>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default" w:ascii="宋体" w:hAnsi="宋体" w:eastAsia="宋体" w:cs="宋体"/>
                <w:color w:val="auto"/>
                <w:spacing w:val="-6"/>
                <w:kern w:val="2"/>
                <w:sz w:val="24"/>
                <w:szCs w:val="24"/>
                <w:highlight w:val="none"/>
                <w:lang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9" w:type="dxa"/>
            <w:vMerge w:val="continue"/>
            <w:tcBorders>
              <w:left w:val="single" w:color="auto" w:sz="4" w:space="0"/>
              <w:bottom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bottom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spacing w:val="-6"/>
                <w:kern w:val="2"/>
                <w:sz w:val="24"/>
                <w:szCs w:val="24"/>
                <w:highlight w:val="none"/>
                <w:lang w:val="en-US" w:eastAsia="zh-CN" w:bidi="ar-SA"/>
              </w:rPr>
            </w:pPr>
          </w:p>
        </w:tc>
        <w:tc>
          <w:tcPr>
            <w:tcW w:w="777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napToGrid/>
              <w:spacing w:line="240" w:lineRule="auto"/>
              <w:ind w:right="0" w:rightChars="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演示</w:t>
            </w:r>
            <w:r>
              <w:rPr>
                <w:rFonts w:hint="eastAsia" w:ascii="宋体" w:hAnsi="宋体" w:eastAsia="宋体" w:cs="Times New Roman"/>
                <w:color w:val="auto"/>
                <w:sz w:val="24"/>
                <w:highlight w:val="none"/>
                <w:lang w:val="en-US" w:eastAsia="zh-CN"/>
              </w:rPr>
              <w:t>项目过程化管理</w:t>
            </w:r>
            <w:r>
              <w:rPr>
                <w:rFonts w:hint="eastAsia" w:ascii="宋体" w:hAnsi="宋体" w:eastAsia="宋体" w:cs="Times New Roman"/>
                <w:color w:val="auto"/>
                <w:sz w:val="24"/>
                <w:highlight w:val="none"/>
                <w:lang w:eastAsia="zh-CN"/>
              </w:rPr>
              <w:t>集成的</w:t>
            </w:r>
            <w:r>
              <w:rPr>
                <w:rFonts w:hint="eastAsia" w:ascii="宋体" w:hAnsi="宋体" w:eastAsia="宋体" w:cs="Times New Roman"/>
                <w:color w:val="auto"/>
                <w:sz w:val="24"/>
                <w:highlight w:val="none"/>
              </w:rPr>
              <w:t>能力：</w:t>
            </w:r>
          </w:p>
          <w:p>
            <w:pPr>
              <w:numPr>
                <w:ilvl w:val="0"/>
                <w:numId w:val="0"/>
              </w:numPr>
              <w:snapToGrid/>
              <w:spacing w:line="240" w:lineRule="auto"/>
              <w:ind w:left="0" w:firstLine="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实现项目全周期在线化管理，</w:t>
            </w:r>
            <w:r>
              <w:rPr>
                <w:rFonts w:hint="eastAsia" w:ascii="宋体" w:hAnsi="宋体" w:eastAsia="宋体" w:cs="Times New Roman"/>
                <w:color w:val="auto"/>
                <w:sz w:val="24"/>
                <w:highlight w:val="none"/>
                <w:shd w:val="clear" w:color="auto" w:fill="auto"/>
                <w:lang w:val="en-US" w:eastAsia="zh-CN"/>
              </w:rPr>
              <w:t>包括</w:t>
            </w:r>
            <w:r>
              <w:rPr>
                <w:rFonts w:hint="eastAsia" w:ascii="宋体" w:hAnsi="宋体" w:eastAsia="宋体" w:cs="Times New Roman"/>
                <w:color w:val="auto"/>
                <w:sz w:val="24"/>
                <w:highlight w:val="none"/>
                <w:lang w:eastAsia="zh-CN"/>
              </w:rPr>
              <w:t>立项、</w:t>
            </w:r>
            <w:r>
              <w:rPr>
                <w:rFonts w:hint="eastAsia" w:ascii="宋体" w:hAnsi="宋体" w:eastAsia="宋体" w:cs="Times New Roman"/>
                <w:color w:val="auto"/>
                <w:sz w:val="24"/>
                <w:highlight w:val="none"/>
                <w:lang w:val="en-US" w:eastAsia="zh-CN"/>
              </w:rPr>
              <w:t>采购</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验收</w:t>
            </w:r>
            <w:r>
              <w:rPr>
                <w:rFonts w:hint="eastAsia" w:ascii="宋体" w:hAnsi="宋体" w:eastAsia="宋体" w:cs="Times New Roman"/>
                <w:color w:val="auto"/>
                <w:sz w:val="24"/>
                <w:highlight w:val="none"/>
                <w:lang w:eastAsia="zh-CN"/>
              </w:rPr>
              <w:t>等过程，支持</w:t>
            </w:r>
            <w:r>
              <w:rPr>
                <w:rFonts w:hint="eastAsia" w:ascii="宋体" w:hAnsi="宋体" w:eastAsia="宋体" w:cs="Times New Roman"/>
                <w:color w:val="auto"/>
                <w:sz w:val="24"/>
                <w:highlight w:val="none"/>
                <w:lang w:val="en-US" w:eastAsia="zh-CN"/>
              </w:rPr>
              <w:t>项目拆分演示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功能演示齐全得2分，演示部分功能得1分，未演示或演示功能不匹配的得0分</w:t>
            </w:r>
          </w:p>
          <w:p>
            <w:pPr>
              <w:numPr>
                <w:ilvl w:val="0"/>
                <w:numId w:val="0"/>
              </w:numPr>
              <w:snapToGrid/>
              <w:spacing w:line="240" w:lineRule="auto"/>
              <w:ind w:left="0" w:firstLine="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eastAsia="zh-CN"/>
              </w:rPr>
              <w:t>实现项目看板，支撑项目</w:t>
            </w:r>
            <w:r>
              <w:rPr>
                <w:rFonts w:hint="eastAsia" w:ascii="宋体" w:hAnsi="宋体" w:eastAsia="宋体" w:cs="Times New Roman"/>
                <w:color w:val="auto"/>
                <w:sz w:val="24"/>
                <w:highlight w:val="none"/>
                <w:lang w:val="en-US" w:eastAsia="zh-CN"/>
              </w:rPr>
              <w:t>办</w:t>
            </w:r>
            <w:r>
              <w:rPr>
                <w:rFonts w:hint="eastAsia" w:ascii="宋体" w:hAnsi="宋体" w:eastAsia="宋体" w:cs="Times New Roman"/>
                <w:color w:val="auto"/>
                <w:sz w:val="24"/>
                <w:highlight w:val="none"/>
                <w:lang w:eastAsia="zh-CN"/>
              </w:rPr>
              <w:t>成员及</w:t>
            </w:r>
            <w:r>
              <w:rPr>
                <w:rFonts w:hint="eastAsia" w:ascii="宋体" w:hAnsi="宋体" w:eastAsia="宋体" w:cs="Times New Roman"/>
                <w:color w:val="auto"/>
                <w:sz w:val="24"/>
                <w:highlight w:val="none"/>
                <w:lang w:val="en-US" w:eastAsia="zh-CN"/>
              </w:rPr>
              <w:t>校</w:t>
            </w:r>
            <w:r>
              <w:rPr>
                <w:rFonts w:hint="eastAsia" w:ascii="宋体" w:hAnsi="宋体" w:eastAsia="宋体" w:cs="Times New Roman"/>
                <w:color w:val="auto"/>
                <w:sz w:val="24"/>
                <w:highlight w:val="none"/>
                <w:lang w:eastAsia="zh-CN"/>
              </w:rPr>
              <w:t>领导全面掌握项目动态，包括项目进度、人员、</w:t>
            </w:r>
            <w:r>
              <w:rPr>
                <w:rFonts w:hint="eastAsia" w:ascii="宋体" w:hAnsi="宋体" w:eastAsia="宋体" w:cs="Times New Roman"/>
                <w:color w:val="auto"/>
                <w:sz w:val="24"/>
                <w:highlight w:val="none"/>
                <w:lang w:val="en-US" w:eastAsia="zh-CN"/>
              </w:rPr>
              <w:t>经费</w:t>
            </w:r>
            <w:r>
              <w:rPr>
                <w:rFonts w:hint="eastAsia" w:ascii="宋体" w:hAnsi="宋体" w:eastAsia="宋体" w:cs="Times New Roman"/>
                <w:color w:val="auto"/>
                <w:sz w:val="24"/>
                <w:highlight w:val="none"/>
                <w:lang w:eastAsia="zh-CN"/>
              </w:rPr>
              <w:t>、合同等，</w:t>
            </w:r>
            <w:r>
              <w:rPr>
                <w:rFonts w:hint="eastAsia" w:ascii="宋体" w:hAnsi="宋体" w:eastAsia="宋体" w:cs="Times New Roman"/>
                <w:color w:val="auto"/>
                <w:sz w:val="24"/>
                <w:highlight w:val="none"/>
                <w:lang w:val="en-US" w:eastAsia="zh-CN"/>
              </w:rPr>
              <w:t>提供</w:t>
            </w:r>
            <w:r>
              <w:rPr>
                <w:rFonts w:hint="eastAsia" w:ascii="宋体" w:hAnsi="宋体" w:eastAsia="宋体" w:cs="Times New Roman"/>
                <w:color w:val="auto"/>
                <w:sz w:val="24"/>
                <w:highlight w:val="none"/>
                <w:lang w:eastAsia="zh-CN"/>
              </w:rPr>
              <w:t>项</w:t>
            </w:r>
            <w:r>
              <w:rPr>
                <w:rFonts w:hint="eastAsia" w:ascii="宋体" w:hAnsi="宋体" w:eastAsia="宋体" w:cs="Times New Roman"/>
                <w:color w:val="auto"/>
                <w:sz w:val="24"/>
                <w:highlight w:val="none"/>
                <w:lang w:val="en-US" w:eastAsia="zh-CN"/>
              </w:rPr>
              <w:t>目</w:t>
            </w:r>
            <w:r>
              <w:rPr>
                <w:rFonts w:hint="eastAsia" w:ascii="宋体" w:hAnsi="宋体" w:eastAsia="宋体" w:cs="Times New Roman"/>
                <w:color w:val="auto"/>
                <w:sz w:val="24"/>
                <w:highlight w:val="none"/>
                <w:lang w:eastAsia="zh-CN"/>
              </w:rPr>
              <w:t>管理更高效</w:t>
            </w:r>
            <w:r>
              <w:rPr>
                <w:rFonts w:hint="eastAsia" w:ascii="宋体" w:hAnsi="宋体" w:eastAsia="宋体" w:cs="Times New Roman"/>
                <w:color w:val="auto"/>
                <w:sz w:val="24"/>
                <w:highlight w:val="none"/>
                <w:lang w:val="en-US" w:eastAsia="zh-CN"/>
              </w:rPr>
              <w:t>的能力演示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功能演示齐全得2分，演示部分功能得1分，未演示或演示功能不匹配的得0分</w:t>
            </w:r>
          </w:p>
          <w:p>
            <w:pPr>
              <w:numPr>
                <w:ilvl w:val="0"/>
                <w:numId w:val="0"/>
              </w:numPr>
              <w:snapToGrid/>
              <w:spacing w:line="240" w:lineRule="auto"/>
              <w:ind w:left="0" w:leftChars="0" w:firstLine="0" w:firstLineChars="0"/>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实现</w:t>
            </w:r>
            <w:r>
              <w:rPr>
                <w:rFonts w:hint="eastAsia" w:ascii="宋体" w:hAnsi="宋体" w:eastAsia="宋体" w:cs="Times New Roman"/>
                <w:color w:val="auto"/>
                <w:sz w:val="24"/>
                <w:highlight w:val="none"/>
                <w:lang w:val="en-US" w:eastAsia="zh-CN"/>
              </w:rPr>
              <w:t>项目知识库管理，</w:t>
            </w:r>
            <w:r>
              <w:rPr>
                <w:rFonts w:hint="eastAsia" w:ascii="宋体" w:hAnsi="宋体" w:eastAsia="宋体" w:cs="Times New Roman"/>
                <w:color w:val="auto"/>
                <w:sz w:val="24"/>
                <w:highlight w:val="none"/>
                <w:lang w:eastAsia="zh-CN"/>
              </w:rPr>
              <w:t>让项目成果、</w:t>
            </w:r>
            <w:r>
              <w:rPr>
                <w:rFonts w:hint="eastAsia" w:ascii="宋体" w:hAnsi="宋体" w:eastAsia="宋体" w:cs="Times New Roman"/>
                <w:color w:val="auto"/>
                <w:sz w:val="24"/>
                <w:highlight w:val="none"/>
                <w:lang w:val="en-US" w:eastAsia="zh-CN"/>
              </w:rPr>
              <w:t>材料</w:t>
            </w:r>
            <w:r>
              <w:rPr>
                <w:rFonts w:hint="eastAsia" w:ascii="宋体" w:hAnsi="宋体" w:eastAsia="宋体" w:cs="Times New Roman"/>
                <w:color w:val="auto"/>
                <w:sz w:val="24"/>
                <w:highlight w:val="none"/>
                <w:lang w:eastAsia="zh-CN"/>
              </w:rPr>
              <w:t>更便捷地查看与分享</w:t>
            </w:r>
            <w:r>
              <w:rPr>
                <w:rFonts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支持审批材料集成电子签章演示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功能演示齐全得2分，演示部分功能得1分，未演示或演示功能不匹配的得0分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9" w:type="dxa"/>
            <w:vMerge w:val="continue"/>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spacing w:val="-6"/>
                <w:kern w:val="2"/>
                <w:sz w:val="24"/>
                <w:szCs w:val="24"/>
                <w:highlight w:val="none"/>
                <w:lang w:val="en-US" w:eastAsia="zh-CN" w:bidi="ar-SA"/>
              </w:rPr>
            </w:pPr>
          </w:p>
        </w:tc>
        <w:tc>
          <w:tcPr>
            <w:tcW w:w="777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napToGrid/>
              <w:spacing w:line="240" w:lineRule="auto"/>
              <w:ind w:right="0" w:rightChars="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演示</w:t>
            </w:r>
            <w:r>
              <w:rPr>
                <w:rFonts w:hint="eastAsia" w:ascii="宋体" w:hAnsi="宋体" w:eastAsia="宋体" w:cs="Times New Roman"/>
                <w:color w:val="auto"/>
                <w:sz w:val="24"/>
                <w:highlight w:val="none"/>
                <w:lang w:val="en-US" w:eastAsia="zh-CN"/>
              </w:rPr>
              <w:t>民警培训移动端集成</w:t>
            </w:r>
            <w:r>
              <w:rPr>
                <w:rFonts w:hint="eastAsia" w:ascii="宋体" w:hAnsi="宋体" w:eastAsia="宋体" w:cs="Times New Roman"/>
                <w:color w:val="auto"/>
                <w:sz w:val="24"/>
                <w:highlight w:val="none"/>
                <w:lang w:eastAsia="zh-CN"/>
              </w:rPr>
              <w:t>的能力</w:t>
            </w:r>
            <w:r>
              <w:rPr>
                <w:rFonts w:hint="eastAsia" w:ascii="宋体" w:hAnsi="宋体" w:eastAsia="宋体" w:cs="Times New Roman"/>
                <w:color w:val="auto"/>
                <w:sz w:val="24"/>
                <w:highlight w:val="none"/>
              </w:rPr>
              <w:t>：</w:t>
            </w:r>
          </w:p>
          <w:p>
            <w:pPr>
              <w:numPr>
                <w:ilvl w:val="0"/>
                <w:numId w:val="0"/>
              </w:numPr>
              <w:snapToGrid/>
              <w:spacing w:line="240" w:lineRule="auto"/>
              <w:ind w:left="0" w:firstLine="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1）实现教师</w:t>
            </w:r>
            <w:r>
              <w:rPr>
                <w:rFonts w:hint="eastAsia" w:ascii="宋体" w:hAnsi="宋体" w:eastAsia="宋体" w:cs="Times New Roman"/>
                <w:color w:val="auto"/>
                <w:sz w:val="24"/>
                <w:highlight w:val="none"/>
              </w:rPr>
              <w:t>PC</w:t>
            </w:r>
            <w:r>
              <w:rPr>
                <w:rFonts w:hint="eastAsia" w:ascii="宋体" w:hAnsi="宋体" w:eastAsia="宋体" w:cs="Times New Roman"/>
                <w:color w:val="auto"/>
                <w:sz w:val="24"/>
                <w:highlight w:val="none"/>
                <w:lang w:val="en-US" w:eastAsia="zh-CN"/>
              </w:rPr>
              <w:t>端课表导入、报名时间配置的能力，实现移动端课程查询、抢课、分班调剂的能力</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可进行课时和工作量统计演示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功能演示齐全得2分，演示部分功能得1分，未演示或演示功能不匹配的得0分</w:t>
            </w:r>
          </w:p>
          <w:p>
            <w:pPr>
              <w:numPr>
                <w:ilvl w:val="0"/>
                <w:numId w:val="0"/>
              </w:numPr>
              <w:snapToGrid/>
              <w:spacing w:line="240" w:lineRule="auto"/>
              <w:ind w:left="0" w:firstLine="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演示</w:t>
            </w:r>
            <w:r>
              <w:rPr>
                <w:rFonts w:hint="eastAsia" w:ascii="宋体" w:hAnsi="宋体" w:eastAsia="宋体" w:cs="Times New Roman"/>
                <w:color w:val="auto"/>
                <w:sz w:val="24"/>
                <w:highlight w:val="none"/>
                <w:lang w:val="en-US" w:eastAsia="zh-CN"/>
              </w:rPr>
              <w:t>选修课报名、上课、问卷调查、问卷统计与分析情况演示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功能演示齐全得2分，演示部分功能得1分，未演示或演示功能不匹配的得0分</w:t>
            </w:r>
          </w:p>
          <w:p>
            <w:pPr>
              <w:numPr>
                <w:ilvl w:val="0"/>
                <w:numId w:val="0"/>
              </w:numPr>
              <w:snapToGrid/>
              <w:spacing w:line="240" w:lineRule="auto"/>
              <w:ind w:left="0" w:leftChars="0" w:firstLine="0" w:firstLineChars="0"/>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highlight w:val="none"/>
                <w:lang w:val="en-US" w:eastAsia="zh-CN"/>
              </w:rPr>
              <w:t>3）实现移动端选修课分班签到功能，实现分集合签到（发起人周围10米内）、点名签到（可由发起人随意选择定位的200米内），发起人手机端可以查看签到情况演示，功能演示齐全得2分，演示部分功能得1分，未演示或演示功能不匹配的得0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9" w:type="dxa"/>
            <w:vMerge w:val="continue"/>
            <w:tcBorders>
              <w:left w:val="single" w:color="auto" w:sz="4" w:space="0"/>
              <w:right w:val="single" w:color="auto" w:sz="4" w:space="0"/>
            </w:tcBorders>
            <w:noWrap w:val="0"/>
            <w:vAlign w:val="center"/>
          </w:tcPr>
          <w:p>
            <w:pPr>
              <w:pStyle w:val="17"/>
              <w:spacing w:line="240" w:lineRule="auto"/>
              <w:ind w:firstLine="0" w:firstLineChars="0"/>
              <w:jc w:val="center"/>
              <w:rPr>
                <w:rFonts w:hint="eastAsia" w:ascii="宋体" w:hAnsi="宋体" w:eastAsia="宋体" w:cs="宋体"/>
                <w:color w:val="auto"/>
                <w:spacing w:val="-6"/>
                <w:kern w:val="2"/>
                <w:sz w:val="24"/>
                <w:szCs w:val="24"/>
                <w:highlight w:val="none"/>
                <w:lang w:val="en-US" w:eastAsia="zh-CN" w:bidi="ar-SA"/>
              </w:rPr>
            </w:pPr>
          </w:p>
        </w:tc>
        <w:tc>
          <w:tcPr>
            <w:tcW w:w="1375" w:type="dxa"/>
            <w:vMerge w:val="continue"/>
            <w:tcBorders>
              <w:left w:val="single" w:color="auto" w:sz="4" w:space="0"/>
              <w:right w:val="single" w:color="auto" w:sz="4" w:space="0"/>
            </w:tcBorders>
            <w:noWrap w:val="0"/>
            <w:vAlign w:val="center"/>
          </w:tcPr>
          <w:p>
            <w:pPr>
              <w:pStyle w:val="132"/>
              <w:spacing w:line="240" w:lineRule="auto"/>
              <w:ind w:left="107" w:leftChars="0"/>
              <w:jc w:val="center"/>
              <w:rPr>
                <w:rFonts w:hint="eastAsia" w:ascii="宋体" w:hAnsi="宋体" w:eastAsia="宋体" w:cs="宋体"/>
                <w:color w:val="auto"/>
                <w:spacing w:val="-6"/>
                <w:kern w:val="2"/>
                <w:sz w:val="24"/>
                <w:szCs w:val="24"/>
                <w:highlight w:val="none"/>
                <w:lang w:val="en-US" w:eastAsia="zh-CN" w:bidi="ar-SA"/>
              </w:rPr>
            </w:pPr>
          </w:p>
        </w:tc>
        <w:tc>
          <w:tcPr>
            <w:tcW w:w="777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napToGrid/>
              <w:spacing w:line="240" w:lineRule="auto"/>
              <w:ind w:right="0" w:rightChars="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演示</w:t>
            </w:r>
            <w:r>
              <w:rPr>
                <w:rFonts w:hint="eastAsia" w:ascii="宋体" w:hAnsi="宋体" w:eastAsia="宋体" w:cs="Times New Roman"/>
                <w:color w:val="auto"/>
                <w:sz w:val="24"/>
                <w:highlight w:val="none"/>
                <w:lang w:val="en-US" w:eastAsia="zh-CN"/>
              </w:rPr>
              <w:t>校外人员管理与物联设备融合</w:t>
            </w:r>
            <w:r>
              <w:rPr>
                <w:rFonts w:hint="eastAsia" w:ascii="宋体" w:hAnsi="宋体" w:eastAsia="宋体" w:cs="Times New Roman"/>
                <w:color w:val="auto"/>
                <w:sz w:val="24"/>
                <w:highlight w:val="none"/>
                <w:lang w:eastAsia="zh-CN"/>
              </w:rPr>
              <w:t>的能力</w:t>
            </w:r>
            <w:r>
              <w:rPr>
                <w:rFonts w:hint="eastAsia" w:ascii="宋体" w:hAnsi="宋体" w:eastAsia="宋体" w:cs="Times New Roman"/>
                <w:color w:val="auto"/>
                <w:sz w:val="24"/>
                <w:highlight w:val="none"/>
              </w:rPr>
              <w:t>：</w:t>
            </w:r>
          </w:p>
          <w:p>
            <w:pPr>
              <w:numPr>
                <w:ilvl w:val="0"/>
                <w:numId w:val="0"/>
              </w:numPr>
              <w:snapToGrid/>
              <w:spacing w:line="240" w:lineRule="auto"/>
              <w:ind w:left="0" w:firstLine="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1）校外人员统一权限管理功能，可以按角色配置钉钉、通讯录、邮箱、其他业务系统权限的能力</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支持各用人部门管理不同类型的校外人员演示，功能演示齐全得2分，演示部分功能得1分，未演示或演示功能不匹配的得0分</w:t>
            </w:r>
          </w:p>
          <w:p>
            <w:pPr>
              <w:numPr>
                <w:ilvl w:val="0"/>
                <w:numId w:val="0"/>
              </w:numPr>
              <w:snapToGrid/>
              <w:spacing w:line="240" w:lineRule="auto"/>
              <w:ind w:left="0" w:firstLine="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2）校外人员人脸信息便捷化采集，人员信息权威认证后统一采集到人脸库演示，功能演示齐全得2分，演示部分功能得1分，未演示或演示功能不匹配的得0分</w:t>
            </w:r>
          </w:p>
          <w:p>
            <w:pPr>
              <w:numPr>
                <w:ilvl w:val="0"/>
                <w:numId w:val="0"/>
              </w:numPr>
              <w:snapToGrid/>
              <w:spacing w:line="240" w:lineRule="auto"/>
              <w:ind w:left="0" w:leftChars="0" w:firstLine="0" w:firstLineChars="0"/>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highlight w:val="none"/>
                <w:lang w:val="en-US" w:eastAsia="zh-CN"/>
              </w:rPr>
              <w:t>3）人脸库标签管理功能，支持重点人员标签人员的配置和导入功能，对接物联设备显示相关信息演示，功能演示齐全得2分，演示部分功能得1分，未演示或演示功能不匹配的得0分</w:t>
            </w:r>
          </w:p>
        </w:tc>
        <w:tc>
          <w:tcPr>
            <w:tcW w:w="76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630"/>
              </w:tabs>
              <w:ind w:left="0" w:leftChars="0" w:firstLine="0" w:firstLineChars="0"/>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6</w:t>
            </w:r>
          </w:p>
        </w:tc>
      </w:tr>
    </w:tbl>
    <w:p>
      <w:pPr>
        <w:rPr>
          <w:color w:val="auto"/>
          <w:highlight w:val="none"/>
        </w:rPr>
      </w:pPr>
    </w:p>
    <w:p>
      <w:pPr>
        <w:pStyle w:val="17"/>
        <w:keepNext w:val="0"/>
        <w:keepLines w:val="0"/>
        <w:pageBreakBefore w:val="0"/>
        <w:widowControl w:val="0"/>
        <w:numPr>
          <w:ilvl w:val="0"/>
          <w:numId w:val="11"/>
        </w:numPr>
        <w:kinsoku/>
        <w:wordWrap/>
        <w:overflowPunct/>
        <w:topLinePunct w:val="0"/>
        <w:bidi w:val="0"/>
        <w:adjustRightInd w:val="0"/>
        <w:snapToGrid w:val="0"/>
        <w:spacing w:line="360" w:lineRule="auto"/>
        <w:ind w:firstLine="466" w:firstLineChars="200"/>
        <w:textAlignment w:val="auto"/>
        <w:rPr>
          <w:rFonts w:hint="eastAsia" w:hAnsi="宋体" w:cs="宋体"/>
          <w:b/>
          <w:bCs/>
          <w:color w:val="auto"/>
          <w:sz w:val="24"/>
          <w:highlight w:val="none"/>
          <w:lang w:eastAsia="zh-CN"/>
        </w:rPr>
      </w:pPr>
      <w:r>
        <w:rPr>
          <w:rFonts w:hAnsi="宋体" w:cs="宋体"/>
          <w:b/>
          <w:bCs/>
          <w:color w:val="auto"/>
          <w:sz w:val="24"/>
          <w:highlight w:val="none"/>
        </w:rPr>
        <w:t>价格分（</w:t>
      </w:r>
      <w:r>
        <w:rPr>
          <w:rFonts w:hint="eastAsia" w:hAnsi="宋体" w:cs="宋体"/>
          <w:b/>
          <w:bCs/>
          <w:color w:val="auto"/>
          <w:sz w:val="24"/>
          <w:highlight w:val="none"/>
          <w:u w:val="single"/>
          <w:lang w:val="en-US" w:eastAsia="zh-CN"/>
        </w:rPr>
        <w:t>2</w:t>
      </w:r>
      <w:r>
        <w:rPr>
          <w:rFonts w:hint="eastAsia" w:hAnsi="宋体" w:cs="宋体"/>
          <w:b/>
          <w:bCs/>
          <w:color w:val="auto"/>
          <w:sz w:val="24"/>
          <w:highlight w:val="none"/>
          <w:u w:val="single"/>
          <w:lang w:val="en-US" w:eastAsia="zh-CN"/>
        </w:rPr>
        <w:t>0</w:t>
      </w:r>
      <w:r>
        <w:rPr>
          <w:rFonts w:hAnsi="宋体" w:cs="宋体"/>
          <w:b/>
          <w:bCs/>
          <w:color w:val="auto"/>
          <w:sz w:val="24"/>
          <w:highlight w:val="none"/>
        </w:rPr>
        <w:t>分）</w:t>
      </w:r>
    </w:p>
    <w:p>
      <w:pPr>
        <w:pStyle w:val="3"/>
        <w:spacing w:line="360" w:lineRule="auto"/>
        <w:ind w:firstLine="482" w:firstLineChars="200"/>
        <w:jc w:val="both"/>
        <w:rPr>
          <w:rFonts w:hint="eastAsia"/>
          <w:color w:val="auto"/>
          <w:highlight w:val="none"/>
        </w:rPr>
      </w:pPr>
      <w:bookmarkStart w:id="52" w:name="_Toc1736"/>
      <w:bookmarkStart w:id="53" w:name="_Toc4320"/>
      <w:r>
        <w:rPr>
          <w:rFonts w:hint="eastAsia" w:hAnsi="宋体" w:cs="宋体"/>
          <w:bCs/>
          <w:color w:val="auto"/>
          <w:sz w:val="24"/>
          <w:highlight w:val="none"/>
        </w:rPr>
        <w:t>价格分=（评标基准价/</w:t>
      </w:r>
      <w:r>
        <w:rPr>
          <w:rFonts w:hint="eastAsia" w:hAnsi="宋体" w:cs="宋体"/>
          <w:b/>
          <w:bCs/>
          <w:color w:val="auto"/>
          <w:sz w:val="24"/>
          <w:highlight w:val="none"/>
          <w:lang w:val="en-US" w:eastAsia="zh-CN"/>
        </w:rPr>
        <w:t>投标报价</w:t>
      </w:r>
      <w:r>
        <w:rPr>
          <w:rFonts w:hint="eastAsia" w:hAnsi="宋体" w:cs="宋体"/>
          <w:bCs/>
          <w:color w:val="auto"/>
          <w:sz w:val="24"/>
          <w:highlight w:val="none"/>
        </w:rPr>
        <w:t>）×</w:t>
      </w:r>
      <w:r>
        <w:rPr>
          <w:rFonts w:hint="eastAsia" w:hAnsi="宋体" w:cs="宋体"/>
          <w:bCs/>
          <w:color w:val="auto"/>
          <w:sz w:val="24"/>
          <w:highlight w:val="none"/>
          <w:lang w:val="en-US" w:eastAsia="zh-CN"/>
        </w:rPr>
        <w:t>20</w:t>
      </w:r>
      <w:r>
        <w:rPr>
          <w:rFonts w:hint="eastAsia" w:hAnsi="宋体" w:cs="宋体"/>
          <w:bCs/>
          <w:color w:val="auto"/>
          <w:sz w:val="24"/>
          <w:highlight w:val="none"/>
        </w:rPr>
        <w:t>%×100</w:t>
      </w:r>
      <w:bookmarkEnd w:id="52"/>
      <w:bookmarkEnd w:id="53"/>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ascii="宋体" w:cs="仿宋_GB2312"/>
          <w:b/>
          <w:bCs/>
          <w:color w:val="auto"/>
          <w:sz w:val="24"/>
          <w:highlight w:val="none"/>
          <w:lang w:val="zh-CN"/>
        </w:rPr>
      </w:pPr>
      <w:r>
        <w:rPr>
          <w:rFonts w:ascii="宋体" w:cs="仿宋_GB2312"/>
          <w:b/>
          <w:bCs/>
          <w:color w:val="auto"/>
          <w:sz w:val="24"/>
          <w:highlight w:val="none"/>
          <w:lang w:val="zh-CN"/>
        </w:rPr>
        <w:t>落实政府采购政策说明：</w:t>
      </w:r>
      <w:r>
        <w:rPr>
          <w:rFonts w:ascii="宋体" w:cs="仿宋_GB2312"/>
          <w:b/>
          <w:bCs/>
          <w:color w:val="auto"/>
          <w:sz w:val="24"/>
          <w:highlight w:val="none"/>
          <w:lang w:val="zh-CN"/>
        </w:rPr>
        <w:t>落实政府采购政策说明：本项目面向中小企业采购，不进行价格扣除或价格分加分。</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五</w:t>
      </w:r>
      <w:r>
        <w:rPr>
          <w:rFonts w:hint="default" w:ascii="Times New Roman" w:hAnsi="Times New Roman" w:eastAsia="宋体" w:cs="Times New Roman"/>
          <w:b/>
          <w:color w:val="auto"/>
          <w:sz w:val="24"/>
          <w:szCs w:val="24"/>
          <w:highlight w:val="none"/>
        </w:rPr>
        <w:t>、询标</w:t>
      </w:r>
    </w:p>
    <w:p>
      <w:pPr>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default" w:ascii="Times New Roman" w:hAnsi="宋体" w:eastAsia="宋体" w:cs="宋体"/>
          <w:bCs/>
          <w:color w:val="auto"/>
          <w:sz w:val="24"/>
          <w:highlight w:val="none"/>
        </w:rPr>
      </w:pPr>
      <w:r>
        <w:rPr>
          <w:rFonts w:hint="default" w:ascii="Times New Roman" w:hAnsi="宋体" w:eastAsia="宋体" w:cs="宋体"/>
          <w:bCs/>
          <w:color w:val="auto"/>
          <w:sz w:val="24"/>
          <w:highlight w:val="none"/>
        </w:rPr>
        <w:t>对投标文件中存在含义不清楚的内容，必要时评标委员会要求</w:t>
      </w:r>
      <w:r>
        <w:rPr>
          <w:rFonts w:hint="eastAsia" w:ascii="Times New Roman" w:hAnsi="宋体" w:eastAsia="宋体" w:cs="宋体"/>
          <w:bCs/>
          <w:color w:val="auto"/>
          <w:sz w:val="24"/>
          <w:highlight w:val="none"/>
        </w:rPr>
        <w:t>供应商</w:t>
      </w:r>
      <w:r>
        <w:rPr>
          <w:rFonts w:hint="default" w:ascii="Times New Roman" w:hAnsi="宋体" w:eastAsia="宋体" w:cs="宋体"/>
          <w:bCs/>
          <w:color w:val="auto"/>
          <w:sz w:val="24"/>
          <w:highlight w:val="none"/>
        </w:rPr>
        <w:t>作必要的澄清、说明或补正。询标记录需</w:t>
      </w:r>
      <w:r>
        <w:rPr>
          <w:rFonts w:hint="eastAsia" w:ascii="Times New Roman" w:hAnsi="宋体" w:eastAsia="宋体" w:cs="宋体"/>
          <w:bCs/>
          <w:color w:val="auto"/>
          <w:sz w:val="24"/>
          <w:highlight w:val="none"/>
        </w:rPr>
        <w:t>供应商</w:t>
      </w:r>
      <w:r>
        <w:rPr>
          <w:rFonts w:hint="default" w:ascii="Times New Roman" w:hAnsi="宋体" w:eastAsia="宋体" w:cs="宋体"/>
          <w:bCs/>
          <w:color w:val="auto"/>
          <w:sz w:val="24"/>
          <w:highlight w:val="none"/>
        </w:rPr>
        <w:t>授权代表签字确认，它将作为投标文件的一部分。</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六、修改评标结果</w:t>
      </w:r>
    </w:p>
    <w:p>
      <w:pPr>
        <w:pStyle w:val="17"/>
        <w:keepNext w:val="0"/>
        <w:keepLines w:val="0"/>
        <w:pageBreakBefore w:val="0"/>
        <w:widowControl w:val="0"/>
        <w:kinsoku/>
        <w:wordWrap/>
        <w:overflowPunct/>
        <w:topLinePunct w:val="0"/>
        <w:bidi w:val="0"/>
        <w:adjustRightInd w:val="0"/>
        <w:snapToGrid w:val="0"/>
        <w:spacing w:line="360" w:lineRule="auto"/>
        <w:ind w:firstLine="464"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评标结果汇总完成后，除下列情形外，任何人不得修改评标结果：</w:t>
      </w:r>
    </w:p>
    <w:p>
      <w:pPr>
        <w:pStyle w:val="17"/>
        <w:keepNext w:val="0"/>
        <w:keepLines w:val="0"/>
        <w:pageBreakBefore w:val="0"/>
        <w:widowControl w:val="0"/>
        <w:kinsoku/>
        <w:wordWrap/>
        <w:overflowPunct/>
        <w:topLinePunct w:val="0"/>
        <w:bidi w:val="0"/>
        <w:adjustRightInd w:val="0"/>
        <w:snapToGrid w:val="0"/>
        <w:spacing w:line="360" w:lineRule="auto"/>
        <w:ind w:firstLine="464"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（一）分值汇总计算错误的</w:t>
      </w:r>
    </w:p>
    <w:p>
      <w:pPr>
        <w:pStyle w:val="17"/>
        <w:keepNext w:val="0"/>
        <w:keepLines w:val="0"/>
        <w:pageBreakBefore w:val="0"/>
        <w:widowControl w:val="0"/>
        <w:kinsoku/>
        <w:wordWrap/>
        <w:overflowPunct/>
        <w:topLinePunct w:val="0"/>
        <w:bidi w:val="0"/>
        <w:adjustRightInd w:val="0"/>
        <w:snapToGrid w:val="0"/>
        <w:spacing w:line="360" w:lineRule="auto"/>
        <w:ind w:firstLine="464"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（二）分项评分超出评分标准范围的；</w:t>
      </w:r>
    </w:p>
    <w:p>
      <w:pPr>
        <w:pStyle w:val="17"/>
        <w:keepNext w:val="0"/>
        <w:keepLines w:val="0"/>
        <w:pageBreakBefore w:val="0"/>
        <w:widowControl w:val="0"/>
        <w:kinsoku/>
        <w:wordWrap/>
        <w:overflowPunct/>
        <w:topLinePunct w:val="0"/>
        <w:bidi w:val="0"/>
        <w:adjustRightInd w:val="0"/>
        <w:snapToGrid w:val="0"/>
        <w:spacing w:line="360" w:lineRule="auto"/>
        <w:ind w:firstLine="464"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（三）评标委员会成员对客观评审因素评分不一致的；</w:t>
      </w:r>
    </w:p>
    <w:p>
      <w:pPr>
        <w:pStyle w:val="17"/>
        <w:keepNext w:val="0"/>
        <w:keepLines w:val="0"/>
        <w:pageBreakBefore w:val="0"/>
        <w:widowControl w:val="0"/>
        <w:kinsoku/>
        <w:wordWrap/>
        <w:overflowPunct/>
        <w:topLinePunct w:val="0"/>
        <w:bidi w:val="0"/>
        <w:adjustRightInd w:val="0"/>
        <w:snapToGrid w:val="0"/>
        <w:spacing w:line="360" w:lineRule="auto"/>
        <w:ind w:firstLine="464" w:firstLineChars="200"/>
        <w:jc w:val="both"/>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（四）经评标委员会认定评分畸高、畸低的。</w:t>
      </w:r>
    </w:p>
    <w:p>
      <w:pPr>
        <w:snapToGrid w:val="0"/>
        <w:spacing w:line="360" w:lineRule="auto"/>
        <w:rPr>
          <w:rFonts w:ascii="宋体" w:hAnsi="宋体" w:cs="宋体"/>
          <w:color w:val="auto"/>
          <w:sz w:val="36"/>
          <w:szCs w:val="36"/>
          <w:highlight w:val="none"/>
        </w:rPr>
      </w:pPr>
      <w:r>
        <w:rPr>
          <w:rFonts w:hint="eastAsia" w:ascii="宋体" w:hAnsi="宋体" w:eastAsia="宋体" w:cs="宋体"/>
          <w:b/>
          <w:bCs/>
          <w:color w:val="auto"/>
          <w:sz w:val="24"/>
          <w:highlight w:val="none"/>
        </w:rPr>
        <w:br w:type="page"/>
      </w:r>
    </w:p>
    <w:p>
      <w:pPr>
        <w:pStyle w:val="3"/>
        <w:numPr>
          <w:ilvl w:val="0"/>
          <w:numId w:val="12"/>
        </w:numPr>
        <w:bidi w:val="0"/>
        <w:rPr>
          <w:color w:val="auto"/>
          <w:sz w:val="36"/>
          <w:szCs w:val="36"/>
          <w:highlight w:val="none"/>
        </w:rPr>
      </w:pPr>
      <w:r>
        <w:rPr>
          <w:color w:val="auto"/>
          <w:sz w:val="36"/>
          <w:szCs w:val="36"/>
          <w:highlight w:val="none"/>
        </w:rPr>
        <w:t xml:space="preserve"> </w:t>
      </w:r>
      <w:bookmarkStart w:id="54" w:name="_Toc10700"/>
      <w:bookmarkStart w:id="55" w:name="_Toc639"/>
      <w:r>
        <w:rPr>
          <w:color w:val="auto"/>
          <w:sz w:val="36"/>
          <w:szCs w:val="36"/>
          <w:highlight w:val="none"/>
        </w:rPr>
        <w:t>采购内容及需求</w:t>
      </w:r>
      <w:bookmarkEnd w:id="54"/>
      <w:bookmarkEnd w:id="55"/>
    </w:p>
    <w:p>
      <w:pPr>
        <w:pStyle w:val="17"/>
        <w:rPr>
          <w:rFonts w:hAnsi="宋体" w:cs="宋体"/>
          <w:b/>
          <w:color w:val="auto"/>
          <w:sz w:val="36"/>
          <w:szCs w:val="36"/>
          <w:highlight w:val="none"/>
        </w:rPr>
      </w:pPr>
    </w:p>
    <w:p>
      <w:pPr>
        <w:pStyle w:val="4"/>
        <w:numPr>
          <w:ilvl w:val="2"/>
          <w:numId w:val="0"/>
        </w:numPr>
        <w:tabs>
          <w:tab w:val="left" w:pos="360"/>
          <w:tab w:val="left" w:pos="432"/>
        </w:tabs>
        <w:snapToGrid w:val="0"/>
        <w:spacing w:before="0" w:after="0" w:line="360" w:lineRule="auto"/>
        <w:ind w:left="425" w:hanging="4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（一）招标内容</w:t>
      </w:r>
    </w:p>
    <w:p>
      <w:pPr>
        <w:numPr>
          <w:ilvl w:val="2"/>
          <w:numId w:val="0"/>
        </w:numPr>
        <w:tabs>
          <w:tab w:val="left" w:pos="360"/>
          <w:tab w:val="left" w:pos="432"/>
        </w:tabs>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rPr>
        <w:tab/>
      </w:r>
      <w:r>
        <w:rPr>
          <w:rFonts w:hint="eastAsia" w:ascii="宋体" w:hAnsi="宋体" w:cs="宋体"/>
          <w:color w:val="auto"/>
          <w:kern w:val="0"/>
          <w:sz w:val="24"/>
          <w:highlight w:val="none"/>
        </w:rPr>
        <w:t>本次项目将</w:t>
      </w:r>
      <w:r>
        <w:rPr>
          <w:rFonts w:hint="eastAsia" w:ascii="宋体" w:hAnsi="宋体" w:cs="宋体"/>
          <w:color w:val="auto"/>
          <w:kern w:val="0"/>
          <w:sz w:val="24"/>
          <w:highlight w:val="none"/>
          <w:lang w:eastAsia="zh-Hans"/>
        </w:rPr>
        <w:t>全面围绕“数字浙警”建设工程的</w:t>
      </w:r>
      <w:r>
        <w:rPr>
          <w:rFonts w:hint="eastAsia" w:ascii="宋体" w:hAnsi="宋体" w:cs="宋体"/>
          <w:color w:val="auto"/>
          <w:kern w:val="0"/>
          <w:sz w:val="24"/>
          <w:highlight w:val="none"/>
        </w:rPr>
        <w:t>统一规划、统一架构、统一标准、统一建设、统一管理、统一运维，构建切合</w:t>
      </w:r>
      <w:r>
        <w:rPr>
          <w:rFonts w:hint="eastAsia" w:ascii="宋体" w:hAnsi="宋体" w:cs="宋体"/>
          <w:color w:val="auto"/>
          <w:kern w:val="0"/>
          <w:sz w:val="24"/>
          <w:highlight w:val="none"/>
          <w:lang w:eastAsia="zh-Hans"/>
        </w:rPr>
        <w:t>浙江警察学院的数字化改革</w:t>
      </w:r>
      <w:r>
        <w:rPr>
          <w:rFonts w:hint="eastAsia" w:ascii="宋体" w:hAnsi="宋体" w:cs="宋体"/>
          <w:color w:val="auto"/>
          <w:kern w:val="0"/>
          <w:sz w:val="24"/>
          <w:highlight w:val="none"/>
        </w:rPr>
        <w:t>生态体系</w:t>
      </w:r>
      <w:r>
        <w:rPr>
          <w:rFonts w:ascii="宋体" w:hAnsi="宋体" w:cs="宋体"/>
          <w:color w:val="auto"/>
          <w:kern w:val="0"/>
          <w:sz w:val="24"/>
          <w:highlight w:val="none"/>
        </w:rPr>
        <w:t>。</w:t>
      </w:r>
      <w:r>
        <w:rPr>
          <w:rFonts w:hint="eastAsia" w:ascii="宋体" w:hAnsi="宋体" w:cs="宋体"/>
          <w:color w:val="auto"/>
          <w:kern w:val="0"/>
          <w:sz w:val="24"/>
          <w:highlight w:val="none"/>
        </w:rPr>
        <w:t>利用数字化的技术、数字化的思维、数字化的认知，推进业务流程再造，优化学校内部管理和服务</w:t>
      </w:r>
      <w:r>
        <w:rPr>
          <w:rFonts w:hint="eastAsia" w:ascii="宋体" w:hAnsi="宋体" w:cs="宋体"/>
          <w:color w:val="auto"/>
          <w:kern w:val="0"/>
          <w:sz w:val="24"/>
          <w:highlight w:val="none"/>
          <w:lang w:eastAsia="zh-Hans"/>
        </w:rPr>
        <w:t>。</w:t>
      </w:r>
      <w:r>
        <w:rPr>
          <w:rFonts w:hint="eastAsia" w:ascii="宋体" w:hAnsi="宋体" w:cs="宋体"/>
          <w:color w:val="auto"/>
          <w:kern w:val="0"/>
          <w:sz w:val="24"/>
          <w:highlight w:val="none"/>
        </w:rPr>
        <w:t>主要建设内容如下：</w:t>
      </w:r>
    </w:p>
    <w:tbl>
      <w:tblPr>
        <w:tblStyle w:val="43"/>
        <w:tblW w:w="5285" w:type="pct"/>
        <w:jc w:val="center"/>
        <w:tblLayout w:type="autofit"/>
        <w:tblCellMar>
          <w:top w:w="0" w:type="dxa"/>
          <w:left w:w="108" w:type="dxa"/>
          <w:bottom w:w="0" w:type="dxa"/>
          <w:right w:w="108" w:type="dxa"/>
        </w:tblCellMar>
      </w:tblPr>
      <w:tblGrid>
        <w:gridCol w:w="787"/>
        <w:gridCol w:w="1524"/>
        <w:gridCol w:w="6364"/>
        <w:gridCol w:w="731"/>
        <w:gridCol w:w="711"/>
      </w:tblGrid>
      <w:tr>
        <w:tblPrEx>
          <w:tblCellMar>
            <w:top w:w="0" w:type="dxa"/>
            <w:left w:w="108" w:type="dxa"/>
            <w:bottom w:w="0" w:type="dxa"/>
            <w:right w:w="108" w:type="dxa"/>
          </w:tblCellMar>
        </w:tblPrEx>
        <w:trPr>
          <w:trHeight w:val="454"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753"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产品/服务名称</w:t>
            </w:r>
          </w:p>
        </w:tc>
        <w:tc>
          <w:tcPr>
            <w:tcW w:w="3144"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产品/服务内容</w:t>
            </w:r>
          </w:p>
        </w:tc>
        <w:tc>
          <w:tcPr>
            <w:tcW w:w="36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35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b/>
                <w:bCs/>
                <w:color w:val="auto"/>
                <w:sz w:val="24"/>
                <w:highlight w:val="none"/>
              </w:rPr>
              <w:t>单位</w:t>
            </w:r>
          </w:p>
        </w:tc>
      </w:tr>
      <w:tr>
        <w:tblPrEx>
          <w:tblCellMar>
            <w:top w:w="0" w:type="dxa"/>
            <w:left w:w="108" w:type="dxa"/>
            <w:bottom w:w="0" w:type="dxa"/>
            <w:right w:w="108" w:type="dxa"/>
          </w:tblCellMar>
        </w:tblPrEx>
        <w:trPr>
          <w:trHeight w:val="2898" w:hRule="atLeast"/>
          <w:jc w:val="center"/>
        </w:trPr>
        <w:tc>
          <w:tcPr>
            <w:tcW w:w="389" w:type="pct"/>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53" w:type="pct"/>
            <w:tcBorders>
              <w:top w:val="nil"/>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校园基础信息管理</w:t>
            </w:r>
          </w:p>
        </w:tc>
        <w:tc>
          <w:tcPr>
            <w:tcW w:w="3144" w:type="pct"/>
            <w:tcBorders>
              <w:top w:val="nil"/>
              <w:left w:val="nil"/>
              <w:bottom w:val="single" w:color="auto" w:sz="4" w:space="0"/>
              <w:right w:val="single" w:color="auto" w:sz="4" w:space="0"/>
            </w:tcBorders>
            <w:noWrap w:val="0"/>
            <w:vAlign w:val="center"/>
          </w:tcPr>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Hans"/>
              </w:rPr>
              <w:t>实现</w:t>
            </w:r>
            <w:r>
              <w:rPr>
                <w:rFonts w:hint="eastAsia" w:ascii="宋体" w:hAnsi="宋体" w:cs="宋体"/>
                <w:color w:val="auto"/>
                <w:sz w:val="24"/>
                <w:highlight w:val="none"/>
              </w:rPr>
              <w:t>管理员在管理中心可以进行临安、滨江两校区基本信息的维护，查看校内所有场所的信息，根据场所用途设置标签，包括教室、运动场馆、会议室、行政楼、宿舍、食堂等。</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Hans"/>
              </w:rPr>
              <w:t>建立</w:t>
            </w:r>
            <w:r>
              <w:rPr>
                <w:rFonts w:hint="eastAsia" w:ascii="宋体" w:hAnsi="宋体" w:cs="宋体"/>
                <w:color w:val="auto"/>
                <w:sz w:val="24"/>
                <w:highlight w:val="none"/>
              </w:rPr>
              <w:t>无线AP</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Hans"/>
              </w:rPr>
              <w:t>监控</w:t>
            </w:r>
            <w:r>
              <w:rPr>
                <w:rFonts w:hint="eastAsia" w:ascii="宋体" w:hAnsi="宋体" w:cs="宋体"/>
                <w:color w:val="auto"/>
                <w:sz w:val="24"/>
                <w:highlight w:val="none"/>
              </w:rPr>
              <w:t>安装信息维护</w:t>
            </w:r>
            <w:r>
              <w:rPr>
                <w:rFonts w:hint="eastAsia" w:ascii="宋体" w:hAnsi="宋体" w:cs="宋体"/>
                <w:color w:val="auto"/>
                <w:sz w:val="24"/>
                <w:highlight w:val="none"/>
                <w:lang w:val="en-US" w:eastAsia="zh-Hans"/>
              </w:rPr>
              <w:t>全景</w:t>
            </w:r>
            <w:r>
              <w:rPr>
                <w:rFonts w:hint="eastAsia" w:ascii="宋体" w:hAnsi="宋体" w:cs="宋体"/>
                <w:color w:val="auto"/>
                <w:sz w:val="24"/>
                <w:highlight w:val="none"/>
              </w:rPr>
              <w:t>，集成安防系统监控数据，集成动环监测、消防管理数据，向管理人员发送监测预警及消息通知。</w:t>
            </w:r>
          </w:p>
          <w:p>
            <w:pPr>
              <w:snapToGrid w:val="0"/>
              <w:spacing w:line="240" w:lineRule="auto"/>
              <w:jc w:val="left"/>
              <w:rPr>
                <w:rFonts w:hint="eastAsia" w:ascii="宋体" w:hAnsi="宋体" w:eastAsia="宋体" w:cs="宋体"/>
                <w:color w:val="auto"/>
                <w:sz w:val="24"/>
                <w:highlight w:val="none"/>
                <w:lang w:eastAsia="zh-Hans"/>
              </w:rPr>
            </w:pPr>
            <w:r>
              <w:rPr>
                <w:rFonts w:hint="eastAsia" w:ascii="宋体" w:hAnsi="宋体" w:cs="宋体"/>
                <w:color w:val="auto"/>
                <w:sz w:val="24"/>
                <w:highlight w:val="none"/>
                <w:lang w:val="en-US" w:eastAsia="zh-Hans"/>
              </w:rPr>
              <w:t>实现</w:t>
            </w:r>
            <w:r>
              <w:rPr>
                <w:rFonts w:hint="eastAsia" w:ascii="宋体" w:hAnsi="宋体" w:cs="宋体"/>
                <w:color w:val="auto"/>
                <w:sz w:val="24"/>
                <w:highlight w:val="none"/>
              </w:rPr>
              <w:t>动环监测和消防管理的预警消息</w:t>
            </w:r>
            <w:r>
              <w:rPr>
                <w:rFonts w:hint="eastAsia" w:ascii="宋体" w:hAnsi="宋体" w:cs="宋体"/>
                <w:color w:val="auto"/>
                <w:sz w:val="24"/>
                <w:highlight w:val="none"/>
                <w:lang w:val="en-US" w:eastAsia="zh-Hans"/>
              </w:rPr>
              <w:t>中心</w:t>
            </w:r>
            <w:r>
              <w:rPr>
                <w:rFonts w:hint="eastAsia" w:ascii="宋体" w:hAnsi="宋体" w:cs="宋体"/>
                <w:color w:val="auto"/>
                <w:sz w:val="24"/>
                <w:highlight w:val="none"/>
              </w:rPr>
              <w:t>，</w:t>
            </w:r>
            <w:r>
              <w:rPr>
                <w:rFonts w:hint="eastAsia" w:ascii="宋体" w:hAnsi="宋体" w:cs="宋体"/>
                <w:color w:val="auto"/>
                <w:sz w:val="24"/>
                <w:highlight w:val="none"/>
                <w:lang w:val="en-US" w:eastAsia="zh-Hans"/>
              </w:rPr>
              <w:t>可进行</w:t>
            </w:r>
            <w:r>
              <w:rPr>
                <w:rFonts w:hint="eastAsia" w:ascii="宋体" w:hAnsi="宋体" w:cs="宋体"/>
                <w:color w:val="auto"/>
                <w:sz w:val="24"/>
                <w:highlight w:val="none"/>
              </w:rPr>
              <w:t>预警消息</w:t>
            </w:r>
            <w:r>
              <w:rPr>
                <w:rFonts w:hint="eastAsia" w:ascii="宋体" w:hAnsi="宋体" w:cs="宋体"/>
                <w:color w:val="auto"/>
                <w:sz w:val="24"/>
                <w:highlight w:val="none"/>
                <w:lang w:val="en-US" w:eastAsia="zh-Hans"/>
              </w:rPr>
              <w:t>的</w:t>
            </w:r>
            <w:r>
              <w:rPr>
                <w:rFonts w:hint="eastAsia" w:ascii="宋体" w:hAnsi="宋体" w:cs="宋体"/>
                <w:color w:val="auto"/>
                <w:sz w:val="24"/>
                <w:highlight w:val="none"/>
              </w:rPr>
              <w:t>指派</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Hans"/>
              </w:rPr>
              <w:t>处理、忽略等。</w:t>
            </w:r>
            <w:r>
              <w:rPr>
                <w:rFonts w:hint="eastAsia" w:ascii="宋体" w:hAnsi="宋体" w:cs="宋体"/>
                <w:color w:val="auto"/>
                <w:sz w:val="24"/>
                <w:highlight w:val="none"/>
              </w:rPr>
              <w:t>预警解除后，预警状态自动更新为已处理</w:t>
            </w:r>
            <w:r>
              <w:rPr>
                <w:rFonts w:hint="eastAsia" w:ascii="宋体" w:hAnsi="宋体" w:cs="宋体"/>
                <w:color w:val="auto"/>
                <w:sz w:val="24"/>
                <w:highlight w:val="none"/>
                <w:lang w:eastAsia="zh-Hans"/>
              </w:rPr>
              <w:t>。</w:t>
            </w:r>
          </w:p>
        </w:tc>
        <w:tc>
          <w:tcPr>
            <w:tcW w:w="361" w:type="pct"/>
            <w:tcBorders>
              <w:top w:val="nil"/>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51" w:type="pct"/>
            <w:tcBorders>
              <w:top w:val="nil"/>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742" w:hRule="atLeast"/>
          <w:jc w:val="center"/>
        </w:trPr>
        <w:tc>
          <w:tcPr>
            <w:tcW w:w="389" w:type="pct"/>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53" w:type="pct"/>
            <w:tcBorders>
              <w:top w:val="nil"/>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学习中心</w:t>
            </w:r>
          </w:p>
        </w:tc>
        <w:tc>
          <w:tcPr>
            <w:tcW w:w="3144" w:type="pct"/>
            <w:tcBorders>
              <w:top w:val="nil"/>
              <w:left w:val="nil"/>
              <w:bottom w:val="single" w:color="auto" w:sz="4" w:space="0"/>
              <w:right w:val="single" w:color="auto" w:sz="4" w:space="0"/>
            </w:tcBorders>
            <w:noWrap w:val="0"/>
            <w:vAlign w:val="center"/>
          </w:tcPr>
          <w:p>
            <w:pPr>
              <w:snapToGrid w:val="0"/>
              <w:spacing w:line="240" w:lineRule="auto"/>
              <w:jc w:val="left"/>
              <w:rPr>
                <w:rFonts w:ascii="宋体" w:hAnsi="宋体" w:cs="宋体"/>
                <w:color w:val="auto"/>
                <w:sz w:val="24"/>
                <w:highlight w:val="none"/>
                <w:lang w:eastAsia="zh-Hans"/>
              </w:rPr>
            </w:pPr>
            <w:r>
              <w:rPr>
                <w:rFonts w:hint="eastAsia" w:ascii="宋体" w:hAnsi="宋体" w:cs="宋体"/>
                <w:color w:val="auto"/>
                <w:sz w:val="24"/>
                <w:highlight w:val="none"/>
                <w:lang w:eastAsia="zh-Hans"/>
              </w:rPr>
              <w:t>集成网上图书馆、大数据人工智能**应用教研训平台、网安综合实训平台、虚拟仿真平台，</w:t>
            </w:r>
            <w:r>
              <w:rPr>
                <w:rFonts w:hint="eastAsia" w:ascii="宋体" w:hAnsi="宋体" w:cs="宋体"/>
                <w:color w:val="auto"/>
                <w:sz w:val="24"/>
                <w:highlight w:val="none"/>
                <w:lang w:val="en-US" w:eastAsia="zh-Hans"/>
              </w:rPr>
              <w:t>构建全校学习中心</w:t>
            </w:r>
            <w:r>
              <w:rPr>
                <w:rFonts w:hint="eastAsia" w:ascii="宋体" w:hAnsi="宋体" w:cs="宋体"/>
                <w:color w:val="auto"/>
                <w:sz w:val="24"/>
                <w:highlight w:val="none"/>
                <w:lang w:eastAsia="zh-Hans"/>
              </w:rPr>
              <w:t>。</w:t>
            </w:r>
          </w:p>
        </w:tc>
        <w:tc>
          <w:tcPr>
            <w:tcW w:w="361" w:type="pct"/>
            <w:tcBorders>
              <w:top w:val="nil"/>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51" w:type="pct"/>
            <w:tcBorders>
              <w:top w:val="nil"/>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4921" w:hRule="atLeast"/>
          <w:jc w:val="center"/>
        </w:trPr>
        <w:tc>
          <w:tcPr>
            <w:tcW w:w="389" w:type="pct"/>
            <w:tcBorders>
              <w:top w:val="nil"/>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753" w:type="pct"/>
            <w:tcBorders>
              <w:top w:val="nil"/>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办公管理模块</w:t>
            </w:r>
          </w:p>
        </w:tc>
        <w:tc>
          <w:tcPr>
            <w:tcW w:w="3144" w:type="pct"/>
            <w:tcBorders>
              <w:top w:val="nil"/>
              <w:left w:val="nil"/>
              <w:bottom w:val="single" w:color="auto" w:sz="4" w:space="0"/>
              <w:right w:val="single" w:color="auto" w:sz="4" w:space="0"/>
            </w:tcBorders>
            <w:noWrap w:val="0"/>
            <w:vAlign w:val="center"/>
          </w:tcPr>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任务管理。各部门可以通过此模块下发各种专项任务给具体经办人员，并在个人门户中实现任务提醒、进度跟踪、效率统计等功能。</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会议管理。各部门可以通过此模块下发“三会一课”等会议通知给指定人员，并在个人门户中提供会议提醒，会议过程记录、参会人员留痕等功能，同时会议安排可自动关联到个人日程中。</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Hans"/>
              </w:rPr>
              <w:t>活动管理。各部门可通过此模块发起活动，并在个人门户和钉钉端提供活动提醒，日志记录。</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用车管理</w:t>
            </w:r>
            <w:r>
              <w:rPr>
                <w:rFonts w:hint="eastAsia" w:ascii="宋体" w:hAnsi="宋体" w:cs="宋体"/>
                <w:color w:val="auto"/>
                <w:sz w:val="24"/>
                <w:highlight w:val="none"/>
                <w:lang w:eastAsia="zh-Hans"/>
              </w:rPr>
              <w:t>。</w:t>
            </w:r>
            <w:r>
              <w:rPr>
                <w:rFonts w:hint="eastAsia" w:ascii="宋体" w:hAnsi="宋体" w:cs="宋体"/>
                <w:color w:val="auto"/>
                <w:sz w:val="24"/>
                <w:highlight w:val="none"/>
              </w:rPr>
              <w:t>对接用车申请流程</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Hans"/>
              </w:rPr>
              <w:t>实现</w:t>
            </w:r>
            <w:r>
              <w:rPr>
                <w:rFonts w:hint="eastAsia" w:ascii="宋体" w:hAnsi="宋体" w:cs="宋体"/>
                <w:color w:val="auto"/>
                <w:sz w:val="24"/>
                <w:highlight w:val="none"/>
              </w:rPr>
              <w:t>用车申请记录</w:t>
            </w:r>
            <w:r>
              <w:rPr>
                <w:rFonts w:hint="eastAsia" w:ascii="宋体" w:hAnsi="宋体" w:cs="宋体"/>
                <w:color w:val="auto"/>
                <w:sz w:val="24"/>
                <w:highlight w:val="none"/>
                <w:lang w:val="en-US" w:eastAsia="zh-Hans"/>
              </w:rPr>
              <w:t>查询、修改、统计。</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Hans"/>
              </w:rPr>
              <w:t>审批优化。完成</w:t>
            </w:r>
            <w:r>
              <w:rPr>
                <w:rFonts w:hint="eastAsia" w:ascii="宋体" w:hAnsi="宋体" w:cs="宋体"/>
                <w:color w:val="auto"/>
                <w:sz w:val="24"/>
                <w:highlight w:val="none"/>
              </w:rPr>
              <w:t>电脑和钉钉端的</w:t>
            </w:r>
            <w:r>
              <w:rPr>
                <w:rFonts w:hint="eastAsia" w:ascii="宋体" w:hAnsi="宋体" w:cs="宋体"/>
                <w:color w:val="auto"/>
                <w:sz w:val="24"/>
                <w:highlight w:val="none"/>
                <w:lang w:val="en-US" w:eastAsia="zh-Hans"/>
              </w:rPr>
              <w:t>常用审批意见和常用联系人功能，实现批量审批。</w:t>
            </w:r>
          </w:p>
          <w:p>
            <w:pPr>
              <w:snapToGrid w:val="0"/>
              <w:spacing w:line="240" w:lineRule="auto"/>
              <w:jc w:val="left"/>
              <w:rPr>
                <w:rFonts w:hint="default" w:ascii="宋体" w:hAnsi="宋体" w:eastAsia="宋体" w:cs="宋体"/>
                <w:color w:val="auto"/>
                <w:sz w:val="24"/>
                <w:highlight w:val="none"/>
                <w:lang w:val="en-US" w:eastAsia="zh-Hans"/>
              </w:rPr>
            </w:pPr>
            <w:r>
              <w:rPr>
                <w:rFonts w:hint="eastAsia" w:ascii="宋体" w:hAnsi="宋体" w:cs="宋体"/>
                <w:color w:val="auto"/>
                <w:sz w:val="24"/>
                <w:highlight w:val="none"/>
              </w:rPr>
              <w:t>照片管理功能。</w:t>
            </w:r>
            <w:r>
              <w:rPr>
                <w:rFonts w:hint="eastAsia" w:ascii="宋体" w:hAnsi="宋体" w:cs="宋体"/>
                <w:color w:val="auto"/>
                <w:sz w:val="24"/>
                <w:highlight w:val="none"/>
                <w:lang w:val="en-US" w:eastAsia="zh-Hans"/>
              </w:rPr>
              <w:t>对接人脸库，实现标准照管理。</w:t>
            </w:r>
          </w:p>
          <w:p>
            <w:pPr>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生日关怀</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Hans"/>
              </w:rPr>
              <w:t>向教职工发送生日关怀。</w:t>
            </w:r>
          </w:p>
        </w:tc>
        <w:tc>
          <w:tcPr>
            <w:tcW w:w="361" w:type="pct"/>
            <w:tcBorders>
              <w:top w:val="nil"/>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51" w:type="pct"/>
            <w:tcBorders>
              <w:top w:val="nil"/>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1153"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53"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消耗品管理</w:t>
            </w:r>
          </w:p>
        </w:tc>
        <w:tc>
          <w:tcPr>
            <w:tcW w:w="3144" w:type="pct"/>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在个人门户的基础上开发实验室消耗品管理模块，提供消耗品采购、入库、申领等过程性管理，实现PC端和移动端统一办理、统一审批和提醒。</w:t>
            </w:r>
          </w:p>
        </w:tc>
        <w:tc>
          <w:tcPr>
            <w:tcW w:w="36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5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5415"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ascii="宋体" w:hAnsi="宋体" w:cs="宋体"/>
                <w:color w:val="auto"/>
                <w:sz w:val="24"/>
                <w:highlight w:val="none"/>
              </w:rPr>
              <w:t>5</w:t>
            </w:r>
          </w:p>
        </w:tc>
        <w:tc>
          <w:tcPr>
            <w:tcW w:w="753"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运动场馆预约</w:t>
            </w:r>
          </w:p>
        </w:tc>
        <w:tc>
          <w:tcPr>
            <w:tcW w:w="3144" w:type="pct"/>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开发滨江校区和临安校区运动场馆的统一预约和管理模块，新用户需要激活并签定承诺书后方可开通资格。其中健身房需经首次运动器材使用注意事项培训后方可经管理开通进入健身房资格。</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人员能够在网页、移动端查询各场馆余位情况，以方便选择到那个场馆运动。实现滨江和临安两校区人员在电脑端和移动端进行运动场馆的线上预约。</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滨江校区健身房人满后可以手机端进行排号。</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人员</w:t>
            </w:r>
            <w:r>
              <w:rPr>
                <w:rFonts w:hint="eastAsia" w:ascii="宋体" w:hAnsi="宋体" w:cs="宋体"/>
                <w:color w:val="auto"/>
                <w:sz w:val="24"/>
                <w:highlight w:val="none"/>
                <w:lang w:val="en-US" w:eastAsia="zh-Hans"/>
              </w:rPr>
              <w:t>在</w:t>
            </w:r>
            <w:r>
              <w:rPr>
                <w:rFonts w:hint="eastAsia" w:ascii="宋体" w:hAnsi="宋体" w:cs="宋体"/>
                <w:color w:val="auto"/>
                <w:sz w:val="24"/>
                <w:highlight w:val="none"/>
              </w:rPr>
              <w:t>运动场馆可手机签到</w:t>
            </w:r>
            <w:r>
              <w:rPr>
                <w:rFonts w:hint="eastAsia" w:ascii="宋体" w:hAnsi="宋体" w:cs="宋体"/>
                <w:color w:val="auto"/>
                <w:sz w:val="24"/>
                <w:highlight w:val="none"/>
                <w:lang w:eastAsia="zh-Hans"/>
              </w:rPr>
              <w:t>、</w:t>
            </w:r>
            <w:r>
              <w:rPr>
                <w:rFonts w:hint="eastAsia" w:ascii="宋体" w:hAnsi="宋体" w:cs="宋体"/>
                <w:color w:val="auto"/>
                <w:sz w:val="24"/>
                <w:highlight w:val="none"/>
              </w:rPr>
              <w:t>签退，若未带手机工作人员可辅助在系统管理处进行</w:t>
            </w:r>
            <w:r>
              <w:rPr>
                <w:rFonts w:hint="eastAsia" w:ascii="宋体" w:hAnsi="宋体" w:cs="宋体"/>
                <w:color w:val="auto"/>
                <w:sz w:val="24"/>
                <w:highlight w:val="none"/>
                <w:lang w:val="en-US" w:eastAsia="zh-Hans"/>
              </w:rPr>
              <w:t>签到、签退</w:t>
            </w:r>
            <w:r>
              <w:rPr>
                <w:rFonts w:hint="eastAsia" w:ascii="宋体" w:hAnsi="宋体" w:cs="宋体"/>
                <w:color w:val="auto"/>
                <w:sz w:val="24"/>
                <w:highlight w:val="none"/>
              </w:rPr>
              <w:t>。设有闸机的场馆，对接一卡通的刷卡信息进行签到签退。当一卡通刷卡出现异常时，</w:t>
            </w:r>
            <w:r>
              <w:rPr>
                <w:rFonts w:hint="eastAsia" w:ascii="宋体" w:hAnsi="宋体" w:cs="宋体"/>
                <w:color w:val="auto"/>
                <w:sz w:val="24"/>
                <w:highlight w:val="none"/>
                <w:lang w:val="en-US" w:eastAsia="zh-Hans"/>
              </w:rPr>
              <w:t>可查询异常信息并</w:t>
            </w:r>
            <w:r>
              <w:rPr>
                <w:rFonts w:hint="eastAsia" w:ascii="宋体" w:hAnsi="宋体" w:cs="宋体"/>
                <w:color w:val="auto"/>
                <w:sz w:val="24"/>
                <w:highlight w:val="none"/>
              </w:rPr>
              <w:t>由场馆工作人员辅助进行签到、签退。</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人员进出情况实时显示。管理人员可设定各场馆、场地的开放和预约时间。超过运动时长上限的人员，会加入到超时黑名单，同时近7天内不可再进次预约和进馆。</w:t>
            </w:r>
          </w:p>
          <w:p>
            <w:pPr>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管理人员可按时间段、部门、姓名等维度查询各运动场馆锻炼情况。并可导出统计报表。</w:t>
            </w:r>
          </w:p>
        </w:tc>
        <w:tc>
          <w:tcPr>
            <w:tcW w:w="36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5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6673"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宋体" w:hAnsi="宋体" w:cs="宋体"/>
                <w:color w:val="auto"/>
                <w:sz w:val="24"/>
                <w:highlight w:val="none"/>
              </w:rPr>
            </w:pPr>
            <w:r>
              <w:rPr>
                <w:rFonts w:hint="default" w:ascii="宋体" w:hAnsi="宋体" w:cs="宋体"/>
                <w:color w:val="auto"/>
                <w:sz w:val="24"/>
                <w:highlight w:val="none"/>
              </w:rPr>
              <w:t>6</w:t>
            </w:r>
          </w:p>
        </w:tc>
        <w:tc>
          <w:tcPr>
            <w:tcW w:w="753"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项目过程化管理</w:t>
            </w:r>
          </w:p>
        </w:tc>
        <w:tc>
          <w:tcPr>
            <w:tcW w:w="3144" w:type="pct"/>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整合财务内控和资产管理系统的相关模块，开发项目过程化管理模块，串联建设类和运维类项目申报、立项、采购、合同签订、建设、验收、报销、归档等环节，实现对项目的全过程管理和监督。</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年度项目申报启动后，需求部门人员在线发起项目立项申请，指定项目负责人、项目成员、项目基本信息、采购清单等，并按要求上传立项所需文档。</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需求部门人员可对立项的项目进行拆分，通过多个标来完成总项目。</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对接资产管理系统录入入库信息</w:t>
            </w:r>
            <w:r>
              <w:rPr>
                <w:rFonts w:hint="eastAsia" w:ascii="宋体" w:hAnsi="宋体" w:cs="宋体"/>
                <w:color w:val="auto"/>
                <w:sz w:val="24"/>
                <w:highlight w:val="none"/>
                <w:lang w:eastAsia="zh-Hans"/>
              </w:rPr>
              <w:t>。</w:t>
            </w:r>
            <w:r>
              <w:rPr>
                <w:rFonts w:hint="eastAsia" w:ascii="宋体" w:hAnsi="宋体" w:cs="宋体"/>
                <w:color w:val="auto"/>
                <w:sz w:val="24"/>
                <w:highlight w:val="none"/>
              </w:rPr>
              <w:t>对接财务内控系统同步付款信息。付款完成项目归档。</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项目分类配置</w:t>
            </w:r>
            <w:r>
              <w:rPr>
                <w:rFonts w:hint="eastAsia" w:ascii="宋体" w:hAnsi="宋体" w:cs="宋体"/>
                <w:color w:val="auto"/>
                <w:sz w:val="24"/>
                <w:highlight w:val="none"/>
                <w:lang w:eastAsia="zh-Hans"/>
              </w:rPr>
              <w:t>，</w:t>
            </w:r>
            <w:r>
              <w:rPr>
                <w:rFonts w:hint="eastAsia" w:ascii="宋体" w:hAnsi="宋体" w:cs="宋体"/>
                <w:color w:val="auto"/>
                <w:sz w:val="24"/>
                <w:highlight w:val="none"/>
              </w:rPr>
              <w:t>按不同的项目类型和项目金额配置项目流程</w:t>
            </w:r>
            <w:r>
              <w:rPr>
                <w:rFonts w:hint="eastAsia" w:ascii="宋体" w:hAnsi="宋体" w:cs="宋体"/>
                <w:color w:val="auto"/>
                <w:sz w:val="24"/>
                <w:highlight w:val="none"/>
                <w:lang w:eastAsia="zh-Hans"/>
              </w:rPr>
              <w:t>，</w:t>
            </w:r>
            <w:r>
              <w:rPr>
                <w:rFonts w:hint="eastAsia" w:ascii="宋体" w:hAnsi="宋体" w:cs="宋体"/>
                <w:color w:val="auto"/>
                <w:sz w:val="24"/>
                <w:highlight w:val="none"/>
              </w:rPr>
              <w:t>按不同的项目节点设定项目阶段。</w:t>
            </w:r>
            <w:r>
              <w:rPr>
                <w:rFonts w:hint="eastAsia" w:ascii="宋体" w:hAnsi="宋体" w:cs="宋体"/>
                <w:color w:val="auto"/>
                <w:sz w:val="24"/>
                <w:highlight w:val="none"/>
                <w:lang w:val="en-US" w:eastAsia="zh-Hans"/>
              </w:rPr>
              <w:t>实现</w:t>
            </w:r>
            <w:r>
              <w:rPr>
                <w:rFonts w:hint="eastAsia" w:ascii="宋体" w:hAnsi="宋体" w:cs="宋体"/>
                <w:color w:val="auto"/>
                <w:sz w:val="24"/>
                <w:highlight w:val="none"/>
              </w:rPr>
              <w:t>项目软件、硬件采购参数后台配置。</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Hans"/>
              </w:rPr>
              <w:t>项目文档管理。</w:t>
            </w:r>
            <w:r>
              <w:rPr>
                <w:rFonts w:hint="eastAsia" w:ascii="宋体" w:hAnsi="宋体" w:cs="宋体"/>
                <w:color w:val="auto"/>
                <w:sz w:val="24"/>
                <w:highlight w:val="none"/>
              </w:rPr>
              <w:t>在项目立项、采购、验收、运维管理中产生的文档资料，包括Word、Excel、PPT、PDF等资料附件</w:t>
            </w:r>
            <w:r>
              <w:rPr>
                <w:rFonts w:hint="eastAsia" w:ascii="宋体" w:hAnsi="宋体" w:cs="宋体"/>
                <w:color w:val="auto"/>
                <w:sz w:val="24"/>
                <w:highlight w:val="none"/>
                <w:lang w:eastAsia="zh-Hans"/>
              </w:rPr>
              <w:t>，</w:t>
            </w:r>
            <w:r>
              <w:rPr>
                <w:rFonts w:hint="eastAsia" w:ascii="宋体" w:hAnsi="宋体" w:cs="宋体"/>
                <w:color w:val="auto"/>
                <w:sz w:val="24"/>
                <w:highlight w:val="none"/>
              </w:rPr>
              <w:t>按项目进行文档管理，实现“一项一档”。</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Hans"/>
              </w:rPr>
              <w:t>供应商管理。</w:t>
            </w:r>
            <w:r>
              <w:rPr>
                <w:rFonts w:hint="eastAsia" w:ascii="宋体" w:hAnsi="宋体" w:cs="宋体"/>
                <w:color w:val="auto"/>
                <w:sz w:val="24"/>
                <w:highlight w:val="none"/>
              </w:rPr>
              <w:t>招标入围供应商，由后勤处统一维护。</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项目清单查询及导出。</w:t>
            </w:r>
            <w:r>
              <w:rPr>
                <w:rFonts w:hint="eastAsia" w:ascii="宋体" w:hAnsi="宋体" w:cs="宋体"/>
                <w:color w:val="auto"/>
                <w:sz w:val="24"/>
                <w:highlight w:val="none"/>
                <w:lang w:val="en-US" w:eastAsia="zh-Hans"/>
              </w:rPr>
              <w:t>不同角色人员可按权限</w:t>
            </w:r>
            <w:r>
              <w:rPr>
                <w:rFonts w:hint="eastAsia" w:ascii="宋体" w:hAnsi="宋体" w:cs="宋体"/>
                <w:color w:val="auto"/>
                <w:sz w:val="24"/>
                <w:highlight w:val="none"/>
              </w:rPr>
              <w:t>查看所参与的项目基本信息、文档、进度及审批流程。</w:t>
            </w:r>
            <w:r>
              <w:rPr>
                <w:rFonts w:hint="eastAsia" w:ascii="宋体" w:hAnsi="宋体" w:cs="宋体"/>
                <w:color w:val="auto"/>
                <w:sz w:val="24"/>
                <w:highlight w:val="none"/>
                <w:lang w:val="en-US" w:eastAsia="zh-Hans"/>
              </w:rPr>
              <w:t>开发</w:t>
            </w:r>
            <w:r>
              <w:rPr>
                <w:rFonts w:hint="eastAsia" w:ascii="宋体" w:hAnsi="宋体" w:cs="宋体"/>
                <w:color w:val="auto"/>
                <w:sz w:val="24"/>
                <w:highlight w:val="none"/>
              </w:rPr>
              <w:t>年度项目进度看板，集成到个人中心门户。</w:t>
            </w:r>
          </w:p>
        </w:tc>
        <w:tc>
          <w:tcPr>
            <w:tcW w:w="36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35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1666"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宋体" w:hAnsi="宋体" w:cs="宋体"/>
                <w:color w:val="auto"/>
                <w:sz w:val="24"/>
                <w:highlight w:val="none"/>
              </w:rPr>
            </w:pPr>
            <w:r>
              <w:rPr>
                <w:rFonts w:hint="default" w:ascii="宋体" w:hAnsi="宋体" w:cs="宋体"/>
                <w:color w:val="auto"/>
                <w:sz w:val="24"/>
                <w:highlight w:val="none"/>
              </w:rPr>
              <w:t>7</w:t>
            </w:r>
          </w:p>
        </w:tc>
        <w:tc>
          <w:tcPr>
            <w:tcW w:w="753"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民警培训移动应用</w:t>
            </w:r>
          </w:p>
        </w:tc>
        <w:tc>
          <w:tcPr>
            <w:tcW w:w="3144" w:type="pct"/>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default" w:ascii="宋体" w:hAnsi="宋体" w:cs="宋体"/>
                <w:color w:val="auto"/>
                <w:sz w:val="24"/>
                <w:highlight w:val="none"/>
                <w:lang w:val="en-US" w:eastAsia="zh-Hans"/>
              </w:rPr>
            </w:pPr>
            <w:r>
              <w:rPr>
                <w:rFonts w:hint="eastAsia" w:ascii="宋体" w:hAnsi="宋体" w:cs="宋体"/>
                <w:color w:val="auto"/>
                <w:sz w:val="24"/>
                <w:highlight w:val="none"/>
                <w:lang w:val="en-US" w:eastAsia="zh-Hans"/>
              </w:rPr>
              <w:t>实现民警培训选修课功能，支持课程批量导入，</w:t>
            </w:r>
            <w:r>
              <w:rPr>
                <w:rFonts w:hint="default" w:ascii="宋体" w:hAnsi="宋体" w:cs="宋体"/>
                <w:color w:val="auto"/>
                <w:sz w:val="24"/>
                <w:highlight w:val="none"/>
                <w:lang w:val="en-US" w:eastAsia="zh-Hans"/>
              </w:rPr>
              <w:t>设定课程主要内容、课程周期、选修课报名时间、人员上限等。到达报名时间后，学生可在移动端进行线上报名。选修课完成学生可填写调查问卷，为课堂教学和老师进行打分。管理人员可查看所有选修课课程记录、学员记录、评分情况，可导出报表。</w:t>
            </w:r>
          </w:p>
          <w:p>
            <w:pPr>
              <w:snapToGrid w:val="0"/>
              <w:spacing w:line="240" w:lineRule="auto"/>
              <w:jc w:val="left"/>
              <w:rPr>
                <w:rFonts w:hint="eastAsia" w:ascii="宋体" w:hAnsi="宋体" w:eastAsia="宋体" w:cs="宋体"/>
                <w:color w:val="auto"/>
                <w:sz w:val="24"/>
                <w:highlight w:val="none"/>
                <w:lang w:eastAsia="zh-Hans"/>
              </w:rPr>
            </w:pPr>
            <w:r>
              <w:rPr>
                <w:rFonts w:hint="eastAsia" w:ascii="宋体" w:hAnsi="宋体" w:cs="宋体"/>
                <w:color w:val="auto"/>
                <w:sz w:val="24"/>
                <w:highlight w:val="none"/>
              </w:rPr>
              <w:t>问卷调查</w:t>
            </w:r>
            <w:r>
              <w:rPr>
                <w:rFonts w:hint="eastAsia" w:ascii="宋体" w:hAnsi="宋体" w:cs="宋体"/>
                <w:color w:val="auto"/>
                <w:sz w:val="24"/>
                <w:highlight w:val="none"/>
                <w:lang w:val="en-US" w:eastAsia="zh-Hans"/>
              </w:rPr>
              <w:t>统计。</w:t>
            </w:r>
            <w:r>
              <w:rPr>
                <w:rFonts w:hint="eastAsia" w:ascii="宋体" w:hAnsi="宋体" w:cs="宋体"/>
                <w:color w:val="auto"/>
                <w:sz w:val="24"/>
                <w:highlight w:val="none"/>
              </w:rPr>
              <w:t>班主任、管理员以上权限人员，可以在手机端、PC端查看已填报问卷的人员姓名及未填写人员的姓名</w:t>
            </w:r>
            <w:r>
              <w:rPr>
                <w:rFonts w:hint="eastAsia" w:ascii="宋体" w:hAnsi="宋体" w:cs="宋体"/>
                <w:color w:val="auto"/>
                <w:sz w:val="24"/>
                <w:highlight w:val="none"/>
                <w:lang w:eastAsia="zh-Hans"/>
              </w:rPr>
              <w:t>。</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增加学员请销假审批</w:t>
            </w:r>
            <w:r>
              <w:rPr>
                <w:rFonts w:hint="eastAsia" w:ascii="宋体" w:hAnsi="宋体" w:cs="宋体"/>
                <w:color w:val="auto"/>
                <w:sz w:val="24"/>
                <w:highlight w:val="none"/>
                <w:lang w:val="en-US" w:eastAsia="zh-Hans"/>
              </w:rPr>
              <w:t>流程。</w:t>
            </w:r>
          </w:p>
          <w:p>
            <w:pPr>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lang w:val="en-US" w:eastAsia="zh-Hans"/>
              </w:rPr>
              <w:t>支持移动端</w:t>
            </w:r>
            <w:r>
              <w:rPr>
                <w:rFonts w:hint="eastAsia" w:ascii="宋体" w:hAnsi="宋体" w:cs="宋体"/>
                <w:color w:val="auto"/>
                <w:sz w:val="24"/>
                <w:highlight w:val="none"/>
              </w:rPr>
              <w:t>签到</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Hans"/>
              </w:rPr>
              <w:t>可</w:t>
            </w:r>
            <w:r>
              <w:rPr>
                <w:rFonts w:hint="eastAsia" w:ascii="宋体" w:hAnsi="宋体" w:cs="宋体"/>
                <w:color w:val="auto"/>
                <w:sz w:val="24"/>
                <w:highlight w:val="none"/>
              </w:rPr>
              <w:t>分集合签到（发起人周围10米内）、点名签到（可由发起人随意选择定位的200米内），发起人可查看签到情况。</w:t>
            </w:r>
          </w:p>
        </w:tc>
        <w:tc>
          <w:tcPr>
            <w:tcW w:w="36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35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1355"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宋体" w:hAnsi="宋体" w:cs="宋体"/>
                <w:color w:val="auto"/>
                <w:sz w:val="24"/>
                <w:highlight w:val="none"/>
              </w:rPr>
            </w:pPr>
            <w:r>
              <w:rPr>
                <w:rFonts w:hint="default" w:ascii="宋体" w:hAnsi="宋体" w:cs="宋体"/>
                <w:color w:val="auto"/>
                <w:sz w:val="24"/>
                <w:highlight w:val="none"/>
              </w:rPr>
              <w:t>8</w:t>
            </w:r>
          </w:p>
        </w:tc>
        <w:tc>
          <w:tcPr>
            <w:tcW w:w="753"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default" w:ascii="宋体" w:hAnsi="宋体" w:eastAsia="宋体" w:cs="宋体"/>
                <w:color w:val="auto"/>
                <w:sz w:val="24"/>
                <w:highlight w:val="none"/>
                <w:lang w:val="en-US" w:eastAsia="zh-Hans"/>
              </w:rPr>
            </w:pPr>
            <w:r>
              <w:rPr>
                <w:rFonts w:hint="eastAsia" w:ascii="宋体" w:hAnsi="宋体" w:cs="宋体"/>
                <w:color w:val="auto"/>
                <w:sz w:val="24"/>
                <w:highlight w:val="none"/>
                <w:lang w:val="en-US" w:eastAsia="zh-Hans"/>
              </w:rPr>
              <w:t>业务数据缺项采集</w:t>
            </w:r>
          </w:p>
        </w:tc>
        <w:tc>
          <w:tcPr>
            <w:tcW w:w="3144" w:type="pct"/>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部门内勤统一进行值班、备勤的申报，由部门领导、人事处审核通过后，计入社会实践统计。</w:t>
            </w:r>
          </w:p>
          <w:p>
            <w:pPr>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部门领导填报本部门季评鉴结果</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Hans"/>
              </w:rPr>
              <w:t>可实现人员推荐、自动计数、审批流程配置、考核表导出打印等功能。</w:t>
            </w:r>
          </w:p>
        </w:tc>
        <w:tc>
          <w:tcPr>
            <w:tcW w:w="36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35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2965"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宋体" w:hAnsi="宋体" w:cs="宋体"/>
                <w:color w:val="auto"/>
                <w:sz w:val="24"/>
                <w:highlight w:val="none"/>
              </w:rPr>
            </w:pPr>
            <w:r>
              <w:rPr>
                <w:rFonts w:hint="default" w:ascii="宋体" w:hAnsi="宋体" w:cs="宋体"/>
                <w:color w:val="auto"/>
                <w:sz w:val="24"/>
                <w:highlight w:val="none"/>
              </w:rPr>
              <w:t>9</w:t>
            </w:r>
          </w:p>
        </w:tc>
        <w:tc>
          <w:tcPr>
            <w:tcW w:w="753"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运维工作量统计及评价</w:t>
            </w:r>
          </w:p>
        </w:tc>
        <w:tc>
          <w:tcPr>
            <w:tcW w:w="3144" w:type="pct"/>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业务人员在线发起运维工单，包括网络设备运维、服务器管理，网络访问、应用系统问题等。运维人员可查看所有进行中的工单，可自主认领运维工单。运维管理人员也可对运维工单进行指派。</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运维人员完成工单后，提交办理结果反馈至工单发起人。业务人员可查看已反馈的工单，确认完成后，对运维时效、运维完成情况进行评价。</w:t>
            </w:r>
          </w:p>
          <w:p>
            <w:pPr>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集成已有报修工单，可按运维人员、运维服务公司进行工作量、评价情况的统计分析等。</w:t>
            </w:r>
          </w:p>
        </w:tc>
        <w:tc>
          <w:tcPr>
            <w:tcW w:w="36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35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4507"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宋体" w:hAnsi="宋体" w:cs="宋体"/>
                <w:color w:val="auto"/>
                <w:sz w:val="24"/>
                <w:highlight w:val="none"/>
              </w:rPr>
            </w:pPr>
            <w:r>
              <w:rPr>
                <w:rFonts w:hint="default" w:ascii="宋体" w:hAnsi="宋体" w:cs="宋体"/>
                <w:color w:val="auto"/>
                <w:sz w:val="24"/>
                <w:highlight w:val="none"/>
              </w:rPr>
              <w:t>10</w:t>
            </w:r>
          </w:p>
        </w:tc>
        <w:tc>
          <w:tcPr>
            <w:tcW w:w="753"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校外人员统一管理模块</w:t>
            </w:r>
          </w:p>
        </w:tc>
        <w:tc>
          <w:tcPr>
            <w:tcW w:w="3144" w:type="pct"/>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对科研机构人员、服务人员、实习生、驻校教官、退休反聘人员进行统一信息维护和管理。支持各管理部门分别维护服务人员信息。</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校外人员统一进行权限管理，依据不同校外人员类别，建立用户角色。可自定义配置用户权限，包含钉钉权限、业务系统权限、邮箱权限、个人中心权限、是否加入通讯录等。可设置人员进校、离校时间，到离校时间后人员自动失效。</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退休返聘人员信息重新激活。</w:t>
            </w:r>
          </w:p>
          <w:p>
            <w:pPr>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通过钉钉端线上采集校外人员人脸信息，结合物联设备对接出入校流程。人脸库管理增加标签维护功能。增加重点人员标签，对接物联设备进行出入校管理。可批量导入、手工新增重点人员的信息和人脸照片数据。若人脸库已有人员信息，则可维护重点人员标签。重点人员对接刷脸设备时，会提示出重点人员信息。</w:t>
            </w:r>
          </w:p>
        </w:tc>
        <w:tc>
          <w:tcPr>
            <w:tcW w:w="36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35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套</w:t>
            </w:r>
          </w:p>
        </w:tc>
      </w:tr>
      <w:tr>
        <w:tblPrEx>
          <w:tblCellMar>
            <w:top w:w="0" w:type="dxa"/>
            <w:left w:w="108" w:type="dxa"/>
            <w:bottom w:w="0" w:type="dxa"/>
            <w:right w:w="108" w:type="dxa"/>
          </w:tblCellMar>
        </w:tblPrEx>
        <w:trPr>
          <w:trHeight w:val="3232" w:hRule="atLeast"/>
          <w:jc w:val="center"/>
        </w:trPr>
        <w:tc>
          <w:tcPr>
            <w:tcW w:w="389" w:type="pc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宋体" w:hAnsi="宋体" w:cs="宋体"/>
                <w:color w:val="auto"/>
                <w:sz w:val="24"/>
                <w:highlight w:val="none"/>
              </w:rPr>
            </w:pPr>
            <w:r>
              <w:rPr>
                <w:rFonts w:hint="default" w:ascii="宋体" w:hAnsi="宋体" w:cs="宋体"/>
                <w:color w:val="auto"/>
                <w:sz w:val="24"/>
                <w:highlight w:val="none"/>
              </w:rPr>
              <w:t>11</w:t>
            </w:r>
          </w:p>
        </w:tc>
        <w:tc>
          <w:tcPr>
            <w:tcW w:w="753"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业务API集成可视化平台</w:t>
            </w:r>
          </w:p>
        </w:tc>
        <w:tc>
          <w:tcPr>
            <w:tcW w:w="3144" w:type="pct"/>
            <w:tcBorders>
              <w:top w:val="single" w:color="auto" w:sz="4" w:space="0"/>
              <w:left w:val="nil"/>
              <w:bottom w:val="single" w:color="auto" w:sz="4" w:space="0"/>
              <w:right w:val="single" w:color="auto" w:sz="4" w:space="0"/>
            </w:tcBorders>
            <w:noWrap w:val="0"/>
            <w:vAlign w:val="center"/>
          </w:tcPr>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开发公共服务能力可视化平台，提供应用可视化集成服务，包括应用埋点、电子签章、统一待办、统一认证、审计日志，人脸库应用等公共服务。</w:t>
            </w:r>
          </w:p>
          <w:p>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三方应用接入管理，在线进行服务配置、服务管理及接入参数配置等。可在线查看公共服务接口详细信息及集成方案、操作指引，获取相关资料（接口文档、使用说明、对接人联系方式等）。</w:t>
            </w:r>
          </w:p>
          <w:p>
            <w:pPr>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运营管理，查看接口使用情况，及输出统计报表分析。安全层面需求，在线配置应用接口权限控制、访问黑白名单、字段脱敏还原等。</w:t>
            </w:r>
          </w:p>
        </w:tc>
        <w:tc>
          <w:tcPr>
            <w:tcW w:w="36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351" w:type="pct"/>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套</w:t>
            </w:r>
          </w:p>
        </w:tc>
      </w:tr>
    </w:tbl>
    <w:p>
      <w:pPr>
        <w:snapToGrid w:val="0"/>
        <w:spacing w:line="360" w:lineRule="auto"/>
        <w:jc w:val="left"/>
        <w:rPr>
          <w:rFonts w:ascii="宋体" w:hAnsi="宋体" w:cs="宋体"/>
          <w:color w:val="auto"/>
          <w:sz w:val="24"/>
          <w:highlight w:val="yellow"/>
        </w:rPr>
      </w:pPr>
    </w:p>
    <w:p>
      <w:pPr>
        <w:pStyle w:val="4"/>
        <w:numPr>
          <w:ilvl w:val="2"/>
          <w:numId w:val="0"/>
        </w:numPr>
        <w:tabs>
          <w:tab w:val="left" w:pos="360"/>
          <w:tab w:val="left" w:pos="432"/>
        </w:tabs>
        <w:adjustRightInd w:val="0"/>
        <w:snapToGrid w:val="0"/>
        <w:spacing w:before="0" w:after="0" w:line="360" w:lineRule="auto"/>
        <w:ind w:left="422" w:leftChars="200" w:hanging="2" w:hangingChars="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（二）总体要求</w:t>
      </w:r>
    </w:p>
    <w:p>
      <w:pPr>
        <w:pStyle w:val="5"/>
        <w:adjustRightInd w:val="0"/>
        <w:snapToGrid w:val="0"/>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1.总体规划要求</w:t>
      </w:r>
    </w:p>
    <w:p>
      <w:pPr>
        <w:pStyle w:val="17"/>
        <w:numPr>
          <w:ilvl w:val="0"/>
          <w:numId w:val="13"/>
        </w:numPr>
        <w:tabs>
          <w:tab w:val="left" w:pos="0"/>
        </w:tabs>
        <w:adjustRightInd w:val="0"/>
        <w:snapToGrid w:val="0"/>
        <w:spacing w:line="360" w:lineRule="auto"/>
        <w:ind w:left="0" w:firstLine="435"/>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遵循统一规划、顶层设计的原则，从技术角度实现学校现有数据资源、中台和访问界面的集成，搭建统一的应用平台，支持未来应用的可持续发展，从“实现使用价值”的角度使得招标方的总体收益最大化。</w:t>
      </w:r>
    </w:p>
    <w:p>
      <w:pPr>
        <w:pStyle w:val="17"/>
        <w:numPr>
          <w:ilvl w:val="0"/>
          <w:numId w:val="13"/>
        </w:numPr>
        <w:tabs>
          <w:tab w:val="left" w:pos="0"/>
        </w:tabs>
        <w:adjustRightInd w:val="0"/>
        <w:snapToGrid w:val="0"/>
        <w:spacing w:line="360" w:lineRule="auto"/>
        <w:ind w:left="0" w:firstLine="435"/>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引入业务中台、微服务的成功管理思想和技术，融合现代化管理理念和流程，并根据高校的共性以及学校自身的特点，因地制宜的打造满足学校各业务部门管理需求的轻量级的业务管理和服务的支撑平台。通过信息化的手段强化学校信息化服务能力，提升面向师生服务水平，实现和谐发展。</w:t>
      </w:r>
    </w:p>
    <w:p>
      <w:pPr>
        <w:pStyle w:val="17"/>
        <w:numPr>
          <w:ilvl w:val="0"/>
          <w:numId w:val="13"/>
        </w:numPr>
        <w:tabs>
          <w:tab w:val="left" w:pos="0"/>
        </w:tabs>
        <w:adjustRightInd w:val="0"/>
        <w:snapToGrid w:val="0"/>
        <w:spacing w:line="360" w:lineRule="auto"/>
        <w:ind w:left="0" w:firstLine="435"/>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方提交的建设方案必须结合校方的具体需求，考虑到招标方学校规模的可扩展性和长期可持续建设发展特性，要综合考虑当下技术的发展趋势，确保系统建设切合招标方内部的工作、管理流程和行业特性。本次平台建设过程中，要保证平台的可持续服务能力及外部接入的开放能力。</w:t>
      </w:r>
    </w:p>
    <w:p>
      <w:pPr>
        <w:pStyle w:val="5"/>
        <w:adjustRightInd w:val="0"/>
        <w:snapToGrid w:val="0"/>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2.总体技术要求</w:t>
      </w:r>
    </w:p>
    <w:p>
      <w:pPr>
        <w:pStyle w:val="17"/>
        <w:numPr>
          <w:ilvl w:val="0"/>
          <w:numId w:val="14"/>
        </w:numPr>
        <w:adjustRightInd w:val="0"/>
        <w:snapToGrid w:val="0"/>
        <w:spacing w:line="360" w:lineRule="auto"/>
        <w:ind w:left="5" w:firstLine="415"/>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投标方提供的平台和系统均要求采用</w:t>
      </w:r>
      <w:r>
        <w:rPr>
          <w:rFonts w:hint="eastAsia" w:hAnsi="宋体" w:eastAsia="宋体" w:cs="宋体"/>
          <w:color w:val="auto"/>
          <w:sz w:val="24"/>
          <w:szCs w:val="24"/>
          <w:highlight w:val="none"/>
        </w:rPr>
        <w:t>B/S</w:t>
      </w:r>
      <w:r>
        <w:rPr>
          <w:rFonts w:hint="eastAsia" w:hAnsi="宋体" w:eastAsia="宋体" w:cs="宋体"/>
          <w:color w:val="auto"/>
          <w:sz w:val="24"/>
          <w:szCs w:val="24"/>
          <w:highlight w:val="none"/>
          <w:lang w:val="zh-CN"/>
        </w:rPr>
        <w:t>结构</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val="zh-CN"/>
        </w:rPr>
        <w:t>可运行于</w:t>
      </w:r>
      <w:r>
        <w:rPr>
          <w:rFonts w:hint="eastAsia" w:hAnsi="宋体" w:eastAsia="宋体" w:cs="宋体"/>
          <w:color w:val="auto"/>
          <w:sz w:val="24"/>
          <w:szCs w:val="24"/>
          <w:highlight w:val="none"/>
        </w:rPr>
        <w:t>Unix</w:t>
      </w:r>
      <w:r>
        <w:rPr>
          <w:rFonts w:hint="eastAsia" w:hAnsi="宋体" w:eastAsia="宋体" w:cs="宋体"/>
          <w:color w:val="auto"/>
          <w:sz w:val="24"/>
          <w:szCs w:val="24"/>
          <w:highlight w:val="none"/>
          <w:lang w:val="zh-CN"/>
        </w:rPr>
        <w:t>、</w:t>
      </w:r>
      <w:r>
        <w:rPr>
          <w:rFonts w:hint="eastAsia" w:hAnsi="宋体" w:eastAsia="宋体" w:cs="宋体"/>
          <w:color w:val="auto"/>
          <w:sz w:val="24"/>
          <w:szCs w:val="24"/>
          <w:highlight w:val="none"/>
        </w:rPr>
        <w:t>Linux</w:t>
      </w:r>
      <w:r>
        <w:rPr>
          <w:rFonts w:hint="eastAsia" w:hAnsi="宋体" w:eastAsia="宋体" w:cs="宋体"/>
          <w:color w:val="auto"/>
          <w:sz w:val="24"/>
          <w:szCs w:val="24"/>
          <w:highlight w:val="none"/>
          <w:lang w:val="zh-CN"/>
        </w:rPr>
        <w:t>、</w:t>
      </w:r>
      <w:r>
        <w:rPr>
          <w:rFonts w:hint="eastAsia" w:hAnsi="宋体" w:eastAsia="宋体" w:cs="宋体"/>
          <w:color w:val="auto"/>
          <w:sz w:val="24"/>
          <w:szCs w:val="24"/>
          <w:highlight w:val="none"/>
        </w:rPr>
        <w:t>windows</w:t>
      </w:r>
      <w:r>
        <w:rPr>
          <w:rFonts w:hint="eastAsia" w:hAnsi="宋体" w:eastAsia="宋体" w:cs="宋体"/>
          <w:color w:val="auto"/>
          <w:sz w:val="24"/>
          <w:szCs w:val="24"/>
          <w:highlight w:val="none"/>
          <w:lang w:val="zh-CN"/>
        </w:rPr>
        <w:t>等高安全性操作系统。开发技术应采用J2EE标准、组件技术及在数据交换上对XML和JSON的支持，使系统功能最优化，同时将整体系统内部在技术上的相互依赖性减至最低。具体要求如下：</w:t>
      </w:r>
    </w:p>
    <w:p>
      <w:pPr>
        <w:pStyle w:val="17"/>
        <w:numPr>
          <w:ilvl w:val="0"/>
          <w:numId w:val="14"/>
        </w:numPr>
        <w:adjustRightInd w:val="0"/>
        <w:snapToGrid w:val="0"/>
        <w:spacing w:line="360" w:lineRule="auto"/>
        <w:ind w:left="5" w:firstLine="415"/>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平台及应用系统软件必须遵循J2EE的技术路线，采用Java编程语言和服务器端Java技术进行开发。</w:t>
      </w:r>
    </w:p>
    <w:p>
      <w:pPr>
        <w:pStyle w:val="17"/>
        <w:numPr>
          <w:ilvl w:val="0"/>
          <w:numId w:val="14"/>
        </w:numPr>
        <w:adjustRightInd w:val="0"/>
        <w:snapToGrid w:val="0"/>
        <w:spacing w:line="360" w:lineRule="auto"/>
        <w:ind w:left="5" w:firstLine="415"/>
        <w:rPr>
          <w:rFonts w:hAnsi="宋体" w:eastAsia="宋体" w:cs="宋体"/>
          <w:color w:val="auto"/>
          <w:sz w:val="24"/>
          <w:szCs w:val="24"/>
          <w:highlight w:val="none"/>
        </w:rPr>
      </w:pPr>
      <w:r>
        <w:rPr>
          <w:rFonts w:hint="eastAsia" w:hAnsi="宋体" w:eastAsia="宋体" w:cs="宋体"/>
          <w:color w:val="auto"/>
          <w:sz w:val="24"/>
          <w:szCs w:val="24"/>
          <w:highlight w:val="none"/>
          <w:lang w:val="zh-CN"/>
        </w:rPr>
        <w:t>采用面向对象的组件技术，着重于开发构成应用程序“业务对象”的</w:t>
      </w:r>
      <w:r>
        <w:rPr>
          <w:rFonts w:hint="eastAsia" w:hAnsi="宋体" w:eastAsia="宋体" w:cs="宋体"/>
          <w:color w:val="auto"/>
          <w:sz w:val="24"/>
          <w:szCs w:val="24"/>
          <w:highlight w:val="none"/>
        </w:rPr>
        <w:t>可重复使用的组件，利用这些组件顺利地建立分布式应用程序。</w:t>
      </w:r>
    </w:p>
    <w:p>
      <w:pPr>
        <w:pStyle w:val="17"/>
        <w:numPr>
          <w:ilvl w:val="0"/>
          <w:numId w:val="14"/>
        </w:numPr>
        <w:adjustRightInd w:val="0"/>
        <w:snapToGrid w:val="0"/>
        <w:spacing w:line="360" w:lineRule="auto"/>
        <w:ind w:left="5" w:firstLine="415"/>
        <w:rPr>
          <w:rFonts w:hAnsi="宋体" w:eastAsia="宋体" w:cs="宋体"/>
          <w:color w:val="auto"/>
          <w:sz w:val="24"/>
          <w:szCs w:val="24"/>
          <w:highlight w:val="none"/>
        </w:rPr>
      </w:pPr>
      <w:r>
        <w:rPr>
          <w:rFonts w:hint="eastAsia" w:hAnsi="宋体" w:eastAsia="宋体" w:cs="宋体"/>
          <w:color w:val="auto"/>
          <w:sz w:val="24"/>
          <w:szCs w:val="24"/>
          <w:highlight w:val="none"/>
        </w:rPr>
        <w:t>采用成熟的微服务和分布式架构及设计理念，保证学校内部各业务系统集成和交互过程中异构技术架构和异构数据结构集成中的稳定性和可管理性。</w:t>
      </w:r>
    </w:p>
    <w:p>
      <w:pPr>
        <w:pStyle w:val="17"/>
        <w:numPr>
          <w:ilvl w:val="0"/>
          <w:numId w:val="14"/>
        </w:numPr>
        <w:adjustRightInd w:val="0"/>
        <w:snapToGrid w:val="0"/>
        <w:spacing w:line="360" w:lineRule="auto"/>
        <w:ind w:left="5" w:firstLine="415"/>
        <w:rPr>
          <w:rFonts w:hAnsi="宋体" w:eastAsia="宋体" w:cs="宋体"/>
          <w:color w:val="auto"/>
          <w:sz w:val="24"/>
          <w:szCs w:val="24"/>
          <w:highlight w:val="none"/>
        </w:rPr>
      </w:pPr>
      <w:r>
        <w:rPr>
          <w:rFonts w:hint="eastAsia" w:hAnsi="宋体" w:eastAsia="宋体" w:cs="宋体"/>
          <w:color w:val="auto"/>
          <w:sz w:val="24"/>
          <w:szCs w:val="24"/>
          <w:highlight w:val="none"/>
        </w:rPr>
        <w:t>应用程序应面向双中台采用微服务架构开发。</w:t>
      </w:r>
    </w:p>
    <w:p>
      <w:pPr>
        <w:pStyle w:val="17"/>
        <w:numPr>
          <w:ilvl w:val="0"/>
          <w:numId w:val="14"/>
        </w:numPr>
        <w:adjustRightInd w:val="0"/>
        <w:snapToGrid w:val="0"/>
        <w:spacing w:line="360" w:lineRule="auto"/>
        <w:ind w:left="5" w:firstLine="415"/>
        <w:rPr>
          <w:rFonts w:hAnsi="宋体" w:eastAsia="宋体" w:cs="宋体"/>
          <w:color w:val="auto"/>
          <w:sz w:val="24"/>
          <w:szCs w:val="24"/>
          <w:highlight w:val="none"/>
        </w:rPr>
      </w:pPr>
      <w:r>
        <w:rPr>
          <w:rFonts w:hint="eastAsia" w:hAnsi="宋体" w:eastAsia="宋体" w:cs="宋体"/>
          <w:color w:val="auto"/>
          <w:sz w:val="24"/>
          <w:szCs w:val="24"/>
          <w:highlight w:val="none"/>
        </w:rPr>
        <w:t>能完成跨业务部门的业务流程和相对应的细颗粒度的分级授权体系。</w:t>
      </w:r>
    </w:p>
    <w:p>
      <w:pPr>
        <w:pStyle w:val="17"/>
        <w:numPr>
          <w:ilvl w:val="0"/>
          <w:numId w:val="14"/>
        </w:numPr>
        <w:adjustRightInd w:val="0"/>
        <w:snapToGrid w:val="0"/>
        <w:spacing w:line="360" w:lineRule="auto"/>
        <w:ind w:left="5" w:firstLine="415"/>
        <w:rPr>
          <w:rFonts w:hAnsi="宋体" w:eastAsia="宋体" w:cs="宋体"/>
          <w:color w:val="auto"/>
          <w:sz w:val="24"/>
          <w:szCs w:val="24"/>
          <w:highlight w:val="none"/>
        </w:rPr>
      </w:pPr>
      <w:r>
        <w:rPr>
          <w:rFonts w:hint="eastAsia" w:hAnsi="宋体" w:eastAsia="宋体" w:cs="宋体"/>
          <w:color w:val="auto"/>
          <w:sz w:val="24"/>
          <w:szCs w:val="24"/>
          <w:highlight w:val="none"/>
        </w:rPr>
        <w:t>系统必须支持负载均衡，支持动态监测负载状况，自动对可用资源进行并发检测，调整和分配等功能。</w:t>
      </w:r>
    </w:p>
    <w:p>
      <w:pPr>
        <w:pStyle w:val="5"/>
        <w:adjustRightInd w:val="0"/>
        <w:snapToGrid w:val="0"/>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3.总体安全要求</w:t>
      </w:r>
    </w:p>
    <w:p>
      <w:pPr>
        <w:pStyle w:val="17"/>
        <w:numPr>
          <w:ilvl w:val="0"/>
          <w:numId w:val="15"/>
        </w:numPr>
        <w:adjustRightInd w:val="0"/>
        <w:snapToGrid w:val="0"/>
        <w:spacing w:line="360" w:lineRule="auto"/>
        <w:ind w:left="5" w:firstLine="415"/>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物理安全：最底层的物理安全是通过服务器与互联网物理隔离实现的。防止服务器暴露在物联网，直接遭受网络攻击。同时，还要预防火灾、水灾、盗窃等事项的发生，机房温度和湿度也需要随时监控。</w:t>
      </w:r>
    </w:p>
    <w:p>
      <w:pPr>
        <w:pStyle w:val="17"/>
        <w:numPr>
          <w:ilvl w:val="0"/>
          <w:numId w:val="15"/>
        </w:numPr>
        <w:adjustRightInd w:val="0"/>
        <w:snapToGrid w:val="0"/>
        <w:spacing w:line="360" w:lineRule="auto"/>
        <w:ind w:left="5" w:firstLine="415"/>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网络安全：网络安全通过VLAN、ACL实现访问控制，通过VPN实现传输安全，防火墙则有效防止网络攻击。</w:t>
      </w:r>
    </w:p>
    <w:p>
      <w:pPr>
        <w:pStyle w:val="17"/>
        <w:numPr>
          <w:ilvl w:val="0"/>
          <w:numId w:val="15"/>
        </w:numPr>
        <w:adjustRightInd w:val="0"/>
        <w:snapToGrid w:val="0"/>
        <w:spacing w:line="360" w:lineRule="auto"/>
        <w:ind w:left="5" w:firstLine="415"/>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系统安全：通过控制服务器权限、防病毒、硬件故障、安全审计等保证系统安全。</w:t>
      </w:r>
    </w:p>
    <w:p>
      <w:pPr>
        <w:pStyle w:val="17"/>
        <w:numPr>
          <w:ilvl w:val="0"/>
          <w:numId w:val="15"/>
        </w:numPr>
        <w:adjustRightInd w:val="0"/>
        <w:snapToGrid w:val="0"/>
        <w:spacing w:line="360" w:lineRule="auto"/>
        <w:ind w:left="5" w:firstLine="415"/>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数据安全：通过数据备份、数据加密和容灾措施等保证数据安全。</w:t>
      </w:r>
    </w:p>
    <w:p>
      <w:pPr>
        <w:pStyle w:val="17"/>
        <w:numPr>
          <w:ilvl w:val="0"/>
          <w:numId w:val="15"/>
        </w:numPr>
        <w:adjustRightInd w:val="0"/>
        <w:snapToGrid w:val="0"/>
        <w:spacing w:line="360" w:lineRule="auto"/>
        <w:ind w:left="5" w:firstLine="415"/>
        <w:rPr>
          <w:rFonts w:hAnsi="宋体" w:eastAsia="宋体" w:cs="宋体"/>
          <w:color w:val="auto"/>
          <w:sz w:val="24"/>
          <w:szCs w:val="24"/>
          <w:highlight w:val="none"/>
          <w:lang w:val="zh-CN"/>
        </w:rPr>
      </w:pPr>
      <w:r>
        <w:rPr>
          <w:rFonts w:hint="eastAsia" w:hAnsi="宋体" w:eastAsia="宋体" w:cs="宋体"/>
          <w:color w:val="auto"/>
          <w:sz w:val="24"/>
          <w:szCs w:val="24"/>
          <w:highlight w:val="none"/>
          <w:lang w:val="zh-CN"/>
        </w:rPr>
        <w:t>应用软件安全：通过加密传输、身份认证、页面防篡改和权限管理等保证系统的安全。</w:t>
      </w:r>
    </w:p>
    <w:p>
      <w:pPr>
        <w:pStyle w:val="17"/>
        <w:numPr>
          <w:ilvl w:val="0"/>
          <w:numId w:val="15"/>
        </w:numPr>
        <w:adjustRightInd w:val="0"/>
        <w:snapToGrid w:val="0"/>
        <w:spacing w:line="360" w:lineRule="auto"/>
        <w:ind w:left="5" w:firstLine="415"/>
        <w:rPr>
          <w:rFonts w:hAnsi="宋体" w:eastAsia="宋体" w:cs="宋体"/>
          <w:color w:val="auto"/>
          <w:sz w:val="24"/>
          <w:szCs w:val="24"/>
          <w:highlight w:val="none"/>
        </w:rPr>
      </w:pPr>
      <w:r>
        <w:rPr>
          <w:rFonts w:hint="eastAsia" w:hAnsi="宋体" w:eastAsia="宋体" w:cs="宋体"/>
          <w:color w:val="auto"/>
          <w:sz w:val="24"/>
          <w:szCs w:val="24"/>
          <w:highlight w:val="none"/>
          <w:lang w:val="zh-CN"/>
        </w:rPr>
        <w:t>用户安全：通过用户登录口令加密、强制口令复杂度、IP段控制登录、登录日志等实现用户安全。</w:t>
      </w:r>
    </w:p>
    <w:p>
      <w:pPr>
        <w:pStyle w:val="17"/>
        <w:numPr>
          <w:ilvl w:val="0"/>
          <w:numId w:val="15"/>
        </w:numPr>
        <w:adjustRightInd w:val="0"/>
        <w:snapToGrid w:val="0"/>
        <w:spacing w:line="360" w:lineRule="auto"/>
        <w:ind w:left="5" w:firstLine="415"/>
        <w:rPr>
          <w:rFonts w:hAnsi="宋体" w:eastAsia="宋体" w:cs="宋体"/>
          <w:color w:val="auto"/>
          <w:sz w:val="24"/>
          <w:szCs w:val="24"/>
          <w:highlight w:val="none"/>
        </w:rPr>
      </w:pPr>
      <w:r>
        <w:rPr>
          <w:rFonts w:hint="eastAsia" w:hAnsi="宋体" w:eastAsia="宋体" w:cs="宋体"/>
          <w:color w:val="auto"/>
          <w:sz w:val="24"/>
          <w:szCs w:val="24"/>
          <w:highlight w:val="none"/>
          <w:lang w:val="zh-CN"/>
        </w:rPr>
        <w:t>安全管理：要建立长期的管理机构，制定安全管理制度和应急处理机制。</w:t>
      </w:r>
    </w:p>
    <w:p>
      <w:pPr>
        <w:pStyle w:val="4"/>
        <w:numPr>
          <w:ilvl w:val="2"/>
          <w:numId w:val="0"/>
        </w:numPr>
        <w:tabs>
          <w:tab w:val="left" w:pos="360"/>
          <w:tab w:val="left" w:pos="432"/>
        </w:tabs>
        <w:adjustRightInd w:val="0"/>
        <w:snapToGrid w:val="0"/>
        <w:spacing w:before="0" w:after="0" w:line="360" w:lineRule="auto"/>
        <w:ind w:left="422" w:leftChars="200" w:hanging="2" w:hangingChars="1"/>
        <w:rPr>
          <w:rFonts w:ascii="宋体" w:hAnsi="宋体" w:eastAsia="宋体" w:cs="宋体"/>
          <w:color w:val="auto"/>
          <w:sz w:val="24"/>
          <w:szCs w:val="24"/>
          <w:highlight w:val="none"/>
        </w:rPr>
      </w:pPr>
      <w:bookmarkStart w:id="56" w:name="_Toc8133612"/>
      <w:bookmarkStart w:id="57" w:name="_Toc8133432"/>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三</w:t>
      </w:r>
      <w:r>
        <w:rPr>
          <w:rFonts w:hint="eastAsia" w:ascii="宋体" w:hAnsi="宋体" w:eastAsia="宋体" w:cs="宋体"/>
          <w:color w:val="auto"/>
          <w:sz w:val="24"/>
          <w:szCs w:val="24"/>
          <w:highlight w:val="none"/>
        </w:rPr>
        <w:t>）分项技术内容要求</w:t>
      </w:r>
      <w:bookmarkEnd w:id="56"/>
      <w:bookmarkEnd w:id="57"/>
    </w:p>
    <w:p>
      <w:pPr>
        <w:adjustRightInd w:val="0"/>
        <w:snapToGrid w:val="0"/>
        <w:spacing w:line="360" w:lineRule="auto"/>
        <w:ind w:firstLine="482" w:firstLineChars="200"/>
        <w:outlineLvl w:val="2"/>
        <w:rPr>
          <w:rFonts w:hint="eastAsia" w:ascii="宋体" w:hAnsi="宋体" w:eastAsia="宋体" w:cs="宋体"/>
          <w:b/>
          <w:color w:val="auto"/>
          <w:sz w:val="24"/>
          <w:szCs w:val="24"/>
          <w:highlight w:val="none"/>
        </w:rPr>
      </w:pPr>
      <w:bookmarkStart w:id="58" w:name="_Toc8133654"/>
      <w:bookmarkStart w:id="59" w:name="_Toc8133474"/>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Hans"/>
        </w:rPr>
        <w:t>、</w:t>
      </w:r>
      <w:r>
        <w:rPr>
          <w:rFonts w:hint="eastAsia" w:ascii="宋体" w:hAnsi="宋体" w:eastAsia="宋体" w:cs="宋体"/>
          <w:b/>
          <w:color w:val="auto"/>
          <w:sz w:val="24"/>
          <w:szCs w:val="24"/>
          <w:highlight w:val="none"/>
        </w:rPr>
        <w:t>校园基础信息管理</w:t>
      </w:r>
    </w:p>
    <w:p>
      <w:pPr>
        <w:numPr>
          <w:ilvl w:val="0"/>
          <w:numId w:val="16"/>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校区信息维护</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开发校区信息管理功能。管理员在管理中心可以进行临安、滨江两校区基本信息的维护，包括校区名称、地址、占地面积、是否为主校区等。可添加、编辑、删除校区信息。同步数据中心平台，作为基础数据源。</w:t>
      </w:r>
    </w:p>
    <w:p>
      <w:pPr>
        <w:numPr>
          <w:ilvl w:val="0"/>
          <w:numId w:val="16"/>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场所信息维护</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资产管理系统，同步房产数据信息。开发场所信息管理功能。管理员在管理中心可以进行两校区的场所管理，查看校内所有场所的信息，根据场所用途设置标签，包括教室、运动场馆、会议室、行政楼、宿舍、食堂等。场所信息同步数据中心平台，作为基础数据源。</w:t>
      </w:r>
    </w:p>
    <w:p>
      <w:pPr>
        <w:numPr>
          <w:ilvl w:val="0"/>
          <w:numId w:val="16"/>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无线及监控设备信息维护</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无线AP安装信息维护，维护AP中英文对照，型号，类型，状态，安装位置，经纬度信息。监控安装信息维护。维护监控中英文对照，型号，类型，状态，安装位置，经纬度信息。</w:t>
      </w:r>
    </w:p>
    <w:p>
      <w:pPr>
        <w:numPr>
          <w:ilvl w:val="0"/>
          <w:numId w:val="16"/>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视频监控及管理中心</w:t>
      </w:r>
    </w:p>
    <w:p>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集成安防系统监控数据，不同人员权限可查看不同位置的监控信息，实现单点登录。集成动环监测、消防管理数据，向管理人员发送监测预警及消息通知，实现单点登录。开发动环监测和消防管理的预警消息集成页面，预警消息可指派办理人处理；预警消息可以忽略，忽略后不再提示；预警解除后，预警状态自动更新为已处理</w:t>
      </w:r>
      <w:r>
        <w:rPr>
          <w:rFonts w:hint="eastAsia" w:ascii="宋体" w:hAnsi="宋体" w:eastAsia="宋体" w:cs="宋体"/>
          <w:color w:val="auto"/>
          <w:sz w:val="24"/>
          <w:szCs w:val="24"/>
          <w:highlight w:val="none"/>
          <w:lang w:eastAsia="zh-Hans"/>
        </w:rPr>
        <w:t>。</w:t>
      </w:r>
    </w:p>
    <w:p>
      <w:pPr>
        <w:numPr>
          <w:ilvl w:val="0"/>
          <w:numId w:val="17"/>
        </w:numPr>
        <w:adjustRightInd w:val="0"/>
        <w:snapToGrid w:val="0"/>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学习中心</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开发学习中心页面，集成网上图书馆、大数据人工智能**应用教研训平台、网安综合实训平台、虚拟仿真平台，实现单点登录。</w:t>
      </w:r>
    </w:p>
    <w:p>
      <w:pPr>
        <w:numPr>
          <w:ilvl w:val="0"/>
          <w:numId w:val="17"/>
        </w:numPr>
        <w:adjustRightInd w:val="0"/>
        <w:snapToGrid w:val="0"/>
        <w:spacing w:line="360" w:lineRule="auto"/>
        <w:ind w:left="0" w:leftChars="0"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办公管理模块</w:t>
      </w:r>
    </w:p>
    <w:p>
      <w:pPr>
        <w:numPr>
          <w:ilvl w:val="0"/>
          <w:numId w:val="18"/>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任务管理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任务布置。发起人可通过个人中心工作台快速布置任务，指定任务办理人和截止时间。任务发起后自动同步至办理人日程中，同时在钉钉端通知提醒。</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任务分配。任务办理人收到任务后可添加多个参与人员。所有参与人员都可查看任务状态，进行任务完成情况回复，可上传任务办理材料。参与人员可多次进行办理情况回复。</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任务监督。开发任务列表页面，发起人可以查看所有任务的办理流程、办理进度。开发任务看板集成到个人中心。部门领导可快速查看到部门人员已完成、已逾期和正在进行中的任务数量。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任务催办。任务发起人可对逾期任务进行催办。任务催办后会向办理人、参与人发送钉钉通知。</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任务反馈。任务办理人完成任务后，可回复办理结果（上传相关附件材料）至任务发起人，办结任务。</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任务检查。任务发起人对已办结任务进行检查，若对办理结果不满意可重新激活任务继续委派至办理人。检查通过则任务状态为已完成。</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对接日志，月度办理的任务自动加入办理人月记实。任务移动端管理功能。支持在移动端进行任务发起、查看、办理等。</w:t>
      </w:r>
    </w:p>
    <w:p>
      <w:pPr>
        <w:numPr>
          <w:ilvl w:val="0"/>
          <w:numId w:val="18"/>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会议管理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会议组织。各部门可以通过个人中心工作台发起会议，维护会议名称、时间、场地、参会人员等。会议场地如需预约则跳转至场地预约处进行预约。会议发起人可对会议进行修改和取消。</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会议通知。会议发起后发送钉钉通知至所有参会人员，同时会议自动同步至参会人日程。会议开始前对参会人进行二次提醒。若会议有修改、取消则发送修改、取消的钉钉通知至参会人。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移动端会议管理。可通过钉钉应用快速发起会议。会议过程记录。会议发起人可维护会议纪要，参会人员应到未到情况。会议数据作为学校事务计入社会实践指标。月度参加的会议自动加入参会人月记实。</w:t>
      </w:r>
    </w:p>
    <w:p>
      <w:pPr>
        <w:numPr>
          <w:ilvl w:val="0"/>
          <w:numId w:val="18"/>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活动组织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各部门可以通过个人中心、钉钉端发起活动。通过维护活动内容、时间、参与人员、活动地点后，统一发送钉钉通知。活动内容自动同步至参与人员日程中，并加入月记实。</w:t>
      </w:r>
    </w:p>
    <w:p>
      <w:pPr>
        <w:numPr>
          <w:ilvl w:val="0"/>
          <w:numId w:val="18"/>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用车信息管理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用车管理页面，对接用车申请流程。管理员可查看用车申请记录，包括（用车时间、申请人员、用车事项等）。管理员可维护用车使用信息，包括（车牌号、用车行驶公里数等）。可按时间、部门等统计用车数据，并导出相应报表 。</w:t>
      </w:r>
    </w:p>
    <w:p>
      <w:pPr>
        <w:numPr>
          <w:ilvl w:val="0"/>
          <w:numId w:val="18"/>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审批优化</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电脑端和钉钉端的审批意见增加常用意见维护功能。电脑端和钉钉端的审批选人增加常用联系人维护功能。</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批量审批优化。相同业务的审批单，开发批量审批功能，包括考勤申报审批、加班审批、创新创业申报审批、教研申报审批等。在待办事项勾选多条审批单后，统一审批处理。</w:t>
      </w:r>
    </w:p>
    <w:p>
      <w:pPr>
        <w:numPr>
          <w:ilvl w:val="0"/>
          <w:numId w:val="18"/>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照片管理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全息档案中增加照片管理功能。同步人事系统上传的标准照片，提供下载功能。入职证件照存档，提供下载功能。个人照片上传、下载功能。</w:t>
      </w:r>
    </w:p>
    <w:p>
      <w:pPr>
        <w:numPr>
          <w:ilvl w:val="0"/>
          <w:numId w:val="18"/>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生日关怀</w:t>
      </w:r>
    </w:p>
    <w:p>
      <w:pPr>
        <w:adjustRightInd w:val="0"/>
        <w:snapToGrid w:val="0"/>
        <w:spacing w:line="360" w:lineRule="auto"/>
        <w:ind w:firstLine="480" w:firstLineChars="200"/>
        <w:rPr>
          <w:rFonts w:hint="eastAsia" w:ascii="宋体" w:hAnsi="宋体" w:eastAsia="宋体" w:cs="宋体"/>
          <w:b/>
          <w:color w:val="auto"/>
          <w:sz w:val="24"/>
          <w:szCs w:val="24"/>
          <w:highlight w:val="yellow"/>
        </w:rPr>
      </w:pPr>
      <w:r>
        <w:rPr>
          <w:rFonts w:hint="eastAsia" w:ascii="宋体" w:hAnsi="宋体" w:eastAsia="宋体" w:cs="宋体"/>
          <w:color w:val="auto"/>
          <w:sz w:val="24"/>
          <w:szCs w:val="24"/>
          <w:highlight w:val="none"/>
        </w:rPr>
        <w:t>教职工生日当天，个人中心推送生日关怀提醒。设计生日背景图，支持文案配置。</w:t>
      </w:r>
    </w:p>
    <w:p>
      <w:pPr>
        <w:numPr>
          <w:ilvl w:val="0"/>
          <w:numId w:val="17"/>
        </w:numPr>
        <w:adjustRightInd w:val="0"/>
        <w:snapToGrid w:val="0"/>
        <w:spacing w:line="360" w:lineRule="auto"/>
        <w:ind w:left="0" w:leftChars="0"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消耗品管理</w:t>
      </w:r>
    </w:p>
    <w:p>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消耗品入库</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各实验室采购人员线上发起消耗品入库申请，针对耗材类消耗品，通过上传验收单自动识别并导入商品信息，上传商品照片。采购人员核对并可手工调整导入的信息，确认信息无误则提交至科室领导、部门内勤审核。采购人员对消耗品维修、服务类费用进行线上申报。部门内勤负责公用耗材入库。采购人员可查看自己的入库申请记录及审批流程。</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消耗品申领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开发实验室消耗品申领功能。消耗品使用人员线上发起消耗品申领申请，通过多重筛选条件快速定位到所需耗材，确认申领数量和金额后提交至科室领导、部门内勤审核。使用人员可查看自己的申领记录及审批流程。</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消耗品信息更正</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开发消耗品清单，部门内勤可查看消耗品信息和库存，如有问题可进行信息更正。发送待办至领导审核，审核通过后完成信息修改。</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管理规则配置</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部门内勤可后台维护消耗品品类规则，解决相同种类消耗品存在别名无法统一管理的问题。</w:t>
      </w:r>
    </w:p>
    <w:p>
      <w:pPr>
        <w:numPr>
          <w:ilvl w:val="0"/>
          <w:numId w:val="0"/>
        </w:numPr>
        <w:adjustRightInd w:val="0"/>
        <w:snapToGrid w:val="0"/>
        <w:spacing w:line="360" w:lineRule="auto"/>
        <w:ind w:leftChars="0" w:firstLine="480" w:firstLineChars="200"/>
        <w:rPr>
          <w:rFonts w:hint="eastAsia" w:ascii="宋体" w:hAnsi="宋体" w:eastAsia="宋体" w:cs="宋体"/>
          <w:b/>
          <w:color w:val="auto"/>
          <w:sz w:val="24"/>
          <w:szCs w:val="24"/>
          <w:highlight w:val="yellow"/>
        </w:rPr>
      </w:pPr>
      <w:r>
        <w:rPr>
          <w:rFonts w:hint="eastAsia" w:ascii="宋体" w:hAnsi="宋体" w:eastAsia="宋体" w:cs="宋体"/>
          <w:color w:val="auto"/>
          <w:sz w:val="24"/>
          <w:szCs w:val="24"/>
          <w:highlight w:val="none"/>
        </w:rPr>
        <w:t>统计报表</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部门内勤可查看部门消耗品进出库清单，支持所有年度的历史数据的查询。部门内勤可查看年度消耗品经费使用清单，支持根据预算计算经费使用率。</w:t>
      </w:r>
    </w:p>
    <w:p>
      <w:pPr>
        <w:numPr>
          <w:ilvl w:val="0"/>
          <w:numId w:val="17"/>
        </w:numPr>
        <w:adjustRightInd w:val="0"/>
        <w:snapToGrid w:val="0"/>
        <w:spacing w:line="360" w:lineRule="auto"/>
        <w:ind w:left="0" w:leftChars="0"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运动场馆预约</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人员激活</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新用户需要激活进入运动场馆运动的资格，在网上办理确认资格时阅读《浙江警察学院运动场馆管理规定》和运动注意事项，并签定承诺书后方可开通资格。其中健身房需经首次运动器材使用注意事项培训后方可经管理开通进入健身房资格。</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余量查询</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人员能够在网页、移动端查询各场馆余位情况，以方便选择到那个场馆运动。</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预约</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实现滨江和临安两校区人员在电脑端和移动端进行运动场馆的线上预约。同一场馆同一天只能预约一个场次。同一时间段不可重复预约。预约成功后会发送钉钉通知到预约人，同步至个人日程。人员可查看所有的预约记录，可提前取消预约。宾馆服务端可临时开通住宿人员运动及预约功能。</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排号</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滨江校区健身房人满后可以手机端进行排号。提示当前排号情况及预估排队时长。当预约时间到或预约号过号，自动跳到下一号，此号待本人到来后由工作人员操作后变为等待人员的第一号。 </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出入场管理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人员到达运动场馆可进行手机签到，场馆工作人员可辅助在系统管理处进行签到。人员运动完成可进行手机签退，若未带手机场馆工作人员可辅助在系统管理处进行签退。对于设有闸机的场馆，对接一卡通的刷卡信息进行签到签退。当一卡通刷卡出现异常时，由场馆工作人员辅助进行签到、签退。人员进出情况实时显示，场馆管理员可查询人员的进出场馆情况。</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场馆管理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新增滨江和临安两个校区的管理员角色，分别对各自管理的场馆信息进行维护。开发场地管理功能，管理员可对每个场馆分配多个场地。</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预约规则管理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支持按校内日历调整运动场馆是否开放。管理人员可设定各场馆、场地的开放和预约时间。</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统计报表</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超过运动时长上限的人员，会加入到超时黑名单，同时近7天内不可再进次预约和进馆。在管理中心可查看闸机刷卡失败信息，并辅助签到签退。管理人员可按时间段、部门、姓名等维度查询各运动场馆锻炼情况。并可导出统计报表。</w:t>
      </w:r>
    </w:p>
    <w:p>
      <w:pPr>
        <w:numPr>
          <w:ilvl w:val="0"/>
          <w:numId w:val="17"/>
        </w:numPr>
        <w:adjustRightInd w:val="0"/>
        <w:snapToGrid w:val="0"/>
        <w:spacing w:line="360" w:lineRule="auto"/>
        <w:ind w:left="0" w:leftChars="0"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项目过程化管理</w:t>
      </w:r>
    </w:p>
    <w:p>
      <w:pPr>
        <w:numPr>
          <w:ilvl w:val="0"/>
          <w:numId w:val="19"/>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项目立项</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项目申报启动后，需求部门人员在线发起项目立项申请，指定项目负责人、项目成员、项目基本信息、采购清单等，并按要求上传立项所需文档，经部门领导、分管校领导审核通过后，提交至信息办进行专家认证。</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信息办完成专家认证，可上传专家论证意见，提交至财务处进行项目预算审核。</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财务处预算审核通过后，需求部门人员提交项目经费使用计划，由部门领导审核通过后，提交至信息化领导小组评审。</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党委会/院长办公会审议年度项目经费方案，通过后项目立项会提交至财务处发布年度经费预算。对接财务系统，同步项目立项信息和财务预算的拨付。</w:t>
      </w:r>
    </w:p>
    <w:p>
      <w:pPr>
        <w:numPr>
          <w:ilvl w:val="0"/>
          <w:numId w:val="19"/>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项目采购</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需求部门人员可对立项的项目进行拆分，通过多个标来完成总项目。拆分项目金额不得超过总项目的金额。需求部门人员提交采购需求，上传需求文件后，经部门领导、分管校领导进行审批。</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类型、项目金额确认是否需要采购前审计。采购前审计流程：由需求部门提交项目预算明细至审计处审核，审计处审核后出具项目审计后预算明细，由需求部门进行确认。需求部门可选择是否同意审计结果。需求部门不同意审计结果，可补充提交项目情况说明。若希望追加项目预算金额，需要补充预算明细表，由部门领导、分管校领导审核通过后再次提交至审计处。审计处与需求部门人员多次协商后确认项目预算明细、项目审核确认表信息，由需求部门人员提交至部门领导审核，部门领导审核通过提交至审计处，由审计处出具审计意见。</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计完成，项目负责人上传招标需求文件，由部门领导审核通过后提交至财务处，财务处出具采购确认书，提交至后勤处审核招标信息。后勤处招标信息审核通过后，由需求部门人员提供正式招标的相关文档，提交至纪检监察处报备，同时流程提交至后勤处进行项目招标。</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项目招标完成，后勤处向需求部门反馈招标结果，需求部门确认无误则准备待签合同，提交至部门领导进行合同签订的审批。部门领导审核通过后，将项目合同提交至财务处、后勤处、法律顾问审核。</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类型、项目金额确认是否需要合同签订前审计。合同前审计流程：由需求部门提交待签合同至审计处审核，审计处审核后出具项目审核确认表反馈至需求部门人员确认。需求部门人员确认并反馈修改意见，再次提交至审计处审核，审计处与需求部门人员多次协商后确认项目审核意见，由需求部门人员提交至部门领导审核。部门领导审核通过提交至审计处，由审计处出具审计意见。</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根据合同金额确认分管校领导、校领导审批审核流程，审核通过后，需求部门人员完成合同签订，并提交至纪检监察处进行合同报备。对接电子签单完成线上合同盖章。</w:t>
      </w:r>
    </w:p>
    <w:p>
      <w:pPr>
        <w:numPr>
          <w:ilvl w:val="0"/>
          <w:numId w:val="19"/>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项目验收</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项目完成后，需求部门人员上传项目验收材料，发起项目验收申请，由部门领导审核通过后，提交至信息办组织专家论证。信息办组织专家论证项目完成情况，并提交专家验收意见。</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项目类型及项目金额确认是否需要决算前审计。决算前审计流程：由需求部门提交项目结算单等审计文档，由部门领导审核通过后提交至审计处审核。审计处审核后出具项目审核确认表反馈至需求部门人员确认。需求部门人员确认并反馈修改意见，再次提交至审计处审核。审计处与需求部门人员多次协商后确认项目审核意见，由需求部门人员提交至部门领导审核。部门领导审核通过提交至审计处，由审计处出具审计意见。</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需要资产入库的项目，直接提交至财务处进行付款。对接财务内控系统同步付款信息。需要资产入库的项目，对接资产管理系统录入入库信息，并提交发票信息和到货签收文件等至部门领导审核。部门领导提交至分管校领导审核，审批通过由后勤处审核，财务审核并付款。对接财务内控系统同步付款信息。付款完成项目归档。</w:t>
      </w:r>
    </w:p>
    <w:p>
      <w:pPr>
        <w:numPr>
          <w:ilvl w:val="0"/>
          <w:numId w:val="19"/>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基础配置</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分类配置。项目类型包括：信息化项目、其他货物服务类（非信息化）项目、工程类项目、实验室项目。项目流程配置，按不同的项目类型和项目金额配置项目流程。信息化项目，标项预算20万元及以上，需要进行采购前审计、合同签订前审计、决算前审计。其他货物服务类（非信息化）项目，标项预算50万元及以上，需要进行采购前审计。工程类项目，标项预算10万元及以上，需要进行决算前审计。</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项目节点设置，按不同的项目节点设定项目阶段。一般项目包含8个项目阶段：项目调研、编制项目经费使用方案、编制招标需求文件、项目招标、签订合同、项目实施、竣工验收、项目完成并付款。</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项目申报时间配置，信息办配置每年的项目申报时间。需求部门人员需要在指定申报时间内完成项目立项申报。</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项目软件、硬件采购参数后台配置。软件参数主要包括：系统名称、功能模块、金额等。硬件参数主要包括：名称、规格参数、单价、数量、金额等。</w:t>
      </w:r>
    </w:p>
    <w:p>
      <w:pPr>
        <w:numPr>
          <w:ilvl w:val="0"/>
          <w:numId w:val="19"/>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项目文档库管理</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用于管理在项目立项、采购、验收、运维管理中产生的文档资料，包括Word、Excel、PPT、PDF等资料附件。按项目进行文档管理，实现“一项一档”，在项目各阶段产生的文档全部集至项目文档库（项目文档规范目录统一进行设定），后续项目运维与管理中新产生的文档一并纳入管理。</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文档管理，根据不同项目节点需要按要求上传规定格式的文档。对Word、Excel、PPT、PDF等文件进行直接在线阅读。实现文档与项目的关联。在项目流转过程中查看已上传过的项目材料，可调用文档库中的文档作为附件或信息。</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项目负责人可补充上传项目文档。文档权限控制，不同人员对文档的修改、查看权限不同。</w:t>
      </w:r>
    </w:p>
    <w:p>
      <w:pPr>
        <w:numPr>
          <w:ilvl w:val="0"/>
          <w:numId w:val="19"/>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供应商管理</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招标入围供应商，由后勤处统一维护供应商基本信息、供应商联系人、供应商基本资料。后勤处可修改和更新供应商信息。录入招标结果时，直接选择已维护的供应商，避免供应商信息的重复录入。</w:t>
      </w:r>
    </w:p>
    <w:p>
      <w:pPr>
        <w:numPr>
          <w:ilvl w:val="0"/>
          <w:numId w:val="19"/>
        </w:numPr>
        <w:adjustRightInd w:val="0"/>
        <w:snapToGrid w:val="0"/>
        <w:spacing w:line="36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查询统计</w:t>
      </w:r>
    </w:p>
    <w:p>
      <w:pPr>
        <w:numPr>
          <w:ilvl w:val="0"/>
          <w:numId w:val="0"/>
        </w:numPr>
        <w:adjustRightInd w:val="0"/>
        <w:snapToGrid w:val="0"/>
        <w:spacing w:line="360" w:lineRule="auto"/>
        <w:ind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项目清单查询及导出。项目负责人、项目成员可查看所参与的项目基本信息、文档、进度及审批流程。需求部门领导可查看本部门项目清单。信息办和校领导可查看所有的项目清单，并开发年度项目进度看板，集成到个人中心门户。</w:t>
      </w:r>
    </w:p>
    <w:p>
      <w:pPr>
        <w:numPr>
          <w:ilvl w:val="0"/>
          <w:numId w:val="17"/>
        </w:numPr>
        <w:adjustRightInd w:val="0"/>
        <w:snapToGrid w:val="0"/>
        <w:spacing w:line="360" w:lineRule="auto"/>
        <w:ind w:left="0" w:leftChars="0"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民警培训移动应用</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移动端选修课</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民警培训老师在系统中增加多个选修课程，并设定课程主要内容、课程周期、选修课报名时间、人员上限等。培训老师可在管理后台导入选修课表。</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达报名时间后，学生可在移动端进行线上报名，人数达到上限后不可再选课。选修课完成学生可填写调查问卷，为课堂教学和老师进行打分。民警培训管理人员可查看所有选修课课程记录、学员记录、评分情况，可导出报表。</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问卷调查</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班主任、管理员以上权限人员，可以在手机端、PC端查看已填报问卷的人员姓名及未填写人员的姓名</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统计分析模块中，校内同一个老师的工作量统计、课时统计，需要将原始课时数据和乘以系数的课时数据汇总在一条数据项中，并允许按任意时间条件筛选</w:t>
      </w:r>
      <w:r>
        <w:rPr>
          <w:rFonts w:hint="eastAsia" w:ascii="宋体" w:hAnsi="宋体" w:eastAsia="宋体" w:cs="宋体"/>
          <w:color w:val="auto"/>
          <w:sz w:val="24"/>
          <w:szCs w:val="24"/>
          <w:highlight w:val="none"/>
          <w:lang w:eastAsia="zh-Hans"/>
        </w:rPr>
        <w:t>。</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增加学员请销假到班主任老师审批</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实现移动端签到。</w:t>
      </w:r>
      <w:r>
        <w:rPr>
          <w:rFonts w:hint="eastAsia" w:ascii="宋体" w:hAnsi="宋体" w:eastAsia="宋体" w:cs="宋体"/>
          <w:color w:val="auto"/>
          <w:sz w:val="24"/>
          <w:szCs w:val="24"/>
          <w:highlight w:val="none"/>
        </w:rPr>
        <w:t>签到分集合签到（发起人周围10米内）、点名签到（可由发起人随意选择定位的200米内），发起人手机端可以查看签到情况。</w:t>
      </w:r>
    </w:p>
    <w:p>
      <w:pPr>
        <w:numPr>
          <w:ilvl w:val="0"/>
          <w:numId w:val="17"/>
        </w:numPr>
        <w:adjustRightInd w:val="0"/>
        <w:snapToGrid w:val="0"/>
        <w:spacing w:line="360" w:lineRule="auto"/>
        <w:ind w:left="0" w:leftChars="0"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业务数据缺项采集</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社会实践补充采集</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部门内勤统一进行值班、备勤的申报，由部门领导、人事处审核通过后，计入社会实践统计。</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平时考核补充采集</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季评鉴权限控制，仅部门领导可填报本部门季评鉴结果。</w:t>
      </w:r>
    </w:p>
    <w:p>
      <w:pPr>
        <w:numPr>
          <w:ilvl w:val="0"/>
          <w:numId w:val="0"/>
        </w:numPr>
        <w:adjustRightInd w:val="0"/>
        <w:snapToGrid w:val="0"/>
        <w:spacing w:line="360" w:lineRule="auto"/>
        <w:ind w:leftChars="0" w:firstLine="480" w:firstLineChars="200"/>
        <w:rPr>
          <w:rFonts w:hint="eastAsia" w:ascii="宋体" w:hAnsi="宋体" w:eastAsia="宋体" w:cs="宋体"/>
          <w:b/>
          <w:color w:val="auto"/>
          <w:sz w:val="24"/>
          <w:szCs w:val="24"/>
          <w:highlight w:val="yellow"/>
        </w:rPr>
      </w:pPr>
      <w:r>
        <w:rPr>
          <w:rFonts w:hint="eastAsia" w:ascii="宋体" w:hAnsi="宋体" w:eastAsia="宋体" w:cs="宋体"/>
          <w:color w:val="auto"/>
          <w:sz w:val="24"/>
          <w:szCs w:val="24"/>
          <w:highlight w:val="none"/>
          <w:lang w:val="en-US" w:eastAsia="zh-CN"/>
        </w:rPr>
        <w:t>部门领导选人，默认自己部门的人，如有人员借调情况可以全校进行选择。参加评鉴人数，需要选人后自动计数。部门领导可以打印季评鉴结果。部门领导提交至人事处审核，人事处审核有问题可以退回部门修改。人事处可查看汇总所有部门的季评鉴结果，可汇总导出。后台配置，定时推送。</w:t>
      </w:r>
    </w:p>
    <w:p>
      <w:pPr>
        <w:numPr>
          <w:ilvl w:val="0"/>
          <w:numId w:val="17"/>
        </w:numPr>
        <w:adjustRightInd w:val="0"/>
        <w:snapToGrid w:val="0"/>
        <w:spacing w:line="360" w:lineRule="auto"/>
        <w:ind w:left="0" w:leftChars="0"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运维工作量统计及评价</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运维工单发起</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业务人员在线发起运维工单，包括网络设备运维、服务器管理，网络访问、应用系统问题等。</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运维人员接单</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运维人员可查看所有进行中的工单，可自主认领运维工单。运维管理人员也可对运维工单进行指派。</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运维人员完成反馈</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运维人员完成工单后，提交办理结果反馈至工单发起人。</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业务人员评价</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业务人员可查看已反馈的工单，确认完成后，对运维时效、运维完成情况进行评价。</w:t>
      </w:r>
    </w:p>
    <w:p>
      <w:pPr>
        <w:numPr>
          <w:ilvl w:val="0"/>
          <w:numId w:val="0"/>
        </w:numPr>
        <w:adjustRightInd w:val="0"/>
        <w:snapToGrid w:val="0"/>
        <w:spacing w:line="360" w:lineRule="auto"/>
        <w:ind w:leftChars="0" w:firstLine="480" w:firstLineChars="200"/>
        <w:rPr>
          <w:rFonts w:hint="eastAsia" w:ascii="宋体" w:hAnsi="宋体" w:eastAsia="宋体" w:cs="宋体"/>
          <w:b/>
          <w:color w:val="auto"/>
          <w:sz w:val="24"/>
          <w:szCs w:val="24"/>
          <w:highlight w:val="yellow"/>
        </w:rPr>
      </w:pPr>
      <w:r>
        <w:rPr>
          <w:rFonts w:hint="eastAsia" w:ascii="宋体" w:hAnsi="宋体" w:eastAsia="宋体" w:cs="宋体"/>
          <w:color w:val="auto"/>
          <w:sz w:val="24"/>
          <w:szCs w:val="24"/>
          <w:highlight w:val="none"/>
          <w:lang w:val="en-US" w:eastAsia="zh-CN"/>
        </w:rPr>
        <w:t>运维工作量及评价</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集成已有报修工单，可按运维人员、运维服务公司进行工作量、评价情况的统计分析等。统计结果支持导出报表。</w:t>
      </w:r>
    </w:p>
    <w:p>
      <w:pPr>
        <w:numPr>
          <w:ilvl w:val="0"/>
          <w:numId w:val="17"/>
        </w:numPr>
        <w:adjustRightInd w:val="0"/>
        <w:snapToGrid w:val="0"/>
        <w:spacing w:line="360" w:lineRule="auto"/>
        <w:ind w:left="0" w:leftChars="0"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校外人员统一管理模块</w:t>
      </w:r>
    </w:p>
    <w:p>
      <w:pPr>
        <w:numPr>
          <w:ilvl w:val="0"/>
          <w:numId w:val="20"/>
        </w:numPr>
        <w:adjustRightInd w:val="0"/>
        <w:snapToGrid w:val="0"/>
        <w:spacing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校外人员管理</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对科研机构人员、服务人员、实习生、驻校教官、退休反聘人员进行统一信息维护和管理。支持各管理部门分别维护服务人员信息。</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校外人员统一进行权限管理，依据不同校外人员类别，建立用户角色。可他自定义配置用户权限，包含钉钉权限、业务系统权限、邮箱权限、个人中心权限、是否加入通讯录等（可多选）。可设置人员进校、离校时间，到离校时间后人员自动失效。</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退休返聘人员信息重新激活。通过钉钉端线上采集校外人员人脸信息，结合物联设备对接出入校流程。</w:t>
      </w:r>
    </w:p>
    <w:p>
      <w:pPr>
        <w:numPr>
          <w:ilvl w:val="0"/>
          <w:numId w:val="20"/>
        </w:numPr>
        <w:adjustRightInd w:val="0"/>
        <w:snapToGrid w:val="0"/>
        <w:spacing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重点人员管理</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人脸库管理增加标签维护功能。增加重点人员标签，对接物联设备进行出入校管理。可批量导入、手工新增重点人员的信息和人脸照片数据。若人脸库已有人员信息，则可维护重点人员标签。</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重点人员对接刷脸设备时，会提示出重点人员信息。</w:t>
      </w:r>
    </w:p>
    <w:p>
      <w:pPr>
        <w:numPr>
          <w:ilvl w:val="0"/>
          <w:numId w:val="17"/>
        </w:numPr>
        <w:adjustRightInd w:val="0"/>
        <w:snapToGrid w:val="0"/>
        <w:spacing w:line="360" w:lineRule="auto"/>
        <w:ind w:left="0" w:leftChars="0"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公共服务能力可视化平台</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开发公共服务能力可视化平台，提供应用可视化集成服务，包括应用埋点、电子签章、统一待办、统一认证、审计日志，人脸库应用等公共服务。</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方应用接入管理，自定义申请审核流程，在线进行服务配置、服务管理及接入参数配置等。三方应用模块对接可在线查看公共服务接口详细信息及集成方案、操作指引，获取相关资料（接口文档、使用说明、对接人联系方式等）。</w:t>
      </w:r>
    </w:p>
    <w:p>
      <w:pPr>
        <w:numPr>
          <w:ilvl w:val="0"/>
          <w:numId w:val="0"/>
        </w:numPr>
        <w:adjustRightInd w:val="0"/>
        <w:snapToGrid w:val="0"/>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运营管理，查看接口使用情况，及输出统计报表分析。安全层面需求，在线配置应用接口权限控制、访问黑白名单、字段脱敏还原等。</w:t>
      </w:r>
    </w:p>
    <w:p>
      <w:pPr>
        <w:adjustRightInd w:val="0"/>
        <w:snapToGrid w:val="0"/>
        <w:spacing w:line="360" w:lineRule="auto"/>
        <w:ind w:firstLine="482" w:firstLineChars="200"/>
        <w:outlineLvl w:val="2"/>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12、系统集成要求</w:t>
      </w:r>
    </w:p>
    <w:p>
      <w:pPr>
        <w:pStyle w:val="78"/>
        <w:widowControl w:val="0"/>
        <w:numPr>
          <w:ilvl w:val="0"/>
          <w:numId w:val="21"/>
        </w:numPr>
        <w:adjustRightInd w:val="0"/>
        <w:snapToGrid w:val="0"/>
        <w:spacing w:line="360" w:lineRule="auto"/>
        <w:ind w:left="981"/>
        <w:jc w:val="both"/>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中台调用</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校园平台</w:t>
      </w:r>
      <w:r>
        <w:rPr>
          <w:rFonts w:hint="eastAsia" w:ascii="宋体" w:hAnsi="宋体" w:eastAsia="宋体" w:cs="宋体"/>
          <w:color w:val="auto"/>
          <w:sz w:val="24"/>
          <w:szCs w:val="24"/>
          <w:highlight w:val="none"/>
        </w:rPr>
        <w:t>应用中心和服务大厅与采购人的相关业务系统及</w:t>
      </w:r>
      <w:r>
        <w:rPr>
          <w:rFonts w:hint="eastAsia" w:ascii="宋体" w:hAnsi="宋体" w:eastAsia="宋体" w:cs="宋体"/>
          <w:color w:val="auto"/>
          <w:sz w:val="24"/>
          <w:szCs w:val="24"/>
          <w:highlight w:val="none"/>
          <w:lang w:eastAsia="zh-Hans"/>
        </w:rPr>
        <w:t>数据中心</w:t>
      </w:r>
      <w:r>
        <w:rPr>
          <w:rFonts w:hint="eastAsia" w:ascii="宋体" w:hAnsi="宋体" w:eastAsia="宋体" w:cs="宋体"/>
          <w:color w:val="auto"/>
          <w:sz w:val="24"/>
          <w:szCs w:val="24"/>
          <w:highlight w:val="none"/>
        </w:rPr>
        <w:t>各平台的对接，实现校内业务系统的数据集成与共享，各业务系统之间数据实时互联互通，通过调用</w:t>
      </w:r>
      <w:r>
        <w:rPr>
          <w:rFonts w:hint="eastAsia" w:ascii="宋体" w:hAnsi="宋体" w:eastAsia="宋体" w:cs="宋体"/>
          <w:color w:val="auto"/>
          <w:sz w:val="24"/>
          <w:szCs w:val="24"/>
          <w:highlight w:val="none"/>
          <w:lang w:eastAsia="zh-Hans"/>
        </w:rPr>
        <w:t>数据中心技术平台的</w:t>
      </w:r>
      <w:r>
        <w:rPr>
          <w:rFonts w:hint="eastAsia" w:ascii="宋体" w:hAnsi="宋体" w:eastAsia="宋体" w:cs="宋体"/>
          <w:color w:val="auto"/>
          <w:sz w:val="24"/>
          <w:szCs w:val="24"/>
          <w:highlight w:val="none"/>
        </w:rPr>
        <w:t>服务来实现相关业务系统的界面集成。</w:t>
      </w:r>
    </w:p>
    <w:p>
      <w:pPr>
        <w:pStyle w:val="78"/>
        <w:widowControl w:val="0"/>
        <w:numPr>
          <w:ilvl w:val="0"/>
          <w:numId w:val="21"/>
        </w:numPr>
        <w:adjustRightInd w:val="0"/>
        <w:snapToGrid w:val="0"/>
        <w:spacing w:line="360" w:lineRule="auto"/>
        <w:ind w:left="981"/>
        <w:jc w:val="both"/>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应用集成与扩展</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在原</w:t>
      </w:r>
      <w:r>
        <w:rPr>
          <w:rFonts w:hint="eastAsia" w:ascii="宋体" w:hAnsi="宋体" w:eastAsia="宋体" w:cs="宋体"/>
          <w:color w:val="auto"/>
          <w:sz w:val="24"/>
          <w:szCs w:val="24"/>
          <w:highlight w:val="none"/>
          <w:lang w:eastAsia="zh-Hans"/>
        </w:rPr>
        <w:t>平台的应用场景服务和基础平台</w:t>
      </w:r>
      <w:r>
        <w:rPr>
          <w:rFonts w:hint="eastAsia" w:ascii="宋体" w:hAnsi="宋体" w:eastAsia="宋体" w:cs="宋体"/>
          <w:color w:val="auto"/>
          <w:sz w:val="24"/>
          <w:szCs w:val="24"/>
          <w:highlight w:val="none"/>
        </w:rPr>
        <w:t>上，引用原架构进行服务事项</w:t>
      </w:r>
      <w:r>
        <w:rPr>
          <w:rFonts w:hint="eastAsia" w:ascii="宋体" w:hAnsi="宋体" w:eastAsia="宋体" w:cs="宋体"/>
          <w:color w:val="auto"/>
          <w:sz w:val="24"/>
          <w:szCs w:val="24"/>
          <w:highlight w:val="none"/>
          <w:lang w:eastAsia="zh-Hans"/>
        </w:rPr>
        <w:t>和应用</w:t>
      </w:r>
      <w:r>
        <w:rPr>
          <w:rFonts w:hint="eastAsia" w:ascii="宋体" w:hAnsi="宋体" w:eastAsia="宋体" w:cs="宋体"/>
          <w:color w:val="auto"/>
          <w:sz w:val="24"/>
          <w:szCs w:val="24"/>
          <w:highlight w:val="none"/>
        </w:rPr>
        <w:t>子的扩展建设。</w:t>
      </w:r>
    </w:p>
    <w:p>
      <w:pPr>
        <w:pStyle w:val="78"/>
        <w:widowControl w:val="0"/>
        <w:numPr>
          <w:ilvl w:val="0"/>
          <w:numId w:val="21"/>
        </w:numPr>
        <w:adjustRightInd w:val="0"/>
        <w:snapToGrid w:val="0"/>
        <w:spacing w:line="360" w:lineRule="auto"/>
        <w:ind w:left="981"/>
        <w:jc w:val="both"/>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本期项目建设所有内容，需要按照采购人要求，提供标准接口，对接采购人的业务系统及</w:t>
      </w:r>
      <w:r>
        <w:rPr>
          <w:rFonts w:hint="eastAsia" w:ascii="宋体" w:hAnsi="宋体" w:eastAsia="宋体" w:cs="宋体"/>
          <w:color w:val="auto"/>
          <w:sz w:val="24"/>
          <w:szCs w:val="24"/>
          <w:highlight w:val="none"/>
          <w:lang w:eastAsia="zh-Hans"/>
        </w:rPr>
        <w:t>数据中心技术</w:t>
      </w:r>
      <w:r>
        <w:rPr>
          <w:rFonts w:hint="eastAsia" w:ascii="宋体" w:hAnsi="宋体" w:eastAsia="宋体" w:cs="宋体"/>
          <w:color w:val="auto"/>
          <w:sz w:val="24"/>
          <w:szCs w:val="24"/>
          <w:highlight w:val="none"/>
        </w:rPr>
        <w:t>平台。系统须以学院认可的方式开放接口以供数据中心实时抽取及推送数据，如中间库视图。</w:t>
      </w:r>
    </w:p>
    <w:p>
      <w:pPr>
        <w:pStyle w:val="78"/>
        <w:widowControl w:val="0"/>
        <w:numPr>
          <w:ilvl w:val="0"/>
          <w:numId w:val="21"/>
        </w:numPr>
        <w:adjustRightInd w:val="0"/>
        <w:snapToGrid w:val="0"/>
        <w:spacing w:line="360" w:lineRule="auto"/>
        <w:ind w:left="981"/>
        <w:jc w:val="both"/>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数据接口费用</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本项目报价应包含与所有业务系统（包括新建业务系统）对接集成的集成接口费。</w:t>
      </w:r>
      <w:bookmarkEnd w:id="58"/>
      <w:bookmarkEnd w:id="59"/>
    </w:p>
    <w:p>
      <w:pPr>
        <w:pStyle w:val="4"/>
        <w:numPr>
          <w:ilvl w:val="2"/>
          <w:numId w:val="0"/>
        </w:numPr>
        <w:tabs>
          <w:tab w:val="left" w:pos="360"/>
          <w:tab w:val="left" w:pos="432"/>
        </w:tabs>
        <w:adjustRightInd w:val="0"/>
        <w:snapToGrid w:val="0"/>
        <w:spacing w:before="0" w:after="0" w:line="360" w:lineRule="auto"/>
        <w:ind w:left="425" w:hanging="4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（四）项目实施、培训及服务要求</w:t>
      </w:r>
    </w:p>
    <w:p>
      <w:pPr>
        <w:pStyle w:val="5"/>
        <w:adjustRightInd w:val="0"/>
        <w:snapToGrid w:val="0"/>
        <w:spacing w:before="0" w:after="0" w:line="360" w:lineRule="auto"/>
        <w:ind w:firstLine="482" w:firstLineChars="200"/>
        <w:rPr>
          <w:rFonts w:ascii="宋体" w:hAnsi="宋体" w:eastAsia="宋体" w:cs="宋体"/>
          <w:color w:val="auto"/>
          <w:sz w:val="24"/>
          <w:szCs w:val="24"/>
          <w:highlight w:val="none"/>
        </w:rPr>
      </w:pPr>
      <w:bookmarkStart w:id="60" w:name="_Toc498446740"/>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.项目实施要求</w:t>
      </w:r>
      <w:bookmarkEnd w:id="60"/>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投标方应提供详细、清晰、明确的项目实施方案计划、目标及内容等，项目经理、主要技术负责人需具备类似项目的实施经验，提供开发人员的数量及项目实施经历，保证人员的稳定性、连续性。</w:t>
      </w:r>
    </w:p>
    <w:p>
      <w:pPr>
        <w:pStyle w:val="6"/>
        <w:adjustRightInd w:val="0"/>
        <w:snapToGrid w:val="0"/>
        <w:spacing w:before="0"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（1）实施内容与进度要求</w:t>
      </w:r>
    </w:p>
    <w:p>
      <w:pPr>
        <w:pStyle w:val="118"/>
        <w:adjustRightInd w:val="0"/>
        <w:snapToGrid w:val="0"/>
        <w:ind w:firstLine="482"/>
        <w:rPr>
          <w:rFonts w:ascii="宋体" w:hAnsi="宋体" w:eastAsia="宋体" w:cs="宋体"/>
          <w:b/>
          <w:bCs/>
          <w:color w:val="auto"/>
          <w:szCs w:val="24"/>
          <w:highlight w:val="none"/>
        </w:rPr>
      </w:pPr>
      <w:bookmarkStart w:id="61" w:name="_Toc349035612"/>
      <w:r>
        <w:rPr>
          <w:rFonts w:ascii="宋体" w:hAnsi="宋体" w:eastAsia="宋体" w:cs="宋体"/>
          <w:b/>
          <w:color w:val="auto"/>
          <w:szCs w:val="24"/>
          <w:highlight w:val="none"/>
        </w:rPr>
        <w:t>项目实施总体进度要求</w:t>
      </w:r>
      <w:bookmarkEnd w:id="61"/>
      <w:r>
        <w:rPr>
          <w:rFonts w:hint="eastAsia" w:ascii="宋体" w:hAnsi="宋体" w:eastAsia="宋体" w:cs="宋体"/>
          <w:b/>
          <w:bCs/>
          <w:color w:val="auto"/>
          <w:szCs w:val="24"/>
          <w:highlight w:val="none"/>
        </w:rPr>
        <w:t>:</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合</w:t>
      </w:r>
      <w:r>
        <w:rPr>
          <w:rFonts w:ascii="宋体" w:hAnsi="宋体" w:eastAsia="宋体" w:cs="宋体"/>
          <w:color w:val="auto"/>
          <w:szCs w:val="24"/>
          <w:highlight w:val="none"/>
        </w:rPr>
        <w:t>同签定2</w:t>
      </w:r>
      <w:r>
        <w:rPr>
          <w:rFonts w:hint="eastAsia" w:ascii="宋体" w:hAnsi="宋体" w:eastAsia="宋体" w:cs="宋体"/>
          <w:color w:val="auto"/>
          <w:szCs w:val="24"/>
          <w:highlight w:val="none"/>
        </w:rPr>
        <w:t>周内，</w:t>
      </w:r>
      <w:r>
        <w:rPr>
          <w:rFonts w:ascii="宋体" w:hAnsi="宋体" w:eastAsia="宋体" w:cs="宋体"/>
          <w:color w:val="auto"/>
          <w:szCs w:val="24"/>
          <w:highlight w:val="none"/>
        </w:rPr>
        <w:t>投标人应根据</w:t>
      </w:r>
      <w:r>
        <w:rPr>
          <w:rFonts w:hint="eastAsia" w:ascii="宋体" w:hAnsi="宋体" w:eastAsia="宋体" w:cs="宋体"/>
          <w:color w:val="auto"/>
          <w:szCs w:val="24"/>
          <w:highlight w:val="none"/>
        </w:rPr>
        <w:t>实际项目招标文件要求提交详细实施</w:t>
      </w:r>
      <w:r>
        <w:rPr>
          <w:rFonts w:ascii="宋体" w:hAnsi="宋体" w:eastAsia="宋体" w:cs="宋体"/>
          <w:color w:val="auto"/>
          <w:szCs w:val="24"/>
          <w:highlight w:val="none"/>
        </w:rPr>
        <w:t>交付</w:t>
      </w:r>
      <w:r>
        <w:rPr>
          <w:rFonts w:hint="eastAsia" w:ascii="宋体" w:hAnsi="宋体" w:eastAsia="宋体" w:cs="宋体"/>
          <w:color w:val="auto"/>
          <w:szCs w:val="24"/>
          <w:highlight w:val="none"/>
        </w:rPr>
        <w:t>计划</w:t>
      </w:r>
      <w:r>
        <w:rPr>
          <w:rFonts w:ascii="宋体" w:hAnsi="宋体" w:eastAsia="宋体" w:cs="宋体"/>
          <w:color w:val="auto"/>
          <w:szCs w:val="24"/>
          <w:highlight w:val="none"/>
        </w:rPr>
        <w:t>，制定项目进度计划及资源保障计划，并按计划实施。</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本项目在</w:t>
      </w:r>
      <w:r>
        <w:rPr>
          <w:rFonts w:hint="eastAsia" w:ascii="宋体" w:hAnsi="宋体" w:eastAsia="宋体" w:cs="宋体"/>
          <w:color w:val="auto"/>
          <w:szCs w:val="24"/>
          <w:highlight w:val="none"/>
          <w:lang w:val="en-US" w:eastAsia="zh-CN"/>
        </w:rPr>
        <w:t>2022年11月20日</w:t>
      </w:r>
      <w:r>
        <w:rPr>
          <w:rFonts w:hint="eastAsia" w:ascii="宋体" w:hAnsi="宋体" w:eastAsia="宋体" w:cs="宋体"/>
          <w:color w:val="auto"/>
          <w:szCs w:val="24"/>
          <w:highlight w:val="none"/>
        </w:rPr>
        <w:t>之前完成</w:t>
      </w:r>
      <w:r>
        <w:rPr>
          <w:rFonts w:hint="eastAsia" w:ascii="宋体" w:hAnsi="宋体" w:eastAsia="宋体" w:cs="宋体"/>
          <w:color w:val="auto"/>
          <w:szCs w:val="24"/>
          <w:highlight w:val="none"/>
          <w:lang w:val="en-US" w:eastAsia="zh-CN"/>
        </w:rPr>
        <w:t>建设并通过验收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合同生效以及具备实施条件后7个工作日内，</w:t>
      </w:r>
      <w:r>
        <w:rPr>
          <w:rFonts w:hint="eastAsia" w:ascii="宋体" w:hAnsi="宋体" w:eastAsia="宋体" w:cs="Times New Roman"/>
          <w:color w:val="auto"/>
          <w:szCs w:val="24"/>
          <w:highlight w:val="none"/>
          <w:lang w:val="en-US" w:eastAsia="zh-CN"/>
        </w:rPr>
        <w:t>支付合同总价的40%预付款</w:t>
      </w:r>
      <w:r>
        <w:rPr>
          <w:rFonts w:hint="eastAsia" w:ascii="宋体" w:hAnsi="宋体" w:eastAsia="宋体" w:cs="宋体"/>
          <w:color w:val="auto"/>
          <w:szCs w:val="24"/>
          <w:highlight w:val="none"/>
          <w:lang w:eastAsia="zh-Hans"/>
        </w:rPr>
        <w:t>，</w:t>
      </w:r>
      <w:r>
        <w:rPr>
          <w:rFonts w:hint="eastAsia" w:ascii="宋体" w:hAnsi="宋体" w:eastAsia="宋体" w:cs="宋体"/>
          <w:color w:val="auto"/>
          <w:szCs w:val="24"/>
          <w:highlight w:val="none"/>
        </w:rPr>
        <w:t>余款于202</w:t>
      </w:r>
      <w:r>
        <w:rPr>
          <w:rFonts w:hint="default" w:ascii="宋体" w:hAnsi="宋体" w:eastAsia="宋体" w:cs="宋体"/>
          <w:color w:val="auto"/>
          <w:szCs w:val="24"/>
          <w:highlight w:val="none"/>
        </w:rPr>
        <w:t>2</w:t>
      </w:r>
      <w:r>
        <w:rPr>
          <w:rFonts w:hint="eastAsia" w:ascii="宋体" w:hAnsi="宋体" w:eastAsia="宋体" w:cs="宋体"/>
          <w:color w:val="auto"/>
          <w:szCs w:val="24"/>
          <w:highlight w:val="none"/>
        </w:rPr>
        <w:t>年项目验收通过后支付。</w:t>
      </w:r>
    </w:p>
    <w:p>
      <w:pPr>
        <w:pStyle w:val="118"/>
        <w:adjustRightInd w:val="0"/>
        <w:snapToGrid w:val="0"/>
        <w:ind w:firstLine="482"/>
        <w:rPr>
          <w:rFonts w:ascii="宋体" w:hAnsi="宋体" w:eastAsia="宋体" w:cs="宋体"/>
          <w:color w:val="auto"/>
          <w:szCs w:val="24"/>
          <w:highlight w:val="none"/>
        </w:rPr>
      </w:pPr>
      <w:bookmarkStart w:id="62" w:name="_Toc370397390"/>
      <w:r>
        <w:rPr>
          <w:rFonts w:ascii="宋体" w:hAnsi="宋体" w:eastAsia="宋体" w:cs="宋体"/>
          <w:b/>
          <w:color w:val="auto"/>
          <w:szCs w:val="24"/>
          <w:highlight w:val="none"/>
        </w:rPr>
        <w:t>项目团队要求</w:t>
      </w:r>
      <w:bookmarkEnd w:id="62"/>
      <w:r>
        <w:rPr>
          <w:rFonts w:hint="eastAsia" w:ascii="宋体" w:hAnsi="宋体" w:eastAsia="宋体" w:cs="宋体"/>
          <w:b/>
          <w:color w:val="auto"/>
          <w:szCs w:val="24"/>
          <w:highlight w:val="none"/>
        </w:rPr>
        <w:t>:</w:t>
      </w:r>
    </w:p>
    <w:p>
      <w:pPr>
        <w:pStyle w:val="118"/>
        <w:adjustRightInd w:val="0"/>
        <w:snapToGrid w:val="0"/>
        <w:rPr>
          <w:rFonts w:ascii="宋体" w:hAnsi="宋体" w:eastAsia="宋体" w:cs="宋体"/>
          <w:color w:val="auto"/>
          <w:szCs w:val="24"/>
          <w:highlight w:val="yellow"/>
        </w:rPr>
      </w:pPr>
      <w:r>
        <w:rPr>
          <w:rFonts w:ascii="宋体" w:hAnsi="宋体" w:eastAsia="宋体" w:cs="宋体"/>
          <w:color w:val="auto"/>
          <w:szCs w:val="24"/>
          <w:highlight w:val="none"/>
        </w:rPr>
        <w:t>项目团队组成要求</w:t>
      </w:r>
      <w:r>
        <w:rPr>
          <w:rFonts w:hint="eastAsia" w:ascii="宋体" w:hAnsi="宋体" w:eastAsia="宋体" w:cs="宋体"/>
          <w:color w:val="auto"/>
          <w:szCs w:val="24"/>
          <w:highlight w:val="none"/>
        </w:rPr>
        <w:t>:</w:t>
      </w:r>
      <w:r>
        <w:rPr>
          <w:rFonts w:ascii="宋体" w:hAnsi="宋体" w:eastAsia="宋体" w:cs="宋体"/>
          <w:color w:val="auto"/>
          <w:szCs w:val="24"/>
          <w:highlight w:val="none"/>
        </w:rPr>
        <w:t>项目团队人员配置科学合理、分工明确，至少应包括项目经理、技术负责人、需求人员、系统分析师、软件开发人员、测试人员、用户培训人员、实施人员、运行维护人员等角色。</w:t>
      </w:r>
    </w:p>
    <w:p>
      <w:pPr>
        <w:pStyle w:val="118"/>
        <w:adjustRightInd w:val="0"/>
        <w:snapToGrid w:val="0"/>
        <w:rPr>
          <w:rFonts w:ascii="宋体" w:hAnsi="宋体" w:eastAsia="宋体" w:cs="宋体"/>
          <w:color w:val="auto"/>
          <w:szCs w:val="24"/>
          <w:highlight w:val="none"/>
        </w:rPr>
      </w:pPr>
      <w:r>
        <w:rPr>
          <w:rFonts w:ascii="宋体" w:hAnsi="宋体" w:eastAsia="宋体" w:cs="宋体"/>
          <w:color w:val="auto"/>
          <w:szCs w:val="24"/>
          <w:highlight w:val="none"/>
        </w:rPr>
        <w:t>项目组团队需保持稳定。投标人应承诺项目经理必须专职承担本项目工作，</w:t>
      </w:r>
      <w:r>
        <w:rPr>
          <w:rFonts w:hint="eastAsia" w:ascii="宋体" w:hAnsi="宋体" w:eastAsia="宋体" w:cs="宋体"/>
          <w:color w:val="auto"/>
          <w:szCs w:val="24"/>
          <w:highlight w:val="none"/>
        </w:rPr>
        <w:t>并需具备十年以上的项目工作经验的，拥有PMP项目管理资质，</w:t>
      </w:r>
      <w:r>
        <w:rPr>
          <w:rFonts w:ascii="宋体" w:hAnsi="宋体" w:eastAsia="宋体" w:cs="宋体"/>
          <w:color w:val="auto"/>
          <w:szCs w:val="24"/>
          <w:highlight w:val="none"/>
        </w:rPr>
        <w:t>未经建设单位许可不得更换。投标人应提出具体管理措施，以确保该承诺得到落实。在项目实施过程中，投标人须按照建设单位的要求更换建设单位认为不合适的人员。</w:t>
      </w:r>
    </w:p>
    <w:p>
      <w:pPr>
        <w:pStyle w:val="118"/>
        <w:adjustRightInd w:val="0"/>
        <w:snapToGrid w:val="0"/>
        <w:rPr>
          <w:rFonts w:ascii="宋体" w:hAnsi="宋体" w:eastAsia="宋体" w:cs="宋体"/>
          <w:color w:val="auto"/>
          <w:szCs w:val="24"/>
          <w:highlight w:val="none"/>
        </w:rPr>
      </w:pPr>
      <w:r>
        <w:rPr>
          <w:rFonts w:ascii="宋体" w:hAnsi="宋体" w:eastAsia="宋体" w:cs="宋体"/>
          <w:color w:val="auto"/>
          <w:szCs w:val="24"/>
          <w:highlight w:val="none"/>
        </w:rPr>
        <w:t>项目经理和技术负责人的要求</w:t>
      </w:r>
      <w:r>
        <w:rPr>
          <w:rFonts w:hint="eastAsia" w:ascii="宋体" w:hAnsi="宋体" w:eastAsia="宋体" w:cs="宋体"/>
          <w:color w:val="auto"/>
          <w:szCs w:val="24"/>
          <w:highlight w:val="none"/>
          <w:lang w:eastAsia="zh-Hans"/>
        </w:rPr>
        <w:t>：</w:t>
      </w:r>
      <w:r>
        <w:rPr>
          <w:rFonts w:ascii="宋体" w:hAnsi="宋体" w:eastAsia="宋体" w:cs="宋体"/>
          <w:color w:val="auto"/>
          <w:szCs w:val="24"/>
          <w:highlight w:val="none"/>
        </w:rPr>
        <w:t>投标人应明确项目经理和技术负责人在本项目中的岗位职责，并明确项目经理和技术负责人调动相关资源的权力，以确保工程顺利实施。投标人需承诺项目经理自始自终专职承担本项目。</w:t>
      </w:r>
    </w:p>
    <w:p>
      <w:pPr>
        <w:pStyle w:val="118"/>
        <w:adjustRightInd w:val="0"/>
        <w:snapToGrid w:val="0"/>
        <w:rPr>
          <w:rFonts w:ascii="宋体" w:hAnsi="宋体" w:eastAsia="宋体" w:cs="宋体"/>
          <w:color w:val="auto"/>
          <w:szCs w:val="24"/>
          <w:highlight w:val="none"/>
        </w:rPr>
      </w:pPr>
      <w:r>
        <w:rPr>
          <w:rFonts w:ascii="宋体" w:hAnsi="宋体" w:eastAsia="宋体" w:cs="宋体"/>
          <w:color w:val="auto"/>
          <w:szCs w:val="24"/>
          <w:highlight w:val="none"/>
        </w:rPr>
        <w:t>根据项目工作建设工作的业务性质，投标人应分别配备经验丰富的项目经理、技术负责人承担本项目工作。投标文件中指定的承担本项目的项目经理、技术负责人需在投标人单位工作（必须提供</w:t>
      </w:r>
      <w:r>
        <w:rPr>
          <w:rFonts w:hint="eastAsia" w:ascii="宋体" w:hAnsi="宋体" w:eastAsia="宋体" w:cs="宋体"/>
          <w:color w:val="auto"/>
          <w:szCs w:val="24"/>
          <w:highlight w:val="none"/>
        </w:rPr>
        <w:t>相应的社保证明</w:t>
      </w:r>
      <w:r>
        <w:rPr>
          <w:rFonts w:ascii="宋体" w:hAnsi="宋体" w:eastAsia="宋体" w:cs="宋体"/>
          <w:color w:val="auto"/>
          <w:szCs w:val="24"/>
          <w:highlight w:val="none"/>
        </w:rPr>
        <w:t>材料）。</w:t>
      </w:r>
    </w:p>
    <w:p>
      <w:pPr>
        <w:pStyle w:val="118"/>
        <w:adjustRightInd w:val="0"/>
        <w:snapToGrid w:val="0"/>
        <w:rPr>
          <w:rFonts w:ascii="宋体" w:hAnsi="宋体" w:eastAsia="宋体" w:cs="宋体"/>
          <w:color w:val="auto"/>
          <w:szCs w:val="24"/>
          <w:highlight w:val="none"/>
        </w:rPr>
      </w:pPr>
      <w:bookmarkStart w:id="63" w:name="_Ref275426460"/>
      <w:bookmarkStart w:id="64" w:name="_Ref275098472"/>
      <w:r>
        <w:rPr>
          <w:rFonts w:ascii="宋体" w:hAnsi="宋体" w:eastAsia="宋体" w:cs="宋体"/>
          <w:color w:val="auto"/>
          <w:szCs w:val="24"/>
          <w:highlight w:val="none"/>
        </w:rPr>
        <w:t>项目团队人数要求</w:t>
      </w:r>
      <w:bookmarkEnd w:id="63"/>
      <w:bookmarkEnd w:id="64"/>
      <w:r>
        <w:rPr>
          <w:rFonts w:hint="eastAsia" w:ascii="宋体" w:hAnsi="宋体" w:eastAsia="宋体" w:cs="宋体"/>
          <w:color w:val="auto"/>
          <w:szCs w:val="24"/>
          <w:highlight w:val="none"/>
          <w:lang w:eastAsia="zh-Hans"/>
        </w:rPr>
        <w:t>：</w:t>
      </w:r>
      <w:r>
        <w:rPr>
          <w:rFonts w:ascii="宋体" w:hAnsi="宋体" w:eastAsia="宋体" w:cs="宋体"/>
          <w:color w:val="auto"/>
          <w:szCs w:val="24"/>
          <w:highlight w:val="none"/>
        </w:rPr>
        <w:t>投标人应承诺在系统开发、部署实施、试运行、培训、技术支持及售后服务</w:t>
      </w:r>
      <w:r>
        <w:rPr>
          <w:rFonts w:hint="eastAsia" w:ascii="宋体" w:hAnsi="宋体" w:eastAsia="宋体" w:cs="宋体"/>
          <w:color w:val="auto"/>
          <w:szCs w:val="24"/>
          <w:highlight w:val="none"/>
        </w:rPr>
        <w:t>五</w:t>
      </w:r>
      <w:r>
        <w:rPr>
          <w:rFonts w:ascii="宋体" w:hAnsi="宋体" w:eastAsia="宋体" w:cs="宋体"/>
          <w:color w:val="auto"/>
          <w:szCs w:val="24"/>
          <w:highlight w:val="none"/>
        </w:rPr>
        <w:t>个阶段和项目管理等来配置足够的人员组织实施项目，确保按项目进度完成建设工作。</w:t>
      </w:r>
      <w:r>
        <w:rPr>
          <w:rFonts w:hint="eastAsia" w:ascii="宋体" w:hAnsi="宋体" w:eastAsia="宋体" w:cs="宋体"/>
          <w:color w:val="auto"/>
          <w:szCs w:val="24"/>
          <w:highlight w:val="none"/>
        </w:rPr>
        <w:t>在</w:t>
      </w:r>
      <w:r>
        <w:rPr>
          <w:rFonts w:ascii="宋体" w:hAnsi="宋体" w:eastAsia="宋体" w:cs="宋体"/>
          <w:color w:val="auto"/>
          <w:szCs w:val="24"/>
          <w:highlight w:val="none"/>
        </w:rPr>
        <w:t>项目实施阶段</w:t>
      </w:r>
      <w:r>
        <w:rPr>
          <w:rFonts w:hint="eastAsia" w:ascii="宋体" w:hAnsi="宋体" w:eastAsia="宋体" w:cs="宋体"/>
          <w:color w:val="auto"/>
          <w:szCs w:val="24"/>
          <w:highlight w:val="none"/>
        </w:rPr>
        <w:t>要求</w:t>
      </w:r>
      <w:r>
        <w:rPr>
          <w:rFonts w:ascii="宋体" w:hAnsi="宋体" w:eastAsia="宋体" w:cs="宋体"/>
          <w:color w:val="auto"/>
          <w:szCs w:val="24"/>
          <w:highlight w:val="none"/>
        </w:rPr>
        <w:t>提供驻地研发</w:t>
      </w:r>
      <w:r>
        <w:rPr>
          <w:rFonts w:hint="eastAsia" w:ascii="宋体" w:hAnsi="宋体" w:eastAsia="宋体" w:cs="宋体"/>
          <w:color w:val="auto"/>
          <w:szCs w:val="24"/>
          <w:highlight w:val="none"/>
        </w:rPr>
        <w:t>技术人员</w:t>
      </w:r>
      <w:r>
        <w:rPr>
          <w:rFonts w:ascii="宋体" w:hAnsi="宋体" w:eastAsia="宋体" w:cs="宋体"/>
          <w:color w:val="auto"/>
          <w:szCs w:val="24"/>
          <w:highlight w:val="none"/>
        </w:rPr>
        <w:t>，</w:t>
      </w:r>
      <w:r>
        <w:rPr>
          <w:rFonts w:hint="eastAsia" w:ascii="宋体" w:hAnsi="宋体" w:eastAsia="宋体" w:cs="宋体"/>
          <w:color w:val="auto"/>
          <w:szCs w:val="24"/>
          <w:highlight w:val="none"/>
        </w:rPr>
        <w:t>验收</w:t>
      </w:r>
      <w:r>
        <w:rPr>
          <w:rFonts w:ascii="宋体" w:hAnsi="宋体" w:eastAsia="宋体" w:cs="宋体"/>
          <w:color w:val="auto"/>
          <w:szCs w:val="24"/>
          <w:highlight w:val="none"/>
        </w:rPr>
        <w:t>之后</w:t>
      </w:r>
      <w:r>
        <w:rPr>
          <w:rFonts w:hint="eastAsia" w:ascii="宋体" w:hAnsi="宋体" w:eastAsia="宋体" w:cs="宋体"/>
          <w:color w:val="auto"/>
          <w:szCs w:val="24"/>
          <w:highlight w:val="none"/>
        </w:rPr>
        <w:t>在项目所在地市</w:t>
      </w:r>
      <w:r>
        <w:rPr>
          <w:rFonts w:ascii="宋体" w:hAnsi="宋体" w:eastAsia="宋体" w:cs="宋体"/>
          <w:color w:val="auto"/>
          <w:szCs w:val="24"/>
          <w:highlight w:val="none"/>
        </w:rPr>
        <w:t>有常驻售后服务团队</w:t>
      </w:r>
      <w:r>
        <w:rPr>
          <w:rFonts w:hint="eastAsia" w:ascii="宋体" w:hAnsi="宋体" w:eastAsia="宋体" w:cs="宋体"/>
          <w:color w:val="auto"/>
          <w:szCs w:val="24"/>
          <w:highlight w:val="none"/>
        </w:rPr>
        <w:t>。</w:t>
      </w:r>
    </w:p>
    <w:p>
      <w:pPr>
        <w:pStyle w:val="6"/>
        <w:adjustRightInd w:val="0"/>
        <w:snapToGrid w:val="0"/>
        <w:spacing w:before="0" w:after="0" w:line="360" w:lineRule="auto"/>
        <w:ind w:firstLine="480" w:firstLineChars="200"/>
        <w:rPr>
          <w:rFonts w:ascii="宋体" w:hAnsi="宋体" w:eastAsia="宋体" w:cs="宋体"/>
          <w:color w:val="auto"/>
          <w:sz w:val="24"/>
          <w:szCs w:val="24"/>
          <w:highlight w:val="none"/>
        </w:rPr>
      </w:pPr>
      <w:bookmarkStart w:id="65" w:name="_Toc226972299"/>
      <w:bookmarkStart w:id="66" w:name="_Toc30159354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）成果交付要求</w:t>
      </w:r>
      <w:bookmarkEnd w:id="65"/>
      <w:bookmarkEnd w:id="66"/>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在本项目的开发过程中和交付使用后，各个阶段都会有各种成果和文档资料。这些成果和文档资料对所开发系统的维护和持续发展起着非常重大的作用。因此，要求将全面、规范的成果和文档资料交付给用户方，而且要提供明确的交付清单。同时，成果和文档资料必须符合软件工程的相关要求。要交付的成果和文档资料主要包括但不限于以下部分：</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（1）执行代码和源代码：保证系统正常运行的所有执行代码和全部源代码，包括中标公司或第三方已有产品的源代码和项目开发过程中为用户方定制功能的源代码。</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2）技术文档：包括项目开发中的各种技术文档，如，开发环境配置说明、需求分析说明、系统设计说明、用户手册、系统维护说明、系统培训资料以及有关系统接口的技术说明，系统测试报告、试运行报告、数据库字段含义等等。</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（3）以文档形式存在的项目成果：如系统建设中形成的各类标准规范、调研分析、规划设计报告等等。</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（4）管理文档：包括项目开发中的一些工作文档，如计划、报告、讨论纲要、会议记录等。</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（5）提供流程实施过程中过程记录，如文档管理、版本管理、变更记录等。</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（6）为便于数据集成，提供完整的系统集成接口说明和demo，定制部分的数据字典。</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rPr>
        <w:t>交付的所有成果应包括成果的电子化版本。</w:t>
      </w:r>
    </w:p>
    <w:p>
      <w:pPr>
        <w:pStyle w:val="5"/>
        <w:adjustRightInd w:val="0"/>
        <w:snapToGrid w:val="0"/>
        <w:spacing w:before="0" w:after="0" w:line="360" w:lineRule="auto"/>
        <w:rPr>
          <w:rFonts w:ascii="宋体" w:hAnsi="宋体" w:eastAsia="宋体" w:cs="宋体"/>
          <w:color w:val="auto"/>
          <w:sz w:val="24"/>
          <w:szCs w:val="24"/>
          <w:highlight w:val="none"/>
        </w:rPr>
      </w:pPr>
      <w:bookmarkStart w:id="67" w:name="_Toc498446741"/>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服务保障与承诺</w:t>
      </w:r>
      <w:bookmarkEnd w:id="67"/>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投标人应承诺保证该项目按时正式稳定地运行，并承诺提供服务时间。投标方需提供系统验收后一年的维护服务，维护期内进行版本升级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费用含在报价中</w:t>
      </w:r>
      <w:r>
        <w:rPr>
          <w:rFonts w:hint="eastAsia" w:ascii="宋体" w:hAnsi="宋体" w:eastAsia="宋体" w:cs="宋体"/>
          <w:color w:val="auto"/>
          <w:sz w:val="24"/>
          <w:szCs w:val="24"/>
          <w:highlight w:val="none"/>
        </w:rPr>
        <w:t>。</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投标人应承诺根据对相关业务运做的规律来有计划地制定服务保障体系。</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该项目一旦运行起来，就占有很重要的地位，稍有差错就会引起各方面的反映和损失，所以系统的售后维护服务和技术支持工作也应有足够保障。投标方应针对学校制定不同的运行保障方案，建立完善的本地售后服务体系，向提供充分考虑使用者利益的技术支持及售后服务模式。</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除了上述的有关承诺之外，投标人关于服务保障体系的描述应具体包括如下内容：</w:t>
      </w:r>
    </w:p>
    <w:p>
      <w:pPr>
        <w:pStyle w:val="6"/>
        <w:adjustRightInd w:val="0"/>
        <w:snapToGrid w:val="0"/>
        <w:spacing w:before="0"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（1）运行保障机构</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主要描述公司对于对本项目的运行保障能力描述。</w:t>
      </w:r>
    </w:p>
    <w:p>
      <w:pPr>
        <w:pStyle w:val="6"/>
        <w:adjustRightInd w:val="0"/>
        <w:snapToGrid w:val="0"/>
        <w:spacing w:before="0"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）质保期限及其期内运行服务内容</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售后质保期限：按用户要求提供至少一年质保承诺。</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售后维护服务，定期走访或实行远程维护：定期维护的时间区间、周期和详细规划，规划包括：方式、人员和详细的维护内容。</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重大事项的及时响应：系统出现故障或意外情况导致系统不能正常运行时，投标人响应的情况描述，针对不同响应级别的即时响应包括：人员、时间和内容等。</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服务请求的方式：在我方需要提供服务（包括即时的和非即时的）时，能够与投标人联系沟通的方式描述，应包括：服务热线电话和联系人、联系单位信息、信函/传真、电子邮件、服务网站。</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服务请求的流程：投标人对用户的支持或维护请求处理流程的流程图和详细描述。</w:t>
      </w:r>
    </w:p>
    <w:p>
      <w:pPr>
        <w:pStyle w:val="6"/>
        <w:adjustRightInd w:val="0"/>
        <w:snapToGrid w:val="0"/>
        <w:spacing w:before="0"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）保期后运行服务内容</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售后维护服务，定期走访或实行远程维护：收费服务的时间区间、周期、费用和详细规划，规划包括：方式、人员和详细的维护内容。</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重大事项的即时响应：所需费用由双方协商。</w:t>
      </w:r>
    </w:p>
    <w:p>
      <w:pPr>
        <w:pStyle w:val="6"/>
        <w:adjustRightInd w:val="0"/>
        <w:snapToGrid w:val="0"/>
        <w:spacing w:before="0"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）运行服务的档案</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运行服务的详细记载，可以用于分析总结。</w:t>
      </w:r>
    </w:p>
    <w:p>
      <w:pPr>
        <w:pStyle w:val="6"/>
        <w:adjustRightInd w:val="0"/>
        <w:snapToGrid w:val="0"/>
        <w:spacing w:before="0"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）用户投诉</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投标人是否设有用户投诉受理电话，对用户的意见做出反应。</w:t>
      </w:r>
    </w:p>
    <w:p>
      <w:pPr>
        <w:pStyle w:val="106"/>
        <w:adjustRightInd w:val="0"/>
        <w:snapToGrid w:val="0"/>
        <w:spacing w:before="0" w:after="0" w:line="360" w:lineRule="auto"/>
        <w:ind w:firstLine="480"/>
        <w:rPr>
          <w:rFonts w:ascii="宋体" w:hAnsi="宋体" w:eastAsia="宋体" w:cs="宋体"/>
          <w:color w:val="auto"/>
          <w:szCs w:val="24"/>
          <w:highlight w:val="none"/>
        </w:rPr>
      </w:pPr>
      <w:r>
        <w:rPr>
          <w:rFonts w:hint="eastAsia" w:ascii="宋体" w:hAnsi="宋体" w:eastAsia="宋体" w:cs="宋体"/>
          <w:color w:val="auto"/>
          <w:szCs w:val="24"/>
          <w:highlight w:val="none"/>
        </w:rPr>
        <w:t>如果有用户投诉受理电话，请描述以下内容：电话号码（或传真）、投诉中心负责人和受理答复时间。</w:t>
      </w:r>
    </w:p>
    <w:p>
      <w:pPr>
        <w:pStyle w:val="5"/>
        <w:adjustRightInd w:val="0"/>
        <w:snapToGrid w:val="0"/>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培训要求</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培训是平台建设的一个重要组成部分。在项目的不同阶段要求提供相关的培训课程，面向系统开发和管理员、各级领导、各类用户等不同群体提供系统化、定制化和有针对性的培训。系统上线运行前，必须经过用户使用培训。</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1.培训内容应针对系统管理人员和各类用户分别进行。通过培训应使各类用户能独立进行相应应用与管理、故障处理、日常维护等工作，确保系统能正常安全运行。</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2.投标方应在投标文件中提出培训计划，计划包括培训项目、人数、地点等详细内容。</w:t>
      </w:r>
    </w:p>
    <w:p>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3.培训人员必须是投标方的正式雇员或专业的授权培训机构雇员。如果使用第三方培训机构，投标方应在投标文件中提供培训机构的名称，并能根据情况调整。</w:t>
      </w:r>
    </w:p>
    <w:p>
      <w:pPr>
        <w:pStyle w:val="4"/>
        <w:numPr>
          <w:ilvl w:val="2"/>
          <w:numId w:val="0"/>
        </w:numPr>
        <w:tabs>
          <w:tab w:val="left" w:pos="360"/>
          <w:tab w:val="left" w:pos="432"/>
        </w:tabs>
        <w:adjustRightInd w:val="0"/>
        <w:snapToGrid w:val="0"/>
        <w:spacing w:before="0" w:after="0" w:line="360" w:lineRule="auto"/>
        <w:ind w:left="422" w:leftChars="200" w:hanging="2" w:hangingChars="1"/>
        <w:rPr>
          <w:rFonts w:ascii="宋体" w:hAnsi="宋体" w:eastAsia="宋体" w:cs="宋体"/>
          <w:color w:val="auto"/>
          <w:sz w:val="24"/>
          <w:szCs w:val="24"/>
          <w:highlight w:val="none"/>
        </w:rPr>
      </w:pPr>
      <w:bookmarkStart w:id="68" w:name="_Toc498446742"/>
      <w:r>
        <w:rPr>
          <w:rFonts w:hint="eastAsia" w:ascii="宋体" w:hAnsi="宋体" w:eastAsia="宋体" w:cs="宋体"/>
          <w:color w:val="auto"/>
          <w:sz w:val="24"/>
          <w:szCs w:val="24"/>
          <w:highlight w:val="none"/>
        </w:rPr>
        <w:t>（五）验收测试要求</w:t>
      </w:r>
      <w:bookmarkEnd w:id="68"/>
    </w:p>
    <w:p>
      <w:pPr>
        <w:adjustRightInd w:val="0"/>
        <w:snapToGrid w:val="0"/>
        <w:spacing w:line="360" w:lineRule="auto"/>
        <w:ind w:firstLine="480" w:firstLineChars="200"/>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1.测试：为了保证软件质量，本系统的测试参照《中国计算机软件测试国家标准》（GB16260/GB17544/GB18905）进行。请供应商在投标方案中提供详细的测试方案。</w:t>
      </w:r>
    </w:p>
    <w:p>
      <w:pPr>
        <w:adjustRightInd w:val="0"/>
        <w:snapToGrid w:val="0"/>
        <w:spacing w:line="360" w:lineRule="auto"/>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根据学校验收要求，由学校组织专家，按照招标文件、合同条款、软件工程要求和实际应用效果对项目进行验收。中标人在本项目履约完成后，对学校后期提出的软硬件系统扩展、升级、兼容、对接等需求，应无条件接受并达到无缝对接，实现互联互通。</w:t>
      </w:r>
    </w:p>
    <w:p>
      <w:pPr>
        <w:pStyle w:val="5"/>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kern w:val="0"/>
          <w:sz w:val="24"/>
          <w:szCs w:val="24"/>
          <w:highlight w:val="none"/>
          <w:lang w:val="en-US" w:eastAsia="zh-CN" w:bidi="ar-SA"/>
        </w:rPr>
        <w:t>（六）履约保证要求</w:t>
      </w:r>
    </w:p>
    <w:p>
      <w:pPr>
        <w:adjustRightInd w:val="0"/>
        <w:snapToGrid w:val="0"/>
        <w:spacing w:line="360" w:lineRule="auto"/>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为确保项目顺利实施，中标单位需在合同签订生效后5个工作日内向我校支付</w:t>
      </w:r>
      <w:r>
        <w:rPr>
          <w:rFonts w:hint="eastAsia" w:ascii="宋体" w:hAnsi="宋体" w:eastAsia="宋体" w:cs="宋体"/>
          <w:color w:val="auto"/>
          <w:sz w:val="24"/>
          <w:szCs w:val="24"/>
          <w:lang w:val="en-US" w:eastAsia="zh-CN"/>
        </w:rPr>
        <w:t>合同金额</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%作为履约保证金。履约保证金在项目</w:t>
      </w:r>
      <w:r>
        <w:rPr>
          <w:rFonts w:hint="eastAsia" w:ascii="宋体" w:hAnsi="宋体" w:eastAsia="宋体" w:cs="宋体"/>
          <w:color w:val="auto"/>
          <w:sz w:val="24"/>
          <w:szCs w:val="24"/>
          <w:lang w:eastAsia="zh-CN"/>
        </w:rPr>
        <w:t>验收</w:t>
      </w:r>
      <w:r>
        <w:rPr>
          <w:rFonts w:hint="eastAsia" w:ascii="宋体" w:hAnsi="宋体" w:eastAsia="宋体" w:cs="宋体"/>
          <w:color w:val="auto"/>
          <w:sz w:val="24"/>
          <w:szCs w:val="24"/>
          <w:lang w:val="en-US" w:eastAsia="zh-CN"/>
        </w:rPr>
        <w:t>结束</w:t>
      </w:r>
      <w:r>
        <w:rPr>
          <w:rFonts w:hint="eastAsia" w:ascii="宋体" w:hAnsi="宋体" w:eastAsia="宋体" w:cs="宋体"/>
          <w:color w:val="auto"/>
          <w:sz w:val="24"/>
          <w:szCs w:val="24"/>
        </w:rPr>
        <w:t>后无息退还乙方。</w:t>
      </w:r>
    </w:p>
    <w:p>
      <w:pPr>
        <w:pStyle w:val="4"/>
        <w:numPr>
          <w:ilvl w:val="2"/>
          <w:numId w:val="0"/>
        </w:numPr>
        <w:tabs>
          <w:tab w:val="left" w:pos="360"/>
          <w:tab w:val="left" w:pos="432"/>
        </w:tabs>
        <w:adjustRightInd w:val="0"/>
        <w:snapToGrid w:val="0"/>
        <w:spacing w:before="0" w:after="0" w:line="360" w:lineRule="auto"/>
        <w:ind w:left="422" w:leftChars="200" w:hanging="2" w:hangingChars="1"/>
        <w:rPr>
          <w:rFonts w:ascii="宋体" w:hAnsi="宋体" w:eastAsia="宋体" w:cs="宋体"/>
          <w:color w:val="auto"/>
          <w:sz w:val="24"/>
          <w:szCs w:val="24"/>
          <w:highlight w:val="none"/>
        </w:rPr>
      </w:pPr>
      <w:bookmarkStart w:id="69" w:name="_Toc49844674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）其他要求</w:t>
      </w:r>
      <w:bookmarkEnd w:id="69"/>
    </w:p>
    <w:p>
      <w:pPr>
        <w:adjustRightInd w:val="0"/>
        <w:snapToGrid w:val="0"/>
        <w:spacing w:line="360" w:lineRule="auto"/>
        <w:ind w:firstLine="480" w:firstLineChars="200"/>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1.供应商须提供本项目正常运转所必须的全部系统软件、中间件、插件等，确保系统按时、正常运行。产品中采用的第三方软件由供应商自行购买安装，如出现软件侵权行为，由供应商负责，与学校无关。</w:t>
      </w:r>
    </w:p>
    <w:p>
      <w:pPr>
        <w:adjustRightInd w:val="0"/>
        <w:snapToGrid w:val="0"/>
        <w:spacing w:line="360" w:lineRule="auto"/>
        <w:ind w:firstLine="480" w:firstLineChars="200"/>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符合系统安全要求。按照公安厅、教育厅关于系统平台安全的要求，项目涉及的联网的系统，需要达到等保二级以上。建议由管理系统开发方提供相关产品符合等保二级的证明，也可由校网中心对管理系统进行漏洞扫描，并出具漏洞扫描证明。</w:t>
      </w:r>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Chars="200"/>
        <w:jc w:val="center"/>
        <w:textAlignment w:val="auto"/>
        <w:outlineLvl w:val="0"/>
        <w:rPr>
          <w:rStyle w:val="52"/>
          <w:color w:val="auto"/>
          <w:sz w:val="36"/>
          <w:szCs w:val="36"/>
          <w:highlight w:val="none"/>
        </w:rPr>
      </w:pPr>
      <w:r>
        <w:rPr>
          <w:rFonts w:hint="eastAsia" w:ascii="宋体" w:hAnsi="宋体" w:eastAsia="宋体" w:cs="宋体"/>
          <w:color w:val="auto"/>
          <w:kern w:val="2"/>
          <w:sz w:val="24"/>
          <w:szCs w:val="24"/>
          <w:highlight w:val="none"/>
          <w:lang w:val="en-US" w:eastAsia="zh-CN"/>
        </w:rPr>
        <w:br w:type="page"/>
      </w:r>
      <w:bookmarkStart w:id="70" w:name="_Toc22966"/>
      <w:bookmarkStart w:id="71" w:name="_Toc27406"/>
      <w:r>
        <w:rPr>
          <w:rStyle w:val="52"/>
          <w:color w:val="auto"/>
          <w:sz w:val="36"/>
          <w:szCs w:val="36"/>
          <w:highlight w:val="none"/>
        </w:rPr>
        <w:t>第五章  合同主要条款</w:t>
      </w:r>
      <w:bookmarkEnd w:id="70"/>
      <w:bookmarkEnd w:id="71"/>
    </w:p>
    <w:p>
      <w:pPr>
        <w:pStyle w:val="22"/>
        <w:spacing w:line="360" w:lineRule="auto"/>
        <w:jc w:val="center"/>
        <w:outlineLvl w:val="0"/>
        <w:rPr>
          <w:rFonts w:hAnsi="宋体" w:cs="宋体"/>
          <w:b/>
          <w:color w:val="auto"/>
          <w:szCs w:val="24"/>
          <w:highlight w:val="none"/>
        </w:rPr>
      </w:pPr>
      <w:bookmarkStart w:id="72" w:name="_Toc1130"/>
      <w:bookmarkStart w:id="73" w:name="_Toc10116"/>
      <w:bookmarkStart w:id="74" w:name="_Toc12968"/>
      <w:r>
        <w:rPr>
          <w:rFonts w:hint="eastAsia" w:hAnsi="宋体" w:cs="宋体"/>
          <w:b/>
          <w:color w:val="auto"/>
          <w:szCs w:val="24"/>
          <w:highlight w:val="none"/>
          <w:lang w:eastAsia="zh-CN"/>
        </w:rPr>
        <w:t>“数字浙警”建设工程-教师绩效码和学生成长码-数据采集及应用场景迭代项目</w:t>
      </w:r>
      <w:r>
        <w:rPr>
          <w:rFonts w:hAnsi="宋体" w:cs="宋体"/>
          <w:b/>
          <w:color w:val="auto"/>
          <w:szCs w:val="24"/>
          <w:highlight w:val="none"/>
        </w:rPr>
        <w:t>合同</w:t>
      </w:r>
      <w:bookmarkEnd w:id="72"/>
      <w:bookmarkEnd w:id="73"/>
      <w:bookmarkEnd w:id="74"/>
    </w:p>
    <w:p>
      <w:pPr>
        <w:spacing w:line="288" w:lineRule="auto"/>
        <w:ind w:firstLine="396"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（本合同为合同样稿，最终稿由三方协商后确定，合同实质性内容不得更改；签订合同时删除此行）</w:t>
      </w:r>
    </w:p>
    <w:p>
      <w:pPr>
        <w:pStyle w:val="2"/>
        <w:rPr>
          <w:color w:val="auto"/>
        </w:rPr>
      </w:pPr>
    </w:p>
    <w:p>
      <w:pPr>
        <w:keepNext w:val="0"/>
        <w:keepLines w:val="0"/>
        <w:pageBreakBefore w:val="0"/>
        <w:widowControl w:val="0"/>
        <w:kinsoku/>
        <w:wordWrap/>
        <w:overflowPunct/>
        <w:topLinePunct w:val="0"/>
        <w:bidi w:val="0"/>
        <w:spacing w:line="360" w:lineRule="auto"/>
        <w:ind w:left="0" w:leftChars="0" w:right="0" w:righ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p>
    <w:p>
      <w:pPr>
        <w:keepNext w:val="0"/>
        <w:keepLines w:val="0"/>
        <w:pageBreakBefore w:val="0"/>
        <w:widowControl w:val="0"/>
        <w:kinsoku/>
        <w:wordWrap/>
        <w:overflowPunct/>
        <w:topLinePunct w:val="0"/>
        <w:bidi w:val="0"/>
        <w:spacing w:line="360" w:lineRule="auto"/>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确认书号：</w:t>
      </w:r>
    </w:p>
    <w:p>
      <w:pPr>
        <w:keepNext w:val="0"/>
        <w:keepLines w:val="0"/>
        <w:pageBreakBefore w:val="0"/>
        <w:widowControl w:val="0"/>
        <w:kinsoku/>
        <w:wordWrap/>
        <w:overflowPunct/>
        <w:topLinePunct w:val="0"/>
        <w:bidi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浙江警察学院</w:t>
      </w:r>
    </w:p>
    <w:p>
      <w:pPr>
        <w:keepNext w:val="0"/>
        <w:keepLines w:val="0"/>
        <w:pageBreakBefore w:val="0"/>
        <w:widowControl w:val="0"/>
        <w:kinsoku/>
        <w:wordWrap/>
        <w:overflowPunct/>
        <w:topLinePunct w:val="0"/>
        <w:bidi w:val="0"/>
        <w:spacing w:line="360" w:lineRule="auto"/>
        <w:ind w:left="0" w:leftChars="0" w:right="0" w:rightChars="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（供方）</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签约时间、地点：20</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浙江警察学院</w:t>
      </w:r>
    </w:p>
    <w:p>
      <w:pPr>
        <w:spacing w:line="360" w:lineRule="auto"/>
        <w:ind w:firstLine="480" w:firstLineChars="200"/>
        <w:jc w:val="left"/>
        <w:rPr>
          <w:rFonts w:ascii="宋体" w:hAnsi="宋体" w:cs="宋体"/>
          <w:color w:val="auto"/>
          <w:spacing w:val="-6"/>
          <w:sz w:val="24"/>
          <w:szCs w:val="24"/>
          <w:highlight w:val="none"/>
        </w:rPr>
      </w:pPr>
      <w:r>
        <w:rPr>
          <w:rFonts w:ascii="宋体" w:hAnsi="宋体" w:cs="宋体"/>
          <w:color w:val="auto"/>
          <w:sz w:val="24"/>
          <w:szCs w:val="24"/>
          <w:highlight w:val="none"/>
        </w:rPr>
        <w:t>浙江豪圣建设项目管理有限公司受浙江警察学院委托公开招标</w:t>
      </w:r>
      <w:r>
        <w:rPr>
          <w:rFonts w:hint="eastAsia" w:ascii="宋体" w:hAnsi="宋体" w:cs="宋体"/>
          <w:color w:val="auto"/>
          <w:sz w:val="24"/>
          <w:szCs w:val="24"/>
          <w:highlight w:val="none"/>
          <w:lang w:val="en-US" w:eastAsia="zh-CN"/>
        </w:rPr>
        <w:t xml:space="preserve">的 </w:t>
      </w:r>
      <w:r>
        <w:rPr>
          <w:rFonts w:hint="eastAsia" w:ascii="宋体" w:hAnsi="宋体" w:cs="宋体"/>
          <w:color w:val="auto"/>
          <w:sz w:val="24"/>
          <w:szCs w:val="24"/>
          <w:highlight w:val="none"/>
          <w:lang w:eastAsia="zh-CN"/>
        </w:rPr>
        <w:t>“数字浙警”建设工程-教师绩效码和学生成长码-数据采集及应用场景迭代项目</w:t>
      </w:r>
      <w:r>
        <w:rPr>
          <w:rFonts w:ascii="宋体" w:hAnsi="宋体" w:cs="宋体"/>
          <w:color w:val="auto"/>
          <w:sz w:val="24"/>
          <w:szCs w:val="24"/>
          <w:highlight w:val="none"/>
        </w:rPr>
        <w:t>，经过招标，确定</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rPr>
        <w:t>为中标人。经协商双方就本采购事项达成以下条款：</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2" w:firstLineChars="200"/>
        <w:textAlignment w:val="auto"/>
        <w:outlineLvl w:val="9"/>
        <w:rPr>
          <w:rFonts w:hint="eastAsia" w:hAnsi="宋体"/>
          <w:b/>
          <w:color w:val="auto"/>
          <w:sz w:val="24"/>
          <w:szCs w:val="24"/>
          <w:highlight w:val="none"/>
        </w:rPr>
      </w:pPr>
      <w:r>
        <w:rPr>
          <w:rFonts w:hint="eastAsia" w:hAnsi="宋体"/>
          <w:b/>
          <w:color w:val="auto"/>
          <w:sz w:val="24"/>
          <w:szCs w:val="24"/>
          <w:highlight w:val="none"/>
          <w:lang w:eastAsia="zh-CN"/>
        </w:rPr>
        <w:t>第</w:t>
      </w:r>
      <w:r>
        <w:rPr>
          <w:rFonts w:hAnsi="宋体"/>
          <w:b/>
          <w:color w:val="auto"/>
          <w:sz w:val="24"/>
          <w:szCs w:val="24"/>
          <w:highlight w:val="none"/>
        </w:rPr>
        <w:t>一</w:t>
      </w:r>
      <w:r>
        <w:rPr>
          <w:rFonts w:hint="eastAsia" w:hAnsi="宋体"/>
          <w:b/>
          <w:color w:val="auto"/>
          <w:sz w:val="24"/>
          <w:szCs w:val="24"/>
          <w:highlight w:val="none"/>
          <w:lang w:eastAsia="zh-CN"/>
        </w:rPr>
        <w:t>条：合同文件的组成</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双方的各种协议、中标通知书、招标文件、投标文件、技术澄清及询标答复的所有内容是构成合同不可分割的部分，与本合同具有同等法律效力，当文件有相矛盾之处，以时间后者为准。</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2" w:firstLineChars="200"/>
        <w:textAlignment w:val="auto"/>
        <w:outlineLvl w:val="9"/>
        <w:rPr>
          <w:rFonts w:hAnsi="宋体"/>
          <w:b/>
          <w:color w:val="auto"/>
          <w:sz w:val="24"/>
          <w:szCs w:val="24"/>
          <w:highlight w:val="none"/>
        </w:rPr>
      </w:pPr>
      <w:r>
        <w:rPr>
          <w:rFonts w:hint="eastAsia" w:hAnsi="宋体"/>
          <w:b/>
          <w:color w:val="auto"/>
          <w:sz w:val="24"/>
          <w:szCs w:val="24"/>
          <w:highlight w:val="none"/>
          <w:lang w:eastAsia="zh-CN"/>
        </w:rPr>
        <w:t>第二条：</w:t>
      </w:r>
      <w:r>
        <w:rPr>
          <w:rFonts w:hAnsi="宋体"/>
          <w:b/>
          <w:color w:val="auto"/>
          <w:sz w:val="24"/>
          <w:szCs w:val="24"/>
          <w:highlight w:val="none"/>
        </w:rPr>
        <w:t>合同履行时间、履行地点和合同金额</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color w:val="auto"/>
          <w:kern w:val="2"/>
          <w:sz w:val="24"/>
          <w:szCs w:val="24"/>
          <w:highlight w:val="none"/>
          <w:lang w:val="en-US" w:eastAsia="zh-CN"/>
        </w:rPr>
      </w:pPr>
      <w:r>
        <w:rPr>
          <w:rFonts w:hint="eastAsia" w:ascii="宋体" w:hAnsi="宋体"/>
          <w:color w:val="auto"/>
          <w:kern w:val="2"/>
          <w:sz w:val="24"/>
          <w:szCs w:val="24"/>
          <w:highlight w:val="none"/>
          <w:lang w:val="en-US" w:eastAsia="zh-CN"/>
        </w:rPr>
        <w:t>1.履行时间：</w:t>
      </w:r>
      <w:r>
        <w:rPr>
          <w:rFonts w:hint="eastAsia" w:ascii="宋体" w:hAnsi="宋体"/>
          <w:color w:val="auto"/>
          <w:kern w:val="2"/>
          <w:sz w:val="24"/>
          <w:szCs w:val="24"/>
          <w:highlight w:val="none"/>
          <w:u w:val="single"/>
          <w:lang w:val="en-US" w:eastAsia="zh-CN"/>
        </w:rPr>
        <w:t xml:space="preserve">                </w:t>
      </w:r>
      <w:r>
        <w:rPr>
          <w:rFonts w:hint="eastAsia" w:ascii="宋体" w:hAnsi="宋体"/>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color w:val="auto"/>
          <w:kern w:val="2"/>
          <w:sz w:val="24"/>
          <w:szCs w:val="24"/>
          <w:highlight w:val="none"/>
          <w:lang w:val="en-US" w:eastAsia="zh-CN"/>
        </w:rPr>
      </w:pPr>
      <w:r>
        <w:rPr>
          <w:rFonts w:hint="eastAsia" w:ascii="宋体" w:hAnsi="宋体"/>
          <w:color w:val="auto"/>
          <w:kern w:val="2"/>
          <w:sz w:val="24"/>
          <w:szCs w:val="24"/>
          <w:highlight w:val="none"/>
          <w:lang w:val="en-US" w:eastAsia="zh-CN"/>
        </w:rPr>
        <w:t>2.履行地点：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color w:val="auto"/>
          <w:kern w:val="2"/>
          <w:sz w:val="24"/>
          <w:szCs w:val="24"/>
          <w:highlight w:val="none"/>
          <w:lang w:val="en-US" w:eastAsia="zh-CN"/>
        </w:rPr>
      </w:pPr>
      <w:r>
        <w:rPr>
          <w:rFonts w:hint="eastAsia" w:ascii="宋体" w:hAnsi="宋体"/>
          <w:color w:val="auto"/>
          <w:kern w:val="2"/>
          <w:sz w:val="24"/>
          <w:szCs w:val="24"/>
          <w:highlight w:val="none"/>
          <w:lang w:val="en-US" w:eastAsia="zh-CN"/>
        </w:rPr>
        <w:t>3.本合同金额为（大写）：</w:t>
      </w:r>
      <w:r>
        <w:rPr>
          <w:rFonts w:hint="eastAsia" w:ascii="宋体" w:hAnsi="宋体"/>
          <w:color w:val="auto"/>
          <w:kern w:val="2"/>
          <w:sz w:val="24"/>
          <w:szCs w:val="24"/>
          <w:highlight w:val="none"/>
          <w:u w:val="single"/>
          <w:lang w:val="en-US" w:eastAsia="zh-CN"/>
        </w:rPr>
        <w:t xml:space="preserve">             </w:t>
      </w:r>
      <w:r>
        <w:rPr>
          <w:rFonts w:hint="eastAsia" w:ascii="宋体" w:hAnsi="宋体"/>
          <w:color w:val="auto"/>
          <w:kern w:val="2"/>
          <w:sz w:val="24"/>
          <w:szCs w:val="24"/>
          <w:highlight w:val="none"/>
          <w:lang w:val="en-US" w:eastAsia="zh-CN"/>
        </w:rPr>
        <w:t>元（￥</w:t>
      </w:r>
      <w:r>
        <w:rPr>
          <w:rFonts w:hint="eastAsia" w:ascii="宋体" w:hAnsi="宋体"/>
          <w:color w:val="auto"/>
          <w:kern w:val="2"/>
          <w:sz w:val="24"/>
          <w:szCs w:val="24"/>
          <w:highlight w:val="none"/>
          <w:u w:val="single"/>
          <w:lang w:val="en-US" w:eastAsia="zh-CN"/>
        </w:rPr>
        <w:t xml:space="preserve">            </w:t>
      </w:r>
      <w:r>
        <w:rPr>
          <w:rFonts w:hint="eastAsia" w:ascii="宋体" w:hAnsi="宋体"/>
          <w:color w:val="auto"/>
          <w:kern w:val="2"/>
          <w:sz w:val="24"/>
          <w:szCs w:val="24"/>
          <w:highlight w:val="none"/>
          <w:lang w:val="en-US" w:eastAsia="zh-CN"/>
        </w:rPr>
        <w:t>元）人民币。本合同的价款为含税价。</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2" w:firstLineChars="200"/>
        <w:textAlignment w:val="auto"/>
        <w:outlineLvl w:val="9"/>
        <w:rPr>
          <w:rFonts w:hAnsi="宋体"/>
          <w:b/>
          <w:color w:val="auto"/>
          <w:sz w:val="24"/>
          <w:szCs w:val="24"/>
          <w:highlight w:val="none"/>
        </w:rPr>
      </w:pPr>
      <w:r>
        <w:rPr>
          <w:rFonts w:hint="eastAsia" w:hAnsi="宋体"/>
          <w:b/>
          <w:color w:val="auto"/>
          <w:sz w:val="24"/>
          <w:szCs w:val="24"/>
          <w:highlight w:val="none"/>
          <w:lang w:eastAsia="zh-CN"/>
        </w:rPr>
        <w:t>第</w:t>
      </w:r>
      <w:r>
        <w:rPr>
          <w:rFonts w:hAnsi="宋体"/>
          <w:b/>
          <w:color w:val="auto"/>
          <w:sz w:val="24"/>
          <w:szCs w:val="24"/>
          <w:highlight w:val="none"/>
        </w:rPr>
        <w:t>三</w:t>
      </w:r>
      <w:r>
        <w:rPr>
          <w:rFonts w:hint="eastAsia" w:hAnsi="宋体"/>
          <w:b/>
          <w:color w:val="auto"/>
          <w:sz w:val="24"/>
          <w:szCs w:val="24"/>
          <w:highlight w:val="none"/>
          <w:lang w:eastAsia="zh-CN"/>
        </w:rPr>
        <w:t>条：</w:t>
      </w:r>
      <w:r>
        <w:rPr>
          <w:rFonts w:hAnsi="宋体"/>
          <w:b/>
          <w:color w:val="auto"/>
          <w:sz w:val="24"/>
          <w:szCs w:val="24"/>
          <w:highlight w:val="none"/>
        </w:rPr>
        <w:t>技术资料</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textAlignment w:val="auto"/>
        <w:outlineLvl w:val="9"/>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乙方应按</w:t>
      </w:r>
      <w:r>
        <w:rPr>
          <w:rFonts w:hint="eastAsia" w:hAnsi="宋体"/>
          <w:color w:val="auto"/>
          <w:sz w:val="24"/>
          <w:szCs w:val="24"/>
          <w:highlight w:val="none"/>
          <w:lang w:eastAsia="zh-CN"/>
        </w:rPr>
        <w:t>招标文件</w:t>
      </w:r>
      <w:r>
        <w:rPr>
          <w:rFonts w:hAnsi="宋体"/>
          <w:color w:val="auto"/>
          <w:sz w:val="24"/>
          <w:szCs w:val="24"/>
          <w:highlight w:val="none"/>
        </w:rPr>
        <w:t>规定的时间向甲方提供有关技术资料。</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textAlignment w:val="auto"/>
        <w:outlineLvl w:val="9"/>
        <w:rPr>
          <w:rFonts w:hint="eastAsia"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.未经</w:t>
      </w:r>
      <w:r>
        <w:rPr>
          <w:rFonts w:hAnsi="宋体"/>
          <w:color w:val="auto"/>
          <w:sz w:val="24"/>
          <w:szCs w:val="24"/>
          <w:highlight w:val="none"/>
        </w:rPr>
        <w:t>甲方事先书面同意，乙方不得将</w:t>
      </w:r>
      <w:r>
        <w:rPr>
          <w:rFonts w:hint="eastAsia" w:hAnsi="宋体"/>
          <w:color w:val="auto"/>
          <w:sz w:val="24"/>
          <w:szCs w:val="24"/>
          <w:highlight w:val="none"/>
        </w:rPr>
        <w:t>与本合同及有关的</w:t>
      </w:r>
      <w:r>
        <w:rPr>
          <w:rFonts w:hAnsi="宋体"/>
          <w:color w:val="auto"/>
          <w:sz w:val="24"/>
          <w:szCs w:val="24"/>
          <w:highlight w:val="none"/>
        </w:rPr>
        <w:t>任何合同条文、规格、计划、图纸、样品或资料提供给</w:t>
      </w:r>
      <w:r>
        <w:rPr>
          <w:rFonts w:hint="eastAsia" w:hAnsi="宋体"/>
          <w:color w:val="auto"/>
          <w:sz w:val="24"/>
          <w:szCs w:val="24"/>
          <w:highlight w:val="none"/>
        </w:rPr>
        <w:t>任何第三方</w:t>
      </w:r>
      <w:r>
        <w:rPr>
          <w:rFonts w:hAnsi="宋体"/>
          <w:color w:val="auto"/>
          <w:sz w:val="24"/>
          <w:szCs w:val="24"/>
          <w:highlight w:val="none"/>
        </w:rPr>
        <w:t>。即使向履行本合同有关的人员提供，也应注意保密并限于履行合同的必需范围。</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textAlignment w:val="auto"/>
        <w:outlineLvl w:val="9"/>
        <w:rPr>
          <w:rFonts w:hAnsi="宋体"/>
          <w:bCs/>
          <w:color w:val="auto"/>
          <w:sz w:val="24"/>
          <w:szCs w:val="24"/>
          <w:highlight w:val="none"/>
        </w:rPr>
      </w:pPr>
      <w:r>
        <w:rPr>
          <w:rFonts w:hint="eastAsia" w:hAnsi="宋体"/>
          <w:color w:val="auto"/>
          <w:sz w:val="24"/>
          <w:szCs w:val="24"/>
          <w:highlight w:val="none"/>
          <w:lang w:val="en-US" w:eastAsia="zh-CN"/>
        </w:rPr>
        <w:t>3.</w:t>
      </w:r>
      <w:r>
        <w:rPr>
          <w:rFonts w:hAnsi="宋体"/>
          <w:color w:val="auto"/>
          <w:sz w:val="24"/>
          <w:szCs w:val="24"/>
          <w:highlight w:val="none"/>
        </w:rPr>
        <w:t>乙方应保证提供服务过程中不会侵犯任何第三方的知识产权</w:t>
      </w:r>
      <w:r>
        <w:rPr>
          <w:rFonts w:hint="eastAsia" w:hAnsi="宋体"/>
          <w:bCs/>
          <w:color w:val="auto"/>
          <w:sz w:val="24"/>
          <w:szCs w:val="24"/>
          <w:highlight w:val="none"/>
        </w:rPr>
        <w:t>，否则甲方有权解除本合同，拒绝支付合同价款，并要求乙方赔偿所有损失。</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2" w:firstLineChars="200"/>
        <w:textAlignment w:val="auto"/>
        <w:outlineLvl w:val="9"/>
        <w:rPr>
          <w:rFonts w:hAnsi="宋体"/>
          <w:b/>
          <w:color w:val="auto"/>
          <w:sz w:val="24"/>
          <w:szCs w:val="24"/>
          <w:highlight w:val="none"/>
        </w:rPr>
      </w:pPr>
      <w:r>
        <w:rPr>
          <w:rFonts w:hint="eastAsia" w:hAnsi="宋体"/>
          <w:b/>
          <w:color w:val="auto"/>
          <w:sz w:val="24"/>
          <w:szCs w:val="24"/>
          <w:highlight w:val="none"/>
          <w:lang w:eastAsia="zh-CN"/>
        </w:rPr>
        <w:t>第</w:t>
      </w:r>
      <w:r>
        <w:rPr>
          <w:rFonts w:hint="eastAsia" w:hAnsi="宋体"/>
          <w:b/>
          <w:color w:val="auto"/>
          <w:sz w:val="24"/>
          <w:szCs w:val="24"/>
          <w:highlight w:val="none"/>
        </w:rPr>
        <w:t>四</w:t>
      </w:r>
      <w:r>
        <w:rPr>
          <w:rFonts w:hint="eastAsia" w:hAnsi="宋体"/>
          <w:b/>
          <w:color w:val="auto"/>
          <w:sz w:val="24"/>
          <w:szCs w:val="24"/>
          <w:highlight w:val="none"/>
          <w:lang w:eastAsia="zh-CN"/>
        </w:rPr>
        <w:t>条：</w:t>
      </w:r>
      <w:r>
        <w:rPr>
          <w:rFonts w:hint="eastAsia" w:hAnsi="宋体"/>
          <w:b/>
          <w:color w:val="auto"/>
          <w:sz w:val="24"/>
          <w:szCs w:val="24"/>
          <w:highlight w:val="none"/>
        </w:rPr>
        <w:t>转包或分包</w:t>
      </w:r>
    </w:p>
    <w:p>
      <w:pPr>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1.本合同范围的服务，应由乙方直接完成，不得转让给任何第三方；</w:t>
      </w:r>
    </w:p>
    <w:p>
      <w:pPr>
        <w:adjustRightInd w:val="0"/>
        <w:snapToGrid w:val="0"/>
        <w:spacing w:line="360" w:lineRule="auto"/>
        <w:ind w:firstLine="504" w:firstLineChars="210"/>
        <w:rPr>
          <w:rFonts w:hint="default" w:ascii="宋体" w:hAnsi="宋体"/>
          <w:color w:val="auto"/>
          <w:sz w:val="24"/>
          <w:highlight w:val="none"/>
        </w:rPr>
      </w:pPr>
      <w:r>
        <w:rPr>
          <w:rFonts w:hint="default" w:ascii="宋体" w:hAnsi="宋体"/>
          <w:color w:val="auto"/>
          <w:sz w:val="24"/>
          <w:highlight w:val="none"/>
        </w:rPr>
        <w:t>2.</w:t>
      </w:r>
      <w:r>
        <w:rPr>
          <w:rFonts w:hint="eastAsia" w:ascii="宋体" w:hAnsi="宋体"/>
          <w:color w:val="auto"/>
          <w:sz w:val="24"/>
          <w:highlight w:val="none"/>
          <w:lang w:val="en-US" w:eastAsia="zh-CN"/>
        </w:rPr>
        <w:t>除甲方明确可以分包的内容外其它一律不允许分包</w:t>
      </w:r>
      <w:r>
        <w:rPr>
          <w:rFonts w:ascii="宋体" w:hAnsi="宋体"/>
          <w:color w:val="auto"/>
          <w:sz w:val="24"/>
          <w:highlight w:val="none"/>
        </w:rPr>
        <w:t>；</w:t>
      </w:r>
    </w:p>
    <w:p>
      <w:pPr>
        <w:adjustRightInd w:val="0"/>
        <w:snapToGrid w:val="0"/>
        <w:spacing w:line="360" w:lineRule="auto"/>
        <w:ind w:firstLine="504" w:firstLineChars="210"/>
        <w:rPr>
          <w:rFonts w:hint="default" w:ascii="宋体" w:hAnsi="宋体"/>
          <w:color w:val="auto"/>
          <w:sz w:val="24"/>
          <w:highlight w:val="none"/>
        </w:rPr>
      </w:pPr>
      <w:r>
        <w:rPr>
          <w:rFonts w:hint="default" w:ascii="宋体" w:hAnsi="宋体"/>
          <w:color w:val="auto"/>
          <w:sz w:val="24"/>
          <w:highlight w:val="none"/>
        </w:rPr>
        <w:t>3.</w:t>
      </w:r>
      <w:r>
        <w:rPr>
          <w:rFonts w:ascii="宋体" w:hAnsi="宋体"/>
          <w:color w:val="auto"/>
          <w:sz w:val="24"/>
          <w:highlight w:val="none"/>
        </w:rPr>
        <w:t>如有转让和</w:t>
      </w:r>
      <w:r>
        <w:rPr>
          <w:rFonts w:hint="eastAsia" w:ascii="宋体" w:hAnsi="宋体"/>
          <w:color w:val="auto"/>
          <w:sz w:val="24"/>
          <w:highlight w:val="none"/>
          <w:lang w:eastAsia="zh-CN"/>
        </w:rPr>
        <w:t>未经甲方允许的</w:t>
      </w:r>
      <w:r>
        <w:rPr>
          <w:rFonts w:ascii="宋体" w:hAnsi="宋体"/>
          <w:color w:val="auto"/>
          <w:sz w:val="24"/>
          <w:highlight w:val="none"/>
        </w:rPr>
        <w:t>分包行为，甲方有权解除合同，没收履约保证金并追究乙方的违约责任。</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2" w:firstLineChars="200"/>
        <w:textAlignment w:val="auto"/>
        <w:outlineLvl w:val="9"/>
        <w:rPr>
          <w:rFonts w:hAnsi="宋体"/>
          <w:color w:val="auto"/>
          <w:sz w:val="24"/>
          <w:szCs w:val="24"/>
          <w:highlight w:val="none"/>
        </w:rPr>
      </w:pPr>
      <w:r>
        <w:rPr>
          <w:rFonts w:hint="eastAsia" w:hAnsi="宋体"/>
          <w:b/>
          <w:color w:val="auto"/>
          <w:sz w:val="24"/>
          <w:szCs w:val="24"/>
          <w:highlight w:val="none"/>
          <w:lang w:eastAsia="zh-CN"/>
        </w:rPr>
        <w:t>第</w:t>
      </w:r>
      <w:r>
        <w:rPr>
          <w:rFonts w:hint="eastAsia" w:hAnsi="宋体"/>
          <w:b/>
          <w:color w:val="auto"/>
          <w:sz w:val="24"/>
          <w:szCs w:val="24"/>
          <w:highlight w:val="none"/>
        </w:rPr>
        <w:t>五</w:t>
      </w:r>
      <w:r>
        <w:rPr>
          <w:rFonts w:hint="eastAsia" w:hAnsi="宋体"/>
          <w:b/>
          <w:color w:val="auto"/>
          <w:sz w:val="24"/>
          <w:szCs w:val="24"/>
          <w:highlight w:val="none"/>
          <w:lang w:eastAsia="zh-CN"/>
        </w:rPr>
        <w:t>条：</w:t>
      </w:r>
      <w:r>
        <w:rPr>
          <w:rFonts w:hint="eastAsia" w:hAnsi="宋体"/>
          <w:b/>
          <w:color w:val="auto"/>
          <w:sz w:val="24"/>
          <w:szCs w:val="24"/>
          <w:highlight w:val="none"/>
        </w:rPr>
        <w:t>履约保证金</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合同签订生效后5个工作日内向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%作为履约保证金。履约保证金在项目验收</w:t>
      </w:r>
      <w:r>
        <w:rPr>
          <w:rFonts w:hint="eastAsia" w:ascii="宋体" w:hAnsi="宋体" w:eastAsia="宋体" w:cs="宋体"/>
          <w:color w:val="auto"/>
          <w:sz w:val="24"/>
          <w:szCs w:val="24"/>
          <w:highlight w:val="none"/>
          <w:lang w:val="en-US" w:eastAsia="zh-CN"/>
        </w:rPr>
        <w:t>结束</w:t>
      </w:r>
      <w:r>
        <w:rPr>
          <w:rFonts w:hint="eastAsia" w:ascii="宋体" w:hAnsi="宋体" w:eastAsia="宋体" w:cs="宋体"/>
          <w:color w:val="auto"/>
          <w:sz w:val="24"/>
          <w:szCs w:val="24"/>
          <w:highlight w:val="none"/>
        </w:rPr>
        <w:t>后无息退还乙方。</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2" w:firstLineChars="200"/>
        <w:textAlignment w:val="auto"/>
        <w:outlineLvl w:val="9"/>
        <w:rPr>
          <w:rFonts w:hAnsi="宋体"/>
          <w:b/>
          <w:color w:val="auto"/>
          <w:sz w:val="24"/>
          <w:szCs w:val="24"/>
          <w:highlight w:val="none"/>
        </w:rPr>
      </w:pPr>
      <w:r>
        <w:rPr>
          <w:rFonts w:hint="eastAsia" w:hAnsi="宋体"/>
          <w:b/>
          <w:color w:val="auto"/>
          <w:sz w:val="24"/>
          <w:szCs w:val="24"/>
          <w:highlight w:val="none"/>
          <w:lang w:eastAsia="zh-CN"/>
        </w:rPr>
        <w:t>第</w:t>
      </w:r>
      <w:r>
        <w:rPr>
          <w:rFonts w:hint="eastAsia" w:hAnsi="宋体"/>
          <w:b/>
          <w:color w:val="auto"/>
          <w:sz w:val="24"/>
          <w:szCs w:val="24"/>
          <w:highlight w:val="none"/>
        </w:rPr>
        <w:t>六</w:t>
      </w:r>
      <w:r>
        <w:rPr>
          <w:rFonts w:hint="eastAsia" w:hAnsi="宋体"/>
          <w:b/>
          <w:color w:val="auto"/>
          <w:sz w:val="24"/>
          <w:szCs w:val="24"/>
          <w:highlight w:val="none"/>
          <w:lang w:eastAsia="zh-CN"/>
        </w:rPr>
        <w:t>条：</w:t>
      </w:r>
      <w:r>
        <w:rPr>
          <w:rFonts w:hAnsi="宋体"/>
          <w:b/>
          <w:color w:val="auto"/>
          <w:sz w:val="24"/>
          <w:szCs w:val="24"/>
          <w:highlight w:val="none"/>
        </w:rPr>
        <w:t>款项支付</w:t>
      </w:r>
    </w:p>
    <w:p>
      <w:pPr>
        <w:pStyle w:val="118"/>
        <w:adjustRightInd w:val="0"/>
        <w:snapToGrid w:val="0"/>
        <w:rPr>
          <w:rFonts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合同生效以及具备实施条件后7个工作日内，</w:t>
      </w:r>
      <w:r>
        <w:rPr>
          <w:rFonts w:hint="eastAsia" w:ascii="宋体" w:hAnsi="宋体" w:eastAsia="宋体" w:cs="Times New Roman"/>
          <w:color w:val="auto"/>
          <w:szCs w:val="24"/>
          <w:highlight w:val="none"/>
          <w:lang w:val="en-US" w:eastAsia="zh-CN"/>
        </w:rPr>
        <w:t>支付合同总价的40%预付款</w:t>
      </w:r>
      <w:r>
        <w:rPr>
          <w:rFonts w:hint="eastAsia" w:ascii="宋体" w:hAnsi="宋体" w:eastAsia="宋体" w:cs="宋体"/>
          <w:color w:val="auto"/>
          <w:szCs w:val="24"/>
          <w:highlight w:val="none"/>
          <w:lang w:eastAsia="zh-Hans"/>
        </w:rPr>
        <w:t>，</w:t>
      </w:r>
      <w:r>
        <w:rPr>
          <w:rFonts w:hint="eastAsia" w:ascii="宋体" w:hAnsi="宋体" w:eastAsia="宋体" w:cs="宋体"/>
          <w:color w:val="auto"/>
          <w:szCs w:val="24"/>
          <w:highlight w:val="none"/>
        </w:rPr>
        <w:t>余款于202</w:t>
      </w:r>
      <w:r>
        <w:rPr>
          <w:rFonts w:hint="default" w:ascii="宋体" w:hAnsi="宋体" w:eastAsia="宋体" w:cs="宋体"/>
          <w:color w:val="auto"/>
          <w:szCs w:val="24"/>
          <w:highlight w:val="none"/>
        </w:rPr>
        <w:t>2</w:t>
      </w:r>
      <w:r>
        <w:rPr>
          <w:rFonts w:hint="eastAsia" w:ascii="宋体" w:hAnsi="宋体" w:eastAsia="宋体" w:cs="宋体"/>
          <w:color w:val="auto"/>
          <w:szCs w:val="24"/>
          <w:highlight w:val="none"/>
        </w:rPr>
        <w:t>年项目验收通过后支付。</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2" w:firstLineChars="200"/>
        <w:textAlignment w:val="auto"/>
        <w:outlineLvl w:val="9"/>
        <w:rPr>
          <w:rFonts w:hAnsi="宋体"/>
          <w:b/>
          <w:color w:val="auto"/>
          <w:sz w:val="24"/>
          <w:szCs w:val="24"/>
          <w:highlight w:val="none"/>
        </w:rPr>
      </w:pPr>
      <w:r>
        <w:rPr>
          <w:rFonts w:hint="eastAsia" w:hAnsi="宋体"/>
          <w:b/>
          <w:color w:val="auto"/>
          <w:sz w:val="24"/>
          <w:szCs w:val="24"/>
          <w:highlight w:val="none"/>
          <w:lang w:eastAsia="zh-CN"/>
        </w:rPr>
        <w:t>第七条：</w:t>
      </w:r>
      <w:r>
        <w:rPr>
          <w:rFonts w:hint="eastAsia" w:hAnsi="宋体"/>
          <w:b/>
          <w:color w:val="auto"/>
          <w:sz w:val="24"/>
          <w:szCs w:val="24"/>
          <w:highlight w:val="none"/>
          <w:lang w:val="en-US" w:eastAsia="zh-CN"/>
        </w:rPr>
        <w:t>知识产权</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textAlignment w:val="auto"/>
        <w:outlineLvl w:val="9"/>
        <w:rPr>
          <w:rFonts w:hint="eastAsia" w:ascii="宋体" w:hAnsi="宋体" w:eastAsia="宋体" w:cs="Times New Roman"/>
          <w:color w:val="auto"/>
          <w:sz w:val="24"/>
          <w:szCs w:val="24"/>
          <w:highlight w:val="none"/>
          <w:lang w:val="en-US" w:eastAsia="zh-CN"/>
        </w:rPr>
      </w:pP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eastAsia="宋体" w:cs="Times New Roman"/>
          <w:color w:val="auto"/>
          <w:sz w:val="24"/>
          <w:szCs w:val="24"/>
          <w:highlight w:val="none"/>
          <w:lang w:val="en-US" w:eastAsia="zh-CN"/>
        </w:rPr>
        <w:t>乙方所提供的软件系统应是拥有自主产权的，若非自有或引用了第三方产品，需提供原厂的正版化授权证明。</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textAlignment w:val="auto"/>
        <w:outlineLvl w:val="9"/>
        <w:rPr>
          <w:rFonts w:hint="eastAsia"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eastAsia="宋体" w:cs="Times New Roman"/>
          <w:color w:val="auto"/>
          <w:sz w:val="24"/>
          <w:szCs w:val="24"/>
          <w:highlight w:val="none"/>
          <w:lang w:val="en-US" w:eastAsia="zh-CN"/>
        </w:rPr>
        <w:t>乙方必须保证甲方在使用其提供系统中任何一部分软件产品以及服务时，不会产生涉及第三方的专利权、设计权或其它知识产权所引起的法律和经济纠纷。任何第三方如果提出侵权指控,乙方必须承担由此引起的一切法律责任和费用，并承担由此而造成甲方的一切损失。</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textAlignment w:val="auto"/>
        <w:outlineLvl w:val="9"/>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3.乙方须提供本项目正常运转所必须的全部系统软件、中间件、插件等，确保系统按时、正常运行。产品中采用的第三方软件由乙方自行购买安装，如出现软件侵权行为，由乙方负责，与甲方无关。</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2" w:firstLineChars="200"/>
        <w:textAlignment w:val="auto"/>
        <w:outlineLvl w:val="9"/>
        <w:rPr>
          <w:rFonts w:hAnsi="宋体"/>
          <w:b/>
          <w:color w:val="auto"/>
          <w:sz w:val="24"/>
          <w:szCs w:val="24"/>
          <w:highlight w:val="none"/>
        </w:rPr>
      </w:pPr>
      <w:r>
        <w:rPr>
          <w:rFonts w:hint="eastAsia" w:hAnsi="宋体"/>
          <w:b/>
          <w:color w:val="auto"/>
          <w:sz w:val="24"/>
          <w:szCs w:val="24"/>
          <w:highlight w:val="none"/>
          <w:lang w:eastAsia="zh-CN"/>
        </w:rPr>
        <w:t>第</w:t>
      </w:r>
      <w:r>
        <w:rPr>
          <w:rFonts w:hint="eastAsia" w:hAnsi="宋体"/>
          <w:b/>
          <w:color w:val="auto"/>
          <w:sz w:val="24"/>
          <w:szCs w:val="24"/>
          <w:highlight w:val="none"/>
          <w:lang w:val="en-US" w:eastAsia="zh-CN"/>
        </w:rPr>
        <w:t>八</w:t>
      </w:r>
      <w:r>
        <w:rPr>
          <w:rFonts w:hint="eastAsia" w:hAnsi="宋体"/>
          <w:b/>
          <w:color w:val="auto"/>
          <w:sz w:val="24"/>
          <w:szCs w:val="24"/>
          <w:highlight w:val="none"/>
          <w:lang w:eastAsia="zh-CN"/>
        </w:rPr>
        <w:t>条：</w:t>
      </w:r>
      <w:r>
        <w:rPr>
          <w:rFonts w:hAnsi="宋体"/>
          <w:b/>
          <w:color w:val="auto"/>
          <w:sz w:val="24"/>
          <w:szCs w:val="24"/>
          <w:highlight w:val="none"/>
        </w:rPr>
        <w:t>质量保证及后续服务</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textAlignment w:val="auto"/>
        <w:outlineLvl w:val="9"/>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符合系统安全要求。按照公安厅、教育厅关于系统平台安全的要求，项目涉及的联网的系统，需要达到等保二级以上。由管理系统开发方提供相关产品符合等保二级的证明，也可由校网中心对管理系统进行漏洞扫描，并出具漏洞扫描证明。</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Ansi="宋体"/>
          <w:color w:val="auto"/>
          <w:sz w:val="24"/>
          <w:szCs w:val="24"/>
          <w:highlight w:val="none"/>
        </w:rPr>
      </w:pPr>
      <w:r>
        <w:rPr>
          <w:rFonts w:hint="eastAsia" w:hAnsi="宋体"/>
          <w:color w:val="auto"/>
          <w:sz w:val="24"/>
          <w:szCs w:val="24"/>
          <w:highlight w:val="none"/>
          <w:lang w:val="en-US" w:eastAsia="zh-CN"/>
        </w:rPr>
        <w:t>2.</w:t>
      </w:r>
      <w:r>
        <w:rPr>
          <w:rFonts w:hAnsi="宋体"/>
          <w:color w:val="auto"/>
          <w:sz w:val="24"/>
          <w:szCs w:val="24"/>
          <w:highlight w:val="none"/>
        </w:rPr>
        <w:t>乙方应按招标文件规定向甲方提供服务。</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int="eastAsia" w:hAnsi="宋体"/>
          <w:color w:val="auto"/>
          <w:sz w:val="24"/>
          <w:szCs w:val="24"/>
          <w:highlight w:val="none"/>
        </w:rPr>
      </w:pPr>
      <w:r>
        <w:rPr>
          <w:rFonts w:hint="eastAsia" w:hAnsi="宋体"/>
          <w:color w:val="auto"/>
          <w:sz w:val="24"/>
          <w:szCs w:val="24"/>
          <w:highlight w:val="none"/>
          <w:lang w:val="en-US" w:eastAsia="zh-CN"/>
        </w:rPr>
        <w:t>3.</w:t>
      </w:r>
      <w:r>
        <w:rPr>
          <w:rFonts w:hAnsi="宋体"/>
          <w:color w:val="auto"/>
          <w:sz w:val="24"/>
          <w:szCs w:val="24"/>
          <w:highlight w:val="none"/>
        </w:rPr>
        <w:t>乙方提供的服务成果</w:t>
      </w:r>
      <w:r>
        <w:rPr>
          <w:rFonts w:hint="eastAsia" w:hAnsi="宋体"/>
          <w:color w:val="auto"/>
          <w:sz w:val="24"/>
          <w:szCs w:val="24"/>
          <w:highlight w:val="none"/>
        </w:rPr>
        <w:t>验收不合格的，或在服务质量保证期内出现问题</w:t>
      </w:r>
      <w:r>
        <w:rPr>
          <w:rFonts w:hAnsi="宋体"/>
          <w:color w:val="auto"/>
          <w:sz w:val="24"/>
          <w:szCs w:val="24"/>
          <w:highlight w:val="none"/>
        </w:rPr>
        <w:t>，乙方应负责提供后续服务。</w:t>
      </w:r>
      <w:r>
        <w:rPr>
          <w:rFonts w:hint="eastAsia" w:hAnsi="宋体"/>
          <w:color w:val="auto"/>
          <w:sz w:val="24"/>
          <w:szCs w:val="24"/>
          <w:highlight w:val="none"/>
        </w:rPr>
        <w:t>对达不到服务要求的，根据实际情况，甲方有权自行选择以下办法处理：</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1）</w:t>
      </w:r>
      <w:r>
        <w:rPr>
          <w:rFonts w:hAnsi="宋体"/>
          <w:color w:val="auto"/>
          <w:sz w:val="24"/>
          <w:szCs w:val="24"/>
          <w:highlight w:val="none"/>
        </w:rPr>
        <w:t>重做：由乙方承担所发生的全部费用</w:t>
      </w:r>
      <w:r>
        <w:rPr>
          <w:rFonts w:hint="eastAsia" w:hAnsi="宋体"/>
          <w:color w:val="auto"/>
          <w:sz w:val="24"/>
          <w:szCs w:val="24"/>
          <w:highlight w:val="none"/>
        </w:rPr>
        <w:t>，并承担所有损失</w:t>
      </w:r>
      <w:r>
        <w:rPr>
          <w:rFonts w:hAnsi="宋体"/>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2）</w:t>
      </w:r>
      <w:r>
        <w:rPr>
          <w:rFonts w:hAnsi="宋体"/>
          <w:color w:val="auto"/>
          <w:sz w:val="24"/>
          <w:szCs w:val="24"/>
          <w:highlight w:val="none"/>
        </w:rPr>
        <w:t>解除合同</w:t>
      </w:r>
      <w:r>
        <w:rPr>
          <w:rFonts w:hint="eastAsia" w:hAnsi="宋体"/>
          <w:color w:val="auto"/>
          <w:sz w:val="24"/>
          <w:szCs w:val="24"/>
          <w:highlight w:val="none"/>
        </w:rPr>
        <w:t>：甲方拒付（或要求乙方退还）合同价款</w:t>
      </w:r>
      <w:r>
        <w:rPr>
          <w:rFonts w:hAnsi="宋体"/>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int="eastAsia" w:hAnsi="宋体"/>
          <w:color w:val="auto"/>
          <w:sz w:val="24"/>
          <w:szCs w:val="24"/>
          <w:highlight w:val="none"/>
        </w:rPr>
      </w:pPr>
      <w:r>
        <w:rPr>
          <w:rFonts w:hint="eastAsia" w:hAnsi="宋体"/>
          <w:color w:val="auto"/>
          <w:sz w:val="24"/>
          <w:szCs w:val="24"/>
          <w:highlight w:val="none"/>
          <w:lang w:val="en-US" w:eastAsia="zh-CN"/>
        </w:rPr>
        <w:t>4.</w:t>
      </w:r>
      <w:r>
        <w:rPr>
          <w:rFonts w:hint="eastAsia" w:hAnsi="宋体"/>
          <w:color w:val="auto"/>
          <w:sz w:val="24"/>
          <w:szCs w:val="24"/>
          <w:highlight w:val="none"/>
        </w:rPr>
        <w:t>合同履行期限内，</w:t>
      </w:r>
      <w:r>
        <w:rPr>
          <w:rFonts w:hAnsi="宋体"/>
          <w:color w:val="auto"/>
          <w:sz w:val="24"/>
          <w:szCs w:val="24"/>
          <w:highlight w:val="none"/>
        </w:rPr>
        <w:t>乙方</w:t>
      </w:r>
      <w:r>
        <w:rPr>
          <w:rFonts w:hint="eastAsia" w:hAnsi="宋体"/>
          <w:color w:val="auto"/>
          <w:sz w:val="24"/>
          <w:szCs w:val="24"/>
          <w:highlight w:val="none"/>
        </w:rPr>
        <w:t>接到</w:t>
      </w:r>
      <w:r>
        <w:rPr>
          <w:rFonts w:hAnsi="宋体"/>
          <w:color w:val="auto"/>
          <w:sz w:val="24"/>
          <w:szCs w:val="24"/>
          <w:highlight w:val="none"/>
        </w:rPr>
        <w:t>甲方通知后</w:t>
      </w:r>
      <w:r>
        <w:rPr>
          <w:rFonts w:hint="eastAsia" w:hAnsi="宋体"/>
          <w:color w:val="auto"/>
          <w:sz w:val="24"/>
          <w:szCs w:val="24"/>
          <w:highlight w:val="none"/>
          <w:u w:val="single"/>
          <w:lang w:val="en-US" w:eastAsia="zh-CN"/>
        </w:rPr>
        <w:t xml:space="preserve">   </w:t>
      </w:r>
      <w:r>
        <w:rPr>
          <w:rFonts w:hAnsi="宋体"/>
          <w:color w:val="auto"/>
          <w:sz w:val="24"/>
          <w:szCs w:val="24"/>
          <w:highlight w:val="none"/>
        </w:rPr>
        <w:t>小时内到达甲方现场</w:t>
      </w:r>
      <w:r>
        <w:rPr>
          <w:rFonts w:hint="eastAsia" w:hAnsi="宋体"/>
          <w:color w:val="auto"/>
          <w:sz w:val="24"/>
          <w:szCs w:val="24"/>
          <w:highlight w:val="none"/>
        </w:rPr>
        <w:t>，并在</w:t>
      </w:r>
      <w:r>
        <w:rPr>
          <w:rFonts w:hint="eastAsia" w:hAnsi="宋体"/>
          <w:color w:val="auto"/>
          <w:sz w:val="24"/>
          <w:szCs w:val="24"/>
          <w:highlight w:val="none"/>
          <w:u w:val="single"/>
          <w:lang w:val="en-US" w:eastAsia="zh-CN"/>
        </w:rPr>
        <w:t xml:space="preserve">   </w:t>
      </w:r>
      <w:r>
        <w:rPr>
          <w:rFonts w:hAnsi="宋体"/>
          <w:color w:val="auto"/>
          <w:sz w:val="24"/>
          <w:szCs w:val="24"/>
          <w:highlight w:val="none"/>
        </w:rPr>
        <w:t>小时内</w:t>
      </w:r>
      <w:r>
        <w:rPr>
          <w:rFonts w:hint="eastAsia" w:hAnsi="宋体"/>
          <w:color w:val="auto"/>
          <w:sz w:val="24"/>
          <w:szCs w:val="24"/>
          <w:highlight w:val="none"/>
        </w:rPr>
        <w:t>排除故障。</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int="eastAsia" w:hAnsi="宋体"/>
          <w:color w:val="auto"/>
          <w:sz w:val="24"/>
          <w:szCs w:val="24"/>
          <w:highlight w:val="none"/>
          <w:lang w:val="en-US" w:eastAsia="zh-CN"/>
        </w:rPr>
      </w:pPr>
      <w:r>
        <w:rPr>
          <w:rFonts w:hint="eastAsia" w:hAnsi="宋体"/>
          <w:color w:val="auto"/>
          <w:sz w:val="24"/>
          <w:szCs w:val="24"/>
          <w:highlight w:val="none"/>
          <w:lang w:val="en-US" w:eastAsia="zh-CN"/>
        </w:rPr>
        <w:t>5.质保期：  年，在服务质量保证期内，乙方应对出现的质量及安全问题负责处理解决并承担一切费用。</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2" w:firstLineChars="200"/>
        <w:textAlignment w:val="auto"/>
        <w:outlineLvl w:val="9"/>
        <w:rPr>
          <w:rFonts w:hAnsi="宋体"/>
          <w:b/>
          <w:color w:val="auto"/>
          <w:sz w:val="24"/>
          <w:szCs w:val="24"/>
          <w:highlight w:val="none"/>
        </w:rPr>
      </w:pPr>
      <w:r>
        <w:rPr>
          <w:rFonts w:hint="eastAsia" w:hAnsi="宋体"/>
          <w:b/>
          <w:color w:val="auto"/>
          <w:sz w:val="24"/>
          <w:szCs w:val="24"/>
          <w:highlight w:val="none"/>
          <w:lang w:eastAsia="zh-CN"/>
        </w:rPr>
        <w:t>第</w:t>
      </w:r>
      <w:r>
        <w:rPr>
          <w:rFonts w:hint="eastAsia" w:hAnsi="宋体"/>
          <w:b/>
          <w:color w:val="auto"/>
          <w:sz w:val="24"/>
          <w:szCs w:val="24"/>
          <w:highlight w:val="none"/>
          <w:lang w:val="en-US" w:eastAsia="zh-CN"/>
        </w:rPr>
        <w:t>九</w:t>
      </w:r>
      <w:r>
        <w:rPr>
          <w:rFonts w:hint="eastAsia" w:hAnsi="宋体"/>
          <w:b/>
          <w:color w:val="auto"/>
          <w:sz w:val="24"/>
          <w:szCs w:val="24"/>
          <w:highlight w:val="none"/>
          <w:lang w:eastAsia="zh-CN"/>
        </w:rPr>
        <w:t>条：</w:t>
      </w:r>
      <w:r>
        <w:rPr>
          <w:rFonts w:hAnsi="宋体"/>
          <w:b/>
          <w:color w:val="auto"/>
          <w:sz w:val="24"/>
          <w:szCs w:val="24"/>
          <w:highlight w:val="none"/>
        </w:rPr>
        <w:t>违约责任</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Ansi="宋体"/>
          <w:color w:val="auto"/>
          <w:sz w:val="24"/>
          <w:szCs w:val="24"/>
          <w:highlight w:val="none"/>
        </w:rPr>
      </w:pPr>
      <w:r>
        <w:rPr>
          <w:rFonts w:hint="eastAsia" w:hAnsi="宋体"/>
          <w:color w:val="auto"/>
          <w:sz w:val="24"/>
          <w:szCs w:val="24"/>
          <w:highlight w:val="none"/>
          <w:lang w:val="en-US" w:eastAsia="zh-CN"/>
        </w:rPr>
        <w:t>1.</w:t>
      </w:r>
      <w:r>
        <w:rPr>
          <w:rFonts w:hAnsi="宋体"/>
          <w:color w:val="auto"/>
          <w:sz w:val="24"/>
          <w:szCs w:val="24"/>
          <w:highlight w:val="none"/>
        </w:rPr>
        <w:t>甲方无正当理由拒</w:t>
      </w:r>
      <w:r>
        <w:rPr>
          <w:rFonts w:hint="eastAsia" w:hAnsi="宋体"/>
          <w:color w:val="auto"/>
          <w:sz w:val="24"/>
          <w:szCs w:val="24"/>
          <w:highlight w:val="none"/>
        </w:rPr>
        <w:t>绝</w:t>
      </w:r>
      <w:r>
        <w:rPr>
          <w:rFonts w:hAnsi="宋体"/>
          <w:color w:val="auto"/>
          <w:sz w:val="24"/>
          <w:szCs w:val="24"/>
          <w:highlight w:val="none"/>
        </w:rPr>
        <w:t>接受服务的，甲方</w:t>
      </w:r>
      <w:r>
        <w:rPr>
          <w:rFonts w:hint="eastAsia" w:hAnsi="宋体"/>
          <w:color w:val="auto"/>
          <w:sz w:val="24"/>
          <w:szCs w:val="24"/>
          <w:highlight w:val="none"/>
        </w:rPr>
        <w:t>应</w:t>
      </w:r>
      <w:r>
        <w:rPr>
          <w:rFonts w:hAnsi="宋体"/>
          <w:color w:val="auto"/>
          <w:sz w:val="24"/>
          <w:szCs w:val="24"/>
          <w:highlight w:val="none"/>
        </w:rPr>
        <w:t>向乙方</w:t>
      </w:r>
      <w:r>
        <w:rPr>
          <w:rFonts w:hint="eastAsia" w:hAnsi="宋体"/>
          <w:color w:val="auto"/>
          <w:sz w:val="24"/>
          <w:szCs w:val="24"/>
          <w:highlight w:val="none"/>
        </w:rPr>
        <w:t>支</w:t>
      </w:r>
      <w:r>
        <w:rPr>
          <w:rFonts w:hAnsi="宋体"/>
          <w:color w:val="auto"/>
          <w:sz w:val="24"/>
          <w:szCs w:val="24"/>
          <w:highlight w:val="none"/>
        </w:rPr>
        <w:t>付合同</w:t>
      </w:r>
      <w:r>
        <w:rPr>
          <w:rFonts w:hint="eastAsia" w:hAnsi="宋体"/>
          <w:color w:val="auto"/>
          <w:sz w:val="24"/>
          <w:szCs w:val="24"/>
          <w:highlight w:val="none"/>
        </w:rPr>
        <w:t>总价款</w:t>
      </w:r>
      <w:r>
        <w:rPr>
          <w:rFonts w:hAnsi="宋体"/>
          <w:color w:val="auto"/>
          <w:sz w:val="24"/>
          <w:szCs w:val="24"/>
          <w:highlight w:val="none"/>
        </w:rPr>
        <w:t>百分之五</w:t>
      </w:r>
      <w:r>
        <w:rPr>
          <w:rFonts w:hint="eastAsia" w:hAnsi="宋体"/>
          <w:color w:val="auto"/>
          <w:sz w:val="24"/>
          <w:szCs w:val="24"/>
          <w:highlight w:val="none"/>
        </w:rPr>
        <w:t>的</w:t>
      </w:r>
      <w:r>
        <w:rPr>
          <w:rFonts w:hAnsi="宋体"/>
          <w:color w:val="auto"/>
          <w:sz w:val="24"/>
          <w:szCs w:val="24"/>
          <w:highlight w:val="none"/>
        </w:rPr>
        <w:t>违约金。</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Ansi="宋体"/>
          <w:color w:val="auto"/>
          <w:sz w:val="24"/>
          <w:szCs w:val="24"/>
          <w:highlight w:val="none"/>
        </w:rPr>
      </w:pPr>
      <w:r>
        <w:rPr>
          <w:rFonts w:hint="eastAsia" w:hAnsi="宋体"/>
          <w:color w:val="auto"/>
          <w:sz w:val="24"/>
          <w:szCs w:val="24"/>
          <w:highlight w:val="none"/>
          <w:lang w:val="en-US" w:eastAsia="zh-CN"/>
        </w:rPr>
        <w:t>2.</w:t>
      </w:r>
      <w:r>
        <w:rPr>
          <w:rFonts w:hAnsi="宋体"/>
          <w:color w:val="auto"/>
          <w:sz w:val="24"/>
          <w:szCs w:val="24"/>
          <w:highlight w:val="none"/>
        </w:rPr>
        <w:t>甲方无故</w:t>
      </w:r>
      <w:r>
        <w:rPr>
          <w:rFonts w:hint="eastAsia" w:hAnsi="宋体"/>
          <w:color w:val="auto"/>
          <w:sz w:val="24"/>
          <w:szCs w:val="24"/>
          <w:highlight w:val="none"/>
        </w:rPr>
        <w:t>逾期</w:t>
      </w:r>
      <w:r>
        <w:rPr>
          <w:rFonts w:hAnsi="宋体"/>
          <w:color w:val="auto"/>
          <w:sz w:val="24"/>
          <w:szCs w:val="24"/>
          <w:highlight w:val="none"/>
        </w:rPr>
        <w:t>付款的</w:t>
      </w:r>
      <w:r>
        <w:rPr>
          <w:rFonts w:hint="eastAsia" w:hAnsi="宋体"/>
          <w:color w:val="auto"/>
          <w:sz w:val="24"/>
          <w:szCs w:val="24"/>
          <w:highlight w:val="none"/>
        </w:rPr>
        <w:t>，</w:t>
      </w:r>
      <w:r>
        <w:rPr>
          <w:rFonts w:hAnsi="宋体"/>
          <w:color w:val="auto"/>
          <w:sz w:val="24"/>
          <w:szCs w:val="24"/>
          <w:highlight w:val="none"/>
        </w:rPr>
        <w:t>应按逾期付款</w:t>
      </w:r>
      <w:r>
        <w:rPr>
          <w:rFonts w:hint="eastAsia" w:hAnsi="宋体"/>
          <w:color w:val="auto"/>
          <w:sz w:val="24"/>
          <w:szCs w:val="24"/>
          <w:highlight w:val="none"/>
        </w:rPr>
        <w:t>金</w:t>
      </w:r>
      <w:r>
        <w:rPr>
          <w:rFonts w:hAnsi="宋体"/>
          <w:color w:val="auto"/>
          <w:sz w:val="24"/>
          <w:szCs w:val="24"/>
          <w:highlight w:val="none"/>
        </w:rPr>
        <w:t>额</w:t>
      </w:r>
      <w:r>
        <w:rPr>
          <w:rFonts w:hint="eastAsia" w:hAnsi="宋体"/>
          <w:color w:val="auto"/>
          <w:sz w:val="24"/>
          <w:szCs w:val="24"/>
          <w:highlight w:val="none"/>
        </w:rPr>
        <w:t>的</w:t>
      </w:r>
      <w:r>
        <w:rPr>
          <w:rFonts w:hAnsi="宋体"/>
          <w:color w:val="auto"/>
          <w:sz w:val="24"/>
          <w:szCs w:val="24"/>
          <w:highlight w:val="none"/>
        </w:rPr>
        <w:t>万分之五每</w:t>
      </w:r>
      <w:r>
        <w:rPr>
          <w:rFonts w:hint="eastAsia" w:hAnsi="宋体"/>
          <w:color w:val="auto"/>
          <w:sz w:val="24"/>
          <w:szCs w:val="24"/>
          <w:highlight w:val="none"/>
        </w:rPr>
        <w:t>日</w:t>
      </w:r>
      <w:r>
        <w:rPr>
          <w:rFonts w:hAnsi="宋体"/>
          <w:color w:val="auto"/>
          <w:sz w:val="24"/>
          <w:szCs w:val="24"/>
          <w:highlight w:val="none"/>
        </w:rPr>
        <w:t>支付违约金。</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Ansi="宋体"/>
          <w:color w:val="auto"/>
          <w:sz w:val="24"/>
          <w:szCs w:val="24"/>
          <w:highlight w:val="none"/>
        </w:rPr>
      </w:pPr>
      <w:r>
        <w:rPr>
          <w:rFonts w:hint="eastAsia" w:hAnsi="宋体"/>
          <w:color w:val="auto"/>
          <w:sz w:val="24"/>
          <w:szCs w:val="24"/>
          <w:highlight w:val="none"/>
          <w:lang w:val="en-US" w:eastAsia="zh-CN"/>
        </w:rPr>
        <w:t>3.</w:t>
      </w:r>
      <w:r>
        <w:rPr>
          <w:rFonts w:hAnsi="宋体"/>
          <w:color w:val="auto"/>
          <w:sz w:val="24"/>
          <w:szCs w:val="24"/>
          <w:highlight w:val="none"/>
        </w:rPr>
        <w:t>乙方</w:t>
      </w:r>
      <w:r>
        <w:rPr>
          <w:rFonts w:hint="eastAsia" w:hAnsi="宋体"/>
          <w:color w:val="auto"/>
          <w:sz w:val="24"/>
          <w:szCs w:val="24"/>
          <w:highlight w:val="none"/>
        </w:rPr>
        <w:t>逾期履行合同义务的，应按合同总价款的</w:t>
      </w:r>
      <w:r>
        <w:rPr>
          <w:rFonts w:hAnsi="宋体"/>
          <w:color w:val="auto"/>
          <w:sz w:val="24"/>
          <w:szCs w:val="24"/>
          <w:highlight w:val="none"/>
        </w:rPr>
        <w:t>千分之六</w:t>
      </w:r>
      <w:r>
        <w:rPr>
          <w:rFonts w:hint="eastAsia" w:hAnsi="宋体"/>
          <w:color w:val="auto"/>
          <w:sz w:val="24"/>
          <w:szCs w:val="24"/>
          <w:highlight w:val="none"/>
        </w:rPr>
        <w:t>每日支付</w:t>
      </w:r>
      <w:r>
        <w:rPr>
          <w:rFonts w:hAnsi="宋体"/>
          <w:color w:val="auto"/>
          <w:sz w:val="24"/>
          <w:szCs w:val="24"/>
          <w:highlight w:val="none"/>
        </w:rPr>
        <w:t>违约金。乙方</w:t>
      </w:r>
      <w:r>
        <w:rPr>
          <w:rFonts w:hint="eastAsia" w:hAnsi="宋体"/>
          <w:color w:val="auto"/>
          <w:sz w:val="24"/>
          <w:szCs w:val="24"/>
          <w:highlight w:val="none"/>
        </w:rPr>
        <w:t>逾期</w:t>
      </w:r>
      <w:r>
        <w:rPr>
          <w:rFonts w:hAnsi="宋体"/>
          <w:color w:val="auto"/>
          <w:sz w:val="24"/>
          <w:szCs w:val="24"/>
          <w:highlight w:val="none"/>
        </w:rPr>
        <w:t>10个工作日</w:t>
      </w:r>
      <w:r>
        <w:rPr>
          <w:rFonts w:hint="eastAsia" w:hAnsi="宋体"/>
          <w:color w:val="auto"/>
          <w:sz w:val="24"/>
          <w:szCs w:val="24"/>
          <w:highlight w:val="none"/>
        </w:rPr>
        <w:t>及以上履行合同义务的</w:t>
      </w:r>
      <w:r>
        <w:rPr>
          <w:rFonts w:hAnsi="宋体"/>
          <w:color w:val="auto"/>
          <w:sz w:val="24"/>
          <w:szCs w:val="24"/>
          <w:highlight w:val="none"/>
        </w:rPr>
        <w:t>，甲方</w:t>
      </w:r>
      <w:r>
        <w:rPr>
          <w:rFonts w:hint="eastAsia" w:hAnsi="宋体"/>
          <w:color w:val="auto"/>
          <w:sz w:val="24"/>
          <w:szCs w:val="24"/>
          <w:highlight w:val="none"/>
        </w:rPr>
        <w:t>有权</w:t>
      </w:r>
      <w:r>
        <w:rPr>
          <w:rFonts w:hAnsi="宋体"/>
          <w:color w:val="auto"/>
          <w:sz w:val="24"/>
          <w:szCs w:val="24"/>
          <w:highlight w:val="none"/>
        </w:rPr>
        <w:t>解除本合同，</w:t>
      </w:r>
      <w:r>
        <w:rPr>
          <w:rFonts w:hint="eastAsia" w:hAnsi="宋体"/>
          <w:color w:val="auto"/>
          <w:sz w:val="24"/>
          <w:szCs w:val="24"/>
          <w:highlight w:val="none"/>
        </w:rPr>
        <w:t>并拒付（或要求乙方退还）合同价款，</w:t>
      </w:r>
      <w:r>
        <w:rPr>
          <w:rFonts w:hAnsi="宋体"/>
          <w:color w:val="auto"/>
          <w:sz w:val="24"/>
          <w:szCs w:val="24"/>
          <w:highlight w:val="none"/>
        </w:rPr>
        <w:t>乙方应</w:t>
      </w:r>
      <w:r>
        <w:rPr>
          <w:rFonts w:hint="eastAsia" w:hAnsi="宋体"/>
          <w:color w:val="auto"/>
          <w:sz w:val="24"/>
          <w:szCs w:val="24"/>
          <w:highlight w:val="none"/>
        </w:rPr>
        <w:t>按</w:t>
      </w:r>
      <w:r>
        <w:rPr>
          <w:rFonts w:hAnsi="宋体"/>
          <w:color w:val="auto"/>
          <w:sz w:val="24"/>
          <w:szCs w:val="24"/>
          <w:highlight w:val="none"/>
        </w:rPr>
        <w:t>合同总</w:t>
      </w:r>
      <w:r>
        <w:rPr>
          <w:rFonts w:hint="eastAsia" w:hAnsi="宋体"/>
          <w:color w:val="auto"/>
          <w:sz w:val="24"/>
          <w:szCs w:val="24"/>
          <w:highlight w:val="none"/>
        </w:rPr>
        <w:t>价款的6</w:t>
      </w:r>
      <w:r>
        <w:rPr>
          <w:rFonts w:hAnsi="宋体"/>
          <w:color w:val="auto"/>
          <w:sz w:val="24"/>
          <w:szCs w:val="24"/>
          <w:highlight w:val="none"/>
        </w:rPr>
        <w:t>%</w:t>
      </w:r>
      <w:r>
        <w:rPr>
          <w:rFonts w:hint="eastAsia" w:hAnsi="宋体"/>
          <w:color w:val="auto"/>
          <w:sz w:val="24"/>
          <w:szCs w:val="24"/>
          <w:highlight w:val="none"/>
        </w:rPr>
        <w:t>向甲方支付</w:t>
      </w:r>
      <w:r>
        <w:rPr>
          <w:rFonts w:hAnsi="宋体"/>
          <w:color w:val="auto"/>
          <w:sz w:val="24"/>
          <w:szCs w:val="24"/>
          <w:highlight w:val="none"/>
        </w:rPr>
        <w:t>违约金，造成甲方损失的，乙方</w:t>
      </w:r>
      <w:r>
        <w:rPr>
          <w:rFonts w:hint="eastAsia" w:hAnsi="宋体"/>
          <w:color w:val="auto"/>
          <w:sz w:val="24"/>
          <w:szCs w:val="24"/>
          <w:highlight w:val="none"/>
        </w:rPr>
        <w:t>应</w:t>
      </w:r>
      <w:r>
        <w:rPr>
          <w:rFonts w:hAnsi="宋体"/>
          <w:color w:val="auto"/>
          <w:sz w:val="24"/>
          <w:szCs w:val="24"/>
          <w:highlight w:val="none"/>
        </w:rPr>
        <w:t xml:space="preserve">承担赔偿责任。 </w:t>
      </w:r>
    </w:p>
    <w:p>
      <w:pPr>
        <w:pStyle w:val="2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hAnsi="宋体"/>
          <w:color w:val="auto"/>
          <w:sz w:val="24"/>
          <w:szCs w:val="24"/>
          <w:highlight w:val="none"/>
          <w:lang w:val="en-US" w:eastAsia="zh-CN"/>
        </w:rPr>
        <w:t>4.合同履行期内，任何一方因不可抗力事件不能履行合同的，合同履行期限可相应顺延。不可抗力事件发生后，应立即通知对方，并邮寄或送达有关权威机构出具的证明。</w:t>
      </w:r>
    </w:p>
    <w:p>
      <w:pPr>
        <w:keepNext w:val="0"/>
        <w:keepLines w:val="0"/>
        <w:pageBreakBefore w:val="0"/>
        <w:widowControl w:val="0"/>
        <w:kinsoku/>
        <w:wordWrap/>
        <w:overflowPunct/>
        <w:topLinePunct w:val="0"/>
        <w:bidi w:val="0"/>
        <w:spacing w:line="360" w:lineRule="auto"/>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第十条：不可抗力事件处理</w:t>
      </w:r>
    </w:p>
    <w:p>
      <w:pPr>
        <w:keepNext w:val="0"/>
        <w:keepLines w:val="0"/>
        <w:pageBreakBefore w:val="0"/>
        <w:widowControl w:val="0"/>
        <w:kinsoku/>
        <w:wordWrap/>
        <w:overflowPunct/>
        <w:topLinePunct w:val="0"/>
        <w:bidi w:val="0"/>
        <w:spacing w:line="360" w:lineRule="auto"/>
        <w:ind w:left="0" w:leftChars="0" w:right="0" w:rightChars="0" w:firstLine="456"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pacing w:line="360" w:lineRule="auto"/>
        <w:ind w:left="0" w:leftChars="0" w:right="0" w:rightChars="0" w:firstLine="456"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不可抗力事件发生后，应立即通知对方，并寄送有关权威机构出具的证明。</w:t>
      </w:r>
    </w:p>
    <w:p>
      <w:pPr>
        <w:keepNext w:val="0"/>
        <w:keepLines w:val="0"/>
        <w:pageBreakBefore w:val="0"/>
        <w:widowControl w:val="0"/>
        <w:kinsoku/>
        <w:wordWrap/>
        <w:overflowPunct/>
        <w:topLinePunct w:val="0"/>
        <w:bidi w:val="0"/>
        <w:spacing w:line="360" w:lineRule="auto"/>
        <w:ind w:left="0" w:leftChars="0" w:right="0" w:rightChars="0" w:firstLine="456"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不可抗力事件延续120天以上，双方应通过友好协商，确定是否继续履行合同。</w:t>
      </w:r>
    </w:p>
    <w:p>
      <w:pPr>
        <w:keepNext w:val="0"/>
        <w:keepLines w:val="0"/>
        <w:pageBreakBefore w:val="0"/>
        <w:widowControl w:val="0"/>
        <w:kinsoku/>
        <w:wordWrap/>
        <w:overflowPunct/>
        <w:topLinePunct w:val="0"/>
        <w:bidi w:val="0"/>
        <w:spacing w:line="360" w:lineRule="auto"/>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第十一条：争议解决</w:t>
      </w:r>
    </w:p>
    <w:p>
      <w:pPr>
        <w:keepNext w:val="0"/>
        <w:keepLines w:val="0"/>
        <w:pageBreakBefore w:val="0"/>
        <w:widowControl w:val="0"/>
        <w:kinsoku/>
        <w:wordWrap/>
        <w:overflowPunct/>
        <w:topLinePunct w:val="0"/>
        <w:bidi w:val="0"/>
        <w:spacing w:line="360" w:lineRule="auto"/>
        <w:ind w:left="0" w:leftChars="0" w:right="0" w:rightChars="0" w:firstLine="456"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本合同未尽事宜由双方协商解决，如协商不成，双方同意将本合同引起的争议提交甲方所在地法院起诉。</w:t>
      </w:r>
    </w:p>
    <w:p>
      <w:pPr>
        <w:keepNext w:val="0"/>
        <w:keepLines w:val="0"/>
        <w:pageBreakBefore w:val="0"/>
        <w:widowControl w:val="0"/>
        <w:kinsoku/>
        <w:wordWrap/>
        <w:overflowPunct/>
        <w:topLinePunct w:val="0"/>
        <w:bidi w:val="0"/>
        <w:spacing w:line="360" w:lineRule="auto"/>
        <w:ind w:left="0" w:leftChars="0" w:right="0" w:rightChars="0" w:firstLine="482"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第十二条：合同生效</w:t>
      </w:r>
    </w:p>
    <w:p>
      <w:pPr>
        <w:keepNext w:val="0"/>
        <w:keepLines w:val="0"/>
        <w:pageBreakBefore w:val="0"/>
        <w:widowControl w:val="0"/>
        <w:kinsoku/>
        <w:wordWrap/>
        <w:overflowPunct/>
        <w:topLinePunct w:val="0"/>
        <w:bidi w:val="0"/>
        <w:spacing w:line="360" w:lineRule="auto"/>
        <w:ind w:left="0" w:leftChars="0" w:right="0" w:rightChars="0" w:firstLine="456"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合同经三方法定代表人或授权代表签字并加盖单位公章后生效。</w:t>
      </w:r>
    </w:p>
    <w:p>
      <w:pPr>
        <w:keepNext w:val="0"/>
        <w:keepLines w:val="0"/>
        <w:pageBreakBefore w:val="0"/>
        <w:widowControl w:val="0"/>
        <w:kinsoku/>
        <w:wordWrap/>
        <w:overflowPunct/>
        <w:topLinePunct w:val="0"/>
        <w:bidi w:val="0"/>
        <w:spacing w:line="360" w:lineRule="auto"/>
        <w:ind w:left="0" w:leftChars="0" w:right="0" w:rightChars="0" w:firstLine="456"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合同执行中涉及采购资金和采购内容修改或补充的，须经甲方审批，并签书面补充协议报采购监督管理部门备案，方可作为主合同不可分割的一部分。</w:t>
      </w:r>
    </w:p>
    <w:p>
      <w:pPr>
        <w:keepNext w:val="0"/>
        <w:keepLines w:val="0"/>
        <w:pageBreakBefore w:val="0"/>
        <w:widowControl w:val="0"/>
        <w:kinsoku/>
        <w:wordWrap/>
        <w:overflowPunct/>
        <w:topLinePunct w:val="0"/>
        <w:bidi w:val="0"/>
        <w:spacing w:line="360" w:lineRule="auto"/>
        <w:ind w:left="0" w:leftChars="0" w:right="0" w:rightChars="0" w:firstLine="456"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3.本合同未尽事宜，遵照《</w:t>
      </w:r>
      <w:r>
        <w:rPr>
          <w:rFonts w:hint="eastAsia" w:ascii="宋体" w:hAnsi="宋体" w:eastAsia="宋体" w:cs="宋体"/>
          <w:color w:val="auto"/>
          <w:spacing w:val="-6"/>
          <w:sz w:val="24"/>
          <w:szCs w:val="24"/>
          <w:highlight w:val="none"/>
          <w:lang w:val="en-US" w:eastAsia="zh-CN"/>
        </w:rPr>
        <w:t>民法典</w:t>
      </w:r>
      <w:r>
        <w:rPr>
          <w:rFonts w:hint="eastAsia" w:ascii="宋体" w:hAnsi="宋体" w:eastAsia="宋体" w:cs="宋体"/>
          <w:color w:val="auto"/>
          <w:spacing w:val="-6"/>
          <w:sz w:val="24"/>
          <w:szCs w:val="24"/>
          <w:highlight w:val="none"/>
        </w:rPr>
        <w:t>》有关条文执行。</w:t>
      </w:r>
    </w:p>
    <w:p>
      <w:pPr>
        <w:keepNext w:val="0"/>
        <w:keepLines w:val="0"/>
        <w:pageBreakBefore w:val="0"/>
        <w:widowControl w:val="0"/>
        <w:kinsoku/>
        <w:wordWrap/>
        <w:overflowPunct/>
        <w:topLinePunct w:val="0"/>
        <w:bidi w:val="0"/>
        <w:spacing w:line="360" w:lineRule="auto"/>
        <w:ind w:left="0" w:leftChars="0" w:right="0" w:rightChars="0" w:firstLine="456"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4.本合同一式七份，采购代理机构各执壹份，甲乙双方各执叁份。</w:t>
      </w:r>
    </w:p>
    <w:p>
      <w:pPr>
        <w:keepNext w:val="0"/>
        <w:keepLines w:val="0"/>
        <w:pageBreakBefore w:val="0"/>
        <w:widowControl w:val="0"/>
        <w:kinsoku/>
        <w:wordWrap/>
        <w:overflowPunct/>
        <w:topLinePunct w:val="0"/>
        <w:bidi w:val="0"/>
        <w:spacing w:line="360" w:lineRule="auto"/>
        <w:ind w:left="0" w:leftChars="0" w:right="0" w:rightChars="0" w:firstLine="456" w:firstLineChars="20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w:t>
      </w:r>
      <w:r>
        <w:rPr>
          <w:rFonts w:hint="eastAsia" w:hAnsi="宋体"/>
          <w:color w:val="auto"/>
          <w:sz w:val="24"/>
          <w:szCs w:val="24"/>
          <w:highlight w:val="none"/>
          <w:lang w:val="en-US" w:eastAsia="zh-CN"/>
        </w:rPr>
        <w:t>本合同附件及甲方的招标文件、乙方的投标文件、书面澄清（承诺）等系本合同的组成部分</w:t>
      </w:r>
      <w:r>
        <w:rPr>
          <w:rFonts w:hint="eastAsia" w:ascii="宋体" w:hAnsi="宋体" w:eastAsia="宋体" w:cs="宋体"/>
          <w:color w:val="auto"/>
          <w:spacing w:val="-6"/>
          <w:sz w:val="24"/>
          <w:szCs w:val="24"/>
          <w:highlight w:val="none"/>
        </w:rPr>
        <w:t>。</w:t>
      </w:r>
    </w:p>
    <w:p>
      <w:pPr>
        <w:bidi w:val="0"/>
        <w:rPr>
          <w:rFonts w:hint="eastAsia"/>
          <w:color w:val="auto"/>
          <w:highlight w:val="none"/>
        </w:rPr>
      </w:pPr>
    </w:p>
    <w:p>
      <w:pPr>
        <w:bidi w:val="0"/>
        <w:rPr>
          <w:rFonts w:hint="eastAsia"/>
          <w:color w:val="auto"/>
          <w:highlight w:val="none"/>
        </w:rPr>
      </w:pPr>
    </w:p>
    <w:tbl>
      <w:tblPr>
        <w:tblStyle w:val="43"/>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4"/>
        <w:gridCol w:w="4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14" w:type="dxa"/>
            <w:noWrap w:val="0"/>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甲方（需方）：</w:t>
            </w:r>
            <w:r>
              <w:rPr>
                <w:rFonts w:hint="eastAsia" w:ascii="宋体" w:hAnsi="宋体" w:cs="宋体"/>
                <w:b/>
                <w:bCs/>
                <w:color w:val="auto"/>
                <w:sz w:val="24"/>
                <w:szCs w:val="24"/>
                <w:highlight w:val="none"/>
                <w:lang w:eastAsia="zh-CN"/>
              </w:rPr>
              <w:t>浙江警察学院</w:t>
            </w:r>
            <w:r>
              <w:rPr>
                <w:rFonts w:hint="eastAsia" w:ascii="宋体" w:hAnsi="宋体" w:eastAsia="宋体" w:cs="宋体"/>
                <w:b/>
                <w:bCs/>
                <w:color w:val="auto"/>
                <w:sz w:val="24"/>
                <w:szCs w:val="24"/>
                <w:highlight w:val="none"/>
              </w:rPr>
              <w:t>（公章）</w:t>
            </w:r>
          </w:p>
        </w:tc>
        <w:tc>
          <w:tcPr>
            <w:tcW w:w="4814" w:type="dxa"/>
            <w:noWrap w:val="0"/>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乙方（供方）：（公章）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甲方代表：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乙方代表：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p>
        </w:tc>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14" w:type="dxa"/>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合同鉴证方：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14" w:type="dxa"/>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法定代表人或主要负责人：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14" w:type="dxa"/>
          <w:trHeight w:val="340" w:hRule="atLeast"/>
        </w:trPr>
        <w:tc>
          <w:tcPr>
            <w:tcW w:w="481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鉴证日期：</w:t>
            </w:r>
          </w:p>
        </w:tc>
      </w:tr>
    </w:tbl>
    <w:p>
      <w:pPr>
        <w:spacing w:line="360" w:lineRule="auto"/>
        <w:rPr>
          <w:rFonts w:ascii="宋体" w:hAnsi="宋体" w:cs="宋体"/>
          <w:color w:val="auto"/>
          <w:sz w:val="24"/>
          <w:szCs w:val="24"/>
          <w:highlight w:val="none"/>
        </w:rPr>
      </w:pPr>
    </w:p>
    <w:p>
      <w:pPr>
        <w:pStyle w:val="22"/>
        <w:snapToGrid w:val="0"/>
        <w:spacing w:line="360" w:lineRule="auto"/>
        <w:jc w:val="center"/>
        <w:outlineLvl w:val="0"/>
        <w:rPr>
          <w:rStyle w:val="52"/>
          <w:color w:val="auto"/>
          <w:sz w:val="32"/>
          <w:szCs w:val="32"/>
          <w:highlight w:val="none"/>
        </w:rPr>
      </w:pPr>
      <w:bookmarkStart w:id="75" w:name="_Toc27496"/>
      <w:r>
        <w:rPr>
          <w:rFonts w:hAnsi="宋体" w:cs="宋体"/>
          <w:b/>
          <w:color w:val="auto"/>
          <w:sz w:val="36"/>
          <w:szCs w:val="36"/>
          <w:highlight w:val="none"/>
        </w:rPr>
        <w:br w:type="page"/>
      </w:r>
      <w:bookmarkStart w:id="76" w:name="_Toc1269"/>
      <w:r>
        <w:rPr>
          <w:rStyle w:val="52"/>
          <w:rFonts w:ascii="Times New Roman" w:hAnsi="Times New Roman" w:eastAsia="宋体" w:cs="Times New Roman"/>
          <w:color w:val="auto"/>
          <w:sz w:val="36"/>
          <w:szCs w:val="36"/>
          <w:highlight w:val="none"/>
        </w:rPr>
        <w:t>第六章　投标文件格式</w:t>
      </w:r>
      <w:bookmarkEnd w:id="75"/>
      <w:bookmarkEnd w:id="76"/>
    </w:p>
    <w:p>
      <w:pPr>
        <w:snapToGrid w:val="0"/>
        <w:spacing w:before="156" w:beforeLines="50" w:after="50" w:line="360" w:lineRule="auto"/>
        <w:rPr>
          <w:rFonts w:ascii="宋体" w:hAnsi="宋体" w:cs="宋体"/>
          <w:b/>
          <w:color w:val="auto"/>
          <w:sz w:val="24"/>
          <w:highlight w:val="none"/>
        </w:rPr>
      </w:pPr>
      <w:r>
        <w:rPr>
          <w:rFonts w:ascii="宋体" w:hAnsi="宋体" w:cs="宋体"/>
          <w:b/>
          <w:color w:val="auto"/>
          <w:sz w:val="24"/>
          <w:highlight w:val="none"/>
        </w:rPr>
        <w:t>1.电子备份投标文件的外包装封面格式</w:t>
      </w:r>
    </w:p>
    <w:p>
      <w:pPr>
        <w:snapToGrid w:val="0"/>
        <w:spacing w:before="156" w:beforeLines="50" w:after="50" w:line="360" w:lineRule="auto"/>
        <w:rPr>
          <w:rFonts w:ascii="宋体" w:hAnsi="宋体" w:cs="宋体"/>
          <w:bCs/>
          <w:color w:val="auto"/>
          <w:sz w:val="24"/>
          <w:highlight w:val="none"/>
        </w:rPr>
      </w:pPr>
    </w:p>
    <w:p>
      <w:pPr>
        <w:snapToGrid w:val="0"/>
        <w:spacing w:before="156" w:beforeLines="50" w:after="50" w:line="360" w:lineRule="auto"/>
        <w:jc w:val="center"/>
        <w:rPr>
          <w:rFonts w:ascii="宋体" w:hAnsi="宋体" w:cs="宋体"/>
          <w:b/>
          <w:bCs/>
          <w:color w:val="auto"/>
          <w:sz w:val="52"/>
          <w:szCs w:val="52"/>
          <w:highlight w:val="none"/>
        </w:rPr>
      </w:pPr>
      <w:r>
        <w:rPr>
          <w:rFonts w:ascii="宋体" w:hAnsi="宋体" w:cs="宋体"/>
          <w:b/>
          <w:bCs/>
          <w:color w:val="auto"/>
          <w:sz w:val="52"/>
          <w:szCs w:val="52"/>
          <w:highlight w:val="none"/>
        </w:rPr>
        <w:t>电子备份投标文件</w:t>
      </w:r>
    </w:p>
    <w:p>
      <w:pPr>
        <w:snapToGrid w:val="0"/>
        <w:spacing w:before="156" w:beforeLines="50" w:after="50" w:line="360" w:lineRule="auto"/>
        <w:rPr>
          <w:rFonts w:ascii="宋体" w:hAnsi="宋体" w:cs="宋体"/>
          <w:bCs/>
          <w:color w:val="auto"/>
          <w:sz w:val="24"/>
          <w:highlight w:val="none"/>
        </w:rPr>
      </w:pPr>
    </w:p>
    <w:p>
      <w:pPr>
        <w:snapToGrid w:val="0"/>
        <w:spacing w:before="156" w:beforeLines="50" w:after="50" w:line="360" w:lineRule="auto"/>
        <w:ind w:firstLine="1120" w:firstLineChars="400"/>
        <w:rPr>
          <w:rFonts w:hint="eastAsia" w:ascii="宋体" w:hAnsi="宋体" w:eastAsia="宋体" w:cs="宋体"/>
          <w:bCs/>
          <w:color w:val="auto"/>
          <w:sz w:val="28"/>
          <w:szCs w:val="28"/>
          <w:highlight w:val="none"/>
          <w:lang w:eastAsia="zh-CN"/>
        </w:rPr>
      </w:pPr>
      <w:r>
        <w:rPr>
          <w:rFonts w:ascii="宋体" w:hAnsi="宋体" w:cs="宋体"/>
          <w:bCs/>
          <w:color w:val="auto"/>
          <w:sz w:val="28"/>
          <w:szCs w:val="28"/>
          <w:highlight w:val="none"/>
        </w:rPr>
        <w:t>项目名称：</w:t>
      </w:r>
      <w:r>
        <w:rPr>
          <w:rFonts w:hint="eastAsia" w:ascii="宋体" w:hAnsi="宋体" w:cs="宋体"/>
          <w:bCs/>
          <w:color w:val="auto"/>
          <w:sz w:val="28"/>
          <w:szCs w:val="28"/>
          <w:highlight w:val="none"/>
          <w:lang w:eastAsia="zh-CN"/>
        </w:rPr>
        <w:t>“数字浙警”建设工程-教师绩效码和学生成长码-数据采集及应用场景迭代项目</w:t>
      </w:r>
    </w:p>
    <w:p>
      <w:pPr>
        <w:snapToGrid w:val="0"/>
        <w:spacing w:before="156" w:beforeLines="50" w:after="50" w:line="360" w:lineRule="auto"/>
        <w:ind w:firstLine="1120" w:firstLineChars="400"/>
        <w:rPr>
          <w:rFonts w:ascii="宋体" w:hAnsi="宋体" w:cs="宋体"/>
          <w:bCs/>
          <w:color w:val="auto"/>
          <w:sz w:val="28"/>
          <w:szCs w:val="28"/>
          <w:highlight w:val="none"/>
        </w:rPr>
      </w:pPr>
      <w:r>
        <w:rPr>
          <w:rFonts w:ascii="宋体" w:hAnsi="宋体" w:cs="宋体"/>
          <w:bCs/>
          <w:color w:val="auto"/>
          <w:sz w:val="28"/>
          <w:szCs w:val="28"/>
          <w:highlight w:val="none"/>
        </w:rPr>
        <w:t>项目编号：</w:t>
      </w:r>
    </w:p>
    <w:p>
      <w:pPr>
        <w:snapToGrid w:val="0"/>
        <w:spacing w:before="156" w:beforeLines="50" w:after="50" w:line="360" w:lineRule="auto"/>
        <w:ind w:firstLine="1260" w:firstLineChars="450"/>
        <w:rPr>
          <w:rFonts w:ascii="宋体" w:hAnsi="宋体" w:cs="宋体"/>
          <w:bCs/>
          <w:color w:val="auto"/>
          <w:sz w:val="28"/>
          <w:szCs w:val="28"/>
          <w:highlight w:val="none"/>
        </w:rPr>
      </w:pPr>
    </w:p>
    <w:p>
      <w:pPr>
        <w:snapToGrid w:val="0"/>
        <w:spacing w:before="156" w:beforeLines="50" w:after="50" w:line="360" w:lineRule="auto"/>
        <w:ind w:firstLine="1260" w:firstLineChars="450"/>
        <w:rPr>
          <w:rFonts w:ascii="宋体" w:hAnsi="宋体" w:cs="宋体"/>
          <w:bCs/>
          <w:color w:val="auto"/>
          <w:sz w:val="28"/>
          <w:szCs w:val="28"/>
          <w:highlight w:val="none"/>
        </w:rPr>
      </w:pPr>
    </w:p>
    <w:p>
      <w:pPr>
        <w:snapToGrid w:val="0"/>
        <w:spacing w:before="156" w:beforeLines="50" w:after="50" w:line="360" w:lineRule="auto"/>
        <w:ind w:firstLine="1260" w:firstLineChars="450"/>
        <w:rPr>
          <w:rFonts w:ascii="宋体" w:hAnsi="宋体" w:cs="宋体"/>
          <w:bCs/>
          <w:color w:val="auto"/>
          <w:sz w:val="28"/>
          <w:szCs w:val="28"/>
          <w:highlight w:val="none"/>
        </w:rPr>
      </w:pPr>
    </w:p>
    <w:p>
      <w:pPr>
        <w:pStyle w:val="10"/>
        <w:snapToGrid w:val="0"/>
        <w:spacing w:before="50" w:after="50" w:line="360" w:lineRule="auto"/>
        <w:ind w:firstLine="1260" w:firstLineChars="450"/>
        <w:rPr>
          <w:rFonts w:ascii="宋体" w:hAnsi="宋体" w:cs="宋体"/>
          <w:bCs/>
          <w:color w:val="auto"/>
          <w:sz w:val="28"/>
          <w:szCs w:val="28"/>
          <w:highlight w:val="none"/>
        </w:rPr>
      </w:pPr>
    </w:p>
    <w:p>
      <w:pPr>
        <w:pStyle w:val="10"/>
        <w:snapToGrid w:val="0"/>
        <w:spacing w:before="50" w:after="50" w:line="360" w:lineRule="auto"/>
        <w:ind w:firstLine="1260" w:firstLineChars="450"/>
        <w:rPr>
          <w:rFonts w:ascii="宋体" w:hAnsi="宋体" w:cs="宋体"/>
          <w:bCs/>
          <w:color w:val="auto"/>
          <w:sz w:val="28"/>
          <w:szCs w:val="28"/>
          <w:highlight w:val="none"/>
        </w:rPr>
      </w:pPr>
    </w:p>
    <w:p>
      <w:pPr>
        <w:pStyle w:val="10"/>
        <w:snapToGrid w:val="0"/>
        <w:spacing w:before="50" w:after="50" w:line="360" w:lineRule="auto"/>
        <w:ind w:firstLine="1260" w:firstLineChars="450"/>
        <w:rPr>
          <w:rFonts w:ascii="宋体" w:hAnsi="宋体" w:cs="宋体"/>
          <w:bCs/>
          <w:color w:val="auto"/>
          <w:sz w:val="28"/>
          <w:szCs w:val="28"/>
          <w:highlight w:val="none"/>
        </w:rPr>
      </w:pPr>
    </w:p>
    <w:p>
      <w:pPr>
        <w:pStyle w:val="10"/>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投标人名称：</w:t>
      </w:r>
    </w:p>
    <w:p>
      <w:pPr>
        <w:pStyle w:val="10"/>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投标人地址：</w:t>
      </w:r>
    </w:p>
    <w:p>
      <w:pPr>
        <w:pStyle w:val="10"/>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在  年  月  日  时  分之前不得启封</w:t>
      </w:r>
    </w:p>
    <w:p>
      <w:pPr>
        <w:pStyle w:val="10"/>
        <w:snapToGrid w:val="0"/>
        <w:spacing w:before="50" w:after="50" w:line="360" w:lineRule="auto"/>
        <w:ind w:firstLine="1164" w:firstLineChars="416"/>
        <w:rPr>
          <w:rFonts w:ascii="宋体" w:hAnsi="宋体" w:cs="宋体"/>
          <w:color w:val="auto"/>
          <w:sz w:val="28"/>
          <w:szCs w:val="28"/>
          <w:highlight w:val="none"/>
        </w:rPr>
      </w:pPr>
    </w:p>
    <w:p>
      <w:pPr>
        <w:snapToGrid w:val="0"/>
        <w:spacing w:before="156" w:beforeLines="50" w:after="50" w:line="360" w:lineRule="auto"/>
        <w:ind w:firstLine="645"/>
        <w:rPr>
          <w:rFonts w:ascii="宋体" w:hAnsi="宋体" w:cs="宋体"/>
          <w:color w:val="auto"/>
          <w:sz w:val="28"/>
          <w:szCs w:val="28"/>
          <w:highlight w:val="none"/>
        </w:rPr>
      </w:pPr>
      <w:r>
        <w:rPr>
          <w:rFonts w:ascii="宋体" w:hAnsi="宋体" w:cs="宋体"/>
          <w:color w:val="auto"/>
          <w:sz w:val="28"/>
          <w:szCs w:val="28"/>
          <w:highlight w:val="none"/>
        </w:rPr>
        <w:t xml:space="preserve">                        年  月  日</w:t>
      </w:r>
    </w:p>
    <w:p>
      <w:pPr>
        <w:snapToGrid w:val="0"/>
        <w:spacing w:before="156" w:beforeLines="50" w:after="50" w:line="360" w:lineRule="auto"/>
        <w:rPr>
          <w:rFonts w:ascii="宋体" w:hAnsi="宋体" w:cs="宋体"/>
          <w:b/>
          <w:color w:val="auto"/>
          <w:sz w:val="24"/>
          <w:highlight w:val="none"/>
        </w:rPr>
      </w:pPr>
      <w:r>
        <w:rPr>
          <w:rFonts w:ascii="宋体" w:hAnsi="宋体" w:cs="宋体"/>
          <w:color w:val="auto"/>
          <w:sz w:val="28"/>
          <w:szCs w:val="28"/>
          <w:highlight w:val="none"/>
        </w:rPr>
        <w:br w:type="page"/>
      </w:r>
      <w:r>
        <w:rPr>
          <w:rFonts w:ascii="宋体" w:hAnsi="宋体" w:cs="宋体"/>
          <w:b/>
          <w:color w:val="auto"/>
          <w:sz w:val="24"/>
          <w:highlight w:val="none"/>
        </w:rPr>
        <w:t>2.资格证明/商务技术/报价</w:t>
      </w:r>
      <w:r>
        <w:rPr>
          <w:rFonts w:ascii="宋体" w:hAnsi="宋体" w:cs="宋体"/>
          <w:b/>
          <w:bCs/>
          <w:color w:val="auto"/>
          <w:sz w:val="24"/>
          <w:highlight w:val="none"/>
        </w:rPr>
        <w:t>文件</w:t>
      </w:r>
      <w:r>
        <w:rPr>
          <w:rFonts w:ascii="宋体" w:hAnsi="宋体" w:cs="宋体"/>
          <w:b/>
          <w:color w:val="auto"/>
          <w:sz w:val="24"/>
          <w:highlight w:val="none"/>
        </w:rPr>
        <w:t xml:space="preserve">封面格式 </w:t>
      </w:r>
    </w:p>
    <w:p>
      <w:pPr>
        <w:snapToGrid w:val="0"/>
        <w:spacing w:before="156" w:beforeLines="50" w:after="50" w:line="360" w:lineRule="auto"/>
        <w:rPr>
          <w:rFonts w:ascii="宋体" w:hAnsi="宋体" w:cs="宋体"/>
          <w:color w:val="auto"/>
          <w:sz w:val="24"/>
          <w:highlight w:val="none"/>
        </w:rPr>
      </w:pPr>
      <w:r>
        <w:rPr>
          <w:rFonts w:ascii="宋体" w:hAnsi="宋体" w:cs="宋体"/>
          <w:color w:val="auto"/>
          <w:sz w:val="24"/>
          <w:highlight w:val="none"/>
        </w:rPr>
        <w:t xml:space="preserve">                                                                  </w:t>
      </w:r>
    </w:p>
    <w:p>
      <w:pPr>
        <w:snapToGrid w:val="0"/>
        <w:spacing w:before="156" w:beforeLines="50" w:after="50" w:line="360" w:lineRule="auto"/>
        <w:rPr>
          <w:rFonts w:ascii="宋体" w:hAnsi="宋体" w:cs="宋体"/>
          <w:b/>
          <w:bCs/>
          <w:color w:val="auto"/>
          <w:sz w:val="32"/>
          <w:highlight w:val="none"/>
        </w:rPr>
      </w:pPr>
    </w:p>
    <w:p>
      <w:pPr>
        <w:snapToGrid w:val="0"/>
        <w:spacing w:before="156" w:beforeLines="50" w:after="50" w:line="360" w:lineRule="auto"/>
        <w:jc w:val="center"/>
        <w:rPr>
          <w:rFonts w:ascii="宋体" w:hAnsi="宋体" w:cs="宋体"/>
          <w:bCs/>
          <w:color w:val="auto"/>
          <w:sz w:val="24"/>
          <w:highlight w:val="none"/>
        </w:rPr>
      </w:pPr>
    </w:p>
    <w:p>
      <w:pPr>
        <w:snapToGrid w:val="0"/>
        <w:spacing w:before="156" w:beforeLines="50" w:after="50" w:line="360" w:lineRule="auto"/>
        <w:jc w:val="center"/>
        <w:rPr>
          <w:rFonts w:ascii="宋体" w:hAnsi="宋体" w:cs="宋体"/>
          <w:b/>
          <w:bCs/>
          <w:color w:val="auto"/>
          <w:sz w:val="52"/>
          <w:szCs w:val="52"/>
          <w:highlight w:val="none"/>
        </w:rPr>
      </w:pPr>
      <w:r>
        <w:rPr>
          <w:rFonts w:ascii="宋体" w:hAnsi="宋体" w:cs="宋体"/>
          <w:b/>
          <w:bCs/>
          <w:color w:val="auto"/>
          <w:sz w:val="52"/>
          <w:szCs w:val="52"/>
          <w:highlight w:val="none"/>
        </w:rPr>
        <w:t>资格证明/商务技术/报价文件</w:t>
      </w:r>
    </w:p>
    <w:p>
      <w:pPr>
        <w:snapToGrid w:val="0"/>
        <w:spacing w:before="156" w:beforeLines="50" w:after="50" w:line="360" w:lineRule="auto"/>
        <w:rPr>
          <w:rFonts w:ascii="宋体" w:hAnsi="宋体" w:cs="宋体"/>
          <w:bCs/>
          <w:color w:val="auto"/>
          <w:sz w:val="24"/>
          <w:highlight w:val="none"/>
        </w:rPr>
      </w:pPr>
    </w:p>
    <w:p>
      <w:pPr>
        <w:snapToGrid w:val="0"/>
        <w:spacing w:before="156" w:beforeLines="50" w:after="50" w:line="360" w:lineRule="auto"/>
        <w:ind w:firstLine="1120" w:firstLineChars="400"/>
        <w:rPr>
          <w:rFonts w:hint="eastAsia" w:ascii="宋体" w:hAnsi="宋体" w:eastAsia="宋体" w:cs="宋体"/>
          <w:bCs/>
          <w:color w:val="auto"/>
          <w:sz w:val="28"/>
          <w:szCs w:val="28"/>
          <w:highlight w:val="none"/>
          <w:lang w:eastAsia="zh-CN"/>
        </w:rPr>
      </w:pPr>
      <w:r>
        <w:rPr>
          <w:rFonts w:ascii="宋体" w:hAnsi="宋体" w:cs="宋体"/>
          <w:bCs/>
          <w:color w:val="auto"/>
          <w:sz w:val="28"/>
          <w:szCs w:val="28"/>
          <w:highlight w:val="none"/>
        </w:rPr>
        <w:t>项目名称：</w:t>
      </w:r>
      <w:r>
        <w:rPr>
          <w:rFonts w:hint="eastAsia" w:ascii="宋体" w:hAnsi="宋体" w:cs="宋体"/>
          <w:bCs/>
          <w:color w:val="auto"/>
          <w:sz w:val="28"/>
          <w:szCs w:val="28"/>
          <w:highlight w:val="none"/>
          <w:lang w:eastAsia="zh-CN"/>
        </w:rPr>
        <w:t>“数字浙警”建设工程-教师绩效码和学生成长码-数据采集及应用场景迭代项目</w:t>
      </w:r>
    </w:p>
    <w:p>
      <w:pPr>
        <w:snapToGrid w:val="0"/>
        <w:spacing w:before="156" w:beforeLines="50" w:after="50" w:line="360" w:lineRule="auto"/>
        <w:ind w:firstLine="1120" w:firstLineChars="400"/>
        <w:rPr>
          <w:rFonts w:ascii="宋体" w:hAnsi="宋体" w:cs="宋体"/>
          <w:bCs/>
          <w:color w:val="auto"/>
          <w:sz w:val="28"/>
          <w:szCs w:val="28"/>
          <w:highlight w:val="none"/>
        </w:rPr>
      </w:pPr>
      <w:r>
        <w:rPr>
          <w:rFonts w:ascii="宋体" w:hAnsi="宋体" w:cs="宋体"/>
          <w:bCs/>
          <w:color w:val="auto"/>
          <w:sz w:val="28"/>
          <w:szCs w:val="28"/>
          <w:highlight w:val="none"/>
        </w:rPr>
        <w:t>项目编号：</w:t>
      </w:r>
    </w:p>
    <w:p>
      <w:pPr>
        <w:snapToGrid w:val="0"/>
        <w:spacing w:before="156" w:beforeLines="50" w:after="50" w:line="360" w:lineRule="auto"/>
        <w:ind w:firstLine="1120" w:firstLineChars="400"/>
        <w:rPr>
          <w:rFonts w:ascii="宋体" w:hAnsi="宋体" w:cs="宋体"/>
          <w:bCs/>
          <w:color w:val="auto"/>
          <w:sz w:val="28"/>
          <w:szCs w:val="28"/>
          <w:highlight w:val="none"/>
        </w:rPr>
      </w:pPr>
      <w:r>
        <w:rPr>
          <w:rFonts w:ascii="宋体" w:hAnsi="宋体" w:cs="宋体"/>
          <w:bCs/>
          <w:color w:val="auto"/>
          <w:sz w:val="28"/>
          <w:szCs w:val="28"/>
          <w:highlight w:val="none"/>
        </w:rPr>
        <w:t>标 项：</w:t>
      </w:r>
    </w:p>
    <w:p>
      <w:pPr>
        <w:snapToGrid w:val="0"/>
        <w:spacing w:before="156" w:beforeLines="50" w:after="50" w:line="360" w:lineRule="auto"/>
        <w:ind w:firstLine="560" w:firstLineChars="200"/>
        <w:rPr>
          <w:rFonts w:ascii="宋体" w:hAnsi="宋体" w:cs="宋体"/>
          <w:bCs/>
          <w:color w:val="auto"/>
          <w:sz w:val="28"/>
          <w:szCs w:val="28"/>
          <w:highlight w:val="none"/>
        </w:rPr>
      </w:pPr>
    </w:p>
    <w:p>
      <w:pPr>
        <w:snapToGrid w:val="0"/>
        <w:spacing w:before="156" w:beforeLines="50" w:after="50" w:line="360" w:lineRule="auto"/>
        <w:ind w:firstLine="560" w:firstLineChars="200"/>
        <w:rPr>
          <w:rFonts w:ascii="宋体" w:hAnsi="宋体" w:cs="宋体"/>
          <w:bCs/>
          <w:color w:val="auto"/>
          <w:sz w:val="28"/>
          <w:szCs w:val="28"/>
          <w:highlight w:val="none"/>
        </w:rPr>
      </w:pPr>
      <w:r>
        <w:rPr>
          <w:rFonts w:ascii="宋体" w:hAnsi="宋体" w:cs="宋体"/>
          <w:bCs/>
          <w:color w:val="auto"/>
          <w:sz w:val="28"/>
          <w:szCs w:val="28"/>
          <w:highlight w:val="none"/>
        </w:rPr>
        <w:t xml:space="preserve">     </w:t>
      </w:r>
    </w:p>
    <w:p>
      <w:pPr>
        <w:pStyle w:val="10"/>
        <w:snapToGrid w:val="0"/>
        <w:spacing w:before="50" w:after="50" w:line="360" w:lineRule="auto"/>
        <w:ind w:firstLine="1260" w:firstLineChars="450"/>
        <w:rPr>
          <w:rFonts w:ascii="宋体" w:hAnsi="宋体" w:cs="宋体"/>
          <w:bCs/>
          <w:color w:val="auto"/>
          <w:sz w:val="28"/>
          <w:szCs w:val="28"/>
          <w:highlight w:val="none"/>
        </w:rPr>
      </w:pPr>
    </w:p>
    <w:p>
      <w:pPr>
        <w:pStyle w:val="10"/>
        <w:snapToGrid w:val="0"/>
        <w:spacing w:before="50" w:after="50" w:line="360" w:lineRule="auto"/>
        <w:ind w:firstLine="1260" w:firstLineChars="450"/>
        <w:rPr>
          <w:rFonts w:ascii="宋体" w:hAnsi="宋体" w:cs="宋体"/>
          <w:bCs/>
          <w:color w:val="auto"/>
          <w:sz w:val="28"/>
          <w:szCs w:val="28"/>
          <w:highlight w:val="none"/>
        </w:rPr>
      </w:pPr>
    </w:p>
    <w:p>
      <w:pPr>
        <w:pStyle w:val="10"/>
        <w:snapToGrid w:val="0"/>
        <w:spacing w:before="50" w:after="50" w:line="360" w:lineRule="auto"/>
        <w:ind w:firstLine="1260" w:firstLineChars="450"/>
        <w:rPr>
          <w:rFonts w:ascii="宋体" w:hAnsi="宋体" w:cs="宋体"/>
          <w:bCs/>
          <w:color w:val="auto"/>
          <w:sz w:val="28"/>
          <w:szCs w:val="28"/>
          <w:highlight w:val="none"/>
        </w:rPr>
      </w:pPr>
    </w:p>
    <w:p>
      <w:pPr>
        <w:pStyle w:val="10"/>
        <w:snapToGrid w:val="0"/>
        <w:spacing w:before="50" w:after="50" w:line="360" w:lineRule="auto"/>
        <w:ind w:firstLine="1260" w:firstLineChars="450"/>
        <w:rPr>
          <w:rFonts w:ascii="宋体" w:hAnsi="宋体" w:cs="宋体"/>
          <w:bCs/>
          <w:color w:val="auto"/>
          <w:sz w:val="28"/>
          <w:szCs w:val="28"/>
          <w:highlight w:val="none"/>
        </w:rPr>
      </w:pPr>
    </w:p>
    <w:p>
      <w:pPr>
        <w:pStyle w:val="10"/>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投标人名称：</w:t>
      </w:r>
    </w:p>
    <w:p>
      <w:pPr>
        <w:pStyle w:val="10"/>
        <w:snapToGrid w:val="0"/>
        <w:spacing w:before="50" w:after="50" w:line="360" w:lineRule="auto"/>
        <w:ind w:firstLine="1260" w:firstLineChars="450"/>
        <w:rPr>
          <w:rFonts w:ascii="宋体" w:hAnsi="宋体" w:cs="宋体"/>
          <w:bCs/>
          <w:color w:val="auto"/>
          <w:sz w:val="28"/>
          <w:szCs w:val="28"/>
          <w:highlight w:val="none"/>
        </w:rPr>
      </w:pPr>
      <w:r>
        <w:rPr>
          <w:rFonts w:ascii="宋体" w:hAnsi="宋体" w:cs="宋体"/>
          <w:bCs/>
          <w:color w:val="auto"/>
          <w:sz w:val="28"/>
          <w:szCs w:val="28"/>
          <w:highlight w:val="none"/>
        </w:rPr>
        <w:t>投标人地址：</w:t>
      </w:r>
    </w:p>
    <w:p>
      <w:pPr>
        <w:snapToGrid w:val="0"/>
        <w:spacing w:before="156" w:beforeLines="50" w:after="50" w:line="360" w:lineRule="auto"/>
        <w:ind w:firstLine="645"/>
        <w:jc w:val="center"/>
        <w:rPr>
          <w:rFonts w:ascii="宋体" w:hAnsi="宋体" w:cs="宋体"/>
          <w:color w:val="auto"/>
          <w:sz w:val="28"/>
          <w:szCs w:val="28"/>
          <w:highlight w:val="none"/>
        </w:rPr>
      </w:pPr>
      <w:r>
        <w:rPr>
          <w:rFonts w:ascii="宋体" w:hAnsi="宋体" w:cs="宋体"/>
          <w:color w:val="auto"/>
          <w:sz w:val="28"/>
          <w:szCs w:val="28"/>
          <w:highlight w:val="none"/>
        </w:rPr>
        <w:t xml:space="preserve">                        </w:t>
      </w:r>
    </w:p>
    <w:p>
      <w:pPr>
        <w:snapToGrid w:val="0"/>
        <w:spacing w:before="156" w:beforeLines="50" w:after="50" w:line="360" w:lineRule="auto"/>
        <w:ind w:firstLine="645"/>
        <w:jc w:val="center"/>
        <w:outlineLvl w:val="0"/>
        <w:rPr>
          <w:rFonts w:ascii="宋体" w:hAnsi="宋体" w:cs="宋体"/>
          <w:color w:val="auto"/>
          <w:sz w:val="24"/>
          <w:highlight w:val="none"/>
        </w:rPr>
      </w:pPr>
      <w:bookmarkStart w:id="77" w:name="_Toc15728"/>
      <w:bookmarkStart w:id="78" w:name="_Toc3153"/>
      <w:bookmarkStart w:id="79" w:name="_Toc32368"/>
      <w:bookmarkStart w:id="80" w:name="_Toc20164"/>
      <w:r>
        <w:rPr>
          <w:rFonts w:ascii="宋体" w:hAnsi="宋体" w:cs="宋体"/>
          <w:color w:val="auto"/>
          <w:sz w:val="28"/>
          <w:szCs w:val="28"/>
          <w:highlight w:val="none"/>
        </w:rPr>
        <w:t>年  月  日</w:t>
      </w:r>
      <w:bookmarkEnd w:id="77"/>
      <w:bookmarkEnd w:id="78"/>
      <w:bookmarkEnd w:id="79"/>
      <w:bookmarkEnd w:id="80"/>
    </w:p>
    <w:p>
      <w:pPr>
        <w:pageBreakBefore/>
        <w:shd w:val="clear" w:color="auto" w:fill="FFFFFF"/>
        <w:snapToGrid w:val="0"/>
        <w:spacing w:line="360" w:lineRule="auto"/>
        <w:jc w:val="center"/>
        <w:outlineLvl w:val="1"/>
        <w:rPr>
          <w:rFonts w:ascii="宋体" w:hAnsi="宋体" w:cs="宋体"/>
          <w:b/>
          <w:bCs/>
          <w:color w:val="auto"/>
          <w:kern w:val="0"/>
          <w:sz w:val="44"/>
          <w:szCs w:val="44"/>
          <w:highlight w:val="none"/>
        </w:rPr>
      </w:pPr>
      <w:bookmarkStart w:id="81" w:name="_Toc55237637"/>
      <w:r>
        <w:rPr>
          <w:rFonts w:ascii="宋体" w:hAnsi="宋体" w:cs="宋体"/>
          <w:b/>
          <w:bCs/>
          <w:color w:val="auto"/>
          <w:kern w:val="0"/>
          <w:sz w:val="44"/>
          <w:szCs w:val="44"/>
          <w:highlight w:val="none"/>
        </w:rPr>
        <w:t>资格文件</w:t>
      </w:r>
      <w:bookmarkEnd w:id="81"/>
    </w:p>
    <w:p>
      <w:pPr>
        <w:pStyle w:val="17"/>
        <w:rPr>
          <w:rFonts w:hAnsi="宋体" w:cs="宋体"/>
          <w:color w:val="auto"/>
          <w:highlight w:val="none"/>
        </w:rPr>
      </w:pPr>
    </w:p>
    <w:p>
      <w:pPr>
        <w:pStyle w:val="17"/>
        <w:rPr>
          <w:rFonts w:hAnsi="宋体" w:cs="宋体"/>
          <w:color w:val="auto"/>
          <w:highlight w:val="none"/>
        </w:rPr>
      </w:pPr>
    </w:p>
    <w:p>
      <w:pPr>
        <w:snapToGrid w:val="0"/>
        <w:spacing w:line="360" w:lineRule="auto"/>
        <w:ind w:left="570"/>
        <w:outlineLvl w:val="0"/>
        <w:rPr>
          <w:rFonts w:ascii="宋体" w:hAnsi="宋体" w:cs="宋体"/>
          <w:color w:val="auto"/>
          <w:highlight w:val="none"/>
        </w:rPr>
      </w:pPr>
    </w:p>
    <w:p>
      <w:pPr>
        <w:snapToGrid w:val="0"/>
        <w:spacing w:line="300" w:lineRule="auto"/>
        <w:jc w:val="center"/>
        <w:rPr>
          <w:rFonts w:hint="eastAsia" w:ascii="Arial" w:hAnsi="Arial" w:eastAsia="宋体" w:cs="Arial"/>
          <w:b/>
          <w:color w:val="auto"/>
          <w:kern w:val="0"/>
          <w:sz w:val="28"/>
          <w:szCs w:val="28"/>
          <w:highlight w:val="none"/>
          <w:lang w:eastAsia="zh-CN"/>
        </w:rPr>
      </w:pPr>
      <w:r>
        <w:rPr>
          <w:rFonts w:hint="eastAsia" w:ascii="Arial" w:hAnsi="Arial" w:cs="Arial"/>
          <w:b/>
          <w:color w:val="auto"/>
          <w:kern w:val="0"/>
          <w:sz w:val="28"/>
          <w:szCs w:val="28"/>
          <w:highlight w:val="none"/>
          <w:lang w:val="en-US" w:eastAsia="zh-CN"/>
        </w:rPr>
        <w:t>一</w:t>
      </w:r>
      <w:r>
        <w:rPr>
          <w:rFonts w:ascii="Arial" w:hAnsi="Arial" w:cs="Arial"/>
          <w:b/>
          <w:color w:val="auto"/>
          <w:kern w:val="0"/>
          <w:sz w:val="28"/>
          <w:szCs w:val="28"/>
          <w:highlight w:val="none"/>
        </w:rPr>
        <w:t>、</w:t>
      </w:r>
      <w:r>
        <w:rPr>
          <w:rFonts w:hint="eastAsia" w:ascii="Arial" w:hAnsi="Arial" w:cs="Arial"/>
          <w:b/>
          <w:color w:val="auto"/>
          <w:kern w:val="0"/>
          <w:sz w:val="28"/>
          <w:szCs w:val="28"/>
          <w:highlight w:val="none"/>
          <w:lang w:eastAsia="zh-CN"/>
        </w:rPr>
        <w:t>符合参加政府采购活动应当具备的一般条件的承诺函</w:t>
      </w:r>
    </w:p>
    <w:p>
      <w:pPr>
        <w:snapToGrid w:val="0"/>
        <w:spacing w:line="300" w:lineRule="auto"/>
        <w:jc w:val="center"/>
        <w:rPr>
          <w:rFonts w:ascii="Arial" w:hAnsi="Arial" w:cs="Arial"/>
          <w:b/>
          <w:color w:val="auto"/>
          <w:kern w:val="0"/>
          <w:sz w:val="28"/>
          <w:szCs w:val="28"/>
          <w:highlight w:val="none"/>
        </w:rPr>
      </w:pPr>
    </w:p>
    <w:p>
      <w:pPr>
        <w:pStyle w:val="80"/>
        <w:spacing w:line="360" w:lineRule="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浙江警察学院</w:t>
      </w:r>
      <w:r>
        <w:rPr>
          <w:rFonts w:hint="eastAsia" w:ascii="宋体" w:hAnsi="宋体" w:eastAsia="宋体" w:cs="宋体"/>
          <w:color w:val="auto"/>
          <w:highlight w:val="none"/>
          <w:u w:val="none"/>
        </w:rPr>
        <w:t>、浙江豪圣建设项目管理有限公司：</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我方参与</w:t>
      </w:r>
      <w:r>
        <w:rPr>
          <w:rFonts w:hint="eastAsia" w:ascii="宋体" w:hAnsi="宋体" w:eastAsia="宋体" w:cs="宋体"/>
          <w:color w:val="auto"/>
          <w:highlight w:val="none"/>
          <w:u w:val="single"/>
          <w:lang w:eastAsia="zh-CN"/>
        </w:rPr>
        <w:t>“数字浙警”建设工程-教师绩效码和学生成长码-数据采集及应用场景迭代项目</w:t>
      </w:r>
      <w:r>
        <w:rPr>
          <w:rFonts w:hint="eastAsia" w:ascii="宋体" w:hAnsi="宋体" w:eastAsia="宋体" w:cs="宋体"/>
          <w:color w:val="auto"/>
          <w:highlight w:val="none"/>
          <w:u w:val="none"/>
        </w:rPr>
        <w:t>【招标编号：</w:t>
      </w:r>
      <w:r>
        <w:rPr>
          <w:rFonts w:hint="eastAsia" w:ascii="宋体" w:hAnsi="宋体" w:eastAsia="宋体" w:cs="宋体"/>
          <w:color w:val="auto"/>
          <w:highlight w:val="none"/>
          <w:u w:val="single"/>
          <w:lang w:eastAsia="zh-CN"/>
        </w:rPr>
        <w:t>HSZB-2022-216-01</w:t>
      </w:r>
      <w:r>
        <w:rPr>
          <w:rFonts w:hint="eastAsia" w:ascii="宋体" w:hAnsi="宋体" w:eastAsia="宋体" w:cs="宋体"/>
          <w:color w:val="auto"/>
          <w:highlight w:val="none"/>
          <w:u w:val="none"/>
        </w:rPr>
        <w:t>】政府采购活动，郑重承诺：</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（一）具备《中华人民共和国政府采购法》第二十二条第一款规定的条件：</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1、具有独立承担民事责任的能力；</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2、具有良好的商业信誉和健全的财务会计制度； </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3、具有履行合同所必需的设备和专业技术能力；</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4、有依法缴纳税收和社会保障资金的良好记录；</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5、参加政府采购活动前三年内，在经营活动中没有重大违法记录；</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6、具有法律、行政法规规定的其他条件。</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（二）未被信用中国（www.creditchina.gov.cn)、中国政府采购网（www.ccgp.gov.cn）列入失信被执行人、重大税收违法案件当事人名单、政府采购严重违法失信行为记录名单。</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（三）不存在以下情况：</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1、单位负责人为同一人或者存在直接控股、管理关系的不同供应商参加同一合同项下的政府采购活动的；</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2、为采购项目提供整体设计、规范编制或者项目管理、监理、检测等服务后再参加该采购项目的其他采购活动的。</w:t>
      </w:r>
    </w:p>
    <w:p>
      <w:pPr>
        <w:pStyle w:val="80"/>
        <w:spacing w:line="360" w:lineRule="auto"/>
        <w:ind w:firstLine="420" w:firstLineChars="175"/>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3、为公益一类事业单位、使用事业编制且由财政拨款保障的群团组织。</w:t>
      </w:r>
    </w:p>
    <w:p>
      <w:pPr>
        <w:pStyle w:val="81"/>
        <w:rPr>
          <w:rFonts w:hint="default"/>
          <w:color w:val="auto"/>
          <w:highlight w:val="none"/>
          <w:lang w:val="en-US" w:eastAsia="zh-CN"/>
        </w:rPr>
      </w:pPr>
    </w:p>
    <w:p>
      <w:pPr>
        <w:pStyle w:val="80"/>
        <w:spacing w:line="360" w:lineRule="auto"/>
        <w:ind w:firstLine="420" w:firstLineChars="175"/>
        <w:jc w:val="center"/>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none"/>
        </w:rPr>
        <w:t>投标人名称(电子签名)：</w:t>
      </w:r>
    </w:p>
    <w:p>
      <w:pPr>
        <w:pStyle w:val="80"/>
        <w:spacing w:line="360" w:lineRule="auto"/>
        <w:ind w:firstLine="420" w:firstLineChars="175"/>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none"/>
        </w:rPr>
        <w:t>日期：  年  月   日</w:t>
      </w:r>
    </w:p>
    <w:p>
      <w:pPr>
        <w:pStyle w:val="80"/>
        <w:spacing w:line="360" w:lineRule="auto"/>
        <w:ind w:firstLine="420" w:firstLineChars="175"/>
        <w:jc w:val="center"/>
        <w:rPr>
          <w:rFonts w:hint="eastAsia" w:ascii="宋体" w:hAnsi="宋体" w:eastAsia="宋体" w:cs="宋体"/>
          <w:b/>
          <w:color w:val="auto"/>
          <w:kern w:val="0"/>
          <w:sz w:val="32"/>
          <w:szCs w:val="32"/>
          <w:highlight w:val="none"/>
          <w:lang w:val="zh-CN"/>
        </w:rPr>
      </w:pPr>
      <w:bookmarkStart w:id="82" w:name="_Toc10512"/>
      <w:bookmarkStart w:id="83" w:name="_Toc2249"/>
      <w:r>
        <w:rPr>
          <w:rFonts w:hint="eastAsia" w:ascii="宋体" w:hAnsi="宋体" w:eastAsia="宋体" w:cs="宋体"/>
          <w:color w:val="auto"/>
          <w:highlight w:val="none"/>
          <w:u w:val="none"/>
        </w:rPr>
        <w:br w:type="page"/>
      </w:r>
      <w:bookmarkEnd w:id="82"/>
      <w:bookmarkEnd w:id="83"/>
    </w:p>
    <w:p>
      <w:pPr>
        <w:snapToGrid w:val="0"/>
        <w:spacing w:line="360" w:lineRule="auto"/>
        <w:ind w:left="570"/>
        <w:jc w:val="center"/>
        <w:outlineLvl w:val="0"/>
        <w:rPr>
          <w:rFonts w:ascii="宋体" w:hAnsi="宋体" w:cs="宋体"/>
          <w:b/>
          <w:color w:val="auto"/>
          <w:sz w:val="30"/>
          <w:szCs w:val="30"/>
          <w:highlight w:val="none"/>
        </w:rPr>
      </w:pPr>
      <w:bookmarkStart w:id="84" w:name="_Toc31346"/>
      <w:bookmarkStart w:id="85" w:name="_Toc4534"/>
      <w:r>
        <w:rPr>
          <w:rFonts w:hint="eastAsia" w:ascii="宋体" w:hAnsi="宋体" w:cs="宋体"/>
          <w:b/>
          <w:color w:val="auto"/>
          <w:sz w:val="30"/>
          <w:szCs w:val="30"/>
          <w:highlight w:val="none"/>
          <w:lang w:val="en-US" w:eastAsia="zh-CN"/>
        </w:rPr>
        <w:t>二</w:t>
      </w:r>
      <w:r>
        <w:rPr>
          <w:rFonts w:ascii="宋体" w:hAnsi="宋体" w:cs="宋体"/>
          <w:b/>
          <w:color w:val="auto"/>
          <w:sz w:val="30"/>
          <w:szCs w:val="30"/>
          <w:highlight w:val="none"/>
        </w:rPr>
        <w:t>、</w:t>
      </w:r>
      <w:r>
        <w:rPr>
          <w:rFonts w:hint="eastAsia" w:ascii="宋体" w:hAnsi="宋体" w:cs="宋体"/>
          <w:b/>
          <w:color w:val="auto"/>
          <w:sz w:val="30"/>
          <w:szCs w:val="30"/>
          <w:highlight w:val="none"/>
        </w:rPr>
        <w:t>中小企业声明函、残疾人福利性单位声明函、属于监狱企业的证明文件（由省级以上监狱管理局、戒毒管理局（含新疆生产建设兵团）出具的属于监狱企业的证明文件</w:t>
      </w:r>
      <w:bookmarkEnd w:id="84"/>
      <w:bookmarkEnd w:id="85"/>
    </w:p>
    <w:p>
      <w:pPr>
        <w:widowControl/>
        <w:snapToGrid w:val="0"/>
        <w:spacing w:line="360" w:lineRule="auto"/>
        <w:ind w:firstLine="602" w:firstLineChars="200"/>
        <w:jc w:val="center"/>
        <w:rPr>
          <w:rFonts w:ascii="宋体" w:hAnsi="宋体" w:cs="宋体"/>
          <w:b/>
          <w:color w:val="auto"/>
          <w:kern w:val="0"/>
          <w:sz w:val="30"/>
          <w:szCs w:val="30"/>
          <w:highlight w:val="none"/>
        </w:rPr>
      </w:pPr>
    </w:p>
    <w:p>
      <w:pPr>
        <w:widowControl/>
        <w:snapToGrid w:val="0"/>
        <w:spacing w:line="360" w:lineRule="auto"/>
        <w:ind w:firstLine="602" w:firstLineChars="200"/>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lang w:val="en-US" w:eastAsia="zh-CN"/>
        </w:rPr>
        <w:t>2</w:t>
      </w:r>
      <w:r>
        <w:rPr>
          <w:rFonts w:ascii="宋体" w:hAnsi="宋体" w:cs="宋体"/>
          <w:b/>
          <w:color w:val="auto"/>
          <w:kern w:val="0"/>
          <w:sz w:val="30"/>
          <w:szCs w:val="30"/>
          <w:highlight w:val="none"/>
        </w:rPr>
        <w:t>.1中小企业声明函及其相关的充分的证明材料</w:t>
      </w:r>
    </w:p>
    <w:p>
      <w:pPr>
        <w:autoSpaceDE w:val="0"/>
        <w:autoSpaceDN w:val="0"/>
        <w:adjustRightInd w:val="0"/>
        <w:spacing w:before="312" w:beforeLines="100" w:after="312" w:afterLines="100" w:line="360" w:lineRule="auto"/>
        <w:jc w:val="center"/>
        <w:rPr>
          <w:rFonts w:ascii="宋体" w:hAnsi="宋体" w:cs="宋体"/>
          <w:color w:val="auto"/>
          <w:kern w:val="0"/>
          <w:sz w:val="24"/>
          <w:highlight w:val="none"/>
        </w:rPr>
      </w:pPr>
      <w:r>
        <w:rPr>
          <w:rFonts w:ascii="宋体" w:hAnsi="宋体" w:cs="宋体"/>
          <w:b/>
          <w:color w:val="auto"/>
          <w:kern w:val="0"/>
          <w:sz w:val="24"/>
          <w:highlight w:val="none"/>
        </w:rPr>
        <w:t>中小企业声明函（服务</w:t>
      </w:r>
      <w:r>
        <w:rPr>
          <w:rFonts w:ascii="宋体" w:hAnsi="宋体" w:cs="宋体"/>
          <w:color w:val="auto"/>
          <w:kern w:val="0"/>
          <w:sz w:val="24"/>
          <w:highlight w:val="none"/>
        </w:rPr>
        <w:t>）</w:t>
      </w:r>
    </w:p>
    <w:p>
      <w:pPr>
        <w:pStyle w:val="90"/>
        <w:keepNext w:val="0"/>
        <w:keepLines w:val="0"/>
        <w:pageBreakBefore w:val="0"/>
        <w:kinsoku/>
        <w:wordWrap/>
        <w:overflowPunct/>
        <w:topLinePunct w:val="0"/>
        <w:bidi w:val="0"/>
        <w:adjustRightInd w:val="0"/>
        <w:snapToGrid w:val="0"/>
        <w:spacing w:beforeLines="0" w:afterLines="0" w:line="360" w:lineRule="auto"/>
        <w:ind w:right="157" w:firstLine="642"/>
        <w:textAlignment w:val="auto"/>
        <w:rPr>
          <w:rFonts w:hint="default" w:ascii="Times New Roman" w:eastAsia="宋体" w:cs="Times New Roman"/>
          <w:color w:val="auto"/>
          <w:highlight w:val="none"/>
        </w:rPr>
      </w:pPr>
      <w:r>
        <w:rPr>
          <w:rFonts w:hint="default" w:ascii="Times New Roman" w:eastAsia="宋体" w:cs="Times New Roman"/>
          <w:color w:val="auto"/>
          <w:highlight w:val="none"/>
        </w:rPr>
        <w:t xml:space="preserve">本公司（联合体）郑重声明，根据《政府采购促进中小企业发展管理办法》（财库﹝2020﹞46 号）的规定，本公司（联合体）参加 </w:t>
      </w:r>
      <w:r>
        <w:rPr>
          <w:rFonts w:hint="default" w:ascii="Times New Roman" w:eastAsia="宋体" w:cs="Times New Roman"/>
          <w:b/>
          <w:bCs/>
          <w:color w:val="auto"/>
          <w:highlight w:val="none"/>
          <w:u w:val="single"/>
        </w:rPr>
        <w:t xml:space="preserve">（单位名称） </w:t>
      </w:r>
      <w:r>
        <w:rPr>
          <w:rFonts w:hint="default" w:ascii="Times New Roman" w:eastAsia="宋体" w:cs="Times New Roman"/>
          <w:color w:val="auto"/>
          <w:highlight w:val="none"/>
        </w:rPr>
        <w:t xml:space="preserve">的 </w:t>
      </w:r>
      <w:r>
        <w:rPr>
          <w:rFonts w:hint="default" w:ascii="Times New Roman" w:eastAsia="宋体" w:cs="Times New Roman"/>
          <w:b/>
          <w:bCs/>
          <w:color w:val="auto"/>
          <w:highlight w:val="none"/>
          <w:u w:val="single"/>
        </w:rPr>
        <w:t xml:space="preserve">（项目名称） </w:t>
      </w:r>
      <w:r>
        <w:rPr>
          <w:rFonts w:hint="default" w:ascii="Times New Roman" w:eastAsia="宋体" w:cs="Times New Roman"/>
          <w:color w:val="auto"/>
          <w:highlight w:val="none"/>
        </w:rPr>
        <w:t>采购活动，提供的</w:t>
      </w:r>
      <w:r>
        <w:rPr>
          <w:rFonts w:hint="eastAsia" w:ascii="Times New Roman" w:eastAsia="宋体" w:cs="Times New Roman"/>
          <w:color w:val="auto"/>
          <w:highlight w:val="none"/>
          <w:lang w:val="en-US" w:eastAsia="zh-CN"/>
        </w:rPr>
        <w:t>服务</w:t>
      </w:r>
      <w:r>
        <w:rPr>
          <w:rFonts w:hint="default" w:ascii="Times New Roman" w:eastAsia="宋体" w:cs="Times New Roman"/>
          <w:color w:val="auto"/>
          <w:highlight w:val="none"/>
        </w:rPr>
        <w:t>全部由符合政策要求的中小企业</w:t>
      </w:r>
      <w:r>
        <w:rPr>
          <w:rFonts w:hint="eastAsia" w:ascii="Times New Roman" w:eastAsia="宋体" w:cs="Times New Roman"/>
          <w:color w:val="auto"/>
          <w:highlight w:val="none"/>
          <w:lang w:val="en-US" w:eastAsia="zh-CN"/>
        </w:rPr>
        <w:t>承接</w:t>
      </w:r>
      <w:r>
        <w:rPr>
          <w:rFonts w:hint="default" w:ascii="Times New Roman" w:eastAsia="宋体" w:cs="Times New Roman"/>
          <w:color w:val="auto"/>
          <w:highlight w:val="none"/>
        </w:rPr>
        <w:t>。相关企业</w:t>
      </w:r>
      <w:r>
        <w:rPr>
          <w:rFonts w:hint="default" w:ascii="Times New Roman" w:eastAsia="宋体" w:cs="Times New Roman"/>
          <w:b/>
          <w:bCs/>
          <w:color w:val="auto"/>
          <w:highlight w:val="none"/>
        </w:rPr>
        <w:t>（含联合体中的中小企业、签订分包意向协议的中小企业）</w:t>
      </w:r>
      <w:r>
        <w:rPr>
          <w:rFonts w:hint="default" w:ascii="Times New Roman" w:eastAsia="宋体" w:cs="Times New Roman"/>
          <w:color w:val="auto"/>
          <w:highlight w:val="none"/>
        </w:rPr>
        <w:t xml:space="preserve">的具体情况如下： </w:t>
      </w:r>
    </w:p>
    <w:p>
      <w:pPr>
        <w:pStyle w:val="81"/>
        <w:keepNext w:val="0"/>
        <w:keepLines w:val="0"/>
        <w:pageBreakBefore w:val="0"/>
        <w:kinsoku/>
        <w:wordWrap/>
        <w:overflowPunct/>
        <w:topLinePunct w:val="0"/>
        <w:bidi w:val="0"/>
        <w:adjustRightInd w:val="0"/>
        <w:snapToGrid w:val="0"/>
        <w:spacing w:line="360" w:lineRule="auto"/>
        <w:ind w:firstLine="480" w:firstLineChars="200"/>
        <w:textAlignment w:val="auto"/>
        <w:rPr>
          <w:rFonts w:ascii="Times New Roman" w:eastAsia="宋体" w:cs="Times New Roman"/>
          <w:color w:val="auto"/>
          <w:highlight w:val="none"/>
        </w:rPr>
      </w:pPr>
      <w:r>
        <w:rPr>
          <w:rFonts w:ascii="Times New Roman" w:eastAsia="宋体" w:cs="Times New Roman"/>
          <w:color w:val="auto"/>
          <w:highlight w:val="none"/>
        </w:rPr>
        <w:t>1.</w:t>
      </w:r>
      <w:r>
        <w:rPr>
          <w:rFonts w:ascii="Times New Roman" w:eastAsia="宋体" w:cs="Times New Roman"/>
          <w:color w:val="auto"/>
          <w:highlight w:val="none"/>
          <w:u w:val="single"/>
        </w:rPr>
        <w:t>（标的名称）</w:t>
      </w:r>
      <w:r>
        <w:rPr>
          <w:rFonts w:ascii="Times New Roman" w:eastAsia="宋体" w:cs="Times New Roman"/>
          <w:color w:val="auto"/>
          <w:highlight w:val="none"/>
        </w:rPr>
        <w:t>，属于</w:t>
      </w:r>
      <w:r>
        <w:rPr>
          <w:rFonts w:ascii="Times New Roman" w:eastAsia="宋体" w:cs="Times New Roman"/>
          <w:color w:val="auto"/>
          <w:highlight w:val="none"/>
          <w:u w:val="single"/>
        </w:rPr>
        <w:t>（采购文件中明确的所属行业）</w:t>
      </w:r>
      <w:r>
        <w:rPr>
          <w:rFonts w:ascii="Times New Roman" w:eastAsia="宋体" w:cs="Times New Roman"/>
          <w:color w:val="auto"/>
          <w:highlight w:val="none"/>
        </w:rPr>
        <w:t>；承接企业为</w:t>
      </w:r>
      <w:r>
        <w:rPr>
          <w:rFonts w:ascii="Times New Roman" w:eastAsia="宋体" w:cs="Times New Roman"/>
          <w:color w:val="auto"/>
          <w:highlight w:val="none"/>
          <w:u w:val="single"/>
        </w:rPr>
        <w:t>（企业名称）</w:t>
      </w:r>
      <w:r>
        <w:rPr>
          <w:rFonts w:ascii="Times New Roman" w:eastAsia="宋体" w:cs="Times New Roman"/>
          <w:color w:val="auto"/>
          <w:highlight w:val="none"/>
        </w:rPr>
        <w:t>，从业人员</w:t>
      </w:r>
      <w:r>
        <w:rPr>
          <w:rFonts w:ascii="Times New Roman" w:eastAsia="宋体" w:cs="Times New Roman"/>
          <w:color w:val="auto"/>
          <w:highlight w:val="none"/>
          <w:u w:val="single"/>
        </w:rPr>
        <w:t xml:space="preserve">      </w:t>
      </w:r>
      <w:r>
        <w:rPr>
          <w:rFonts w:ascii="Times New Roman" w:eastAsia="宋体" w:cs="Times New Roman"/>
          <w:color w:val="auto"/>
          <w:highlight w:val="none"/>
        </w:rPr>
        <w:t>人，营业收入为</w:t>
      </w:r>
      <w:r>
        <w:rPr>
          <w:rFonts w:ascii="Times New Roman" w:eastAsia="宋体" w:cs="Times New Roman"/>
          <w:color w:val="auto"/>
          <w:highlight w:val="none"/>
          <w:u w:val="single"/>
        </w:rPr>
        <w:t xml:space="preserve">       </w:t>
      </w:r>
      <w:r>
        <w:rPr>
          <w:rFonts w:ascii="Times New Roman" w:eastAsia="宋体" w:cs="Times New Roman"/>
          <w:color w:val="auto"/>
          <w:highlight w:val="none"/>
        </w:rPr>
        <w:t>万元，资产总额为</w:t>
      </w:r>
      <w:r>
        <w:rPr>
          <w:rFonts w:ascii="Times New Roman" w:eastAsia="宋体" w:cs="Times New Roman"/>
          <w:color w:val="auto"/>
          <w:highlight w:val="none"/>
          <w:u w:val="single"/>
        </w:rPr>
        <w:t xml:space="preserve">      </w:t>
      </w:r>
      <w:r>
        <w:rPr>
          <w:rFonts w:ascii="Times New Roman" w:eastAsia="宋体" w:cs="Times New Roman"/>
          <w:color w:val="auto"/>
          <w:highlight w:val="none"/>
        </w:rPr>
        <w:t>万元</w:t>
      </w:r>
      <w:r>
        <w:rPr>
          <w:rStyle w:val="51"/>
          <w:rFonts w:eastAsia="宋体" w:cs="Times New Roman"/>
          <w:color w:val="auto"/>
          <w:highlight w:val="none"/>
        </w:rPr>
        <w:footnoteReference w:id="0"/>
      </w:r>
      <w:r>
        <w:rPr>
          <w:rFonts w:ascii="Times New Roman" w:eastAsia="宋体" w:cs="Times New Roman"/>
          <w:color w:val="auto"/>
          <w:highlight w:val="none"/>
        </w:rPr>
        <w:t>，属于</w:t>
      </w:r>
      <w:r>
        <w:rPr>
          <w:rFonts w:ascii="Times New Roman" w:eastAsia="宋体" w:cs="Times New Roman"/>
          <w:color w:val="auto"/>
          <w:highlight w:val="none"/>
          <w:u w:val="single"/>
        </w:rPr>
        <w:t>（中型企业、小型企业、微型企业）</w:t>
      </w:r>
      <w:r>
        <w:rPr>
          <w:rFonts w:ascii="Times New Roman" w:eastAsia="宋体" w:cs="Times New Roman"/>
          <w:color w:val="auto"/>
          <w:highlight w:val="none"/>
        </w:rPr>
        <w:t xml:space="preserve">； </w:t>
      </w:r>
    </w:p>
    <w:p>
      <w:pPr>
        <w:pStyle w:val="81"/>
        <w:keepNext w:val="0"/>
        <w:keepLines w:val="0"/>
        <w:pageBreakBefore w:val="0"/>
        <w:kinsoku/>
        <w:wordWrap/>
        <w:overflowPunct/>
        <w:topLinePunct w:val="0"/>
        <w:bidi w:val="0"/>
        <w:adjustRightInd w:val="0"/>
        <w:snapToGrid w:val="0"/>
        <w:spacing w:line="360" w:lineRule="auto"/>
        <w:ind w:firstLine="480" w:firstLineChars="200"/>
        <w:textAlignment w:val="auto"/>
        <w:rPr>
          <w:rFonts w:ascii="Times New Roman" w:eastAsia="宋体" w:cs="Times New Roman"/>
          <w:color w:val="auto"/>
          <w:highlight w:val="none"/>
        </w:rPr>
      </w:pPr>
      <w:r>
        <w:rPr>
          <w:rFonts w:ascii="Times New Roman" w:eastAsia="宋体" w:cs="Times New Roman"/>
          <w:color w:val="auto"/>
          <w:highlight w:val="none"/>
        </w:rPr>
        <w:t>2.</w:t>
      </w:r>
      <w:r>
        <w:rPr>
          <w:rFonts w:ascii="Times New Roman" w:eastAsia="宋体" w:cs="Times New Roman"/>
          <w:color w:val="auto"/>
          <w:highlight w:val="none"/>
          <w:u w:val="single"/>
        </w:rPr>
        <w:t>（标的名称）</w:t>
      </w:r>
      <w:r>
        <w:rPr>
          <w:rFonts w:ascii="Times New Roman" w:eastAsia="宋体" w:cs="Times New Roman"/>
          <w:color w:val="auto"/>
          <w:highlight w:val="none"/>
        </w:rPr>
        <w:t>，属于</w:t>
      </w:r>
      <w:r>
        <w:rPr>
          <w:rFonts w:ascii="Times New Roman" w:eastAsia="宋体" w:cs="Times New Roman"/>
          <w:color w:val="auto"/>
          <w:highlight w:val="none"/>
          <w:u w:val="single"/>
        </w:rPr>
        <w:t>（采购文件中明确的所属行业）</w:t>
      </w:r>
      <w:r>
        <w:rPr>
          <w:rFonts w:ascii="Times New Roman" w:eastAsia="宋体" w:cs="Times New Roman"/>
          <w:color w:val="auto"/>
          <w:highlight w:val="none"/>
        </w:rPr>
        <w:t>；承接企业为</w:t>
      </w:r>
      <w:r>
        <w:rPr>
          <w:rFonts w:ascii="Times New Roman" w:eastAsia="宋体" w:cs="Times New Roman"/>
          <w:color w:val="auto"/>
          <w:highlight w:val="none"/>
          <w:u w:val="single"/>
        </w:rPr>
        <w:t>（企业名称）</w:t>
      </w:r>
      <w:r>
        <w:rPr>
          <w:rFonts w:ascii="Times New Roman" w:eastAsia="宋体" w:cs="Times New Roman"/>
          <w:color w:val="auto"/>
          <w:highlight w:val="none"/>
        </w:rPr>
        <w:t>，从业人员</w:t>
      </w:r>
      <w:r>
        <w:rPr>
          <w:rFonts w:ascii="Times New Roman" w:eastAsia="宋体" w:cs="Times New Roman"/>
          <w:color w:val="auto"/>
          <w:highlight w:val="none"/>
          <w:u w:val="single"/>
        </w:rPr>
        <w:t xml:space="preserve">      </w:t>
      </w:r>
      <w:r>
        <w:rPr>
          <w:rFonts w:ascii="Times New Roman" w:eastAsia="宋体" w:cs="Times New Roman"/>
          <w:color w:val="auto"/>
          <w:highlight w:val="none"/>
        </w:rPr>
        <w:t>人，营业收入为</w:t>
      </w:r>
      <w:r>
        <w:rPr>
          <w:rFonts w:ascii="Times New Roman" w:eastAsia="宋体" w:cs="Times New Roman"/>
          <w:color w:val="auto"/>
          <w:highlight w:val="none"/>
          <w:u w:val="single"/>
        </w:rPr>
        <w:t xml:space="preserve">     </w:t>
      </w:r>
      <w:r>
        <w:rPr>
          <w:rFonts w:ascii="Times New Roman" w:eastAsia="宋体" w:cs="Times New Roman"/>
          <w:color w:val="auto"/>
          <w:highlight w:val="none"/>
        </w:rPr>
        <w:t>万元，资产总额为</w:t>
      </w:r>
      <w:r>
        <w:rPr>
          <w:rFonts w:ascii="Times New Roman" w:eastAsia="宋体" w:cs="Times New Roman"/>
          <w:color w:val="auto"/>
          <w:highlight w:val="none"/>
          <w:u w:val="single"/>
        </w:rPr>
        <w:t xml:space="preserve">      </w:t>
      </w:r>
      <w:r>
        <w:rPr>
          <w:rFonts w:ascii="Times New Roman" w:eastAsia="宋体" w:cs="Times New Roman"/>
          <w:color w:val="auto"/>
          <w:highlight w:val="none"/>
        </w:rPr>
        <w:t>万元，属于</w:t>
      </w:r>
      <w:r>
        <w:rPr>
          <w:rFonts w:ascii="Times New Roman" w:eastAsia="宋体" w:cs="Times New Roman"/>
          <w:color w:val="auto"/>
          <w:highlight w:val="none"/>
          <w:u w:val="single"/>
        </w:rPr>
        <w:t>（中型企业、小型企业、微型企业）</w:t>
      </w:r>
      <w:r>
        <w:rPr>
          <w:rFonts w:ascii="Times New Roman" w:eastAsia="宋体" w:cs="Times New Roman"/>
          <w:color w:val="auto"/>
          <w:highlight w:val="none"/>
        </w:rPr>
        <w:t xml:space="preserve">； </w:t>
      </w:r>
    </w:p>
    <w:p>
      <w:pPr>
        <w:pStyle w:val="129"/>
        <w:keepNext w:val="0"/>
        <w:keepLines w:val="0"/>
        <w:pageBreakBefore w:val="0"/>
        <w:kinsoku/>
        <w:wordWrap/>
        <w:overflowPunct/>
        <w:topLinePunct w:val="0"/>
        <w:bidi w:val="0"/>
        <w:adjustRightInd w:val="0"/>
        <w:snapToGrid w:val="0"/>
        <w:spacing w:beforeLines="0" w:afterLines="0" w:line="360" w:lineRule="auto"/>
        <w:ind w:left="642"/>
        <w:textAlignment w:val="auto"/>
        <w:rPr>
          <w:rFonts w:hint="default" w:ascii="Times New Roman" w:eastAsia="宋体" w:cs="Times New Roman"/>
          <w:color w:val="auto"/>
          <w:highlight w:val="none"/>
        </w:rPr>
      </w:pPr>
      <w:r>
        <w:rPr>
          <w:rFonts w:hint="default" w:ascii="Times New Roman" w:eastAsia="宋体" w:cs="Times New Roman"/>
          <w:color w:val="auto"/>
          <w:highlight w:val="none"/>
        </w:rPr>
        <w:t>……</w:t>
      </w:r>
    </w:p>
    <w:p>
      <w:pPr>
        <w:pStyle w:val="90"/>
        <w:keepNext w:val="0"/>
        <w:keepLines w:val="0"/>
        <w:pageBreakBefore w:val="0"/>
        <w:kinsoku/>
        <w:wordWrap/>
        <w:overflowPunct/>
        <w:topLinePunct w:val="0"/>
        <w:bidi w:val="0"/>
        <w:adjustRightInd w:val="0"/>
        <w:snapToGrid w:val="0"/>
        <w:spacing w:beforeLines="0" w:afterLines="0" w:line="360" w:lineRule="auto"/>
        <w:ind w:right="157" w:firstLine="642"/>
        <w:textAlignment w:val="auto"/>
        <w:rPr>
          <w:rFonts w:hint="default" w:ascii="Times New Roman" w:eastAsia="宋体" w:cs="Times New Roman"/>
          <w:color w:val="auto"/>
          <w:highlight w:val="none"/>
        </w:rPr>
      </w:pPr>
      <w:r>
        <w:rPr>
          <w:rFonts w:hint="default" w:ascii="Times New Roman" w:eastAsia="宋体" w:cs="Times New Roman"/>
          <w:color w:val="auto"/>
          <w:highlight w:val="none"/>
        </w:rPr>
        <w:t>以上企业，不属于大企业的分支机构，不存在控股股东为大企业的情形，也不存在与大企业的负责人为同一人的情形。</w:t>
      </w:r>
    </w:p>
    <w:p>
      <w:pPr>
        <w:pStyle w:val="129"/>
        <w:keepNext w:val="0"/>
        <w:keepLines w:val="0"/>
        <w:pageBreakBefore w:val="0"/>
        <w:kinsoku/>
        <w:wordWrap/>
        <w:overflowPunct/>
        <w:topLinePunct w:val="0"/>
        <w:bidi w:val="0"/>
        <w:adjustRightInd w:val="0"/>
        <w:snapToGrid w:val="0"/>
        <w:spacing w:beforeLines="0" w:afterLines="0" w:line="360" w:lineRule="auto"/>
        <w:ind w:firstLine="480" w:firstLineChars="200"/>
        <w:textAlignment w:val="auto"/>
        <w:rPr>
          <w:rFonts w:hint="default" w:ascii="Times New Roman" w:eastAsia="宋体" w:cs="Times New Roman"/>
          <w:color w:val="auto"/>
          <w:highlight w:val="none"/>
        </w:rPr>
      </w:pPr>
      <w:r>
        <w:rPr>
          <w:rFonts w:hint="default" w:ascii="Times New Roman" w:eastAsia="宋体" w:cs="Times New Roman"/>
          <w:color w:val="auto"/>
          <w:highlight w:val="none"/>
        </w:rPr>
        <w:t>本企业对上述声明内容的真实性负责。如有虚假，将依法承担相应责任。</w:t>
      </w:r>
    </w:p>
    <w:p>
      <w:pPr>
        <w:pStyle w:val="80"/>
        <w:keepNext w:val="0"/>
        <w:keepLines w:val="0"/>
        <w:pageBreakBefore w:val="0"/>
        <w:kinsoku/>
        <w:wordWrap/>
        <w:overflowPunct/>
        <w:topLinePunct w:val="0"/>
        <w:bidi w:val="0"/>
        <w:adjustRightInd w:val="0"/>
        <w:snapToGrid w:val="0"/>
        <w:spacing w:beforeLines="0" w:afterLines="0" w:line="360" w:lineRule="auto"/>
        <w:ind w:left="3136" w:firstLine="720"/>
        <w:textAlignment w:val="auto"/>
        <w:rPr>
          <w:rFonts w:hint="default" w:ascii="Times New Roman" w:eastAsia="宋体" w:cs="Times New Roman"/>
          <w:color w:val="auto"/>
          <w:highlight w:val="none"/>
        </w:rPr>
      </w:pPr>
      <w:r>
        <w:rPr>
          <w:rFonts w:hint="default" w:ascii="Times New Roman" w:eastAsia="宋体" w:cs="Times New Roman"/>
          <w:color w:val="auto"/>
          <w:highlight w:val="none"/>
          <w:lang w:val="en-US" w:eastAsia="zh-CN"/>
        </w:rPr>
        <w:t>投标人</w:t>
      </w:r>
      <w:r>
        <w:rPr>
          <w:rFonts w:hint="default" w:ascii="Times New Roman" w:eastAsia="宋体" w:cs="Times New Roman"/>
          <w:color w:val="auto"/>
          <w:highlight w:val="none"/>
        </w:rPr>
        <w:t>名称（</w:t>
      </w:r>
      <w:r>
        <w:rPr>
          <w:rFonts w:hint="default" w:ascii="Times New Roman" w:eastAsia="宋体" w:cs="Times New Roman"/>
          <w:color w:val="auto"/>
          <w:highlight w:val="none"/>
          <w:lang w:val="zh-CN"/>
        </w:rPr>
        <w:t>电子签名/公章</w:t>
      </w:r>
      <w:r>
        <w:rPr>
          <w:rFonts w:hint="default" w:ascii="Times New Roman" w:eastAsia="宋体" w:cs="Times New Roman"/>
          <w:color w:val="auto"/>
          <w:highlight w:val="none"/>
        </w:rPr>
        <w:t>）：</w:t>
      </w:r>
    </w:p>
    <w:p>
      <w:pPr>
        <w:keepNext w:val="0"/>
        <w:keepLines w:val="0"/>
        <w:pageBreakBefore w:val="0"/>
        <w:kinsoku/>
        <w:wordWrap/>
        <w:overflowPunct/>
        <w:topLinePunct w:val="0"/>
        <w:autoSpaceDE w:val="0"/>
        <w:autoSpaceDN w:val="0"/>
        <w:bidi w:val="0"/>
        <w:adjustRightInd w:val="0"/>
        <w:snapToGrid w:val="0"/>
        <w:spacing w:line="360" w:lineRule="auto"/>
        <w:ind w:left="3200" w:firstLine="720"/>
        <w:jc w:val="left"/>
        <w:textAlignment w:val="auto"/>
        <w:rPr>
          <w:rFonts w:ascii="宋体" w:hAnsi="宋体" w:cs="宋体"/>
          <w:b/>
          <w:color w:val="auto"/>
          <w:sz w:val="24"/>
          <w:highlight w:val="none"/>
        </w:rPr>
      </w:pPr>
      <w:r>
        <w:rPr>
          <w:rFonts w:hint="default"/>
          <w:color w:val="auto"/>
          <w:highlight w:val="none"/>
        </w:rPr>
        <w:t>日期：</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default"/>
          <w:b/>
          <w:color w:val="auto"/>
          <w:sz w:val="24"/>
          <w:szCs w:val="24"/>
          <w:highlight w:val="none"/>
        </w:rPr>
        <w:sectPr>
          <w:headerReference r:id="rId8" w:type="default"/>
          <w:footerReference r:id="rId9" w:type="default"/>
          <w:pgSz w:w="11906" w:h="16838"/>
          <w:pgMar w:top="1134" w:right="1247" w:bottom="1247" w:left="1304" w:header="794" w:footer="794" w:gutter="0"/>
          <w:pgNumType w:fmt="decimal"/>
          <w:cols w:space="720" w:num="1"/>
          <w:docGrid w:linePitch="312" w:charSpace="0"/>
        </w:sectPr>
      </w:pPr>
      <w:r>
        <w:rPr>
          <w:rFonts w:hint="eastAsia" w:ascii="宋体" w:hAnsi="宋体" w:cs="宋体"/>
          <w:color w:val="auto"/>
          <w:sz w:val="24"/>
          <w:highlight w:val="none"/>
        </w:rPr>
        <w:t>1、填写要求：①“标的名称”、“采购文件中明确的所属行业”依据招标文件第二</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17"/>
        <w:rPr>
          <w:rFonts w:hAnsi="宋体" w:cs="宋体"/>
          <w:color w:val="auto"/>
          <w:highlight w:val="none"/>
        </w:rPr>
      </w:pPr>
    </w:p>
    <w:p>
      <w:pPr>
        <w:widowControl/>
        <w:snapToGrid w:val="0"/>
        <w:spacing w:line="360" w:lineRule="auto"/>
        <w:ind w:firstLine="602" w:firstLineChars="20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.2残疾人福利性单位声明函及其相关的充分的证明材料</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 w:val="30"/>
          <w:szCs w:val="30"/>
          <w:highlight w:val="none"/>
        </w:rPr>
        <w:t>残疾人福利性单位声明函</w:t>
      </w:r>
    </w:p>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民政部中国残疾人联合会关于促进残疾人就业政府采购政策的通知》（财库〔2017〕 141号）的规定，本单位为符合条件的残疾人福利性单位，且本单位参加______单位的______项目采购活动提供</w:t>
      </w:r>
      <w:r>
        <w:rPr>
          <w:rFonts w:hint="eastAsia" w:ascii="宋体" w:hAnsi="宋体" w:eastAsia="宋体" w:cs="宋体"/>
          <w:color w:val="auto"/>
          <w:sz w:val="24"/>
          <w:highlight w:val="none"/>
          <w:lang w:val="en-US" w:eastAsia="zh-CN"/>
        </w:rPr>
        <w:t>由本单位承担服务</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0"/>
        <w:spacing w:line="360" w:lineRule="auto"/>
        <w:ind w:firstLine="420" w:firstLineChars="175"/>
        <w:jc w:val="center"/>
        <w:rPr>
          <w:rFonts w:hint="eastAsia" w:ascii="宋体" w:hAnsi="宋体" w:eastAsia="宋体" w:cs="宋体"/>
          <w:b/>
          <w:color w:val="auto"/>
          <w:kern w:val="0"/>
          <w:sz w:val="32"/>
          <w:szCs w:val="32"/>
          <w:highlight w:val="none"/>
          <w:lang w:val="zh-CN"/>
        </w:rPr>
      </w:pPr>
      <w:r>
        <w:rPr>
          <w:rFonts w:hAnsi="宋体" w:cs="宋体"/>
          <w:color w:val="auto"/>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lang w:val="zh-CN"/>
        </w:rPr>
        <w:t xml:space="preserve"> 联合协议</w:t>
      </w:r>
    </w:p>
    <w:p>
      <w:pPr>
        <w:pStyle w:val="81"/>
        <w:rPr>
          <w:rFonts w:hint="eastAsia"/>
          <w:color w:val="auto"/>
          <w:highlight w:val="none"/>
          <w:lang w:val="zh-CN"/>
        </w:rPr>
      </w:pP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由小微企业</w:t>
      </w:r>
      <w:r>
        <w:rPr>
          <w:rFonts w:hint="eastAsia" w:ascii="宋体" w:hAnsi="宋体" w:eastAsia="宋体" w:cs="宋体"/>
          <w:color w:val="auto"/>
          <w:kern w:val="0"/>
          <w:sz w:val="24"/>
          <w:highlight w:val="none"/>
          <w:lang w:val="en-US" w:eastAsia="zh-CN"/>
        </w:rPr>
        <w:t>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w:t>
      </w:r>
      <w:r>
        <w:rPr>
          <w:rFonts w:hint="eastAsia" w:ascii="宋体" w:hAnsi="宋体" w:eastAsia="宋体" w:cs="宋体"/>
          <w:b/>
          <w:color w:val="auto"/>
          <w:kern w:val="0"/>
          <w:sz w:val="24"/>
          <w:highlight w:val="none"/>
          <w:lang w:val="en-US" w:eastAsia="zh-CN"/>
        </w:rPr>
        <w:t>服务</w:t>
      </w:r>
      <w:r>
        <w:rPr>
          <w:rFonts w:hint="eastAsia" w:ascii="宋体" w:hAnsi="宋体" w:eastAsia="宋体" w:cs="宋体"/>
          <w:b/>
          <w:color w:val="auto"/>
          <w:kern w:val="0"/>
          <w:sz w:val="24"/>
          <w:highlight w:val="none"/>
          <w:lang w:val="zh-CN"/>
        </w:rPr>
        <w:t>全部由小微企业</w:t>
      </w:r>
      <w:r>
        <w:rPr>
          <w:rFonts w:hint="eastAsia" w:ascii="宋体" w:hAnsi="宋体" w:eastAsia="宋体" w:cs="宋体"/>
          <w:b/>
          <w:color w:val="auto"/>
          <w:kern w:val="0"/>
          <w:sz w:val="24"/>
          <w:highlight w:val="none"/>
          <w:lang w:val="en-US" w:eastAsia="zh-CN"/>
        </w:rPr>
        <w:t>承接</w:t>
      </w:r>
      <w:r>
        <w:rPr>
          <w:rFonts w:hint="eastAsia" w:ascii="宋体" w:hAnsi="宋体" w:eastAsia="宋体" w:cs="宋体"/>
          <w:b/>
          <w:color w:val="auto"/>
          <w:kern w:val="0"/>
          <w:sz w:val="24"/>
          <w:highlight w:val="none"/>
          <w:lang w:val="zh-CN"/>
        </w:rPr>
        <w:t>，且其合同份额占到合同总金额 30%以上，对联合体报价给予</w:t>
      </w:r>
      <w:r>
        <w:rPr>
          <w:rFonts w:hint="eastAsia" w:ascii="宋体" w:hAnsi="宋体" w:eastAsia="宋体" w:cs="宋体"/>
          <w:b/>
          <w:color w:val="auto"/>
          <w:kern w:val="0"/>
          <w:sz w:val="24"/>
          <w:highlight w:val="green"/>
          <w:lang w:val="en-US" w:eastAsia="zh-CN"/>
        </w:rPr>
        <w:t>6</w:t>
      </w:r>
      <w:r>
        <w:rPr>
          <w:rFonts w:hint="eastAsia" w:ascii="宋体" w:hAnsi="宋体" w:eastAsia="宋体" w:cs="宋体"/>
          <w:b/>
          <w:color w:val="auto"/>
          <w:kern w:val="0"/>
          <w:sz w:val="24"/>
          <w:highlight w:val="green"/>
          <w:lang w:val="zh-CN"/>
        </w:rPr>
        <w:t>%</w:t>
      </w:r>
      <w:r>
        <w:rPr>
          <w:rFonts w:hint="eastAsia" w:ascii="宋体" w:hAnsi="宋体" w:eastAsia="宋体" w:cs="宋体"/>
          <w:b/>
          <w:color w:val="auto"/>
          <w:kern w:val="0"/>
          <w:sz w:val="24"/>
          <w:highlight w:val="none"/>
          <w:lang w:val="zh-CN"/>
        </w:rPr>
        <w:t>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签订合同，并就采购合同约定的事项对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pStyle w:val="17"/>
        <w:rPr>
          <w:rFonts w:hAnsi="宋体" w:cs="宋体"/>
          <w:color w:val="auto"/>
          <w:highlight w:val="none"/>
        </w:rPr>
      </w:pPr>
    </w:p>
    <w:p>
      <w:pPr>
        <w:pageBreakBefore w:val="0"/>
        <w:widowControl w:val="0"/>
        <w:kinsoku/>
        <w:wordWrap/>
        <w:overflowPunct/>
        <w:topLinePunct w:val="0"/>
        <w:autoSpaceDE/>
        <w:autoSpaceDN/>
        <w:bidi w:val="0"/>
        <w:adjustRightInd w:val="0"/>
        <w:snapToGrid w:val="0"/>
        <w:spacing w:line="360" w:lineRule="auto"/>
        <w:ind w:right="420"/>
        <w:textAlignment w:val="auto"/>
        <w:rPr>
          <w:rFonts w:ascii="宋体" w:hAnsi="宋体" w:cs="宋体"/>
          <w:color w:val="auto"/>
          <w:kern w:val="0"/>
          <w:sz w:val="24"/>
          <w:highlight w:val="none"/>
          <w:lang w:val="zh-CN"/>
        </w:rPr>
      </w:pPr>
      <w:bookmarkStart w:id="86" w:name="_Toc354996707"/>
      <w:bookmarkStart w:id="87" w:name="_Toc55237638"/>
      <w:bookmarkStart w:id="88" w:name="_Toc233618989"/>
      <w:r>
        <w:rPr>
          <w:rFonts w:ascii="宋体" w:hAnsi="宋体" w:cs="宋体"/>
          <w:b/>
          <w:bCs/>
          <w:color w:val="auto"/>
          <w:kern w:val="0"/>
          <w:sz w:val="24"/>
          <w:highlight w:val="none"/>
        </w:rPr>
        <w:br w:type="page"/>
      </w:r>
    </w:p>
    <w:p>
      <w:pPr>
        <w:spacing w:line="360" w:lineRule="auto"/>
        <w:jc w:val="center"/>
        <w:rPr>
          <w:rFonts w:ascii="宋体" w:hAnsi="宋体" w:cs="宋体"/>
          <w:b/>
          <w:bCs/>
          <w:color w:val="auto"/>
          <w:kern w:val="0"/>
          <w:sz w:val="24"/>
          <w:highlight w:val="none"/>
        </w:rPr>
      </w:pPr>
    </w:p>
    <w:p>
      <w:pPr>
        <w:spacing w:line="360" w:lineRule="auto"/>
        <w:jc w:val="center"/>
        <w:rPr>
          <w:rFonts w:ascii="宋体" w:hAnsi="宋体" w:cs="宋体"/>
          <w:b/>
          <w:bCs/>
          <w:color w:val="auto"/>
          <w:kern w:val="0"/>
          <w:sz w:val="24"/>
          <w:highlight w:val="none"/>
        </w:rPr>
      </w:pPr>
      <w:r>
        <w:rPr>
          <w:rFonts w:hint="eastAsia" w:ascii="宋体" w:hAnsi="宋体" w:eastAsia="宋体" w:cs="宋体"/>
          <w:b/>
          <w:color w:val="auto"/>
          <w:kern w:val="0"/>
          <w:sz w:val="32"/>
          <w:szCs w:val="32"/>
          <w:highlight w:val="none"/>
          <w:lang w:val="en-US" w:eastAsia="zh-CN" w:bidi="ar-SA"/>
        </w:rPr>
        <w:t>四、特定资格条件要求的资质文件（复印件，如有）</w:t>
      </w:r>
      <w:r>
        <w:rPr>
          <w:rFonts w:hint="eastAsia" w:ascii="宋体" w:hAnsi="宋体" w:eastAsia="宋体" w:cs="宋体"/>
          <w:b/>
          <w:color w:val="auto"/>
          <w:kern w:val="0"/>
          <w:sz w:val="32"/>
          <w:szCs w:val="32"/>
          <w:highlight w:val="none"/>
          <w:lang w:val="en-US" w:eastAsia="zh-CN" w:bidi="ar-SA"/>
        </w:rPr>
        <w:br w:type="page"/>
      </w:r>
      <w:r>
        <w:rPr>
          <w:rFonts w:ascii="宋体" w:hAnsi="宋体" w:eastAsia="宋体" w:cs="宋体"/>
          <w:b/>
          <w:bCs/>
          <w:color w:val="auto"/>
          <w:kern w:val="0"/>
          <w:sz w:val="44"/>
          <w:szCs w:val="44"/>
          <w:highlight w:val="none"/>
        </w:rPr>
        <w:t>报价文件</w:t>
      </w:r>
      <w:bookmarkEnd w:id="86"/>
      <w:bookmarkEnd w:id="87"/>
    </w:p>
    <w:p>
      <w:pPr>
        <w:pStyle w:val="17"/>
        <w:rPr>
          <w:rFonts w:hAnsi="宋体" w:cs="宋体"/>
          <w:color w:val="auto"/>
          <w:highlight w:val="none"/>
        </w:rPr>
      </w:pPr>
    </w:p>
    <w:p>
      <w:pPr>
        <w:snapToGrid w:val="0"/>
        <w:spacing w:line="360" w:lineRule="auto"/>
        <w:ind w:left="570"/>
        <w:jc w:val="center"/>
        <w:outlineLvl w:val="0"/>
        <w:rPr>
          <w:rFonts w:ascii="宋体" w:hAnsi="宋体" w:cs="宋体"/>
          <w:b/>
          <w:color w:val="auto"/>
          <w:sz w:val="32"/>
          <w:szCs w:val="32"/>
          <w:highlight w:val="none"/>
        </w:rPr>
      </w:pPr>
      <w:bookmarkStart w:id="89" w:name="_Toc1503"/>
      <w:bookmarkStart w:id="90" w:name="_Toc233618990"/>
      <w:bookmarkStart w:id="91" w:name="_Toc4955"/>
      <w:bookmarkStart w:id="92" w:name="_Toc29285"/>
      <w:bookmarkStart w:id="93" w:name="_Toc31139"/>
      <w:r>
        <w:rPr>
          <w:rFonts w:ascii="宋体" w:hAnsi="宋体" w:cs="宋体"/>
          <w:b/>
          <w:color w:val="auto"/>
          <w:sz w:val="32"/>
          <w:szCs w:val="32"/>
          <w:highlight w:val="none"/>
        </w:rPr>
        <w:t>一、投标响应函</w:t>
      </w:r>
      <w:bookmarkEnd w:id="89"/>
      <w:bookmarkEnd w:id="90"/>
      <w:bookmarkEnd w:id="91"/>
      <w:bookmarkEnd w:id="92"/>
      <w:bookmarkEnd w:id="93"/>
    </w:p>
    <w:p>
      <w:pPr>
        <w:shd w:val="clear" w:color="auto" w:fill="FFFFFF"/>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浙江警察学院</w:t>
      </w:r>
      <w:r>
        <w:rPr>
          <w:rFonts w:ascii="宋体" w:hAnsi="宋体" w:cs="宋体"/>
          <w:color w:val="auto"/>
          <w:sz w:val="24"/>
          <w:highlight w:val="none"/>
        </w:rPr>
        <w:t xml:space="preserve">  </w:t>
      </w:r>
    </w:p>
    <w:p>
      <w:pPr>
        <w:shd w:val="clear" w:color="auto" w:fill="FFFFFF"/>
        <w:snapToGrid w:val="0"/>
        <w:spacing w:line="360" w:lineRule="auto"/>
        <w:rPr>
          <w:rFonts w:ascii="宋体" w:hAnsi="宋体" w:cs="宋体"/>
          <w:color w:val="auto"/>
          <w:sz w:val="24"/>
          <w:highlight w:val="none"/>
        </w:rPr>
      </w:pPr>
      <w:r>
        <w:rPr>
          <w:rFonts w:ascii="宋体" w:hAnsi="宋体" w:cs="宋体"/>
          <w:color w:val="auto"/>
          <w:sz w:val="24"/>
          <w:highlight w:val="none"/>
        </w:rPr>
        <w:t>浙江豪圣建设项目管理有限公司：</w:t>
      </w:r>
    </w:p>
    <w:p>
      <w:pPr>
        <w:shd w:val="clear" w:color="auto" w:fill="FFFFFF"/>
        <w:snapToGrid w:val="0"/>
        <w:spacing w:line="360" w:lineRule="auto"/>
        <w:rPr>
          <w:rFonts w:ascii="宋体" w:hAnsi="宋体" w:cs="宋体"/>
          <w:color w:val="auto"/>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u w:val="single"/>
          <w:lang w:val="zh-CN"/>
        </w:rPr>
        <w:t xml:space="preserve">                                   </w:t>
      </w:r>
      <w:r>
        <w:rPr>
          <w:rFonts w:ascii="宋体" w:hAnsi="宋体" w:cs="宋体"/>
          <w:color w:val="auto"/>
          <w:sz w:val="24"/>
          <w:highlight w:val="none"/>
        </w:rPr>
        <w:t>(投标人全称)授权</w:t>
      </w:r>
      <w:r>
        <w:rPr>
          <w:rFonts w:ascii="宋体" w:hAnsi="宋体" w:cs="宋体"/>
          <w:color w:val="auto"/>
          <w:kern w:val="0"/>
          <w:sz w:val="24"/>
          <w:highlight w:val="none"/>
          <w:u w:val="single"/>
          <w:lang w:val="zh-CN"/>
        </w:rPr>
        <w:t xml:space="preserve">          </w:t>
      </w:r>
      <w:r>
        <w:rPr>
          <w:rFonts w:ascii="宋体" w:hAnsi="宋体" w:cs="宋体"/>
          <w:color w:val="auto"/>
          <w:sz w:val="24"/>
          <w:highlight w:val="none"/>
        </w:rPr>
        <w:t>(全权代表姓名)</w:t>
      </w:r>
      <w:r>
        <w:rPr>
          <w:rFonts w:ascii="宋体" w:hAnsi="宋体" w:cs="宋体"/>
          <w:color w:val="auto"/>
          <w:kern w:val="0"/>
          <w:sz w:val="24"/>
          <w:highlight w:val="none"/>
          <w:u w:val="single"/>
          <w:lang w:val="zh-CN"/>
        </w:rPr>
        <w:t xml:space="preserve">              </w:t>
      </w:r>
      <w:r>
        <w:rPr>
          <w:rFonts w:ascii="宋体" w:hAnsi="宋体" w:cs="宋体"/>
          <w:color w:val="auto"/>
          <w:sz w:val="24"/>
          <w:highlight w:val="none"/>
        </w:rPr>
        <w:t>(职务、职称)为全权代表，参加贵方组织的</w:t>
      </w:r>
      <w:r>
        <w:rPr>
          <w:rFonts w:hint="eastAsia" w:ascii="宋体" w:hAnsi="宋体" w:cs="宋体"/>
          <w:color w:val="auto"/>
          <w:sz w:val="24"/>
          <w:highlight w:val="none"/>
          <w:u w:val="single"/>
          <w:lang w:eastAsia="zh-CN"/>
        </w:rPr>
        <w:t>“数字浙警”建设工程-教师绩效码和学生成长码-数据采集及应用场景迭代项目</w:t>
      </w:r>
      <w:r>
        <w:rPr>
          <w:rFonts w:ascii="宋体" w:hAnsi="宋体" w:cs="宋体"/>
          <w:color w:val="auto"/>
          <w:sz w:val="24"/>
          <w:highlight w:val="none"/>
        </w:rPr>
        <w:t>(采购编号：XXXX</w:t>
      </w:r>
      <w:r>
        <w:rPr>
          <w:rFonts w:ascii="宋体" w:hAnsi="宋体" w:cs="宋体"/>
          <w:color w:val="auto"/>
          <w:kern w:val="0"/>
          <w:sz w:val="24"/>
          <w:highlight w:val="none"/>
          <w:lang w:val="zh-CN"/>
        </w:rPr>
        <w:t>)</w:t>
      </w:r>
      <w:r>
        <w:rPr>
          <w:rFonts w:ascii="宋体" w:hAnsi="宋体" w:cs="宋体"/>
          <w:color w:val="auto"/>
          <w:sz w:val="24"/>
          <w:highlight w:val="none"/>
        </w:rPr>
        <w:t>招标的有关活动，并对此项目进行投标。为此：</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1、我方同意在投标人</w:t>
      </w:r>
      <w:r>
        <w:rPr>
          <w:rFonts w:ascii="宋体" w:hAnsi="宋体" w:cs="宋体"/>
          <w:color w:val="auto"/>
          <w:kern w:val="44"/>
          <w:sz w:val="24"/>
          <w:highlight w:val="none"/>
        </w:rPr>
        <w:t>编制和提交投标文件须知</w:t>
      </w:r>
      <w:r>
        <w:rPr>
          <w:rFonts w:ascii="宋体" w:hAnsi="宋体" w:cs="宋体"/>
          <w:color w:val="auto"/>
          <w:sz w:val="24"/>
          <w:highlight w:val="none"/>
        </w:rPr>
        <w:t>规定的开标日期起遵守本投标书中的承诺且在投标有效期满之前均具有约束力。</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(1)具有独立承担民事责任的能力；</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(2)遵守国家法律、行政法规，具有良好的信誉和商业道德；</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(3)具有履行合同的能力和良好的履行合同记录；</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(4)良好的资金、财务状况；</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(5)提供的产品和服务符合中国政府规定的相应标准和环保标准；</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(6)没有违反政府采购法规、政策的记录；</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(7)没有发生重大经济纠纷和走私犯罪记录。</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3、提供</w:t>
      </w:r>
      <w:r>
        <w:rPr>
          <w:rFonts w:ascii="宋体" w:hAnsi="宋体" w:cs="宋体"/>
          <w:color w:val="auto"/>
          <w:kern w:val="44"/>
          <w:sz w:val="24"/>
          <w:highlight w:val="none"/>
        </w:rPr>
        <w:t>编制和提交投标文件须知</w:t>
      </w:r>
      <w:r>
        <w:rPr>
          <w:rFonts w:ascii="宋体" w:hAnsi="宋体" w:cs="宋体"/>
          <w:color w:val="auto"/>
          <w:sz w:val="24"/>
          <w:highlight w:val="none"/>
        </w:rPr>
        <w:t>规定的全部投标文件，包括资格文件、报价文件、商务技术文件。具体内容为：</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(1)资格文件</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(2)报价文件；</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ascii="宋体" w:hAnsi="宋体" w:cs="宋体"/>
          <w:color w:val="auto"/>
          <w:sz w:val="24"/>
          <w:highlight w:val="none"/>
          <w:lang w:val="zh-CN"/>
        </w:rPr>
        <w:t>商务</w:t>
      </w:r>
      <w:r>
        <w:rPr>
          <w:rFonts w:ascii="宋体" w:hAnsi="宋体" w:cs="宋体"/>
          <w:color w:val="auto"/>
          <w:kern w:val="0"/>
          <w:sz w:val="24"/>
          <w:highlight w:val="none"/>
          <w:lang w:val="zh-CN"/>
        </w:rPr>
        <w:t>技术文件</w:t>
      </w:r>
      <w:r>
        <w:rPr>
          <w:rFonts w:ascii="宋体" w:hAnsi="宋体" w:cs="宋体"/>
          <w:color w:val="auto"/>
          <w:sz w:val="24"/>
          <w:highlight w:val="none"/>
        </w:rPr>
        <w:t>；</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ascii="宋体" w:hAnsi="宋体" w:cs="宋体"/>
          <w:color w:val="auto"/>
          <w:kern w:val="44"/>
          <w:sz w:val="24"/>
          <w:highlight w:val="none"/>
        </w:rPr>
        <w:t>编制和提交投标文件须知</w:t>
      </w:r>
      <w:r>
        <w:rPr>
          <w:rFonts w:ascii="宋体" w:hAnsi="宋体" w:cs="宋体"/>
          <w:color w:val="auto"/>
          <w:sz w:val="24"/>
          <w:highlight w:val="none"/>
        </w:rPr>
        <w:t>要求投标人提交的全部文件；</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(5)按采购文件</w:t>
      </w:r>
      <w:r>
        <w:rPr>
          <w:rFonts w:ascii="宋体" w:hAnsi="宋体" w:cs="宋体"/>
          <w:color w:val="auto"/>
          <w:sz w:val="24"/>
          <w:highlight w:val="none"/>
        </w:rPr>
        <w:tab/>
      </w:r>
      <w:r>
        <w:rPr>
          <w:rFonts w:ascii="宋体" w:hAnsi="宋体" w:cs="宋体"/>
          <w:color w:val="auto"/>
          <w:sz w:val="24"/>
          <w:highlight w:val="none"/>
        </w:rPr>
        <w:t>要求提供和交付的货物和服务的投标报价详见开标一览表；</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(6)保证忠实地执行双方所签订的合同，并承担合同规定的责任和义务；</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(7)保证遵守采购文件中的其他有关规定。</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4、投标有效期内不撤销投标文件；强行撤销的，承诺按本项目预算金额的2%赔偿对采购代理机构造成的损失。</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5、我方完全理解贵方不一定要接受最低价的投标。</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6、如中标，按采购文件规定与</w:t>
      </w:r>
      <w:r>
        <w:rPr>
          <w:rFonts w:hint="eastAsia" w:ascii="宋体" w:hAnsi="宋体" w:cs="宋体"/>
          <w:color w:val="auto"/>
          <w:sz w:val="24"/>
          <w:highlight w:val="none"/>
          <w:lang w:eastAsia="zh-CN"/>
        </w:rPr>
        <w:t>采购人</w:t>
      </w:r>
      <w:r>
        <w:rPr>
          <w:rFonts w:ascii="宋体" w:hAnsi="宋体" w:cs="宋体"/>
          <w:color w:val="auto"/>
          <w:sz w:val="24"/>
          <w:highlight w:val="none"/>
        </w:rPr>
        <w:t>签订合同。如拒绝签订合同，承诺按本项目预算金额的2%对</w:t>
      </w:r>
      <w:r>
        <w:rPr>
          <w:rFonts w:hint="eastAsia" w:ascii="宋体" w:hAnsi="宋体" w:cs="宋体"/>
          <w:color w:val="auto"/>
          <w:sz w:val="24"/>
          <w:highlight w:val="none"/>
          <w:lang w:eastAsia="zh-CN"/>
        </w:rPr>
        <w:t>采购人</w:t>
      </w:r>
      <w:r>
        <w:rPr>
          <w:rFonts w:ascii="宋体" w:hAnsi="宋体" w:cs="宋体"/>
          <w:color w:val="auto"/>
          <w:sz w:val="24"/>
          <w:highlight w:val="none"/>
        </w:rPr>
        <w:t>进行赔偿；赔偿金额不足以弥补</w:t>
      </w:r>
      <w:r>
        <w:rPr>
          <w:rFonts w:hint="eastAsia" w:ascii="宋体" w:hAnsi="宋体" w:cs="宋体"/>
          <w:color w:val="auto"/>
          <w:sz w:val="24"/>
          <w:highlight w:val="none"/>
          <w:lang w:eastAsia="zh-CN"/>
        </w:rPr>
        <w:t>采购人</w:t>
      </w:r>
      <w:r>
        <w:rPr>
          <w:rFonts w:ascii="宋体" w:hAnsi="宋体" w:cs="宋体"/>
          <w:color w:val="auto"/>
          <w:sz w:val="24"/>
          <w:highlight w:val="none"/>
        </w:rPr>
        <w:t>损失的，承诺继续承担超过部分的损失。</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7、如中标，按采购文件规定的招标代理服务费标准，承诺在签订合同前向采购代理机构支付招标代理服务费。</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9、我方已详细审核全部采购文件，包括采购文件修改书（如有的话）、参考资料及有关附件，确认无误。我方完全理解并接受采购文件的各项规定和要求，对采购文件</w:t>
      </w:r>
      <w:r>
        <w:rPr>
          <w:rFonts w:ascii="宋体" w:hAnsi="宋体" w:cs="宋体"/>
          <w:color w:val="auto"/>
          <w:sz w:val="24"/>
          <w:highlight w:val="none"/>
        </w:rPr>
        <w:tab/>
      </w:r>
      <w:r>
        <w:rPr>
          <w:rFonts w:ascii="宋体" w:hAnsi="宋体" w:cs="宋体"/>
          <w:color w:val="auto"/>
          <w:sz w:val="24"/>
          <w:highlight w:val="none"/>
        </w:rPr>
        <w:t>的合理性、合法性不再有异议。</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(1)提供虚假材料谋取中标、成交的；</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(2)采取不正当手段诋毁、排挤其他供应商的；</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(3)与</w:t>
      </w:r>
      <w:r>
        <w:rPr>
          <w:rFonts w:hint="eastAsia" w:ascii="宋体" w:hAnsi="宋体" w:cs="宋体"/>
          <w:color w:val="auto"/>
          <w:sz w:val="24"/>
          <w:highlight w:val="none"/>
          <w:lang w:eastAsia="zh-CN"/>
        </w:rPr>
        <w:t>采购人</w:t>
      </w:r>
      <w:r>
        <w:rPr>
          <w:rFonts w:ascii="宋体" w:hAnsi="宋体" w:cs="宋体"/>
          <w:color w:val="auto"/>
          <w:sz w:val="24"/>
          <w:highlight w:val="none"/>
        </w:rPr>
        <w:t>、其它供应商或者采购代理机构恶意串通的；</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(4)向</w:t>
      </w:r>
      <w:r>
        <w:rPr>
          <w:rFonts w:hint="eastAsia" w:ascii="宋体" w:hAnsi="宋体" w:cs="宋体"/>
          <w:color w:val="auto"/>
          <w:sz w:val="24"/>
          <w:highlight w:val="none"/>
          <w:lang w:eastAsia="zh-CN"/>
        </w:rPr>
        <w:t>采购人</w:t>
      </w:r>
      <w:r>
        <w:rPr>
          <w:rFonts w:ascii="宋体" w:hAnsi="宋体" w:cs="宋体"/>
          <w:color w:val="auto"/>
          <w:sz w:val="24"/>
          <w:highlight w:val="none"/>
        </w:rPr>
        <w:t>、采购代理机构行贿或者提供其他不正当利益的；</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(5)在采购过程中与</w:t>
      </w:r>
      <w:r>
        <w:rPr>
          <w:rFonts w:hint="eastAsia" w:ascii="宋体" w:hAnsi="宋体" w:cs="宋体"/>
          <w:color w:val="auto"/>
          <w:sz w:val="24"/>
          <w:highlight w:val="none"/>
          <w:lang w:eastAsia="zh-CN"/>
        </w:rPr>
        <w:t>采购人</w:t>
      </w:r>
      <w:r>
        <w:rPr>
          <w:rFonts w:ascii="宋体" w:hAnsi="宋体" w:cs="宋体"/>
          <w:color w:val="auto"/>
          <w:sz w:val="24"/>
          <w:highlight w:val="none"/>
        </w:rPr>
        <w:t>进行协商谈判的；</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(6)拒绝有关部门监督检查或提供虚假情况的。</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供应商有前款第(1)至(5)项情形之一的，中标、成交无效。</w:t>
      </w:r>
    </w:p>
    <w:p>
      <w:pPr>
        <w:shd w:val="clear" w:color="auto" w:fill="FFFFFF"/>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lang w:val="zh-CN"/>
        </w:rPr>
        <w:t>法定（授权）代表人（签字</w:t>
      </w:r>
      <w:r>
        <w:rPr>
          <w:rFonts w:ascii="宋体" w:hAnsi="宋体" w:cs="宋体"/>
          <w:color w:val="auto"/>
          <w:kern w:val="0"/>
          <w:sz w:val="24"/>
          <w:highlight w:val="none"/>
        </w:rPr>
        <w:t>或盖章</w:t>
      </w:r>
      <w:r>
        <w:rPr>
          <w:rFonts w:ascii="宋体" w:hAnsi="宋体" w:cs="宋体"/>
          <w:color w:val="auto"/>
          <w:kern w:val="0"/>
          <w:sz w:val="24"/>
          <w:highlight w:val="none"/>
          <w:lang w:val="zh-CN"/>
        </w:rPr>
        <w:t>）：</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rPr>
        <w:tab/>
      </w:r>
    </w:p>
    <w:p>
      <w:pPr>
        <w:shd w:val="clear" w:color="auto" w:fill="FFFFFF"/>
        <w:snapToGrid w:val="0"/>
        <w:spacing w:line="360" w:lineRule="auto"/>
        <w:ind w:firstLine="480" w:firstLineChars="200"/>
        <w:rPr>
          <w:rFonts w:ascii="宋体" w:hAnsi="宋体" w:cs="宋体"/>
          <w:color w:val="auto"/>
          <w:kern w:val="0"/>
          <w:sz w:val="24"/>
          <w:highlight w:val="none"/>
          <w:u w:val="single"/>
          <w:lang w:val="zh-CN"/>
        </w:rPr>
      </w:pPr>
      <w:r>
        <w:rPr>
          <w:rFonts w:ascii="宋体" w:hAnsi="宋体" w:cs="宋体"/>
          <w:color w:val="auto"/>
          <w:kern w:val="0"/>
          <w:sz w:val="24"/>
          <w:highlight w:val="none"/>
          <w:lang w:val="zh-CN"/>
        </w:rPr>
        <w:t>投标人</w:t>
      </w:r>
      <w:r>
        <w:rPr>
          <w:rFonts w:hint="eastAsia" w:ascii="宋体" w:hAnsi="宋体" w:eastAsia="宋体" w:cs="宋体"/>
          <w:color w:val="auto"/>
          <w:kern w:val="0"/>
          <w:sz w:val="24"/>
          <w:highlight w:val="none"/>
          <w:lang w:val="zh-CN"/>
        </w:rPr>
        <w:t>(电子签名/公章)</w:t>
      </w:r>
      <w:r>
        <w:rPr>
          <w:rFonts w:ascii="宋体" w:hAnsi="宋体" w:cs="宋体"/>
          <w:color w:val="auto"/>
          <w:kern w:val="0"/>
          <w:sz w:val="24"/>
          <w:highlight w:val="none"/>
          <w:lang w:val="zh-CN"/>
        </w:rPr>
        <w:t>：</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rPr>
        <w:tab/>
      </w:r>
      <w:r>
        <w:rPr>
          <w:rFonts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lang w:val="zh-CN"/>
        </w:rPr>
        <w:t xml:space="preserve">联系电话： </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 xml:space="preserve">传真：  </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 xml:space="preserve">电子邮件：  </w:t>
      </w:r>
      <w:r>
        <w:rPr>
          <w:rFonts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lang w:val="zh-CN"/>
        </w:rPr>
        <w:t>联系地址：</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rPr>
        <w:tab/>
      </w:r>
      <w:r>
        <w:rPr>
          <w:rFonts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lang w:val="zh-CN"/>
        </w:rPr>
        <w:t>邮政编码：</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传真号码：</w:t>
      </w:r>
      <w:r>
        <w:rPr>
          <w:rFonts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ascii="宋体" w:hAnsi="宋体" w:cs="宋体"/>
          <w:color w:val="auto"/>
          <w:kern w:val="0"/>
          <w:sz w:val="24"/>
          <w:highlight w:val="none"/>
          <w:u w:val="single"/>
        </w:rPr>
      </w:pPr>
      <w:r>
        <w:rPr>
          <w:rFonts w:ascii="宋体" w:hAnsi="宋体" w:cs="宋体"/>
          <w:color w:val="auto"/>
          <w:kern w:val="0"/>
          <w:sz w:val="24"/>
          <w:highlight w:val="none"/>
          <w:lang w:val="zh-CN"/>
        </w:rPr>
        <w:t>日</w:t>
      </w:r>
      <w:r>
        <w:rPr>
          <w:rFonts w:ascii="宋体" w:hAnsi="宋体" w:cs="宋体"/>
          <w:color w:val="auto"/>
          <w:kern w:val="0"/>
          <w:sz w:val="24"/>
          <w:highlight w:val="none"/>
        </w:rPr>
        <w:t xml:space="preserve">    </w:t>
      </w:r>
      <w:r>
        <w:rPr>
          <w:rFonts w:ascii="宋体" w:hAnsi="宋体" w:cs="宋体"/>
          <w:color w:val="auto"/>
          <w:kern w:val="0"/>
          <w:sz w:val="24"/>
          <w:highlight w:val="none"/>
          <w:lang w:val="zh-CN"/>
        </w:rPr>
        <w:t>期</w:t>
      </w:r>
      <w:r>
        <w:rPr>
          <w:rFonts w:ascii="宋体" w:hAnsi="宋体" w:cs="宋体"/>
          <w:color w:val="auto"/>
          <w:kern w:val="0"/>
          <w:sz w:val="24"/>
          <w:highlight w:val="none"/>
        </w:rPr>
        <w:t xml:space="preserve">： </w:t>
      </w:r>
      <w:r>
        <w:rPr>
          <w:rFonts w:ascii="宋体" w:hAnsi="宋体" w:cs="宋体"/>
          <w:color w:val="auto"/>
          <w:kern w:val="0"/>
          <w:sz w:val="24"/>
          <w:highlight w:val="none"/>
          <w:u w:val="single"/>
        </w:rPr>
        <w:t xml:space="preserve">       </w:t>
      </w:r>
      <w:r>
        <w:rPr>
          <w:rFonts w:ascii="宋体" w:hAnsi="宋体" w:cs="宋体"/>
          <w:color w:val="auto"/>
          <w:kern w:val="0"/>
          <w:sz w:val="24"/>
          <w:highlight w:val="none"/>
          <w:lang w:val="zh-CN"/>
        </w:rPr>
        <w:t>年</w:t>
      </w:r>
      <w:r>
        <w:rPr>
          <w:rFonts w:ascii="宋体" w:hAnsi="宋体" w:cs="宋体"/>
          <w:color w:val="auto"/>
          <w:kern w:val="0"/>
          <w:sz w:val="24"/>
          <w:highlight w:val="none"/>
          <w:u w:val="single"/>
        </w:rPr>
        <w:t xml:space="preserve">  </w:t>
      </w:r>
      <w:r>
        <w:rPr>
          <w:rFonts w:ascii="宋体" w:hAnsi="宋体" w:cs="宋体"/>
          <w:color w:val="auto"/>
          <w:kern w:val="0"/>
          <w:sz w:val="24"/>
          <w:highlight w:val="none"/>
          <w:u w:val="single"/>
        </w:rPr>
        <w:tab/>
      </w:r>
      <w:r>
        <w:rPr>
          <w:rFonts w:ascii="宋体" w:hAnsi="宋体" w:cs="宋体"/>
          <w:color w:val="auto"/>
          <w:kern w:val="0"/>
          <w:sz w:val="24"/>
          <w:highlight w:val="none"/>
          <w:lang w:val="zh-CN"/>
        </w:rPr>
        <w:t>月</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日</w:t>
      </w:r>
    </w:p>
    <w:p>
      <w:pPr>
        <w:shd w:val="clear" w:color="auto" w:fill="FFFFFF"/>
        <w:snapToGrid w:val="0"/>
        <w:spacing w:line="360" w:lineRule="auto"/>
        <w:rPr>
          <w:rFonts w:ascii="宋体" w:hAnsi="宋体" w:cs="宋体"/>
          <w:b/>
          <w:bCs/>
          <w:color w:val="auto"/>
          <w:kern w:val="0"/>
          <w:sz w:val="24"/>
          <w:highlight w:val="none"/>
          <w:lang w:val="zh-CN"/>
        </w:rPr>
      </w:pPr>
      <w:r>
        <w:rPr>
          <w:rFonts w:ascii="宋体" w:hAnsi="宋体" w:cs="宋体"/>
          <w:b/>
          <w:bCs/>
          <w:color w:val="auto"/>
          <w:kern w:val="0"/>
          <w:sz w:val="24"/>
          <w:highlight w:val="none"/>
          <w:lang w:val="zh-CN"/>
        </w:rPr>
        <w:t>注：未按照本投标响应函要求填报的将被视为非实质性响应，从而可能导致该投标文件被拒绝。</w:t>
      </w:r>
    </w:p>
    <w:p>
      <w:pPr>
        <w:pStyle w:val="17"/>
        <w:rPr>
          <w:rFonts w:hAnsi="宋体" w:cs="宋体"/>
          <w:color w:val="auto"/>
          <w:highlight w:val="none"/>
          <w:lang w:val="zh-CN"/>
        </w:rPr>
      </w:pPr>
    </w:p>
    <w:p>
      <w:pPr>
        <w:snapToGrid w:val="0"/>
        <w:spacing w:line="360" w:lineRule="auto"/>
        <w:ind w:left="570"/>
        <w:jc w:val="center"/>
        <w:outlineLvl w:val="0"/>
        <w:rPr>
          <w:rFonts w:ascii="宋体" w:hAnsi="宋体" w:cs="宋体"/>
          <w:b/>
          <w:color w:val="auto"/>
          <w:sz w:val="32"/>
          <w:szCs w:val="32"/>
          <w:highlight w:val="none"/>
        </w:rPr>
      </w:pPr>
      <w:bookmarkStart w:id="94" w:name="_Toc354859632"/>
      <w:bookmarkStart w:id="95" w:name="_Toc354859551"/>
      <w:bookmarkStart w:id="96" w:name="_Toc354859475"/>
      <w:bookmarkStart w:id="97" w:name="_Toc233618991"/>
      <w:r>
        <w:rPr>
          <w:rFonts w:ascii="宋体" w:hAnsi="宋体" w:cs="宋体"/>
          <w:b/>
          <w:color w:val="auto"/>
          <w:sz w:val="32"/>
          <w:szCs w:val="32"/>
          <w:highlight w:val="none"/>
        </w:rPr>
        <w:br w:type="page"/>
      </w:r>
      <w:bookmarkStart w:id="98" w:name="_Toc31452"/>
      <w:bookmarkStart w:id="99" w:name="_Toc12092"/>
      <w:bookmarkStart w:id="100" w:name="_Toc6431"/>
      <w:bookmarkStart w:id="101" w:name="_Toc11233"/>
      <w:r>
        <w:rPr>
          <w:rFonts w:ascii="宋体" w:hAnsi="宋体" w:cs="宋体"/>
          <w:b/>
          <w:color w:val="auto"/>
          <w:sz w:val="32"/>
          <w:szCs w:val="32"/>
          <w:highlight w:val="none"/>
        </w:rPr>
        <w:t>二、开标一览表</w:t>
      </w:r>
      <w:bookmarkEnd w:id="94"/>
      <w:bookmarkEnd w:id="95"/>
      <w:bookmarkEnd w:id="96"/>
      <w:bookmarkEnd w:id="97"/>
      <w:bookmarkEnd w:id="98"/>
      <w:bookmarkEnd w:id="99"/>
      <w:bookmarkEnd w:id="100"/>
      <w:bookmarkEnd w:id="101"/>
    </w:p>
    <w:p>
      <w:pPr>
        <w:shd w:val="clear" w:color="auto" w:fill="FFFFFF"/>
        <w:snapToGrid w:val="0"/>
        <w:spacing w:line="360" w:lineRule="auto"/>
        <w:ind w:firstLine="420" w:firstLineChars="200"/>
        <w:rPr>
          <w:rFonts w:ascii="宋体" w:hAnsi="宋体" w:cs="宋体"/>
          <w:color w:val="auto"/>
          <w:szCs w:val="21"/>
          <w:highlight w:val="none"/>
        </w:rPr>
      </w:pPr>
    </w:p>
    <w:p>
      <w:pPr>
        <w:shd w:val="clear" w:color="auto" w:fill="FFFFFF"/>
        <w:snapToGrid w:val="0"/>
        <w:spacing w:line="360" w:lineRule="auto"/>
        <w:ind w:firstLine="480" w:firstLineChars="200"/>
        <w:rPr>
          <w:rFonts w:hint="default" w:ascii="宋体" w:hAnsi="宋体" w:cs="宋体"/>
          <w:color w:val="auto"/>
          <w:kern w:val="0"/>
          <w:sz w:val="24"/>
          <w:szCs w:val="24"/>
          <w:highlight w:val="none"/>
        </w:rPr>
      </w:pPr>
      <w:r>
        <w:rPr>
          <w:rFonts w:ascii="宋体" w:hAnsi="宋体" w:cs="宋体"/>
          <w:color w:val="auto"/>
          <w:sz w:val="24"/>
          <w:szCs w:val="24"/>
          <w:highlight w:val="none"/>
        </w:rPr>
        <w:t>项目名称：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项目编号：</w:t>
      </w:r>
      <w:r>
        <w:rPr>
          <w:rFonts w:ascii="宋体" w:hAnsi="宋体" w:cs="宋体"/>
          <w:color w:val="auto"/>
          <w:sz w:val="24"/>
          <w:szCs w:val="24"/>
          <w:highlight w:val="none"/>
          <w:u w:val="single"/>
        </w:rPr>
        <w:t xml:space="preserve">               </w:t>
      </w:r>
    </w:p>
    <w:p>
      <w:pPr>
        <w:autoSpaceDE w:val="0"/>
        <w:autoSpaceDN w:val="0"/>
        <w:adjustRightInd w:val="0"/>
        <w:spacing w:line="360" w:lineRule="auto"/>
        <w:jc w:val="center"/>
        <w:outlineLvl w:val="0"/>
        <w:rPr>
          <w:rFonts w:ascii="宋体" w:hAnsi="宋体" w:cs="宋体"/>
          <w:b/>
          <w:bCs/>
          <w:color w:val="auto"/>
          <w:kern w:val="0"/>
          <w:sz w:val="24"/>
          <w:highlight w:val="none"/>
          <w:lang w:val="zh-CN"/>
        </w:rPr>
      </w:pPr>
      <w:bookmarkStart w:id="102" w:name="_Toc25279"/>
      <w:bookmarkStart w:id="103" w:name="_Toc19463"/>
      <w:bookmarkStart w:id="104" w:name="_Toc14958"/>
      <w:bookmarkStart w:id="105" w:name="_Toc12944"/>
      <w:r>
        <w:rPr>
          <w:rFonts w:ascii="宋体" w:hAnsi="宋体" w:cs="宋体"/>
          <w:b/>
          <w:bCs/>
          <w:color w:val="auto"/>
          <w:kern w:val="0"/>
          <w:sz w:val="24"/>
          <w:highlight w:val="none"/>
          <w:lang w:val="zh-CN"/>
        </w:rPr>
        <w:t>投标（开标）一览表（单位均为人民币元）</w:t>
      </w:r>
      <w:bookmarkEnd w:id="102"/>
      <w:bookmarkEnd w:id="103"/>
      <w:bookmarkEnd w:id="104"/>
      <w:bookmarkEnd w:id="10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293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179" w:type="dxa"/>
            <w:noWrap w:val="0"/>
            <w:vAlign w:val="center"/>
          </w:tcPr>
          <w:p>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服务</w:t>
            </w:r>
            <w:r>
              <w:rPr>
                <w:rFonts w:hint="eastAsia" w:ascii="宋体" w:hAnsi="宋体" w:cs="宋体"/>
                <w:b/>
                <w:color w:val="auto"/>
                <w:sz w:val="24"/>
                <w:szCs w:val="24"/>
                <w:highlight w:val="none"/>
                <w:lang w:val="en-US" w:eastAsia="zh-CN"/>
              </w:rPr>
              <w:t>内容</w:t>
            </w:r>
          </w:p>
        </w:tc>
        <w:tc>
          <w:tcPr>
            <w:tcW w:w="2935" w:type="dxa"/>
            <w:noWrap w:val="0"/>
            <w:vAlign w:val="center"/>
          </w:tcPr>
          <w:p>
            <w:pPr>
              <w:spacing w:line="240" w:lineRule="auto"/>
              <w:jc w:val="center"/>
              <w:rPr>
                <w:rFonts w:ascii="宋体" w:hAnsi="宋体" w:cs="宋体"/>
                <w:b/>
                <w:color w:val="auto"/>
                <w:sz w:val="24"/>
                <w:szCs w:val="24"/>
                <w:highlight w:val="none"/>
              </w:rPr>
            </w:pPr>
            <w:r>
              <w:rPr>
                <w:rFonts w:ascii="宋体" w:hAnsi="宋体" w:cs="宋体"/>
                <w:b/>
                <w:color w:val="auto"/>
                <w:sz w:val="24"/>
                <w:szCs w:val="24"/>
                <w:highlight w:val="none"/>
              </w:rPr>
              <w:t>投标报价</w:t>
            </w:r>
          </w:p>
        </w:tc>
        <w:tc>
          <w:tcPr>
            <w:tcW w:w="1424" w:type="dxa"/>
            <w:noWrap w:val="0"/>
            <w:vAlign w:val="center"/>
          </w:tcPr>
          <w:p>
            <w:pPr>
              <w:spacing w:line="360" w:lineRule="auto"/>
              <w:jc w:val="center"/>
              <w:rPr>
                <w:rFonts w:ascii="宋体" w:hAnsi="宋体" w:cs="宋体"/>
                <w:b/>
                <w:color w:val="auto"/>
                <w:sz w:val="24"/>
                <w:szCs w:val="24"/>
                <w:highlight w:val="none"/>
              </w:rPr>
            </w:pPr>
            <w:r>
              <w:rPr>
                <w:rFonts w:ascii="宋体" w:hAnsi="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179" w:type="dxa"/>
            <w:noWrap w:val="0"/>
            <w:vAlign w:val="center"/>
          </w:tcPr>
          <w:p>
            <w:pPr>
              <w:widowControl/>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Cs w:val="21"/>
                <w:highlight w:val="none"/>
                <w:lang w:val="zh-CN" w:eastAsia="zh-CN"/>
              </w:rPr>
              <w:t>“数字浙警”建设工程-教师绩效码和学生成长码-数据采集及应用场景迭代项目</w:t>
            </w:r>
          </w:p>
        </w:tc>
        <w:tc>
          <w:tcPr>
            <w:tcW w:w="2935" w:type="dxa"/>
            <w:noWrap w:val="0"/>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元</w:t>
            </w:r>
          </w:p>
        </w:tc>
        <w:tc>
          <w:tcPr>
            <w:tcW w:w="1424" w:type="dxa"/>
            <w:noWrap w:val="0"/>
            <w:vAlign w:val="center"/>
          </w:tcPr>
          <w:p>
            <w:pPr>
              <w:jc w:val="center"/>
              <w:rPr>
                <w:rFonts w:ascii="宋体" w:hAnsi="宋体" w:cs="宋体"/>
                <w:color w:val="auto"/>
                <w:kern w:val="0"/>
                <w:sz w:val="24"/>
                <w:szCs w:val="24"/>
                <w:highlight w:val="none"/>
                <w:lang w:val="zh-CN"/>
              </w:rPr>
            </w:pPr>
          </w:p>
        </w:tc>
      </w:tr>
    </w:tbl>
    <w:p>
      <w:pPr>
        <w:tabs>
          <w:tab w:val="left" w:pos="1140"/>
        </w:tabs>
        <w:spacing w:line="360" w:lineRule="auto"/>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注：</w:t>
      </w:r>
      <w:r>
        <w:rPr>
          <w:rFonts w:ascii="宋体" w:hAnsi="宋体" w:cs="宋体"/>
          <w:color w:val="auto"/>
          <w:szCs w:val="21"/>
          <w:highlight w:val="none"/>
        </w:rPr>
        <w:t>1、投标人需按本表格式填写，</w:t>
      </w:r>
      <w:r>
        <w:rPr>
          <w:rFonts w:ascii="宋体" w:hAnsi="宋体" w:cs="宋体"/>
          <w:bCs/>
          <w:color w:val="auto"/>
          <w:szCs w:val="21"/>
          <w:highlight w:val="none"/>
        </w:rPr>
        <w:t>栏数不够可自加。</w:t>
      </w:r>
    </w:p>
    <w:p>
      <w:pPr>
        <w:tabs>
          <w:tab w:val="left" w:pos="1140"/>
          <w:tab w:val="left" w:pos="5909"/>
        </w:tabs>
        <w:spacing w:line="360" w:lineRule="auto"/>
        <w:ind w:firstLine="420" w:firstLineChars="200"/>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2、有关本项目实施所涉及的一切费用均计入报价。</w:t>
      </w:r>
      <w:r>
        <w:rPr>
          <w:rFonts w:ascii="宋体" w:hAnsi="宋体" w:cs="宋体"/>
          <w:color w:val="auto"/>
          <w:kern w:val="0"/>
          <w:szCs w:val="21"/>
          <w:highlight w:val="none"/>
          <w:lang w:val="zh-CN"/>
        </w:rPr>
        <w:tab/>
      </w:r>
    </w:p>
    <w:p>
      <w:pPr>
        <w:widowControl/>
        <w:snapToGrid w:val="0"/>
        <w:spacing w:line="360" w:lineRule="auto"/>
        <w:ind w:firstLine="420" w:firstLineChars="200"/>
        <w:jc w:val="left"/>
        <w:rPr>
          <w:rFonts w:ascii="宋体" w:hAnsi="宋体" w:cs="宋体"/>
          <w:color w:val="auto"/>
          <w:kern w:val="0"/>
          <w:sz w:val="24"/>
          <w:highlight w:val="none"/>
        </w:rPr>
      </w:pPr>
      <w:r>
        <w:rPr>
          <w:rFonts w:ascii="宋体" w:hAnsi="宋体" w:cs="宋体"/>
          <w:color w:val="auto"/>
          <w:kern w:val="0"/>
          <w:szCs w:val="21"/>
          <w:highlight w:val="none"/>
          <w:lang w:val="zh-CN"/>
        </w:rPr>
        <w:t>3、</w:t>
      </w:r>
      <w:bookmarkStart w:id="106" w:name="_Toc233618992"/>
      <w:r>
        <w:rPr>
          <w:rFonts w:ascii="宋体" w:hAnsi="宋体" w:cs="宋体"/>
          <w:color w:val="auto"/>
          <w:kern w:val="0"/>
          <w:szCs w:val="21"/>
          <w:highlight w:val="none"/>
          <w:lang w:val="zh-CN"/>
        </w:rPr>
        <w:t>投标报价应当包括履行合同的全部价格，服务期内的人工费、材料费、措施费、专用工具费、交通费、食宿费、管理费、保险费、税金等一切费用（包括各种风险因素）及中标后向采购代理机构支付的代理服务费都包含在投标报价中，一次性包</w:t>
      </w:r>
      <w:r>
        <w:rPr>
          <w:rFonts w:ascii="宋体" w:hAnsi="宋体" w:cs="宋体"/>
          <w:color w:val="auto"/>
          <w:kern w:val="0"/>
          <w:szCs w:val="21"/>
          <w:highlight w:val="none"/>
        </w:rPr>
        <w:t>干</w:t>
      </w:r>
      <w:r>
        <w:rPr>
          <w:rFonts w:ascii="宋体" w:hAnsi="宋体" w:cs="宋体"/>
          <w:color w:val="auto"/>
          <w:kern w:val="0"/>
          <w:szCs w:val="21"/>
          <w:highlight w:val="none"/>
          <w:lang w:val="zh-CN"/>
        </w:rPr>
        <w:t>，合同价不再作调整，除招标范围更改。</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ascii="宋体" w:hAnsi="宋体" w:cs="宋体"/>
          <w:color w:val="auto"/>
          <w:kern w:val="0"/>
          <w:sz w:val="24"/>
          <w:highlight w:val="none"/>
        </w:rPr>
        <w:t>名称（</w:t>
      </w:r>
      <w:r>
        <w:rPr>
          <w:rFonts w:hint="eastAsia" w:ascii="宋体" w:hAnsi="宋体" w:eastAsia="宋体" w:cs="宋体"/>
          <w:color w:val="auto"/>
          <w:kern w:val="0"/>
          <w:sz w:val="24"/>
          <w:highlight w:val="none"/>
          <w:lang w:val="zh-CN"/>
        </w:rPr>
        <w:t>电子签名/公章</w:t>
      </w:r>
      <w:r>
        <w:rPr>
          <w:rFonts w:ascii="宋体" w:hAnsi="宋体" w:cs="宋体"/>
          <w:color w:val="auto"/>
          <w:kern w:val="0"/>
          <w:sz w:val="24"/>
          <w:highlight w:val="none"/>
        </w:rPr>
        <w:t>） ：</w:t>
      </w:r>
    </w:p>
    <w:p>
      <w:pPr>
        <w:widowControl/>
        <w:snapToGrid w:val="0"/>
        <w:spacing w:line="360" w:lineRule="auto"/>
        <w:ind w:firstLine="480" w:firstLineChars="200"/>
        <w:jc w:val="left"/>
        <w:rPr>
          <w:color w:val="auto"/>
          <w:highlight w:val="none"/>
        </w:rPr>
      </w:pPr>
      <w:r>
        <w:rPr>
          <w:rFonts w:ascii="宋体" w:hAnsi="宋体" w:cs="宋体"/>
          <w:color w:val="auto"/>
          <w:kern w:val="0"/>
          <w:sz w:val="24"/>
          <w:highlight w:val="none"/>
        </w:rPr>
        <w:t>法定代表人或其授权代表（签字或盖章）：</w:t>
      </w:r>
    </w:p>
    <w:p>
      <w:pPr>
        <w:snapToGrid w:val="0"/>
        <w:spacing w:line="360" w:lineRule="auto"/>
        <w:ind w:firstLine="480" w:firstLineChars="200"/>
        <w:jc w:val="center"/>
        <w:outlineLvl w:val="0"/>
        <w:rPr>
          <w:rFonts w:ascii="宋体" w:hAnsi="宋体" w:cs="宋体"/>
          <w:color w:val="auto"/>
          <w:kern w:val="0"/>
          <w:sz w:val="24"/>
          <w:highlight w:val="none"/>
        </w:rPr>
        <w:sectPr>
          <w:headerReference r:id="rId10" w:type="default"/>
          <w:footerReference r:id="rId11" w:type="default"/>
          <w:pgSz w:w="11906" w:h="16838"/>
          <w:pgMar w:top="1134" w:right="1247" w:bottom="1247" w:left="1304" w:header="794" w:footer="794" w:gutter="0"/>
          <w:cols w:space="720" w:num="1"/>
          <w:docGrid w:type="lines" w:linePitch="312" w:charSpace="0"/>
        </w:sectPr>
      </w:pPr>
      <w:bookmarkStart w:id="107" w:name="_Toc574"/>
      <w:bookmarkStart w:id="108" w:name="_Toc9810"/>
      <w:bookmarkStart w:id="109" w:name="_Toc24956"/>
      <w:r>
        <w:rPr>
          <w:rFonts w:ascii="宋体" w:hAnsi="宋体" w:cs="宋体"/>
          <w:color w:val="auto"/>
          <w:kern w:val="0"/>
          <w:sz w:val="24"/>
          <w:highlight w:val="none"/>
        </w:rPr>
        <w:t>日期：     年  月  日</w:t>
      </w:r>
      <w:bookmarkEnd w:id="107"/>
      <w:bookmarkEnd w:id="108"/>
    </w:p>
    <w:p>
      <w:pPr>
        <w:pStyle w:val="3"/>
        <w:rPr>
          <w:color w:val="auto"/>
          <w:highlight w:val="none"/>
        </w:rPr>
      </w:pPr>
    </w:p>
    <w:p>
      <w:pPr>
        <w:snapToGrid w:val="0"/>
        <w:spacing w:line="360" w:lineRule="auto"/>
        <w:ind w:firstLine="643" w:firstLineChars="200"/>
        <w:jc w:val="center"/>
        <w:outlineLvl w:val="0"/>
        <w:rPr>
          <w:rFonts w:ascii="宋体" w:hAnsi="宋体" w:cs="宋体"/>
          <w:b/>
          <w:color w:val="auto"/>
          <w:sz w:val="32"/>
          <w:szCs w:val="32"/>
          <w:highlight w:val="none"/>
        </w:rPr>
      </w:pPr>
      <w:bookmarkStart w:id="110" w:name="_Toc4011"/>
      <w:bookmarkStart w:id="111" w:name="_Toc18218"/>
      <w:bookmarkStart w:id="112" w:name="_Toc21376"/>
      <w:r>
        <w:rPr>
          <w:rFonts w:ascii="宋体" w:hAnsi="宋体" w:cs="宋体"/>
          <w:b/>
          <w:color w:val="auto"/>
          <w:sz w:val="32"/>
          <w:szCs w:val="32"/>
          <w:highlight w:val="none"/>
        </w:rPr>
        <w:t>三、报价明细清单</w:t>
      </w:r>
      <w:bookmarkEnd w:id="106"/>
      <w:bookmarkEnd w:id="109"/>
      <w:bookmarkEnd w:id="110"/>
      <w:bookmarkEnd w:id="111"/>
      <w:bookmarkEnd w:id="112"/>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2158"/>
        <w:gridCol w:w="1480"/>
        <w:gridCol w:w="1480"/>
        <w:gridCol w:w="1110"/>
        <w:gridCol w:w="1294"/>
        <w:gridCol w:w="1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序号</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费用名称</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数量</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单位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单价</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合价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r>
              <w:rPr>
                <w:rFonts w:hint="default" w:ascii="Times New Roman" w:hAnsi="Times New Roman"/>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21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21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21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21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21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21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09"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总报价</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Times New Roman" w:hAnsi="Times New Roman"/>
                <w:color w:val="auto"/>
                <w:sz w:val="24"/>
                <w:szCs w:val="20"/>
                <w:highlight w:val="none"/>
              </w:rPr>
            </w:pPr>
          </w:p>
        </w:tc>
      </w:tr>
    </w:tbl>
    <w:p>
      <w:pPr>
        <w:tabs>
          <w:tab w:val="left" w:pos="1418"/>
        </w:tabs>
        <w:snapToGrid w:val="0"/>
        <w:jc w:val="center"/>
        <w:rPr>
          <w:rFonts w:hint="default" w:ascii="Times New Roman" w:hAnsi="Times New Roman"/>
          <w:color w:val="auto"/>
          <w:sz w:val="24"/>
          <w:szCs w:val="20"/>
          <w:highlight w:val="none"/>
        </w:rPr>
      </w:pP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w:t>
      </w:r>
      <w:r>
        <w:rPr>
          <w:rFonts w:hint="eastAsia" w:ascii="宋体" w:hAnsi="宋体" w:eastAsia="宋体" w:cs="宋体"/>
          <w:b/>
          <w:color w:val="auto"/>
          <w:sz w:val="24"/>
          <w:highlight w:val="none"/>
          <w:lang w:eastAsia="zh-CN"/>
        </w:rPr>
        <w:t>采购人</w:t>
      </w:r>
      <w:r>
        <w:rPr>
          <w:rFonts w:hint="eastAsia" w:ascii="宋体" w:hAnsi="宋体" w:eastAsia="宋体" w:cs="宋体"/>
          <w:b/>
          <w:color w:val="auto"/>
          <w:sz w:val="24"/>
          <w:highlight w:val="none"/>
        </w:rPr>
        <w:t>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w:t>
      </w:r>
      <w:r>
        <w:rPr>
          <w:rFonts w:hint="eastAsia" w:ascii="宋体" w:hAnsi="宋体" w:eastAsia="宋体" w:cs="宋体"/>
          <w:color w:val="auto"/>
          <w:kern w:val="0"/>
          <w:sz w:val="24"/>
          <w:highlight w:val="none"/>
          <w:lang w:val="zh-CN" w:eastAsia="zh-CN"/>
        </w:rPr>
        <w:t>配件品牌型号</w:t>
      </w:r>
      <w:r>
        <w:rPr>
          <w:rFonts w:hint="eastAsia" w:ascii="宋体" w:hAnsi="宋体" w:eastAsia="宋体" w:cs="宋体"/>
          <w:color w:val="auto"/>
          <w:kern w:val="0"/>
          <w:sz w:val="24"/>
          <w:highlight w:val="none"/>
          <w:lang w:val="zh-CN"/>
        </w:rPr>
        <w:t>”一栏中，货物类项目填写规格型号，服务类项目填写具体服务。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ascii="宋体" w:hAnsi="宋体" w:cs="宋体"/>
          <w:color w:val="auto"/>
          <w:kern w:val="0"/>
          <w:sz w:val="24"/>
          <w:highlight w:val="none"/>
        </w:rPr>
        <w:t>名称（</w:t>
      </w:r>
      <w:r>
        <w:rPr>
          <w:rFonts w:hint="eastAsia" w:ascii="宋体" w:hAnsi="宋体" w:eastAsia="宋体" w:cs="宋体"/>
          <w:color w:val="auto"/>
          <w:kern w:val="0"/>
          <w:sz w:val="24"/>
          <w:highlight w:val="none"/>
          <w:lang w:val="zh-CN"/>
        </w:rPr>
        <w:t>电子签名/公章</w:t>
      </w:r>
      <w:r>
        <w:rPr>
          <w:rFonts w:ascii="宋体" w:hAnsi="宋体" w:cs="宋体"/>
          <w:color w:val="auto"/>
          <w:kern w:val="0"/>
          <w:sz w:val="24"/>
          <w:highlight w:val="none"/>
        </w:rPr>
        <w:t>） ：</w:t>
      </w:r>
    </w:p>
    <w:p>
      <w:pPr>
        <w:widowControl/>
        <w:snapToGrid w:val="0"/>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法定代表人或其授权代表（签字或盖章）：</w:t>
      </w:r>
    </w:p>
    <w:p>
      <w:pPr>
        <w:widowControl/>
        <w:snapToGrid w:val="0"/>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日期：     年  月  日</w:t>
      </w:r>
    </w:p>
    <w:p>
      <w:pPr>
        <w:pStyle w:val="22"/>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jc w:val="both"/>
        <w:textAlignment w:val="auto"/>
        <w:outlineLvl w:val="0"/>
        <w:rPr>
          <w:rFonts w:ascii="宋体" w:hAnsi="宋体" w:eastAsia="宋体" w:cs="宋体"/>
          <w:color w:val="auto"/>
          <w:kern w:val="0"/>
          <w:sz w:val="24"/>
          <w:highlight w:val="none"/>
        </w:rPr>
        <w:sectPr>
          <w:pgSz w:w="11906" w:h="16838"/>
          <w:pgMar w:top="1134" w:right="1247" w:bottom="1247" w:left="1304" w:header="794" w:footer="794" w:gutter="0"/>
          <w:cols w:space="720" w:num="1"/>
          <w:docGrid w:type="lines" w:linePitch="312" w:charSpace="0"/>
        </w:sectPr>
      </w:pPr>
    </w:p>
    <w:p>
      <w:pPr>
        <w:widowControl/>
        <w:snapToGrid w:val="0"/>
        <w:spacing w:line="360" w:lineRule="auto"/>
        <w:ind w:firstLine="480" w:firstLineChars="200"/>
        <w:jc w:val="left"/>
        <w:rPr>
          <w:rFonts w:ascii="宋体" w:hAnsi="宋体" w:eastAsia="宋体" w:cs="宋体"/>
          <w:color w:val="auto"/>
          <w:kern w:val="0"/>
          <w:sz w:val="24"/>
          <w:highlight w:val="none"/>
        </w:rPr>
      </w:pPr>
    </w:p>
    <w:p>
      <w:pPr>
        <w:widowControl/>
        <w:snapToGrid w:val="0"/>
        <w:spacing w:line="360" w:lineRule="auto"/>
        <w:ind w:firstLine="480" w:firstLineChars="200"/>
        <w:jc w:val="left"/>
        <w:rPr>
          <w:rFonts w:ascii="宋体" w:hAnsi="宋体" w:eastAsia="宋体" w:cs="宋体"/>
          <w:color w:val="auto"/>
          <w:kern w:val="0"/>
          <w:sz w:val="24"/>
          <w:highlight w:val="none"/>
        </w:rPr>
      </w:pPr>
    </w:p>
    <w:p>
      <w:pPr>
        <w:snapToGrid w:val="0"/>
        <w:spacing w:before="50" w:after="50" w:line="360" w:lineRule="auto"/>
        <w:jc w:val="center"/>
        <w:rPr>
          <w:rFonts w:ascii="宋体" w:hAnsi="宋体" w:cs="宋体"/>
          <w:b/>
          <w:color w:val="auto"/>
          <w:sz w:val="32"/>
          <w:szCs w:val="32"/>
          <w:highlight w:val="none"/>
        </w:rPr>
      </w:pPr>
    </w:p>
    <w:p>
      <w:pPr>
        <w:snapToGrid w:val="0"/>
        <w:spacing w:before="50" w:after="50" w:line="360" w:lineRule="auto"/>
        <w:jc w:val="center"/>
        <w:rPr>
          <w:rFonts w:ascii="宋体" w:hAnsi="宋体" w:cs="宋体"/>
          <w:b/>
          <w:color w:val="auto"/>
          <w:sz w:val="30"/>
          <w:szCs w:val="30"/>
          <w:highlight w:val="none"/>
        </w:rPr>
      </w:pPr>
      <w:r>
        <w:rPr>
          <w:rFonts w:hint="eastAsia" w:ascii="宋体" w:hAnsi="宋体" w:cs="宋体"/>
          <w:b/>
          <w:color w:val="auto"/>
          <w:sz w:val="32"/>
          <w:szCs w:val="32"/>
          <w:highlight w:val="none"/>
          <w:lang w:val="en-US" w:eastAsia="zh-CN"/>
        </w:rPr>
        <w:t>四</w:t>
      </w:r>
      <w:r>
        <w:rPr>
          <w:rFonts w:ascii="宋体" w:hAnsi="宋体" w:cs="宋体"/>
          <w:b/>
          <w:color w:val="auto"/>
          <w:sz w:val="32"/>
          <w:szCs w:val="32"/>
          <w:highlight w:val="none"/>
        </w:rPr>
        <w:t>、</w:t>
      </w:r>
      <w:r>
        <w:rPr>
          <w:rFonts w:ascii="宋体" w:hAnsi="宋体" w:cs="宋体"/>
          <w:b/>
          <w:color w:val="auto"/>
          <w:sz w:val="30"/>
          <w:szCs w:val="30"/>
          <w:highlight w:val="none"/>
        </w:rPr>
        <w:t>代理服务费支付承诺书格式</w:t>
      </w:r>
    </w:p>
    <w:p>
      <w:pPr>
        <w:snapToGrid w:val="0"/>
        <w:spacing w:before="50" w:after="50" w:line="360" w:lineRule="auto"/>
        <w:rPr>
          <w:rFonts w:ascii="宋体" w:hAnsi="宋体" w:cs="宋体"/>
          <w:b/>
          <w:color w:val="auto"/>
          <w:sz w:val="24"/>
          <w:highlight w:val="none"/>
        </w:rPr>
      </w:pPr>
    </w:p>
    <w:p>
      <w:pPr>
        <w:snapToGrid w:val="0"/>
        <w:spacing w:before="50" w:after="156" w:afterLines="50" w:line="360" w:lineRule="auto"/>
        <w:jc w:val="center"/>
        <w:rPr>
          <w:rFonts w:ascii="宋体" w:hAnsi="宋体" w:cs="宋体"/>
          <w:b/>
          <w:color w:val="auto"/>
          <w:sz w:val="30"/>
          <w:szCs w:val="30"/>
          <w:highlight w:val="none"/>
        </w:rPr>
      </w:pPr>
    </w:p>
    <w:p>
      <w:pPr>
        <w:snapToGrid w:val="0"/>
        <w:spacing w:before="50" w:after="50" w:line="360" w:lineRule="auto"/>
        <w:rPr>
          <w:rFonts w:ascii="宋体" w:hAnsi="宋体" w:cs="宋体"/>
          <w:snapToGrid w:val="0"/>
          <w:color w:val="auto"/>
          <w:kern w:val="0"/>
          <w:sz w:val="24"/>
          <w:highlight w:val="none"/>
        </w:rPr>
      </w:pPr>
      <w:r>
        <w:rPr>
          <w:rFonts w:ascii="宋体" w:hAnsi="宋体" w:cs="宋体"/>
          <w:snapToGrid w:val="0"/>
          <w:color w:val="auto"/>
          <w:kern w:val="0"/>
          <w:sz w:val="24"/>
          <w:highlight w:val="none"/>
        </w:rPr>
        <w:t>致：浙江豪圣建设项目管理有限公司：</w:t>
      </w:r>
    </w:p>
    <w:p>
      <w:pPr>
        <w:snapToGrid w:val="0"/>
        <w:spacing w:before="50" w:after="50" w:line="360" w:lineRule="auto"/>
        <w:rPr>
          <w:rFonts w:ascii="宋体" w:hAnsi="宋体" w:cs="宋体"/>
          <w:snapToGrid w:val="0"/>
          <w:color w:val="auto"/>
          <w:kern w:val="0"/>
          <w:sz w:val="24"/>
          <w:highlight w:val="none"/>
        </w:rPr>
      </w:pPr>
    </w:p>
    <w:p>
      <w:pPr>
        <w:snapToGrid w:val="0"/>
        <w:spacing w:before="50" w:after="50" w:line="360" w:lineRule="auto"/>
        <w:ind w:firstLine="630"/>
        <w:rPr>
          <w:rFonts w:ascii="宋体" w:hAnsi="宋体" w:cs="宋体"/>
          <w:snapToGrid w:val="0"/>
          <w:color w:val="auto"/>
          <w:kern w:val="0"/>
          <w:sz w:val="24"/>
          <w:highlight w:val="none"/>
        </w:rPr>
      </w:pPr>
      <w:r>
        <w:rPr>
          <w:rFonts w:ascii="宋体" w:hAnsi="宋体" w:cs="宋体"/>
          <w:snapToGrid w:val="0"/>
          <w:color w:val="auto"/>
          <w:kern w:val="0"/>
          <w:sz w:val="24"/>
          <w:highlight w:val="none"/>
        </w:rPr>
        <w:t>我公司已认真阅读了招标文件（项目编号：</w:t>
      </w:r>
      <w:r>
        <w:rPr>
          <w:rFonts w:ascii="宋体" w:hAnsi="宋体" w:cs="宋体"/>
          <w:snapToGrid w:val="0"/>
          <w:color w:val="auto"/>
          <w:kern w:val="0"/>
          <w:sz w:val="24"/>
          <w:highlight w:val="none"/>
          <w:u w:val="single"/>
        </w:rPr>
        <w:t xml:space="preserve">           </w:t>
      </w:r>
      <w:r>
        <w:rPr>
          <w:rFonts w:ascii="宋体" w:hAnsi="宋体" w:cs="宋体"/>
          <w:snapToGrid w:val="0"/>
          <w:color w:val="auto"/>
          <w:kern w:val="0"/>
          <w:sz w:val="24"/>
          <w:highlight w:val="none"/>
        </w:rPr>
        <w:t>）并在此承诺：</w:t>
      </w:r>
    </w:p>
    <w:p>
      <w:pPr>
        <w:snapToGrid w:val="0"/>
        <w:spacing w:before="50" w:after="50" w:line="360" w:lineRule="auto"/>
        <w:ind w:firstLine="630"/>
        <w:rPr>
          <w:rFonts w:ascii="宋体" w:hAnsi="宋体" w:cs="宋体"/>
          <w:snapToGrid w:val="0"/>
          <w:color w:val="auto"/>
          <w:kern w:val="0"/>
          <w:sz w:val="24"/>
          <w:highlight w:val="none"/>
        </w:rPr>
      </w:pPr>
      <w:r>
        <w:rPr>
          <w:rFonts w:ascii="宋体" w:hAnsi="宋体" w:cs="宋体"/>
          <w:snapToGrid w:val="0"/>
          <w:color w:val="auto"/>
          <w:kern w:val="0"/>
          <w:sz w:val="24"/>
          <w:highlight w:val="none"/>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ascii="宋体" w:hAnsi="宋体" w:cs="宋体"/>
          <w:snapToGrid w:val="0"/>
          <w:color w:val="auto"/>
          <w:kern w:val="0"/>
          <w:sz w:val="24"/>
          <w:highlight w:val="none"/>
        </w:rPr>
      </w:pPr>
    </w:p>
    <w:p>
      <w:pPr>
        <w:snapToGrid w:val="0"/>
        <w:spacing w:before="50" w:after="50" w:line="360" w:lineRule="auto"/>
        <w:ind w:firstLine="630"/>
        <w:rPr>
          <w:rFonts w:ascii="宋体" w:hAnsi="宋体" w:cs="宋体"/>
          <w:snapToGrid w:val="0"/>
          <w:color w:val="auto"/>
          <w:kern w:val="0"/>
          <w:sz w:val="24"/>
          <w:highlight w:val="none"/>
        </w:rPr>
      </w:pPr>
    </w:p>
    <w:p>
      <w:pPr>
        <w:snapToGrid w:val="0"/>
        <w:spacing w:before="50" w:after="50" w:line="360" w:lineRule="auto"/>
        <w:ind w:firstLine="630"/>
        <w:rPr>
          <w:rFonts w:ascii="宋体" w:hAnsi="宋体" w:cs="宋体"/>
          <w:snapToGrid w:val="0"/>
          <w:color w:val="auto"/>
          <w:kern w:val="0"/>
          <w:sz w:val="24"/>
          <w:highlight w:val="none"/>
        </w:rPr>
      </w:pPr>
    </w:p>
    <w:p>
      <w:pPr>
        <w:snapToGrid w:val="0"/>
        <w:spacing w:before="50" w:after="50" w:line="360" w:lineRule="auto"/>
        <w:ind w:firstLine="630"/>
        <w:rPr>
          <w:rFonts w:ascii="宋体" w:hAnsi="宋体" w:cs="宋体"/>
          <w:snapToGrid w:val="0"/>
          <w:color w:val="auto"/>
          <w:kern w:val="0"/>
          <w:sz w:val="24"/>
          <w:highlight w:val="non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ascii="宋体" w:hAnsi="宋体" w:cs="宋体"/>
          <w:color w:val="auto"/>
          <w:kern w:val="0"/>
          <w:sz w:val="24"/>
          <w:highlight w:val="none"/>
        </w:rPr>
        <w:t>名称（</w:t>
      </w:r>
      <w:r>
        <w:rPr>
          <w:rFonts w:hint="eastAsia" w:ascii="宋体" w:hAnsi="宋体" w:eastAsia="宋体" w:cs="宋体"/>
          <w:color w:val="auto"/>
          <w:kern w:val="0"/>
          <w:sz w:val="24"/>
          <w:highlight w:val="none"/>
          <w:lang w:val="zh-CN"/>
        </w:rPr>
        <w:t>电子签名/公章</w:t>
      </w:r>
      <w:r>
        <w:rPr>
          <w:rFonts w:ascii="宋体" w:hAnsi="宋体" w:cs="宋体"/>
          <w:color w:val="auto"/>
          <w:kern w:val="0"/>
          <w:sz w:val="24"/>
          <w:highlight w:val="none"/>
        </w:rPr>
        <w:t>） ：</w:t>
      </w:r>
    </w:p>
    <w:p>
      <w:pPr>
        <w:widowControl/>
        <w:snapToGrid w:val="0"/>
        <w:spacing w:line="360" w:lineRule="auto"/>
        <w:ind w:firstLine="480" w:firstLineChars="200"/>
        <w:jc w:val="left"/>
        <w:rPr>
          <w:rFonts w:ascii="宋体" w:hAnsi="宋体" w:cs="宋体"/>
          <w:color w:val="auto"/>
          <w:spacing w:val="20"/>
          <w:sz w:val="24"/>
          <w:highlight w:val="none"/>
          <w:u w:val="single"/>
        </w:rPr>
      </w:pPr>
      <w:r>
        <w:rPr>
          <w:rFonts w:ascii="宋体" w:hAnsi="宋体" w:cs="宋体"/>
          <w:color w:val="auto"/>
          <w:kern w:val="0"/>
          <w:sz w:val="24"/>
          <w:highlight w:val="none"/>
        </w:rPr>
        <w:t>法定代表人或其授权代表（签字或盖章）：</w:t>
      </w:r>
    </w:p>
    <w:p>
      <w:pPr>
        <w:ind w:firstLine="480" w:firstLineChars="200"/>
        <w:rPr>
          <w:rFonts w:ascii="宋体" w:hAnsi="宋体" w:cs="宋体"/>
          <w:color w:val="auto"/>
          <w:highlight w:val="none"/>
        </w:rPr>
      </w:pPr>
      <w:r>
        <w:rPr>
          <w:rFonts w:ascii="宋体" w:hAnsi="宋体" w:cs="宋体"/>
          <w:color w:val="auto"/>
          <w:kern w:val="0"/>
          <w:sz w:val="24"/>
          <w:highlight w:val="none"/>
        </w:rPr>
        <w:t>日期：     年  月  日</w:t>
      </w:r>
    </w:p>
    <w:p>
      <w:pPr>
        <w:pStyle w:val="66"/>
        <w:snapToGrid w:val="0"/>
        <w:spacing w:line="360" w:lineRule="auto"/>
        <w:ind w:left="360" w:firstLine="240" w:firstLineChars="100"/>
        <w:jc w:val="center"/>
        <w:rPr>
          <w:rFonts w:ascii="宋体" w:hAnsi="宋体" w:cs="宋体"/>
          <w:color w:val="auto"/>
          <w:sz w:val="24"/>
          <w:szCs w:val="24"/>
          <w:highlight w:val="none"/>
        </w:rPr>
      </w:pPr>
    </w:p>
    <w:p>
      <w:pPr>
        <w:pStyle w:val="3"/>
        <w:snapToGrid w:val="0"/>
        <w:rPr>
          <w:rFonts w:ascii="宋体" w:hAnsi="宋体" w:cs="宋体"/>
          <w:color w:val="auto"/>
          <w:sz w:val="36"/>
          <w:szCs w:val="36"/>
          <w:highlight w:val="none"/>
        </w:rPr>
      </w:pPr>
      <w:r>
        <w:rPr>
          <w:rFonts w:ascii="宋体" w:hAnsi="宋体" w:cs="宋体"/>
          <w:color w:val="auto"/>
          <w:kern w:val="0"/>
          <w:highlight w:val="none"/>
        </w:rPr>
        <w:br w:type="page"/>
      </w:r>
      <w:bookmarkStart w:id="113" w:name="_Toc354996708"/>
      <w:bookmarkStart w:id="114" w:name="_Toc26487"/>
      <w:bookmarkStart w:id="115" w:name="_Toc55237639"/>
      <w:bookmarkStart w:id="116" w:name="_Toc17165"/>
      <w:bookmarkStart w:id="117" w:name="_Toc7806"/>
      <w:bookmarkStart w:id="118" w:name="_Toc32542"/>
      <w:r>
        <w:rPr>
          <w:rFonts w:ascii="宋体" w:hAnsi="宋体" w:cs="宋体"/>
          <w:color w:val="auto"/>
          <w:sz w:val="36"/>
          <w:szCs w:val="36"/>
          <w:highlight w:val="none"/>
        </w:rPr>
        <w:t>商务</w:t>
      </w:r>
      <w:bookmarkEnd w:id="113"/>
      <w:bookmarkStart w:id="119" w:name="_Toc354996709"/>
      <w:r>
        <w:rPr>
          <w:rFonts w:ascii="宋体" w:hAnsi="宋体" w:cs="宋体"/>
          <w:color w:val="auto"/>
          <w:sz w:val="36"/>
          <w:szCs w:val="36"/>
          <w:highlight w:val="none"/>
        </w:rPr>
        <w:t>技术文件</w:t>
      </w:r>
      <w:bookmarkEnd w:id="114"/>
      <w:bookmarkEnd w:id="115"/>
      <w:bookmarkEnd w:id="116"/>
      <w:bookmarkEnd w:id="117"/>
      <w:bookmarkEnd w:id="118"/>
    </w:p>
    <w:bookmarkEnd w:id="119"/>
    <w:p>
      <w:pPr>
        <w:pStyle w:val="22"/>
        <w:snapToGrid w:val="0"/>
        <w:spacing w:line="360" w:lineRule="auto"/>
        <w:ind w:firstLine="643" w:firstLineChars="200"/>
        <w:jc w:val="center"/>
        <w:outlineLvl w:val="0"/>
        <w:rPr>
          <w:rFonts w:hAnsi="宋体" w:cs="宋体"/>
          <w:b/>
          <w:color w:val="auto"/>
          <w:sz w:val="32"/>
          <w:szCs w:val="32"/>
          <w:highlight w:val="none"/>
          <w:lang w:val="zh-CN"/>
        </w:rPr>
      </w:pPr>
      <w:bookmarkStart w:id="120" w:name="_Toc10672"/>
      <w:bookmarkStart w:id="121" w:name="_Toc12357"/>
      <w:bookmarkStart w:id="122" w:name="_Toc10755"/>
      <w:bookmarkStart w:id="123" w:name="_Toc24661"/>
      <w:r>
        <w:rPr>
          <w:rFonts w:hAnsi="宋体" w:cs="宋体"/>
          <w:b/>
          <w:color w:val="auto"/>
          <w:sz w:val="32"/>
          <w:szCs w:val="32"/>
          <w:highlight w:val="none"/>
          <w:lang w:val="zh-CN"/>
        </w:rPr>
        <w:t>一、法定代表人授权委托书</w:t>
      </w:r>
      <w:bookmarkEnd w:id="120"/>
      <w:bookmarkEnd w:id="121"/>
      <w:bookmarkEnd w:id="122"/>
      <w:bookmarkEnd w:id="123"/>
    </w:p>
    <w:p>
      <w:pPr>
        <w:shd w:val="clear" w:color="auto" w:fill="FFFFFF"/>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浙江警察学院</w:t>
      </w:r>
      <w:r>
        <w:rPr>
          <w:rFonts w:ascii="宋体" w:hAnsi="宋体" w:cs="宋体"/>
          <w:color w:val="auto"/>
          <w:sz w:val="24"/>
          <w:highlight w:val="none"/>
        </w:rPr>
        <w:t xml:space="preserve">  </w:t>
      </w:r>
    </w:p>
    <w:p>
      <w:pPr>
        <w:shd w:val="clear" w:color="auto" w:fill="FFFFFF"/>
        <w:snapToGrid w:val="0"/>
        <w:spacing w:line="360" w:lineRule="auto"/>
        <w:rPr>
          <w:rFonts w:ascii="宋体" w:hAnsi="宋体" w:cs="宋体"/>
          <w:color w:val="auto"/>
          <w:sz w:val="24"/>
          <w:highlight w:val="none"/>
        </w:rPr>
      </w:pPr>
      <w:r>
        <w:rPr>
          <w:rFonts w:ascii="宋体" w:hAnsi="宋体" w:cs="宋体"/>
          <w:color w:val="auto"/>
          <w:sz w:val="24"/>
          <w:highlight w:val="none"/>
        </w:rPr>
        <w:t>浙江豪圣建设项目管理有限公司：</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lang w:val="zh-CN"/>
        </w:rPr>
        <w:t>兹委派我公司</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先生/女士(其在本公司的职务是：</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，联系电话：</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传真：</w:t>
      </w:r>
      <w:r>
        <w:rPr>
          <w:rFonts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)，代表我公司全权处理</w:t>
      </w:r>
      <w:r>
        <w:rPr>
          <w:rFonts w:hint="eastAsia" w:ascii="宋体" w:hAnsi="宋体" w:cs="宋体"/>
          <w:color w:val="auto"/>
          <w:sz w:val="24"/>
          <w:highlight w:val="none"/>
          <w:u w:val="single"/>
          <w:lang w:eastAsia="zh-CN"/>
        </w:rPr>
        <w:t>“数字浙警”建设工程-教师绩效码和学生成长码-数据采集及应用场景迭代项目</w:t>
      </w:r>
      <w:r>
        <w:rPr>
          <w:rFonts w:ascii="宋体" w:hAnsi="宋体" w:cs="宋体"/>
          <w:color w:val="auto"/>
          <w:sz w:val="24"/>
          <w:highlight w:val="none"/>
        </w:rPr>
        <w:t>(项目编号：XXXX)政府采购投标的一切事项，若中标则全权代表本公司签订相关合同，</w:t>
      </w:r>
      <w:r>
        <w:rPr>
          <w:rFonts w:ascii="宋体" w:hAnsi="宋体" w:cs="宋体"/>
          <w:color w:val="auto"/>
          <w:kern w:val="0"/>
          <w:sz w:val="24"/>
          <w:highlight w:val="none"/>
          <w:lang w:val="zh-CN"/>
        </w:rPr>
        <w:t>并负责处理合同履行等事宜。</w:t>
      </w:r>
    </w:p>
    <w:p>
      <w:pPr>
        <w:shd w:val="clear" w:color="auto" w:fill="FFFFFF"/>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lang w:val="zh-CN"/>
        </w:rPr>
        <w:t xml:space="preserve">    特此告知。</w:t>
      </w:r>
    </w:p>
    <w:p>
      <w:pPr>
        <w:shd w:val="clear" w:color="auto" w:fill="FFFFFF"/>
        <w:snapToGrid w:val="0"/>
        <w:spacing w:line="360" w:lineRule="auto"/>
        <w:jc w:val="left"/>
        <w:rPr>
          <w:rFonts w:ascii="宋体" w:hAnsi="宋体" w:cs="宋体"/>
          <w:color w:val="auto"/>
          <w:kern w:val="0"/>
          <w:sz w:val="24"/>
          <w:highlight w:val="non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ascii="宋体" w:hAnsi="宋体" w:cs="宋体"/>
          <w:color w:val="auto"/>
          <w:kern w:val="0"/>
          <w:sz w:val="24"/>
          <w:highlight w:val="none"/>
        </w:rPr>
        <w:t>名称（</w:t>
      </w:r>
      <w:r>
        <w:rPr>
          <w:rFonts w:hint="eastAsia" w:ascii="宋体" w:hAnsi="宋体" w:eastAsia="宋体" w:cs="宋体"/>
          <w:color w:val="auto"/>
          <w:kern w:val="0"/>
          <w:sz w:val="24"/>
          <w:highlight w:val="none"/>
          <w:lang w:val="zh-CN"/>
        </w:rPr>
        <w:t>电子签名/公章</w:t>
      </w:r>
      <w:r>
        <w:rPr>
          <w:rFonts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法定代表人（签字或盖章）：</w:t>
      </w:r>
    </w:p>
    <w:p>
      <w:pPr>
        <w:widowControl/>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rPr>
        <w:t>日期：     年  月  日</w:t>
      </w:r>
    </w:p>
    <w:p>
      <w:pPr>
        <w:shd w:val="clear" w:color="auto" w:fill="FFFFFF"/>
        <w:snapToGrid w:val="0"/>
        <w:spacing w:line="360" w:lineRule="auto"/>
        <w:ind w:right="480"/>
        <w:jc w:val="center"/>
        <w:rPr>
          <w:rFonts w:ascii="宋体" w:hAnsi="宋体" w:cs="宋体"/>
          <w:b/>
          <w:bCs/>
          <w:color w:val="auto"/>
          <w:kern w:val="0"/>
          <w:sz w:val="24"/>
          <w:highlight w:val="none"/>
          <w:lang w:val="zh-CN"/>
        </w:rPr>
      </w:pPr>
    </w:p>
    <w:p>
      <w:pPr>
        <w:shd w:val="clear" w:color="auto" w:fill="FFFFFF"/>
        <w:snapToGrid w:val="0"/>
        <w:spacing w:line="360" w:lineRule="auto"/>
        <w:ind w:firstLine="482" w:firstLineChars="200"/>
        <w:rPr>
          <w:rFonts w:ascii="宋体" w:hAnsi="宋体" w:cs="宋体"/>
          <w:b/>
          <w:bCs/>
          <w:color w:val="auto"/>
          <w:kern w:val="0"/>
          <w:sz w:val="24"/>
          <w:highlight w:val="none"/>
          <w:lang w:val="zh-CN"/>
        </w:rPr>
      </w:pPr>
    </w:p>
    <w:p>
      <w:pPr>
        <w:pStyle w:val="22"/>
        <w:snapToGrid w:val="0"/>
        <w:spacing w:line="360" w:lineRule="auto"/>
        <w:ind w:firstLine="643" w:firstLineChars="200"/>
        <w:jc w:val="center"/>
        <w:outlineLvl w:val="0"/>
        <w:rPr>
          <w:rFonts w:hAnsi="宋体" w:cs="宋体"/>
          <w:b/>
          <w:color w:val="auto"/>
          <w:sz w:val="32"/>
          <w:szCs w:val="32"/>
          <w:highlight w:val="none"/>
          <w:lang w:val="zh-CN"/>
        </w:rPr>
        <w:sectPr>
          <w:pgSz w:w="11906" w:h="16838"/>
          <w:pgMar w:top="1134" w:right="1247" w:bottom="1247" w:left="1304" w:header="794" w:footer="794" w:gutter="0"/>
          <w:cols w:space="720" w:num="1"/>
          <w:docGrid w:type="lines" w:linePitch="312" w:charSpace="0"/>
        </w:sectPr>
      </w:pPr>
      <w:bookmarkStart w:id="124" w:name="_Toc14452"/>
    </w:p>
    <w:p>
      <w:pPr>
        <w:pStyle w:val="22"/>
        <w:snapToGrid w:val="0"/>
        <w:spacing w:line="360" w:lineRule="auto"/>
        <w:ind w:firstLine="643" w:firstLineChars="200"/>
        <w:jc w:val="center"/>
        <w:outlineLvl w:val="0"/>
        <w:rPr>
          <w:rFonts w:hAnsi="宋体" w:cs="宋体"/>
          <w:b/>
          <w:color w:val="auto"/>
          <w:sz w:val="32"/>
          <w:szCs w:val="32"/>
          <w:highlight w:val="none"/>
          <w:lang w:val="zh-CN"/>
        </w:rPr>
      </w:pPr>
      <w:bookmarkStart w:id="125" w:name="_Toc2616"/>
      <w:bookmarkStart w:id="126" w:name="_Toc21551"/>
      <w:bookmarkStart w:id="127" w:name="_Toc13369"/>
      <w:r>
        <w:rPr>
          <w:rFonts w:hAnsi="宋体" w:cs="宋体"/>
          <w:b/>
          <w:color w:val="auto"/>
          <w:sz w:val="32"/>
          <w:szCs w:val="32"/>
          <w:highlight w:val="none"/>
          <w:lang w:val="zh-CN"/>
        </w:rPr>
        <w:t>二、法定代表人及授权代表人的身份证 (复印件加盖公章)</w:t>
      </w:r>
      <w:bookmarkEnd w:id="124"/>
      <w:bookmarkEnd w:id="125"/>
      <w:bookmarkEnd w:id="126"/>
      <w:bookmarkEnd w:id="127"/>
    </w:p>
    <w:p>
      <w:pPr>
        <w:shd w:val="clear" w:color="auto" w:fill="FFFFFF"/>
        <w:snapToGrid w:val="0"/>
        <w:spacing w:line="360" w:lineRule="auto"/>
        <w:ind w:right="480"/>
        <w:jc w:val="center"/>
        <w:rPr>
          <w:rFonts w:ascii="宋体" w:hAnsi="宋体" w:cs="宋体"/>
          <w:b/>
          <w:bCs/>
          <w:color w:val="auto"/>
          <w:kern w:val="0"/>
          <w:sz w:val="24"/>
          <w:highlight w:val="none"/>
          <w:lang w:val="zh-CN"/>
        </w:rPr>
      </w:pPr>
    </w:p>
    <w:p>
      <w:pPr>
        <w:shd w:val="clear" w:color="auto" w:fill="FFFFFF"/>
        <w:snapToGrid w:val="0"/>
        <w:spacing w:line="360" w:lineRule="auto"/>
        <w:ind w:right="480"/>
        <w:rPr>
          <w:rFonts w:ascii="宋体" w:hAnsi="宋体" w:cs="宋体"/>
          <w:b/>
          <w:bCs/>
          <w:color w:val="auto"/>
          <w:kern w:val="0"/>
          <w:sz w:val="24"/>
          <w:highlight w:val="none"/>
          <w:lang w:val="zh-CN"/>
        </w:rPr>
      </w:pPr>
    </w:p>
    <w:p>
      <w:pPr>
        <w:shd w:val="clear" w:color="auto" w:fill="FFFFFF"/>
        <w:snapToGrid w:val="0"/>
        <w:spacing w:line="360" w:lineRule="auto"/>
        <w:rPr>
          <w:rFonts w:ascii="宋体" w:hAnsi="宋体" w:cs="宋体"/>
          <w:color w:val="auto"/>
          <w:sz w:val="24"/>
          <w:highlight w:val="none"/>
        </w:rPr>
        <w:sectPr>
          <w:pgSz w:w="11906" w:h="16838"/>
          <w:pgMar w:top="1134" w:right="1247" w:bottom="1247" w:left="1304" w:header="794" w:footer="794" w:gutter="0"/>
          <w:cols w:space="720" w:num="1"/>
          <w:docGrid w:type="lines" w:linePitch="312" w:charSpace="0"/>
        </w:sectPr>
      </w:pPr>
    </w:p>
    <w:p>
      <w:pPr>
        <w:snapToGrid w:val="0"/>
        <w:spacing w:before="50" w:line="360" w:lineRule="auto"/>
        <w:jc w:val="both"/>
        <w:rPr>
          <w:rFonts w:hint="default"/>
          <w:b/>
          <w:color w:val="auto"/>
          <w:sz w:val="30"/>
          <w:szCs w:val="30"/>
          <w:highlight w:val="none"/>
        </w:rPr>
      </w:pPr>
    </w:p>
    <w:p>
      <w:pPr>
        <w:snapToGrid w:val="0"/>
        <w:spacing w:before="50" w:line="360" w:lineRule="auto"/>
        <w:jc w:val="center"/>
        <w:rPr>
          <w:rFonts w:hint="default"/>
          <w:b/>
          <w:color w:val="auto"/>
          <w:sz w:val="30"/>
          <w:szCs w:val="30"/>
          <w:highlight w:val="none"/>
        </w:rPr>
      </w:pPr>
      <w:r>
        <w:rPr>
          <w:rFonts w:hint="eastAsia"/>
          <w:b/>
          <w:color w:val="auto"/>
          <w:sz w:val="30"/>
          <w:szCs w:val="30"/>
          <w:highlight w:val="none"/>
          <w:lang w:val="en-US" w:eastAsia="zh-CN"/>
        </w:rPr>
        <w:t>三</w:t>
      </w:r>
      <w:r>
        <w:rPr>
          <w:b/>
          <w:color w:val="auto"/>
          <w:sz w:val="30"/>
          <w:szCs w:val="30"/>
          <w:highlight w:val="none"/>
        </w:rPr>
        <w:t>、</w:t>
      </w:r>
      <w:r>
        <w:rPr>
          <w:rFonts w:hint="default"/>
          <w:b/>
          <w:color w:val="auto"/>
          <w:sz w:val="30"/>
          <w:szCs w:val="30"/>
          <w:highlight w:val="none"/>
        </w:rPr>
        <w:t>同类项目业绩表</w:t>
      </w:r>
    </w:p>
    <w:p>
      <w:pPr>
        <w:snapToGrid w:val="0"/>
        <w:spacing w:line="360" w:lineRule="auto"/>
        <w:jc w:val="left"/>
        <w:rPr>
          <w:rFonts w:hint="default"/>
          <w:color w:val="auto"/>
          <w:sz w:val="24"/>
          <w:highlight w:val="none"/>
          <w:u w:val="single"/>
        </w:rPr>
      </w:pPr>
      <w:r>
        <w:rPr>
          <w:rFonts w:hint="default"/>
          <w:color w:val="auto"/>
          <w:sz w:val="24"/>
          <w:highlight w:val="none"/>
        </w:rPr>
        <w:t>项目名称：</w:t>
      </w:r>
      <w:r>
        <w:rPr>
          <w:rFonts w:hint="default"/>
          <w:color w:val="auto"/>
          <w:sz w:val="24"/>
          <w:highlight w:val="none"/>
          <w:u w:val="single"/>
        </w:rPr>
        <w:t xml:space="preserve">              </w:t>
      </w:r>
      <w:r>
        <w:rPr>
          <w:rFonts w:hint="default"/>
          <w:color w:val="auto"/>
          <w:sz w:val="24"/>
          <w:highlight w:val="none"/>
        </w:rPr>
        <w:t xml:space="preserve">                           项目编号：</w:t>
      </w:r>
      <w:r>
        <w:rPr>
          <w:rFonts w:hint="default"/>
          <w:color w:val="auto"/>
          <w:sz w:val="24"/>
          <w:highlight w:val="none"/>
          <w:u w:val="singl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06"/>
        <w:gridCol w:w="1557"/>
        <w:gridCol w:w="1900"/>
        <w:gridCol w:w="14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序号</w:t>
            </w:r>
          </w:p>
        </w:tc>
        <w:tc>
          <w:tcPr>
            <w:tcW w:w="1806"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项目名称</w:t>
            </w:r>
          </w:p>
        </w:tc>
        <w:tc>
          <w:tcPr>
            <w:tcW w:w="1557"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用户单位</w:t>
            </w:r>
          </w:p>
        </w:tc>
        <w:tc>
          <w:tcPr>
            <w:tcW w:w="1900"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合同签订时间</w:t>
            </w:r>
          </w:p>
        </w:tc>
        <w:tc>
          <w:tcPr>
            <w:tcW w:w="1400"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服务期限</w:t>
            </w:r>
          </w:p>
        </w:tc>
        <w:tc>
          <w:tcPr>
            <w:tcW w:w="1800"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1</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2</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3</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4</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5</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6</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7</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8</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9</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pPr>
              <w:jc w:val="center"/>
              <w:rPr>
                <w:rFonts w:hint="default" w:ascii="Times New Roman" w:hAnsi="Times New Roman"/>
                <w:color w:val="auto"/>
                <w:sz w:val="24"/>
                <w:highlight w:val="none"/>
              </w:rPr>
            </w:pPr>
            <w:r>
              <w:rPr>
                <w:rFonts w:hint="default" w:ascii="Times New Roman" w:hAnsi="Times New Roman"/>
                <w:color w:val="auto"/>
                <w:sz w:val="24"/>
                <w:highlight w:val="none"/>
              </w:rPr>
              <w:t>10</w:t>
            </w:r>
          </w:p>
        </w:tc>
        <w:tc>
          <w:tcPr>
            <w:tcW w:w="1806" w:type="dxa"/>
            <w:noWrap w:val="0"/>
            <w:vAlign w:val="center"/>
          </w:tcPr>
          <w:p>
            <w:pPr>
              <w:rPr>
                <w:rFonts w:hint="default" w:ascii="Times New Roman" w:hAnsi="Times New Roman"/>
                <w:color w:val="auto"/>
                <w:sz w:val="24"/>
                <w:highlight w:val="none"/>
              </w:rPr>
            </w:pPr>
          </w:p>
        </w:tc>
        <w:tc>
          <w:tcPr>
            <w:tcW w:w="1557" w:type="dxa"/>
            <w:noWrap w:val="0"/>
            <w:vAlign w:val="center"/>
          </w:tcPr>
          <w:p>
            <w:pPr>
              <w:rPr>
                <w:rFonts w:hint="default" w:ascii="Times New Roman" w:hAnsi="Times New Roman"/>
                <w:color w:val="auto"/>
                <w:sz w:val="24"/>
                <w:highlight w:val="none"/>
              </w:rPr>
            </w:pPr>
          </w:p>
        </w:tc>
        <w:tc>
          <w:tcPr>
            <w:tcW w:w="1900" w:type="dxa"/>
            <w:noWrap w:val="0"/>
            <w:vAlign w:val="center"/>
          </w:tcPr>
          <w:p>
            <w:pPr>
              <w:rPr>
                <w:rFonts w:hint="default" w:ascii="Times New Roman" w:hAnsi="Times New Roman"/>
                <w:color w:val="auto"/>
                <w:sz w:val="24"/>
                <w:highlight w:val="none"/>
              </w:rPr>
            </w:pPr>
          </w:p>
        </w:tc>
        <w:tc>
          <w:tcPr>
            <w:tcW w:w="1400" w:type="dxa"/>
            <w:noWrap w:val="0"/>
            <w:vAlign w:val="center"/>
          </w:tcPr>
          <w:p>
            <w:pPr>
              <w:rPr>
                <w:rFonts w:hint="default" w:ascii="Times New Roman" w:hAnsi="Times New Roman"/>
                <w:color w:val="auto"/>
                <w:sz w:val="24"/>
                <w:highlight w:val="none"/>
              </w:rPr>
            </w:pPr>
          </w:p>
        </w:tc>
        <w:tc>
          <w:tcPr>
            <w:tcW w:w="1800" w:type="dxa"/>
            <w:noWrap w:val="0"/>
            <w:vAlign w:val="center"/>
          </w:tcPr>
          <w:p>
            <w:pPr>
              <w:rPr>
                <w:rFonts w:hint="default" w:ascii="Times New Roman" w:hAnsi="Times New Roman"/>
                <w:color w:val="auto"/>
                <w:sz w:val="24"/>
                <w:highlight w:val="none"/>
              </w:rPr>
            </w:pPr>
          </w:p>
        </w:tc>
      </w:tr>
    </w:tbl>
    <w:p>
      <w:pPr>
        <w:pStyle w:val="22"/>
        <w:spacing w:before="0" w:beforeLines="0" w:after="0" w:afterLines="0" w:line="360" w:lineRule="auto"/>
        <w:rPr>
          <w:rFonts w:hint="default" w:ascii="Times New Roman" w:hAnsi="Times New Roman"/>
          <w:b/>
          <w:bCs/>
          <w:color w:val="auto"/>
          <w:highlight w:val="none"/>
        </w:rPr>
      </w:pPr>
      <w:r>
        <w:rPr>
          <w:rFonts w:hint="default" w:ascii="Times New Roman" w:hAnsi="Times New Roman"/>
          <w:b/>
          <w:color w:val="auto"/>
          <w:highlight w:val="none"/>
        </w:rPr>
        <w:t>注：表中所列的业绩，以提供合同的复印件</w:t>
      </w:r>
      <w:r>
        <w:rPr>
          <w:rFonts w:ascii="Times New Roman" w:hAnsi="Times New Roman"/>
          <w:b/>
          <w:color w:val="auto"/>
          <w:highlight w:val="none"/>
        </w:rPr>
        <w:t>等</w:t>
      </w:r>
      <w:r>
        <w:rPr>
          <w:rFonts w:hint="default" w:ascii="Times New Roman" w:hAnsi="Times New Roman"/>
          <w:b/>
          <w:color w:val="auto"/>
          <w:highlight w:val="none"/>
        </w:rPr>
        <w:t>证明材料为准</w:t>
      </w:r>
      <w:r>
        <w:rPr>
          <w:rFonts w:hint="default" w:ascii="Times New Roman" w:hAnsi="Times New Roman"/>
          <w:b/>
          <w:bCs/>
          <w:color w:val="auto"/>
          <w:highlight w:val="none"/>
        </w:rPr>
        <w:t>。</w:t>
      </w:r>
    </w:p>
    <w:p>
      <w:pPr>
        <w:pStyle w:val="22"/>
        <w:spacing w:before="0" w:beforeLines="0" w:after="0" w:afterLines="0" w:line="360" w:lineRule="auto"/>
        <w:ind w:firstLine="482" w:firstLineChars="200"/>
        <w:rPr>
          <w:rFonts w:hint="default" w:ascii="Times New Roman" w:hAnsi="Times New Roman"/>
          <w:b/>
          <w:bCs/>
          <w:color w:val="auto"/>
          <w:highlight w:val="none"/>
        </w:rPr>
      </w:pPr>
    </w:p>
    <w:p>
      <w:pPr>
        <w:snapToGrid w:val="0"/>
        <w:spacing w:line="360" w:lineRule="auto"/>
        <w:rPr>
          <w:rFonts w:hint="default"/>
          <w:color w:val="auto"/>
          <w:spacing w:val="20"/>
          <w:sz w:val="24"/>
          <w:highlight w:val="none"/>
          <w:u w:val="singl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ascii="宋体" w:hAnsi="宋体" w:cs="宋体"/>
          <w:color w:val="auto"/>
          <w:kern w:val="0"/>
          <w:sz w:val="24"/>
          <w:highlight w:val="none"/>
        </w:rPr>
        <w:t>名称（</w:t>
      </w:r>
      <w:r>
        <w:rPr>
          <w:rFonts w:hint="eastAsia" w:ascii="宋体" w:hAnsi="宋体" w:eastAsia="宋体" w:cs="宋体"/>
          <w:color w:val="auto"/>
          <w:kern w:val="0"/>
          <w:sz w:val="24"/>
          <w:highlight w:val="none"/>
          <w:lang w:val="zh-CN"/>
        </w:rPr>
        <w:t>电子签名/公章</w:t>
      </w:r>
      <w:r>
        <w:rPr>
          <w:rFonts w:ascii="宋体" w:hAnsi="宋体" w:cs="宋体"/>
          <w:color w:val="auto"/>
          <w:kern w:val="0"/>
          <w:sz w:val="24"/>
          <w:highlight w:val="none"/>
        </w:rPr>
        <w:t>） ：</w:t>
      </w:r>
    </w:p>
    <w:p>
      <w:pPr>
        <w:widowControl/>
        <w:snapToGrid w:val="0"/>
        <w:spacing w:line="360" w:lineRule="auto"/>
        <w:ind w:firstLine="480" w:firstLineChars="200"/>
        <w:jc w:val="left"/>
        <w:rPr>
          <w:rFonts w:hint="default"/>
          <w:color w:val="auto"/>
          <w:spacing w:val="20"/>
          <w:sz w:val="24"/>
          <w:highlight w:val="none"/>
          <w:u w:val="single"/>
        </w:rPr>
      </w:pPr>
      <w:r>
        <w:rPr>
          <w:rFonts w:ascii="宋体" w:hAnsi="宋体" w:cs="宋体"/>
          <w:color w:val="auto"/>
          <w:kern w:val="0"/>
          <w:sz w:val="24"/>
          <w:highlight w:val="none"/>
        </w:rPr>
        <w:t>法定代表人或其授权代表（签字或盖章）：</w:t>
      </w:r>
    </w:p>
    <w:p>
      <w:pPr>
        <w:widowControl/>
        <w:adjustRightInd w:val="0"/>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日期：     年  月  日</w:t>
      </w:r>
    </w:p>
    <w:p>
      <w:pPr>
        <w:pStyle w:val="3"/>
        <w:rPr>
          <w:color w:val="auto"/>
          <w:highlight w:val="none"/>
        </w:rPr>
      </w:pPr>
    </w:p>
    <w:p>
      <w:pPr>
        <w:shd w:val="clear" w:color="auto" w:fill="FFFFFF"/>
        <w:snapToGrid w:val="0"/>
        <w:spacing w:line="360" w:lineRule="auto"/>
        <w:rPr>
          <w:rFonts w:ascii="宋体" w:hAnsi="宋体" w:cs="宋体"/>
          <w:color w:val="auto"/>
          <w:sz w:val="24"/>
          <w:highlight w:val="none"/>
        </w:rPr>
      </w:pPr>
    </w:p>
    <w:p>
      <w:pPr>
        <w:snapToGrid w:val="0"/>
        <w:spacing w:line="360" w:lineRule="auto"/>
        <w:ind w:left="570"/>
        <w:jc w:val="center"/>
        <w:outlineLvl w:val="0"/>
        <w:rPr>
          <w:rFonts w:hint="default" w:ascii="Times New Roman" w:hAnsi="Times New Roman" w:cs="Times New Roman"/>
          <w:b/>
          <w:color w:val="auto"/>
          <w:sz w:val="32"/>
          <w:szCs w:val="32"/>
          <w:highlight w:val="none"/>
          <w:lang w:val="zh-CN"/>
        </w:rPr>
      </w:pPr>
      <w:bookmarkStart w:id="128" w:name="_Toc23712"/>
      <w:r>
        <w:rPr>
          <w:rFonts w:hint="default" w:ascii="Times New Roman" w:hAnsi="Times New Roman" w:cs="Times New Roman"/>
          <w:b/>
          <w:color w:val="auto"/>
          <w:sz w:val="32"/>
          <w:szCs w:val="32"/>
          <w:highlight w:val="none"/>
          <w:lang w:val="zh-CN"/>
        </w:rPr>
        <w:br w:type="page"/>
      </w:r>
      <w:bookmarkStart w:id="129" w:name="_Toc12143"/>
      <w:bookmarkStart w:id="130" w:name="_Toc18456"/>
      <w:bookmarkStart w:id="131" w:name="_Toc5229"/>
    </w:p>
    <w:p>
      <w:pPr>
        <w:pStyle w:val="22"/>
        <w:keepNext w:val="0"/>
        <w:keepLines w:val="0"/>
        <w:pageBreakBefore w:val="0"/>
        <w:kinsoku/>
        <w:wordWrap/>
        <w:overflowPunct/>
        <w:topLinePunct w:val="0"/>
        <w:autoSpaceDE/>
        <w:autoSpaceDN/>
        <w:bidi w:val="0"/>
        <w:adjustRightInd w:val="0"/>
        <w:snapToGrid w:val="0"/>
        <w:spacing w:beforeLines="0" w:afterLines="0" w:line="360" w:lineRule="auto"/>
        <w:ind w:firstLine="643" w:firstLineChars="200"/>
        <w:jc w:val="center"/>
        <w:textAlignment w:val="auto"/>
        <w:outlineLvl w:val="0"/>
        <w:rPr>
          <w:rFonts w:hint="default" w:ascii="Times New Roman" w:hAnsi="Times New Roman" w:eastAsia="宋体" w:cs="Times New Roman"/>
          <w:b/>
          <w:color w:val="auto"/>
          <w:kern w:val="2"/>
          <w:sz w:val="32"/>
          <w:szCs w:val="32"/>
          <w:highlight w:val="none"/>
          <w:lang w:val="en-US" w:eastAsia="zh-CN" w:bidi="ar-SA"/>
        </w:rPr>
      </w:pPr>
      <w:bookmarkStart w:id="132" w:name="_Toc14394"/>
      <w:bookmarkStart w:id="133" w:name="_Toc30838"/>
      <w:r>
        <w:rPr>
          <w:rFonts w:hint="eastAsia" w:ascii="Times New Roman" w:hAnsi="Times New Roman" w:eastAsia="宋体" w:cs="Times New Roman"/>
          <w:b/>
          <w:color w:val="auto"/>
          <w:kern w:val="2"/>
          <w:sz w:val="32"/>
          <w:szCs w:val="32"/>
          <w:highlight w:val="none"/>
          <w:lang w:val="en-US" w:eastAsia="zh-CN" w:bidi="ar-SA"/>
        </w:rPr>
        <w:t>四、分包意向协议</w:t>
      </w:r>
      <w:bookmarkEnd w:id="132"/>
      <w:bookmarkEnd w:id="133"/>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hint="eastAsia" w:ascii="宋体" w:hAnsi="宋体" w:cs="宋体"/>
          <w:color w:val="auto"/>
          <w:kern w:val="0"/>
          <w:sz w:val="24"/>
          <w:highlight w:val="none"/>
          <w:u w:val="single"/>
        </w:rPr>
      </w:pP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pageBreakBefore w:val="0"/>
        <w:widowControl w:val="0"/>
        <w:kinsoku/>
        <w:wordWrap/>
        <w:overflowPunct/>
        <w:topLinePunct w:val="0"/>
        <w:autoSpaceDE/>
        <w:autoSpaceDN/>
        <w:bidi w:val="0"/>
        <w:adjustRightInd w:val="0"/>
        <w:snapToGrid w:val="0"/>
        <w:spacing w:line="360"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pageBreakBefore w:val="0"/>
        <w:widowControl w:val="0"/>
        <w:kinsoku/>
        <w:wordWrap/>
        <w:overflowPunct/>
        <w:topLinePunct w:val="0"/>
        <w:autoSpaceDE/>
        <w:autoSpaceDN/>
        <w:bidi w:val="0"/>
        <w:adjustRightInd w:val="0"/>
        <w:snapToGrid w:val="0"/>
        <w:spacing w:line="360" w:lineRule="auto"/>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承接</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w:t>
      </w:r>
      <w:r>
        <w:rPr>
          <w:rFonts w:hint="eastAsia" w:ascii="宋体" w:hAnsi="宋体" w:cs="宋体"/>
          <w:b/>
          <w:color w:val="auto"/>
          <w:kern w:val="0"/>
          <w:sz w:val="24"/>
          <w:highlight w:val="none"/>
          <w:lang w:val="en-US" w:eastAsia="zh-CN"/>
        </w:rPr>
        <w:t>服务</w:t>
      </w:r>
      <w:r>
        <w:rPr>
          <w:rFonts w:hint="eastAsia" w:ascii="宋体" w:hAnsi="宋体" w:cs="宋体"/>
          <w:b/>
          <w:color w:val="auto"/>
          <w:kern w:val="0"/>
          <w:sz w:val="24"/>
          <w:highlight w:val="none"/>
          <w:lang w:val="zh-CN"/>
        </w:rPr>
        <w:t>全部由小微企业</w:t>
      </w:r>
      <w:r>
        <w:rPr>
          <w:rFonts w:hint="eastAsia" w:ascii="宋体" w:hAnsi="宋体" w:cs="宋体"/>
          <w:b/>
          <w:color w:val="auto"/>
          <w:kern w:val="0"/>
          <w:sz w:val="24"/>
          <w:highlight w:val="none"/>
          <w:lang w:val="en-US" w:eastAsia="zh-CN"/>
        </w:rPr>
        <w:t>承接</w:t>
      </w:r>
      <w:r>
        <w:rPr>
          <w:rFonts w:hint="eastAsia" w:ascii="宋体" w:hAnsi="宋体" w:cs="宋体"/>
          <w:b/>
          <w:color w:val="auto"/>
          <w:kern w:val="0"/>
          <w:sz w:val="24"/>
          <w:highlight w:val="none"/>
          <w:lang w:val="zh-CN"/>
        </w:rPr>
        <w:t>，且其合同份额占到合同总金额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cs="宋体"/>
          <w:b/>
          <w:color w:val="auto"/>
          <w:kern w:val="0"/>
          <w:sz w:val="24"/>
          <w:highlight w:val="none"/>
          <w:lang w:val="zh-CN"/>
        </w:rPr>
        <w:t>%的扣除）</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pageBreakBefore w:val="0"/>
        <w:widowControl w:val="0"/>
        <w:kinsoku/>
        <w:wordWrap/>
        <w:overflowPunct/>
        <w:topLinePunct w:val="0"/>
        <w:autoSpaceDE/>
        <w:autoSpaceDN/>
        <w:bidi w:val="0"/>
        <w:adjustRightInd w:val="0"/>
        <w:snapToGrid w:val="0"/>
        <w:spacing w:line="360" w:lineRule="auto"/>
        <w:ind w:firstLine="5640" w:firstLineChars="235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pageBreakBefore w:val="0"/>
        <w:widowControl w:val="0"/>
        <w:kinsoku/>
        <w:wordWrap/>
        <w:overflowPunct/>
        <w:topLinePunct w:val="0"/>
        <w:autoSpaceDE/>
        <w:autoSpaceDN/>
        <w:bidi w:val="0"/>
        <w:adjustRightInd w:val="0"/>
        <w:snapToGrid w:val="0"/>
        <w:spacing w:line="360" w:lineRule="auto"/>
        <w:ind w:right="42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left="570"/>
        <w:jc w:val="center"/>
        <w:outlineLvl w:val="0"/>
        <w:rPr>
          <w:rFonts w:hint="eastAsia" w:ascii="Times New Roman" w:hAnsi="Times New Roman" w:cs="Times New Roman"/>
          <w:b/>
          <w:color w:val="auto"/>
          <w:sz w:val="32"/>
          <w:szCs w:val="32"/>
          <w:highlight w:val="none"/>
          <w:lang w:val="en-US" w:eastAsia="zh-CN"/>
        </w:rPr>
      </w:pPr>
    </w:p>
    <w:p>
      <w:pPr>
        <w:snapToGrid w:val="0"/>
        <w:spacing w:line="360" w:lineRule="auto"/>
        <w:ind w:left="570"/>
        <w:jc w:val="center"/>
        <w:outlineLvl w:val="0"/>
        <w:rPr>
          <w:rFonts w:hint="default" w:ascii="Times New Roman" w:hAnsi="Times New Roman" w:cs="Times New Roman"/>
          <w:b/>
          <w:color w:val="auto"/>
          <w:sz w:val="32"/>
          <w:szCs w:val="32"/>
          <w:highlight w:val="none"/>
          <w:lang w:val="zh-CN"/>
        </w:rPr>
      </w:pPr>
      <w:bookmarkStart w:id="134" w:name="_Toc14803"/>
      <w:r>
        <w:rPr>
          <w:rFonts w:hint="eastAsia" w:ascii="Times New Roman" w:hAnsi="Times New Roman" w:cs="Times New Roman"/>
          <w:b/>
          <w:color w:val="auto"/>
          <w:sz w:val="32"/>
          <w:szCs w:val="32"/>
          <w:highlight w:val="none"/>
          <w:lang w:val="en-US" w:eastAsia="zh-CN"/>
        </w:rPr>
        <w:t>五</w:t>
      </w:r>
      <w:r>
        <w:rPr>
          <w:rFonts w:hint="default" w:ascii="Times New Roman" w:hAnsi="Times New Roman" w:cs="Times New Roman"/>
          <w:b/>
          <w:color w:val="auto"/>
          <w:sz w:val="32"/>
          <w:szCs w:val="32"/>
          <w:highlight w:val="none"/>
        </w:rPr>
        <w:t>、</w:t>
      </w:r>
      <w:r>
        <w:rPr>
          <w:rFonts w:hint="default" w:ascii="Times New Roman" w:hAnsi="Times New Roman" w:cs="Times New Roman"/>
          <w:b/>
          <w:color w:val="auto"/>
          <w:sz w:val="32"/>
          <w:szCs w:val="32"/>
          <w:highlight w:val="none"/>
          <w:lang w:val="zh-CN"/>
        </w:rPr>
        <w:t>商务技术偏离表</w:t>
      </w:r>
      <w:bookmarkEnd w:id="129"/>
      <w:bookmarkEnd w:id="130"/>
      <w:bookmarkEnd w:id="131"/>
      <w:bookmarkEnd w:id="134"/>
    </w:p>
    <w:p>
      <w:pPr>
        <w:tabs>
          <w:tab w:val="left" w:pos="1418"/>
        </w:tabs>
        <w:snapToGrid w:val="0"/>
        <w:spacing w:before="50" w:after="50"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项目编号：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1946"/>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采购文件要求</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c>
          <w:tcPr>
            <w:tcW w:w="19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Times New Roman" w:hAnsi="Times New Roman" w:cs="Times New Roman"/>
                <w:color w:val="auto"/>
                <w:sz w:val="24"/>
                <w:highlight w:val="none"/>
              </w:rPr>
            </w:pPr>
          </w:p>
        </w:tc>
      </w:tr>
    </w:tbl>
    <w:p>
      <w:pPr>
        <w:snapToGrid w:val="0"/>
        <w:spacing w:line="360" w:lineRule="auto"/>
        <w:ind w:firstLine="211" w:firstLineChars="100"/>
        <w:rPr>
          <w:rFonts w:hint="default" w:ascii="Times New Roman" w:hAnsi="Times New Roman" w:cs="Times New Roman"/>
          <w:b/>
          <w:bCs/>
          <w:color w:val="auto"/>
          <w:highlight w:val="none"/>
        </w:rPr>
      </w:pPr>
    </w:p>
    <w:p>
      <w:pPr>
        <w:autoSpaceDE w:val="0"/>
        <w:autoSpaceDN w:val="0"/>
        <w:snapToGrid w:val="0"/>
        <w:spacing w:line="360" w:lineRule="auto"/>
        <w:ind w:firstLine="5160" w:firstLineChars="2150"/>
        <w:rPr>
          <w:rFonts w:hint="default" w:ascii="Times New Roman" w:hAnsi="Times New Roman" w:cs="Times New Roman"/>
          <w:color w:val="auto"/>
          <w:kern w:val="0"/>
          <w:sz w:val="24"/>
          <w:highlight w:val="none"/>
          <w:lang w:val="zh-CN"/>
        </w:rPr>
      </w:pPr>
    </w:p>
    <w:p>
      <w:pPr>
        <w:widowControl/>
        <w:snapToGrid w:val="0"/>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供应商名称（盖章） ：</w:t>
      </w:r>
    </w:p>
    <w:p>
      <w:pPr>
        <w:widowControl/>
        <w:snapToGrid w:val="0"/>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法定代表人或其授权代表（签字或盖章）：</w:t>
      </w:r>
    </w:p>
    <w:p>
      <w:pPr>
        <w:autoSpaceDE w:val="0"/>
        <w:autoSpaceDN w:val="0"/>
        <w:snapToGrid w:val="0"/>
        <w:spacing w:line="360" w:lineRule="auto"/>
        <w:ind w:firstLine="480" w:firstLineChars="200"/>
        <w:rPr>
          <w:rFonts w:hint="default"/>
          <w:color w:val="auto"/>
          <w:highlight w:val="none"/>
          <w:lang w:val="en-US" w:eastAsia="zh-CN"/>
        </w:rPr>
      </w:pPr>
      <w:r>
        <w:rPr>
          <w:rFonts w:hint="default" w:ascii="Times New Roman" w:hAnsi="Times New Roman" w:cs="Times New Roman"/>
          <w:color w:val="auto"/>
          <w:kern w:val="0"/>
          <w:sz w:val="24"/>
          <w:highlight w:val="none"/>
        </w:rPr>
        <w:t>日期：     年  月  日</w:t>
      </w:r>
    </w:p>
    <w:p>
      <w:pPr>
        <w:pStyle w:val="22"/>
        <w:widowControl w:val="0"/>
        <w:numPr>
          <w:ilvl w:val="0"/>
          <w:numId w:val="0"/>
        </w:numPr>
        <w:snapToGrid w:val="0"/>
        <w:spacing w:before="156" w:beforeLines="50" w:after="156" w:afterLines="50" w:line="360" w:lineRule="auto"/>
        <w:jc w:val="center"/>
        <w:outlineLvl w:val="0"/>
        <w:rPr>
          <w:rFonts w:hint="default" w:ascii="Times New Roman" w:hAnsi="Times New Roman" w:cs="Times New Roman"/>
          <w:b/>
          <w:color w:val="auto"/>
          <w:sz w:val="32"/>
          <w:szCs w:val="32"/>
          <w:highlight w:val="none"/>
          <w:lang w:val="zh-CN"/>
        </w:rPr>
      </w:pPr>
      <w:r>
        <w:rPr>
          <w:rFonts w:hint="default" w:ascii="Times New Roman" w:hAnsi="Times New Roman" w:cs="Times New Roman"/>
          <w:b/>
          <w:color w:val="auto"/>
          <w:sz w:val="32"/>
          <w:szCs w:val="32"/>
          <w:highlight w:val="none"/>
          <w:lang w:val="zh-CN"/>
        </w:rPr>
        <w:br w:type="page"/>
      </w:r>
    </w:p>
    <w:bookmarkEnd w:id="88"/>
    <w:bookmarkEnd w:id="128"/>
    <w:p>
      <w:pPr>
        <w:numPr>
          <w:ilvl w:val="0"/>
          <w:numId w:val="0"/>
        </w:numPr>
        <w:autoSpaceDE w:val="0"/>
        <w:autoSpaceDN w:val="0"/>
        <w:snapToGrid w:val="0"/>
        <w:spacing w:line="360" w:lineRule="auto"/>
        <w:ind w:left="0" w:firstLine="0" w:firstLineChars="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ascii="宋体" w:hAnsi="宋体" w:eastAsia="宋体" w:cs="宋体"/>
          <w:b/>
          <w:color w:val="auto"/>
          <w:sz w:val="32"/>
          <w:szCs w:val="32"/>
          <w:highlight w:val="none"/>
        </w:rPr>
        <w:t>拟投入本项目服务团队情况</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63"/>
        <w:gridCol w:w="1925"/>
        <w:gridCol w:w="1458"/>
        <w:gridCol w:w="1876"/>
        <w:gridCol w:w="1247"/>
        <w:gridCol w:w="13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olor w:val="auto"/>
                <w:sz w:val="24"/>
                <w:szCs w:val="20"/>
                <w:highlight w:val="none"/>
              </w:rPr>
            </w:pPr>
            <w:r>
              <w:rPr>
                <w:rFonts w:hint="eastAsia" w:ascii="宋体" w:hAnsi="宋体"/>
                <w:color w:val="auto"/>
                <w:sz w:val="24"/>
                <w:highlight w:val="none"/>
              </w:rPr>
              <w:t>姓名</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岗位</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olor w:val="auto"/>
                <w:sz w:val="24"/>
                <w:szCs w:val="20"/>
                <w:highlight w:val="none"/>
              </w:rPr>
            </w:pPr>
            <w:r>
              <w:rPr>
                <w:rFonts w:hint="eastAsia" w:ascii="宋体" w:hAnsi="宋体"/>
                <w:color w:val="auto"/>
                <w:sz w:val="24"/>
                <w:highlight w:val="none"/>
              </w:rPr>
              <w:t>专业技术资格</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color w:val="auto"/>
                <w:sz w:val="24"/>
                <w:szCs w:val="20"/>
                <w:highlight w:val="none"/>
              </w:rPr>
            </w:pPr>
            <w:r>
              <w:rPr>
                <w:rFonts w:hint="eastAsia" w:ascii="宋体" w:hAnsi="宋体"/>
                <w:color w:val="auto"/>
                <w:sz w:val="24"/>
                <w:highlight w:val="none"/>
              </w:rPr>
              <w:t>证书编号</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宋体" w:hAnsi="宋体"/>
                <w:bCs/>
                <w:color w:val="auto"/>
                <w:sz w:val="24"/>
                <w:szCs w:val="20"/>
                <w:highlight w:val="none"/>
              </w:rPr>
            </w:pPr>
            <w:r>
              <w:rPr>
                <w:rFonts w:hint="eastAsia" w:ascii="宋体" w:hAnsi="宋体"/>
                <w:bCs/>
                <w:color w:val="auto"/>
                <w:sz w:val="24"/>
                <w:highlight w:val="none"/>
              </w:rPr>
              <w:t>参加本单位工作时间</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宋体" w:hAnsi="宋体" w:eastAsia="宋体"/>
                <w:bCs/>
                <w:color w:val="auto"/>
                <w:sz w:val="24"/>
                <w:szCs w:val="20"/>
                <w:highlight w:val="none"/>
                <w:lang w:val="en-US" w:eastAsia="zh-CN"/>
              </w:rPr>
            </w:pPr>
            <w:r>
              <w:rPr>
                <w:rFonts w:hint="eastAsia" w:ascii="宋体" w:hAnsi="宋体"/>
                <w:bCs/>
                <w:color w:val="auto"/>
                <w:sz w:val="24"/>
                <w:szCs w:val="20"/>
                <w:highlight w:val="none"/>
                <w:lang w:val="en-US" w:eastAsia="zh-CN"/>
              </w:rPr>
              <w:t>联系电话</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bCs/>
                <w:color w:val="auto"/>
                <w:sz w:val="24"/>
                <w:szCs w:val="20"/>
                <w:highlight w:val="none"/>
                <w:lang w:eastAsia="zh-CN"/>
              </w:rPr>
            </w:pPr>
            <w:r>
              <w:rPr>
                <w:rFonts w:hint="eastAsia" w:ascii="宋体" w:hAnsi="宋体"/>
                <w:bCs/>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8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8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pStyle w:val="23"/>
              <w:snapToGrid w:val="0"/>
              <w:spacing w:line="360" w:lineRule="auto"/>
              <w:ind w:left="5250"/>
              <w:rPr>
                <w:rFonts w:ascii="宋体" w:hAnsi="宋体" w:eastAsia="宋体"/>
                <w:color w:val="auto"/>
                <w:kern w:val="2"/>
                <w:sz w:val="24"/>
                <w:szCs w:val="24"/>
                <w:highlight w:val="none"/>
                <w:lang w:val="en-US" w:eastAsia="zh-CN"/>
              </w:rPr>
            </w:pPr>
          </w:p>
        </w:tc>
        <w:tc>
          <w:tcPr>
            <w:tcW w:w="145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8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8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8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8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8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8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8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c>
          <w:tcPr>
            <w:tcW w:w="134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color w:val="auto"/>
                <w:sz w:val="24"/>
                <w:szCs w:val="20"/>
                <w:highlight w:val="none"/>
              </w:rPr>
            </w:pPr>
          </w:p>
        </w:tc>
      </w:tr>
    </w:tbl>
    <w:p>
      <w:pPr>
        <w:widowControl/>
        <w:snapToGrid w:val="0"/>
        <w:spacing w:line="360" w:lineRule="auto"/>
        <w:ind w:firstLine="480" w:firstLineChars="200"/>
        <w:jc w:val="left"/>
        <w:rPr>
          <w:rFonts w:ascii="宋体" w:hAnsi="宋体" w:cs="宋体"/>
          <w:color w:val="auto"/>
          <w:kern w:val="0"/>
          <w:sz w:val="24"/>
          <w:highlight w:val="non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ascii="宋体" w:hAnsi="宋体" w:cs="宋体"/>
          <w:color w:val="auto"/>
          <w:kern w:val="0"/>
          <w:sz w:val="24"/>
          <w:highlight w:val="none"/>
        </w:rPr>
        <w:t>名称（</w:t>
      </w:r>
      <w:r>
        <w:rPr>
          <w:rFonts w:hint="eastAsia" w:ascii="宋体" w:hAnsi="宋体" w:eastAsia="宋体" w:cs="宋体"/>
          <w:color w:val="auto"/>
          <w:kern w:val="0"/>
          <w:sz w:val="24"/>
          <w:highlight w:val="none"/>
          <w:lang w:val="zh-CN"/>
        </w:rPr>
        <w:t>电子签名/公章</w:t>
      </w:r>
      <w:r>
        <w:rPr>
          <w:rFonts w:ascii="宋体" w:hAnsi="宋体" w:cs="宋体"/>
          <w:color w:val="auto"/>
          <w:kern w:val="0"/>
          <w:sz w:val="24"/>
          <w:highlight w:val="none"/>
        </w:rPr>
        <w:t>） ：</w:t>
      </w:r>
    </w:p>
    <w:p>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pPr>
        <w:autoSpaceDE w:val="0"/>
        <w:autoSpaceDN w:val="0"/>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日期：     年  月  日</w:t>
      </w:r>
    </w:p>
    <w:p>
      <w:pPr>
        <w:snapToGrid w:val="0"/>
        <w:spacing w:line="480" w:lineRule="auto"/>
        <w:jc w:val="left"/>
        <w:outlineLvl w:val="0"/>
        <w:rPr>
          <w:rFonts w:hint="default" w:eastAsia="宋体"/>
          <w:color w:val="auto"/>
          <w:highlight w:val="none"/>
          <w:lang w:val="en-US" w:eastAsia="zh-CN"/>
        </w:rPr>
      </w:pPr>
      <w:r>
        <w:rPr>
          <w:rFonts w:hint="default" w:eastAsia="宋体"/>
          <w:color w:val="auto"/>
          <w:highlight w:val="none"/>
          <w:lang w:val="en-US" w:eastAsia="zh-CN"/>
        </w:rPr>
        <w:br w:type="page"/>
      </w:r>
    </w:p>
    <w:p>
      <w:pPr>
        <w:numPr>
          <w:ilvl w:val="0"/>
          <w:numId w:val="0"/>
        </w:numPr>
        <w:autoSpaceDE w:val="0"/>
        <w:autoSpaceDN w:val="0"/>
        <w:snapToGrid w:val="0"/>
        <w:spacing w:line="360" w:lineRule="auto"/>
        <w:ind w:left="3150" w:firstLine="0" w:firstLineChars="0"/>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七、投入的仪器设备</w:t>
      </w:r>
      <w:r>
        <w:rPr>
          <w:rFonts w:hint="eastAsia" w:ascii="Times New Roman" w:hAnsi="Times New Roman"/>
          <w:b/>
          <w:color w:val="auto"/>
          <w:sz w:val="32"/>
          <w:szCs w:val="32"/>
          <w:highlight w:val="none"/>
          <w:lang w:val="en-US" w:eastAsia="zh-CN"/>
        </w:rPr>
        <w:t>一览表</w:t>
      </w:r>
    </w:p>
    <w:p>
      <w:pPr>
        <w:tabs>
          <w:tab w:val="left" w:pos="1418"/>
        </w:tabs>
        <w:snapToGrid w:val="0"/>
        <w:spacing w:before="50" w:after="50" w:line="360" w:lineRule="auto"/>
        <w:rPr>
          <w:rFonts w:hint="default"/>
          <w:color w:val="auto"/>
          <w:sz w:val="24"/>
          <w:szCs w:val="28"/>
          <w:highlight w:val="none"/>
        </w:rPr>
      </w:pPr>
      <w:r>
        <w:rPr>
          <w:rFonts w:hint="default"/>
          <w:color w:val="auto"/>
          <w:sz w:val="24"/>
          <w:highlight w:val="none"/>
        </w:rPr>
        <w:t>项目名称：</w:t>
      </w:r>
      <w:r>
        <w:rPr>
          <w:rFonts w:hint="default"/>
          <w:color w:val="auto"/>
          <w:sz w:val="24"/>
          <w:highlight w:val="none"/>
          <w:u w:val="single"/>
        </w:rPr>
        <w:t xml:space="preserve">              </w:t>
      </w:r>
      <w:r>
        <w:rPr>
          <w:rFonts w:hint="default"/>
          <w:color w:val="auto"/>
          <w:sz w:val="24"/>
          <w:highlight w:val="none"/>
        </w:rPr>
        <w:t xml:space="preserve">                           项目编号：</w:t>
      </w:r>
      <w:r>
        <w:rPr>
          <w:rFonts w:hint="default"/>
          <w:color w:val="auto"/>
          <w:sz w:val="24"/>
          <w:highlight w:val="none"/>
          <w:u w:val="single"/>
        </w:rPr>
        <w:t xml:space="preserve">              </w:t>
      </w:r>
    </w:p>
    <w:tbl>
      <w:tblPr>
        <w:tblStyle w:val="43"/>
        <w:tblW w:w="106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650"/>
        <w:gridCol w:w="895"/>
        <w:gridCol w:w="1366"/>
        <w:gridCol w:w="1513"/>
        <w:gridCol w:w="2044"/>
        <w:gridCol w:w="1152"/>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序号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产品名称</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品牌</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规格型号</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单位及数量</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性能及指标</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r>
              <w:rPr>
                <w:rFonts w:hint="default" w:ascii="Times New Roman" w:hAnsi="Times New Roman"/>
                <w:color w:val="auto"/>
                <w:sz w:val="24"/>
                <w:highlight w:val="none"/>
              </w:rPr>
              <w:t>产地</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已使用年限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152" w:type="dxa"/>
            <w:tcBorders>
              <w:top w:val="single" w:color="auto" w:sz="4" w:space="0"/>
              <w:left w:val="single" w:color="auto" w:sz="4" w:space="0"/>
              <w:bottom w:val="nil"/>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483" w:type="dxa"/>
            <w:tcBorders>
              <w:top w:val="single" w:color="auto" w:sz="4" w:space="0"/>
              <w:left w:val="single" w:color="auto" w:sz="4" w:space="0"/>
              <w:bottom w:val="nil"/>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ind w:left="480" w:hanging="480"/>
              <w:jc w:val="center"/>
              <w:rPr>
                <w:rFonts w:hint="default" w:ascii="Times New Roman" w:hAnsi="Times New Roman"/>
                <w:color w:val="auto"/>
                <w:sz w:val="24"/>
                <w:szCs w:val="20"/>
                <w:highlight w:val="none"/>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olor w:val="auto"/>
                <w:sz w:val="24"/>
                <w:szCs w:val="20"/>
                <w:highlight w:val="none"/>
              </w:rPr>
            </w:pPr>
          </w:p>
        </w:tc>
      </w:tr>
    </w:tbl>
    <w:p>
      <w:pPr>
        <w:snapToGrid w:val="0"/>
        <w:spacing w:line="480" w:lineRule="auto"/>
        <w:ind w:left="570"/>
        <w:jc w:val="left"/>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备注：后附相关产品说明书及发票。</w:t>
      </w:r>
    </w:p>
    <w:p>
      <w:pPr>
        <w:widowControl/>
        <w:snapToGrid w:val="0"/>
        <w:spacing w:line="360" w:lineRule="auto"/>
        <w:ind w:firstLine="480" w:firstLineChars="200"/>
        <w:jc w:val="left"/>
        <w:rPr>
          <w:rFonts w:hint="eastAsia" w:ascii="宋体" w:hAnsi="宋体" w:cs="宋体"/>
          <w:color w:val="auto"/>
          <w:kern w:val="0"/>
          <w:sz w:val="24"/>
          <w:highlight w:val="none"/>
          <w:lang w:val="en-US" w:eastAsia="zh-CN"/>
        </w:rPr>
      </w:pPr>
    </w:p>
    <w:p>
      <w:pPr>
        <w:widowControl/>
        <w:snapToGrid w:val="0"/>
        <w:spacing w:line="360" w:lineRule="auto"/>
        <w:ind w:firstLine="480" w:firstLineChars="200"/>
        <w:jc w:val="left"/>
        <w:rPr>
          <w:rFonts w:hint="eastAsia" w:ascii="宋体" w:hAnsi="宋体" w:cs="宋体"/>
          <w:color w:val="auto"/>
          <w:kern w:val="0"/>
          <w:sz w:val="24"/>
          <w:highlight w:val="none"/>
          <w:lang w:val="en-US" w:eastAsia="zh-CN"/>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投标人</w:t>
      </w:r>
      <w:r>
        <w:rPr>
          <w:rFonts w:ascii="宋体" w:hAnsi="宋体" w:cs="宋体"/>
          <w:color w:val="auto"/>
          <w:kern w:val="0"/>
          <w:sz w:val="24"/>
          <w:highlight w:val="none"/>
        </w:rPr>
        <w:t>名称（</w:t>
      </w:r>
      <w:r>
        <w:rPr>
          <w:rFonts w:hint="eastAsia" w:ascii="宋体" w:hAnsi="宋体" w:eastAsia="宋体" w:cs="宋体"/>
          <w:color w:val="auto"/>
          <w:kern w:val="0"/>
          <w:sz w:val="24"/>
          <w:highlight w:val="none"/>
          <w:lang w:val="zh-CN"/>
        </w:rPr>
        <w:t>电子签名/公章</w:t>
      </w:r>
      <w:r>
        <w:rPr>
          <w:rFonts w:ascii="宋体" w:hAnsi="宋体" w:cs="宋体"/>
          <w:color w:val="auto"/>
          <w:kern w:val="0"/>
          <w:sz w:val="24"/>
          <w:highlight w:val="none"/>
        </w:rPr>
        <w:t>） ：</w:t>
      </w:r>
    </w:p>
    <w:p>
      <w:pPr>
        <w:widowControl/>
        <w:snapToGrid w:val="0"/>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pPr>
        <w:autoSpaceDE w:val="0"/>
        <w:autoSpaceDN w:val="0"/>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日期：     年  月  日</w:t>
      </w:r>
    </w:p>
    <w:p>
      <w:pPr>
        <w:pStyle w:val="6"/>
        <w:numPr>
          <w:ilvl w:val="0"/>
          <w:numId w:val="0"/>
        </w:numPr>
        <w:rPr>
          <w:rFonts w:hint="default"/>
          <w:color w:val="auto"/>
          <w:highlight w:val="none"/>
          <w:lang w:val="en-US" w:eastAsia="zh-CN"/>
        </w:rPr>
      </w:pP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ì.">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swiss"/>
    <w:pitch w:val="default"/>
    <w:sig w:usb0="E00002FF" w:usb1="5000785B" w:usb2="00000000" w:usb3="00000000" w:csb0="2000019F" w:csb1="4F01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长城仿宋">
    <w:altName w:val="仿宋"/>
    <w:panose1 w:val="020B0604020202020204"/>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7"/>
      </w:rPr>
    </w:pPr>
    <w:r>
      <w:fldChar w:fldCharType="begin"/>
    </w:r>
    <w:r>
      <w:rPr>
        <w:rStyle w:val="47"/>
      </w:rPr>
      <w:instrText xml:space="preserve">PAGE  </w:instrText>
    </w:r>
    <w:r>
      <w:fldChar w:fldCharType="end"/>
    </w:r>
  </w:p>
  <w:p>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sbe8cBAACZAwAADgAAAGRycy9lMm9Eb2MueG1srVPNjtMwEL4j8Q6W 79TZHlAUNV2BqkVICJAWHsB17MaS/+Rxm/QF4A04ceHOc/U5GDtJd1kue+DijGfG38z3zWRzO1pD TjKC9q6lN6uKEumE77Q7tPTrl7tXNSWQuOu48U629CyB3m5fvtgMoZFr33vTyUgQxEEzhJb2KYWG MRC9tBxWPkiHQeWj5Qmv8cC6yAdEt4atq+o1G3zsQvRCAqB3NwXpjBifA+iV0kLuvDha6dKEGqXh CSlBrwPQbelWKSnSJ6VAJmJaikxTObEI2vt8su2GN4fIQ6/F3AJ/TgtPOFmuHRa9Qu144uQY9T9Q Vovowau0Et6yiUhRBFncVE+0ue95kIULSg3hKjr8P1jx8fQ5Et21dE2J4xYHfvnx/fLz9+XXN1Jn eYYADWbdB8xL41s/4tIsfkBnZj2qaPMX+RCMo7jnq7hyTETkR/W6risMCYwtF8RnD89DhPROekuy 0dKI0yui8tMHSFPqkpKrOX+njSkTNO4vB2JmD8u9Tz1mK437cSa0990Z+Qw4+JY63HNKzHuHuuYd WYy4GPvFOIaoD31ZolwPwptjwiZKb7nCBDsXxokVdvN25ZV4fC9ZD3/U9g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qsbe8cBAACZAwAADgAAAAAAAAABACAAAAAeAQAAZHJzL2Uyb0RvYy54 bWxQSwUGAAAAAAYABgBZAQAAVwUAAAAA ">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rPr>
                              <w:rFonts w:hint="default"/>
                              <w:lang/>
                            </w:rPr>
                            <w:t>35</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3lGj8gBAACZAwAADgAAAGRycy9lMm9Eb2MueG1srVNLbtswEN0X6B0I 7msqXgSGYDloYaQoEKQF0h6ApkiLAH/g0JZ8gfYGXXXTfc/lc3RISU6bbLLIhhrODN/MezNa3wzW kKOMoL1r6NWiokQ64Vvt9g399vX23YoSSNy13HgnG3qSQG82b9+s+1DLpe+8aWUkCOKg7kNDu5RC zRiITloOCx+kw6Dy0fKE17hnbeQ9olvDllV1zXof2xC9kADo3Y5BOiHGlwB6pbSQWy8OVro0okZp eEJK0OkAdFO6VUqK9FkpkImYhiLTVE4sgvYun2yz5vU+8tBpMbXAX9LCE06Wa4dFL1Bbnjg5RP0M ymoRPXiVFsJbNhIpiiCLq+qJNg8dD7JwQakhXESH14MV98cvkegWN4ESxy0O/Pzzx/nXn/Pv7+Q6 y9MHqDHrIWBeGj74IadOfkBnZj2oaPMX+RCMo7ini7hySETkR6vlalVhSGBsviAOe3weIqSP0luS jYZGnF4RlR/vII2pc0qu5vytNgb9vDbuPwdiZg/LvY89ZisNu2FqfOfbE/LpcfANdbjnlJhPDnXN OzIbcTZ2s3EIUe+7skS5HoT3h4RNlN5yhRF2KowTK+ym7cor8e+9ZD3+UZ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N5Ro/IAQAAmQMAAA4AAAAAAAAAAQAgAAAAHgEAAGRycy9lMm9Eb2Mu eG1sUEsFBgAAAAAGAAYAWQEAAFgFAAAAAA== ">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rPr>
                        <w:rFonts w:hint="default"/>
                        <w:lang/>
                      </w:rP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0"/>
        <w:rPr>
          <w:rFonts w:hint="default"/>
        </w:rPr>
      </w:pPr>
      <w:r>
        <w:rPr>
          <w:rStyle w:val="51"/>
          <w:rFonts w:hint="eastAsia"/>
          <w:sz w:val="18"/>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967187A8"/>
    <w:multiLevelType w:val="singleLevel"/>
    <w:tmpl w:val="967187A8"/>
    <w:lvl w:ilvl="0" w:tentative="0">
      <w:start w:val="1"/>
      <w:numFmt w:val="decimal"/>
      <w:suff w:val="nothing"/>
      <w:lvlText w:val="%1）"/>
      <w:lvlJc w:val="left"/>
    </w:lvl>
  </w:abstractNum>
  <w:abstractNum w:abstractNumId="2">
    <w:nsid w:val="9696DEBA"/>
    <w:multiLevelType w:val="singleLevel"/>
    <w:tmpl w:val="9696DEBA"/>
    <w:lvl w:ilvl="0" w:tentative="0">
      <w:start w:val="1"/>
      <w:numFmt w:val="decimal"/>
      <w:suff w:val="nothing"/>
      <w:lvlText w:val="%1）"/>
      <w:lvlJc w:val="left"/>
    </w:lvl>
  </w:abstractNum>
  <w:abstractNum w:abstractNumId="3">
    <w:nsid w:val="A134236B"/>
    <w:multiLevelType w:val="singleLevel"/>
    <w:tmpl w:val="A134236B"/>
    <w:lvl w:ilvl="0" w:tentative="0">
      <w:start w:val="1"/>
      <w:numFmt w:val="decimal"/>
      <w:suff w:val="nothing"/>
      <w:lvlText w:val="%1）"/>
      <w:lvlJc w:val="left"/>
    </w:lvl>
  </w:abstractNum>
  <w:abstractNum w:abstractNumId="4">
    <w:nsid w:val="A2F6F4B4"/>
    <w:multiLevelType w:val="singleLevel"/>
    <w:tmpl w:val="A2F6F4B4"/>
    <w:lvl w:ilvl="0" w:tentative="0">
      <w:start w:val="1"/>
      <w:numFmt w:val="decimal"/>
      <w:suff w:val="nothing"/>
      <w:lvlText w:val="%1）"/>
      <w:lvlJc w:val="left"/>
    </w:lvl>
  </w:abstractNum>
  <w:abstractNum w:abstractNumId="5">
    <w:nsid w:val="C0C92AC6"/>
    <w:multiLevelType w:val="singleLevel"/>
    <w:tmpl w:val="C0C92AC6"/>
    <w:lvl w:ilvl="0" w:tentative="0">
      <w:start w:val="1"/>
      <w:numFmt w:val="decimal"/>
      <w:suff w:val="nothing"/>
      <w:lvlText w:val="%1、"/>
      <w:lvlJc w:val="left"/>
    </w:lvl>
  </w:abstractNum>
  <w:abstractNum w:abstractNumId="6">
    <w:nsid w:val="DEDBB264"/>
    <w:multiLevelType w:val="singleLevel"/>
    <w:tmpl w:val="DEDBB264"/>
    <w:lvl w:ilvl="0" w:tentative="0">
      <w:start w:val="1"/>
      <w:numFmt w:val="bullet"/>
      <w:lvlText w:val=""/>
      <w:lvlJc w:val="left"/>
      <w:pPr>
        <w:ind w:left="420" w:hanging="420"/>
      </w:pPr>
      <w:rPr>
        <w:rFonts w:hint="default" w:ascii="Wingdings" w:hAnsi="Wingdings"/>
      </w:rPr>
    </w:lvl>
  </w:abstractNum>
  <w:abstractNum w:abstractNumId="7">
    <w:nsid w:val="EA55E8E8"/>
    <w:multiLevelType w:val="singleLevel"/>
    <w:tmpl w:val="EA55E8E8"/>
    <w:lvl w:ilvl="0" w:tentative="0">
      <w:start w:val="2"/>
      <w:numFmt w:val="chineseCounting"/>
      <w:suff w:val="nothing"/>
      <w:lvlText w:val="（%1）"/>
      <w:lvlJc w:val="left"/>
      <w:rPr>
        <w:rFonts w:hint="eastAsia"/>
      </w:rPr>
    </w:lvl>
  </w:abstractNum>
  <w:abstractNum w:abstractNumId="8">
    <w:nsid w:val="ECD12953"/>
    <w:multiLevelType w:val="singleLevel"/>
    <w:tmpl w:val="ECD12953"/>
    <w:lvl w:ilvl="0" w:tentative="0">
      <w:start w:val="2"/>
      <w:numFmt w:val="decimal"/>
      <w:suff w:val="nothing"/>
      <w:lvlText w:val="%1）"/>
      <w:lvlJc w:val="left"/>
    </w:lvl>
  </w:abstractNum>
  <w:abstractNum w:abstractNumId="9">
    <w:nsid w:val="F77F267E"/>
    <w:multiLevelType w:val="singleLevel"/>
    <w:tmpl w:val="F77F267E"/>
    <w:lvl w:ilvl="0" w:tentative="0">
      <w:start w:val="1"/>
      <w:numFmt w:val="bullet"/>
      <w:lvlText w:val=""/>
      <w:lvlJc w:val="left"/>
      <w:pPr>
        <w:ind w:left="420" w:hanging="420"/>
      </w:pPr>
      <w:rPr>
        <w:rFonts w:hint="default" w:ascii="Wingdings" w:hAnsi="Wingdings"/>
      </w:rPr>
    </w:lvl>
  </w:abstractNum>
  <w:abstractNum w:abstractNumId="10">
    <w:nsid w:val="FEEDBDF2"/>
    <w:multiLevelType w:val="singleLevel"/>
    <w:tmpl w:val="FEEDBDF2"/>
    <w:lvl w:ilvl="0" w:tentative="0">
      <w:start w:val="2"/>
      <w:numFmt w:val="decimal"/>
      <w:suff w:val="nothing"/>
      <w:lvlText w:val="%1、"/>
      <w:lvlJc w:val="left"/>
    </w:lvl>
  </w:abstractNum>
  <w:abstractNum w:abstractNumId="11">
    <w:nsid w:val="FFFFA3CB"/>
    <w:multiLevelType w:val="singleLevel"/>
    <w:tmpl w:val="FFFFA3CB"/>
    <w:lvl w:ilvl="0" w:tentative="0">
      <w:start w:val="1"/>
      <w:numFmt w:val="bullet"/>
      <w:lvlText w:val=""/>
      <w:lvlJc w:val="left"/>
      <w:pPr>
        <w:ind w:left="420" w:hanging="420"/>
      </w:pPr>
      <w:rPr>
        <w:rFonts w:hint="default" w:ascii="Wingdings" w:hAnsi="Wingdings"/>
      </w:rPr>
    </w:lvl>
  </w:abstractNum>
  <w:abstractNum w:abstractNumId="12">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13">
    <w:nsid w:val="00000002"/>
    <w:multiLevelType w:val="singleLevel"/>
    <w:tmpl w:val="00000002"/>
    <w:lvl w:ilvl="0" w:tentative="0">
      <w:start w:val="1"/>
      <w:numFmt w:val="decimal"/>
      <w:lvlText w:val="(%1)"/>
      <w:lvlJc w:val="left"/>
      <w:pPr>
        <w:ind w:left="425" w:hanging="425"/>
      </w:pPr>
      <w:rPr>
        <w:rFonts w:hint="default"/>
      </w:rPr>
    </w:lvl>
  </w:abstractNum>
  <w:abstractNum w:abstractNumId="14">
    <w:nsid w:val="00000006"/>
    <w:multiLevelType w:val="singleLevel"/>
    <w:tmpl w:val="00000006"/>
    <w:lvl w:ilvl="0" w:tentative="0">
      <w:start w:val="1"/>
      <w:numFmt w:val="decimal"/>
      <w:lvlText w:val="(%1)"/>
      <w:lvlJc w:val="left"/>
      <w:pPr>
        <w:ind w:left="425" w:hanging="425"/>
      </w:pPr>
      <w:rPr>
        <w:rFonts w:hint="default"/>
      </w:rPr>
    </w:lvl>
  </w:abstractNum>
  <w:abstractNum w:abstractNumId="15">
    <w:nsid w:val="00000007"/>
    <w:multiLevelType w:val="singleLevel"/>
    <w:tmpl w:val="00000007"/>
    <w:lvl w:ilvl="0" w:tentative="0">
      <w:start w:val="1"/>
      <w:numFmt w:val="decimal"/>
      <w:lvlText w:val="(%1)"/>
      <w:lvlJc w:val="left"/>
      <w:pPr>
        <w:ind w:left="425" w:hanging="425"/>
      </w:pPr>
      <w:rPr>
        <w:rFonts w:hint="default"/>
      </w:rPr>
    </w:lvl>
  </w:abstractNum>
  <w:abstractNum w:abstractNumId="16">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7">
    <w:nsid w:val="201E9B8E"/>
    <w:multiLevelType w:val="singleLevel"/>
    <w:tmpl w:val="201E9B8E"/>
    <w:lvl w:ilvl="0" w:tentative="0">
      <w:start w:val="6"/>
      <w:numFmt w:val="decimal"/>
      <w:lvlText w:val="%1."/>
      <w:lvlJc w:val="left"/>
      <w:pPr>
        <w:tabs>
          <w:tab w:val="left" w:pos="312"/>
        </w:tabs>
      </w:pPr>
    </w:lvl>
  </w:abstractNum>
  <w:abstractNum w:abstractNumId="18">
    <w:nsid w:val="2E7EB459"/>
    <w:multiLevelType w:val="singleLevel"/>
    <w:tmpl w:val="2E7EB459"/>
    <w:lvl w:ilvl="0" w:tentative="0">
      <w:start w:val="1"/>
      <w:numFmt w:val="bullet"/>
      <w:lvlText w:val=""/>
      <w:lvlJc w:val="left"/>
      <w:pPr>
        <w:ind w:left="420" w:hanging="420"/>
      </w:pPr>
      <w:rPr>
        <w:rFonts w:hint="default" w:ascii="Wingdings" w:hAnsi="Wingdings"/>
      </w:rPr>
    </w:lvl>
  </w:abstractNum>
  <w:abstractNum w:abstractNumId="19">
    <w:nsid w:val="44960451"/>
    <w:multiLevelType w:val="multilevel"/>
    <w:tmpl w:val="44960451"/>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0">
    <w:nsid w:val="5D63E6DE"/>
    <w:multiLevelType w:val="singleLevel"/>
    <w:tmpl w:val="5D63E6DE"/>
    <w:lvl w:ilvl="0" w:tentative="0">
      <w:start w:val="4"/>
      <w:numFmt w:val="chineseCounting"/>
      <w:suff w:val="space"/>
      <w:lvlText w:val="第%1章"/>
      <w:lvlJc w:val="left"/>
      <w:rPr>
        <w:rFonts w:hint="eastAsia"/>
      </w:rPr>
    </w:lvl>
  </w:abstractNum>
  <w:num w:numId="1">
    <w:abstractNumId w:val="16"/>
  </w:num>
  <w:num w:numId="2">
    <w:abstractNumId w:val="12"/>
  </w:num>
  <w:num w:numId="3">
    <w:abstractNumId w:val="5"/>
  </w:num>
  <w:num w:numId="4">
    <w:abstractNumId w:val="17"/>
  </w:num>
  <w:num w:numId="5">
    <w:abstractNumId w:val="0"/>
  </w:num>
  <w:num w:numId="6">
    <w:abstractNumId w:val="2"/>
  </w:num>
  <w:num w:numId="7">
    <w:abstractNumId w:val="1"/>
  </w:num>
  <w:num w:numId="8">
    <w:abstractNumId w:val="3"/>
  </w:num>
  <w:num w:numId="9">
    <w:abstractNumId w:val="4"/>
  </w:num>
  <w:num w:numId="10">
    <w:abstractNumId w:val="8"/>
  </w:num>
  <w:num w:numId="11">
    <w:abstractNumId w:val="7"/>
  </w:num>
  <w:num w:numId="12">
    <w:abstractNumId w:val="20"/>
  </w:num>
  <w:num w:numId="13">
    <w:abstractNumId w:val="13"/>
  </w:num>
  <w:num w:numId="14">
    <w:abstractNumId w:val="15"/>
  </w:num>
  <w:num w:numId="15">
    <w:abstractNumId w:val="14"/>
  </w:num>
  <w:num w:numId="16">
    <w:abstractNumId w:val="6"/>
  </w:num>
  <w:num w:numId="17">
    <w:abstractNumId w:val="10"/>
  </w:num>
  <w:num w:numId="18">
    <w:abstractNumId w:val="9"/>
  </w:num>
  <w:num w:numId="19">
    <w:abstractNumId w:val="11"/>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YTIxZWM5ZGJhZTk1MTI0ZWNkYzYzZGFhYWYwNDIxNDg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25EC"/>
    <w:rsid w:val="000040CA"/>
    <w:rsid w:val="000051BF"/>
    <w:rsid w:val="00005423"/>
    <w:rsid w:val="00005435"/>
    <w:rsid w:val="0000589C"/>
    <w:rsid w:val="00005907"/>
    <w:rsid w:val="00005AB9"/>
    <w:rsid w:val="00006031"/>
    <w:rsid w:val="000068D4"/>
    <w:rsid w:val="00006EB7"/>
    <w:rsid w:val="00007B7E"/>
    <w:rsid w:val="000117B2"/>
    <w:rsid w:val="00011A2A"/>
    <w:rsid w:val="00013484"/>
    <w:rsid w:val="00013555"/>
    <w:rsid w:val="00013BB9"/>
    <w:rsid w:val="00013EDB"/>
    <w:rsid w:val="000148B1"/>
    <w:rsid w:val="00014B8B"/>
    <w:rsid w:val="00014F07"/>
    <w:rsid w:val="000155BB"/>
    <w:rsid w:val="00016C0D"/>
    <w:rsid w:val="00016DB2"/>
    <w:rsid w:val="00017541"/>
    <w:rsid w:val="000222E9"/>
    <w:rsid w:val="00022DB6"/>
    <w:rsid w:val="000233A0"/>
    <w:rsid w:val="000238E4"/>
    <w:rsid w:val="00023944"/>
    <w:rsid w:val="00024123"/>
    <w:rsid w:val="0002470F"/>
    <w:rsid w:val="00024725"/>
    <w:rsid w:val="000263A1"/>
    <w:rsid w:val="00026535"/>
    <w:rsid w:val="000269D9"/>
    <w:rsid w:val="00027028"/>
    <w:rsid w:val="000272E9"/>
    <w:rsid w:val="00027550"/>
    <w:rsid w:val="00027A28"/>
    <w:rsid w:val="00027E4C"/>
    <w:rsid w:val="000306D2"/>
    <w:rsid w:val="00030E9A"/>
    <w:rsid w:val="0003120D"/>
    <w:rsid w:val="000313BC"/>
    <w:rsid w:val="00031739"/>
    <w:rsid w:val="00032891"/>
    <w:rsid w:val="000332A7"/>
    <w:rsid w:val="00034BC6"/>
    <w:rsid w:val="0003518F"/>
    <w:rsid w:val="00035843"/>
    <w:rsid w:val="00037500"/>
    <w:rsid w:val="00037E11"/>
    <w:rsid w:val="000425B8"/>
    <w:rsid w:val="000426BA"/>
    <w:rsid w:val="00042C23"/>
    <w:rsid w:val="000433AA"/>
    <w:rsid w:val="00043CD8"/>
    <w:rsid w:val="0004414C"/>
    <w:rsid w:val="000442C9"/>
    <w:rsid w:val="000444CB"/>
    <w:rsid w:val="0004631D"/>
    <w:rsid w:val="00046650"/>
    <w:rsid w:val="00047CC2"/>
    <w:rsid w:val="00047E0E"/>
    <w:rsid w:val="00050B4C"/>
    <w:rsid w:val="00052144"/>
    <w:rsid w:val="000533C4"/>
    <w:rsid w:val="00053B0D"/>
    <w:rsid w:val="00053E11"/>
    <w:rsid w:val="000543F6"/>
    <w:rsid w:val="000555D1"/>
    <w:rsid w:val="00055930"/>
    <w:rsid w:val="00055AC4"/>
    <w:rsid w:val="00055EE5"/>
    <w:rsid w:val="0005679F"/>
    <w:rsid w:val="000568B7"/>
    <w:rsid w:val="00056957"/>
    <w:rsid w:val="00056C1F"/>
    <w:rsid w:val="000627BC"/>
    <w:rsid w:val="000633D8"/>
    <w:rsid w:val="00063FD8"/>
    <w:rsid w:val="00064750"/>
    <w:rsid w:val="00064970"/>
    <w:rsid w:val="00065019"/>
    <w:rsid w:val="00065CF8"/>
    <w:rsid w:val="00066AD0"/>
    <w:rsid w:val="00066E4B"/>
    <w:rsid w:val="000676E7"/>
    <w:rsid w:val="00071000"/>
    <w:rsid w:val="00071771"/>
    <w:rsid w:val="00074A4F"/>
    <w:rsid w:val="00074A89"/>
    <w:rsid w:val="00074D3E"/>
    <w:rsid w:val="00075974"/>
    <w:rsid w:val="00075CB7"/>
    <w:rsid w:val="00075E78"/>
    <w:rsid w:val="00080023"/>
    <w:rsid w:val="000801BF"/>
    <w:rsid w:val="00081C74"/>
    <w:rsid w:val="000825AC"/>
    <w:rsid w:val="000826C4"/>
    <w:rsid w:val="0008421E"/>
    <w:rsid w:val="00084314"/>
    <w:rsid w:val="00084EC6"/>
    <w:rsid w:val="00085648"/>
    <w:rsid w:val="000871DE"/>
    <w:rsid w:val="000874FB"/>
    <w:rsid w:val="00090E72"/>
    <w:rsid w:val="00090EA8"/>
    <w:rsid w:val="00091786"/>
    <w:rsid w:val="00092EAE"/>
    <w:rsid w:val="000940EA"/>
    <w:rsid w:val="000952B1"/>
    <w:rsid w:val="00096151"/>
    <w:rsid w:val="00096CEC"/>
    <w:rsid w:val="00096F1D"/>
    <w:rsid w:val="00097533"/>
    <w:rsid w:val="00097954"/>
    <w:rsid w:val="000A067E"/>
    <w:rsid w:val="000A173E"/>
    <w:rsid w:val="000A1ED4"/>
    <w:rsid w:val="000A1F7A"/>
    <w:rsid w:val="000A2666"/>
    <w:rsid w:val="000A3110"/>
    <w:rsid w:val="000A359C"/>
    <w:rsid w:val="000A3D7F"/>
    <w:rsid w:val="000A3F9F"/>
    <w:rsid w:val="000A4312"/>
    <w:rsid w:val="000A4AAA"/>
    <w:rsid w:val="000A4E33"/>
    <w:rsid w:val="000A7E2E"/>
    <w:rsid w:val="000B0C63"/>
    <w:rsid w:val="000B17A1"/>
    <w:rsid w:val="000B1895"/>
    <w:rsid w:val="000B234A"/>
    <w:rsid w:val="000B2769"/>
    <w:rsid w:val="000B3ADD"/>
    <w:rsid w:val="000B481F"/>
    <w:rsid w:val="000B4939"/>
    <w:rsid w:val="000B4ACE"/>
    <w:rsid w:val="000B4C97"/>
    <w:rsid w:val="000B505D"/>
    <w:rsid w:val="000B555D"/>
    <w:rsid w:val="000B5A2C"/>
    <w:rsid w:val="000B5CFD"/>
    <w:rsid w:val="000B6132"/>
    <w:rsid w:val="000B74CD"/>
    <w:rsid w:val="000B76F0"/>
    <w:rsid w:val="000B7ABC"/>
    <w:rsid w:val="000B7DE6"/>
    <w:rsid w:val="000C074C"/>
    <w:rsid w:val="000C12FF"/>
    <w:rsid w:val="000C1729"/>
    <w:rsid w:val="000C24D5"/>
    <w:rsid w:val="000C358E"/>
    <w:rsid w:val="000C4584"/>
    <w:rsid w:val="000C4BAE"/>
    <w:rsid w:val="000C544A"/>
    <w:rsid w:val="000C6432"/>
    <w:rsid w:val="000C6B87"/>
    <w:rsid w:val="000C6F04"/>
    <w:rsid w:val="000D14C5"/>
    <w:rsid w:val="000D27CD"/>
    <w:rsid w:val="000D2E41"/>
    <w:rsid w:val="000D35B2"/>
    <w:rsid w:val="000D3FCA"/>
    <w:rsid w:val="000D4096"/>
    <w:rsid w:val="000D41C5"/>
    <w:rsid w:val="000D46AE"/>
    <w:rsid w:val="000D4C1E"/>
    <w:rsid w:val="000D53D0"/>
    <w:rsid w:val="000D5554"/>
    <w:rsid w:val="000D5A50"/>
    <w:rsid w:val="000D5F5D"/>
    <w:rsid w:val="000D6137"/>
    <w:rsid w:val="000D6179"/>
    <w:rsid w:val="000E0122"/>
    <w:rsid w:val="000E08AC"/>
    <w:rsid w:val="000E1DBB"/>
    <w:rsid w:val="000E22C9"/>
    <w:rsid w:val="000E27A5"/>
    <w:rsid w:val="000E2B2C"/>
    <w:rsid w:val="000E3175"/>
    <w:rsid w:val="000E4684"/>
    <w:rsid w:val="000E5834"/>
    <w:rsid w:val="000E630D"/>
    <w:rsid w:val="000E7265"/>
    <w:rsid w:val="000E7730"/>
    <w:rsid w:val="000F0B95"/>
    <w:rsid w:val="000F101E"/>
    <w:rsid w:val="000F1AB6"/>
    <w:rsid w:val="000F2D41"/>
    <w:rsid w:val="000F318A"/>
    <w:rsid w:val="000F45BC"/>
    <w:rsid w:val="000F45FF"/>
    <w:rsid w:val="000F47E1"/>
    <w:rsid w:val="000F4976"/>
    <w:rsid w:val="000F4CDF"/>
    <w:rsid w:val="000F4F3F"/>
    <w:rsid w:val="000F5D5E"/>
    <w:rsid w:val="000F70B8"/>
    <w:rsid w:val="000F776B"/>
    <w:rsid w:val="000F7AD2"/>
    <w:rsid w:val="001001B8"/>
    <w:rsid w:val="001011B8"/>
    <w:rsid w:val="001014ED"/>
    <w:rsid w:val="00104D75"/>
    <w:rsid w:val="00104F04"/>
    <w:rsid w:val="00105511"/>
    <w:rsid w:val="00107400"/>
    <w:rsid w:val="00107547"/>
    <w:rsid w:val="0011004B"/>
    <w:rsid w:val="001104E7"/>
    <w:rsid w:val="001107A1"/>
    <w:rsid w:val="00110B11"/>
    <w:rsid w:val="001117CA"/>
    <w:rsid w:val="001119D0"/>
    <w:rsid w:val="00112B8C"/>
    <w:rsid w:val="00113B82"/>
    <w:rsid w:val="00113C2E"/>
    <w:rsid w:val="0011551B"/>
    <w:rsid w:val="0011551D"/>
    <w:rsid w:val="0011577C"/>
    <w:rsid w:val="00115A36"/>
    <w:rsid w:val="00115B92"/>
    <w:rsid w:val="001162D9"/>
    <w:rsid w:val="0011639F"/>
    <w:rsid w:val="00116CF1"/>
    <w:rsid w:val="00117011"/>
    <w:rsid w:val="00122D36"/>
    <w:rsid w:val="001245D3"/>
    <w:rsid w:val="00124A6D"/>
    <w:rsid w:val="00125175"/>
    <w:rsid w:val="00126859"/>
    <w:rsid w:val="00126A11"/>
    <w:rsid w:val="00126AE1"/>
    <w:rsid w:val="00126C34"/>
    <w:rsid w:val="001311D9"/>
    <w:rsid w:val="0013170D"/>
    <w:rsid w:val="001319C1"/>
    <w:rsid w:val="001330E5"/>
    <w:rsid w:val="00133C0B"/>
    <w:rsid w:val="00134DFE"/>
    <w:rsid w:val="001356D3"/>
    <w:rsid w:val="001359A5"/>
    <w:rsid w:val="00135FA2"/>
    <w:rsid w:val="00136A45"/>
    <w:rsid w:val="00137106"/>
    <w:rsid w:val="00140D31"/>
    <w:rsid w:val="00141505"/>
    <w:rsid w:val="00142B9F"/>
    <w:rsid w:val="0014413A"/>
    <w:rsid w:val="001457F8"/>
    <w:rsid w:val="00145C24"/>
    <w:rsid w:val="00145FFF"/>
    <w:rsid w:val="00150346"/>
    <w:rsid w:val="0015494D"/>
    <w:rsid w:val="00154ADE"/>
    <w:rsid w:val="00154C4B"/>
    <w:rsid w:val="00154F74"/>
    <w:rsid w:val="00155036"/>
    <w:rsid w:val="0015654E"/>
    <w:rsid w:val="00157648"/>
    <w:rsid w:val="00163490"/>
    <w:rsid w:val="00163E38"/>
    <w:rsid w:val="00163FBC"/>
    <w:rsid w:val="00164A91"/>
    <w:rsid w:val="00164B65"/>
    <w:rsid w:val="00164F70"/>
    <w:rsid w:val="00166F0D"/>
    <w:rsid w:val="00167999"/>
    <w:rsid w:val="00167ADF"/>
    <w:rsid w:val="001708A5"/>
    <w:rsid w:val="00171E60"/>
    <w:rsid w:val="00172296"/>
    <w:rsid w:val="00172FAE"/>
    <w:rsid w:val="00173D86"/>
    <w:rsid w:val="001740E0"/>
    <w:rsid w:val="001747E1"/>
    <w:rsid w:val="00174B1E"/>
    <w:rsid w:val="00175478"/>
    <w:rsid w:val="001765D1"/>
    <w:rsid w:val="00176669"/>
    <w:rsid w:val="00177C0A"/>
    <w:rsid w:val="00180EED"/>
    <w:rsid w:val="001827BC"/>
    <w:rsid w:val="00182B69"/>
    <w:rsid w:val="00183278"/>
    <w:rsid w:val="001845CE"/>
    <w:rsid w:val="00184DBF"/>
    <w:rsid w:val="001853C4"/>
    <w:rsid w:val="001855BB"/>
    <w:rsid w:val="00185C2C"/>
    <w:rsid w:val="001867A0"/>
    <w:rsid w:val="00186849"/>
    <w:rsid w:val="00187411"/>
    <w:rsid w:val="0019065E"/>
    <w:rsid w:val="001909D8"/>
    <w:rsid w:val="001927CB"/>
    <w:rsid w:val="001929EA"/>
    <w:rsid w:val="00193278"/>
    <w:rsid w:val="00193F7A"/>
    <w:rsid w:val="001949AB"/>
    <w:rsid w:val="0019555A"/>
    <w:rsid w:val="00195B38"/>
    <w:rsid w:val="00195FBE"/>
    <w:rsid w:val="0019638B"/>
    <w:rsid w:val="001967A3"/>
    <w:rsid w:val="00196B40"/>
    <w:rsid w:val="00197367"/>
    <w:rsid w:val="0019784C"/>
    <w:rsid w:val="00197F48"/>
    <w:rsid w:val="001A0500"/>
    <w:rsid w:val="001A0781"/>
    <w:rsid w:val="001A0B18"/>
    <w:rsid w:val="001A1395"/>
    <w:rsid w:val="001A336A"/>
    <w:rsid w:val="001A386F"/>
    <w:rsid w:val="001A3994"/>
    <w:rsid w:val="001A506E"/>
    <w:rsid w:val="001A5083"/>
    <w:rsid w:val="001A52B4"/>
    <w:rsid w:val="001A5327"/>
    <w:rsid w:val="001A5D3E"/>
    <w:rsid w:val="001A5FA1"/>
    <w:rsid w:val="001A6067"/>
    <w:rsid w:val="001B0339"/>
    <w:rsid w:val="001B0EEE"/>
    <w:rsid w:val="001B11E5"/>
    <w:rsid w:val="001B16EF"/>
    <w:rsid w:val="001B1898"/>
    <w:rsid w:val="001B1CA6"/>
    <w:rsid w:val="001B2F51"/>
    <w:rsid w:val="001B5E71"/>
    <w:rsid w:val="001B67C7"/>
    <w:rsid w:val="001B6973"/>
    <w:rsid w:val="001B7BCC"/>
    <w:rsid w:val="001C00DE"/>
    <w:rsid w:val="001C07B7"/>
    <w:rsid w:val="001C09EC"/>
    <w:rsid w:val="001C16E4"/>
    <w:rsid w:val="001C1C13"/>
    <w:rsid w:val="001C1FFF"/>
    <w:rsid w:val="001C2C5B"/>
    <w:rsid w:val="001C2E3E"/>
    <w:rsid w:val="001C31E4"/>
    <w:rsid w:val="001C3CBB"/>
    <w:rsid w:val="001C42C3"/>
    <w:rsid w:val="001C44DC"/>
    <w:rsid w:val="001C5452"/>
    <w:rsid w:val="001C6875"/>
    <w:rsid w:val="001C78AA"/>
    <w:rsid w:val="001D02AB"/>
    <w:rsid w:val="001D0A42"/>
    <w:rsid w:val="001D0F0A"/>
    <w:rsid w:val="001D1172"/>
    <w:rsid w:val="001D1719"/>
    <w:rsid w:val="001D20B5"/>
    <w:rsid w:val="001D29BA"/>
    <w:rsid w:val="001D33F2"/>
    <w:rsid w:val="001D6770"/>
    <w:rsid w:val="001D690F"/>
    <w:rsid w:val="001E1B3B"/>
    <w:rsid w:val="001E1FD8"/>
    <w:rsid w:val="001E3521"/>
    <w:rsid w:val="001E4A99"/>
    <w:rsid w:val="001E4F3D"/>
    <w:rsid w:val="001E511E"/>
    <w:rsid w:val="001E5158"/>
    <w:rsid w:val="001E5F3D"/>
    <w:rsid w:val="001E6DDB"/>
    <w:rsid w:val="001E6EEB"/>
    <w:rsid w:val="001E742D"/>
    <w:rsid w:val="001E7AD2"/>
    <w:rsid w:val="001F0405"/>
    <w:rsid w:val="001F0832"/>
    <w:rsid w:val="001F0D7E"/>
    <w:rsid w:val="001F297F"/>
    <w:rsid w:val="001F3141"/>
    <w:rsid w:val="001F4AEB"/>
    <w:rsid w:val="001F4E0F"/>
    <w:rsid w:val="001F5921"/>
    <w:rsid w:val="001F6EA9"/>
    <w:rsid w:val="00201E9E"/>
    <w:rsid w:val="00201FE9"/>
    <w:rsid w:val="00203451"/>
    <w:rsid w:val="00204936"/>
    <w:rsid w:val="00204FCD"/>
    <w:rsid w:val="00205420"/>
    <w:rsid w:val="00205741"/>
    <w:rsid w:val="00207864"/>
    <w:rsid w:val="002104F9"/>
    <w:rsid w:val="00210583"/>
    <w:rsid w:val="00211374"/>
    <w:rsid w:val="00213591"/>
    <w:rsid w:val="0021414A"/>
    <w:rsid w:val="002146DC"/>
    <w:rsid w:val="002176B3"/>
    <w:rsid w:val="002213C3"/>
    <w:rsid w:val="00222AC9"/>
    <w:rsid w:val="00222FCE"/>
    <w:rsid w:val="0022342C"/>
    <w:rsid w:val="00223A60"/>
    <w:rsid w:val="002255D9"/>
    <w:rsid w:val="0022658C"/>
    <w:rsid w:val="0022691E"/>
    <w:rsid w:val="00226BC6"/>
    <w:rsid w:val="00226ECE"/>
    <w:rsid w:val="00227351"/>
    <w:rsid w:val="00230AEC"/>
    <w:rsid w:val="00232784"/>
    <w:rsid w:val="00233228"/>
    <w:rsid w:val="002338A2"/>
    <w:rsid w:val="0023401E"/>
    <w:rsid w:val="00234A77"/>
    <w:rsid w:val="002352E1"/>
    <w:rsid w:val="00235CB6"/>
    <w:rsid w:val="0023610B"/>
    <w:rsid w:val="00237FFA"/>
    <w:rsid w:val="00240DA2"/>
    <w:rsid w:val="00241023"/>
    <w:rsid w:val="002412F7"/>
    <w:rsid w:val="00241314"/>
    <w:rsid w:val="00243489"/>
    <w:rsid w:val="002438E9"/>
    <w:rsid w:val="002446CD"/>
    <w:rsid w:val="0024486D"/>
    <w:rsid w:val="00244C7D"/>
    <w:rsid w:val="002451CE"/>
    <w:rsid w:val="00245F0E"/>
    <w:rsid w:val="00246101"/>
    <w:rsid w:val="0024616E"/>
    <w:rsid w:val="00246E73"/>
    <w:rsid w:val="00247D99"/>
    <w:rsid w:val="002517CC"/>
    <w:rsid w:val="0025270D"/>
    <w:rsid w:val="00252C3B"/>
    <w:rsid w:val="002534E4"/>
    <w:rsid w:val="00254107"/>
    <w:rsid w:val="002555D2"/>
    <w:rsid w:val="00256530"/>
    <w:rsid w:val="00257C37"/>
    <w:rsid w:val="00257C6E"/>
    <w:rsid w:val="0026047E"/>
    <w:rsid w:val="00261425"/>
    <w:rsid w:val="00261A3A"/>
    <w:rsid w:val="00263BC8"/>
    <w:rsid w:val="002646BE"/>
    <w:rsid w:val="00264F32"/>
    <w:rsid w:val="00265B7F"/>
    <w:rsid w:val="002663F5"/>
    <w:rsid w:val="00266D22"/>
    <w:rsid w:val="00267364"/>
    <w:rsid w:val="0027058A"/>
    <w:rsid w:val="00270C87"/>
    <w:rsid w:val="00270E1E"/>
    <w:rsid w:val="00272682"/>
    <w:rsid w:val="00272D76"/>
    <w:rsid w:val="00273286"/>
    <w:rsid w:val="00273F31"/>
    <w:rsid w:val="0027430C"/>
    <w:rsid w:val="00274B3B"/>
    <w:rsid w:val="00275671"/>
    <w:rsid w:val="00275A58"/>
    <w:rsid w:val="00275B0A"/>
    <w:rsid w:val="00275BA7"/>
    <w:rsid w:val="0027745A"/>
    <w:rsid w:val="002775F7"/>
    <w:rsid w:val="002807BA"/>
    <w:rsid w:val="00280E18"/>
    <w:rsid w:val="002822FE"/>
    <w:rsid w:val="00282406"/>
    <w:rsid w:val="002839D7"/>
    <w:rsid w:val="002856A8"/>
    <w:rsid w:val="002860A7"/>
    <w:rsid w:val="00286BC5"/>
    <w:rsid w:val="0029099B"/>
    <w:rsid w:val="002910B8"/>
    <w:rsid w:val="00291B9E"/>
    <w:rsid w:val="0029366B"/>
    <w:rsid w:val="002936FA"/>
    <w:rsid w:val="0029392C"/>
    <w:rsid w:val="0029463E"/>
    <w:rsid w:val="002951C8"/>
    <w:rsid w:val="002952FC"/>
    <w:rsid w:val="00295ABE"/>
    <w:rsid w:val="00296209"/>
    <w:rsid w:val="00296F7D"/>
    <w:rsid w:val="00297FA9"/>
    <w:rsid w:val="002A030F"/>
    <w:rsid w:val="002A127C"/>
    <w:rsid w:val="002A15C2"/>
    <w:rsid w:val="002A280A"/>
    <w:rsid w:val="002A2B01"/>
    <w:rsid w:val="002A3D91"/>
    <w:rsid w:val="002A49BE"/>
    <w:rsid w:val="002A6E68"/>
    <w:rsid w:val="002A71E8"/>
    <w:rsid w:val="002B06A7"/>
    <w:rsid w:val="002B1372"/>
    <w:rsid w:val="002B39B1"/>
    <w:rsid w:val="002B41CE"/>
    <w:rsid w:val="002B631C"/>
    <w:rsid w:val="002B692E"/>
    <w:rsid w:val="002B6E58"/>
    <w:rsid w:val="002B70EB"/>
    <w:rsid w:val="002C052A"/>
    <w:rsid w:val="002C060B"/>
    <w:rsid w:val="002C0A5E"/>
    <w:rsid w:val="002C0A8A"/>
    <w:rsid w:val="002C1A1A"/>
    <w:rsid w:val="002C1FBE"/>
    <w:rsid w:val="002C2162"/>
    <w:rsid w:val="002C2A6F"/>
    <w:rsid w:val="002C2BC3"/>
    <w:rsid w:val="002C3EAF"/>
    <w:rsid w:val="002C47B8"/>
    <w:rsid w:val="002C4D1B"/>
    <w:rsid w:val="002C606C"/>
    <w:rsid w:val="002C65B4"/>
    <w:rsid w:val="002C7059"/>
    <w:rsid w:val="002C739B"/>
    <w:rsid w:val="002C7CC0"/>
    <w:rsid w:val="002C7F46"/>
    <w:rsid w:val="002D04BD"/>
    <w:rsid w:val="002D0F32"/>
    <w:rsid w:val="002D0FC7"/>
    <w:rsid w:val="002D16D6"/>
    <w:rsid w:val="002D1C42"/>
    <w:rsid w:val="002D280F"/>
    <w:rsid w:val="002D2B62"/>
    <w:rsid w:val="002D326F"/>
    <w:rsid w:val="002D3640"/>
    <w:rsid w:val="002D3FCD"/>
    <w:rsid w:val="002D4E46"/>
    <w:rsid w:val="002D50DA"/>
    <w:rsid w:val="002D58C0"/>
    <w:rsid w:val="002D7013"/>
    <w:rsid w:val="002D757A"/>
    <w:rsid w:val="002D7832"/>
    <w:rsid w:val="002D7CFF"/>
    <w:rsid w:val="002E00B1"/>
    <w:rsid w:val="002E0D60"/>
    <w:rsid w:val="002E135B"/>
    <w:rsid w:val="002E2545"/>
    <w:rsid w:val="002E2A51"/>
    <w:rsid w:val="002E30F6"/>
    <w:rsid w:val="002E347A"/>
    <w:rsid w:val="002E5866"/>
    <w:rsid w:val="002E61CD"/>
    <w:rsid w:val="002E68E7"/>
    <w:rsid w:val="002E6AEA"/>
    <w:rsid w:val="002E738A"/>
    <w:rsid w:val="002E7E0E"/>
    <w:rsid w:val="002E7E40"/>
    <w:rsid w:val="002F005B"/>
    <w:rsid w:val="002F0284"/>
    <w:rsid w:val="002F048A"/>
    <w:rsid w:val="002F06E0"/>
    <w:rsid w:val="002F18D4"/>
    <w:rsid w:val="002F1A47"/>
    <w:rsid w:val="002F1F64"/>
    <w:rsid w:val="002F23B2"/>
    <w:rsid w:val="002F2C99"/>
    <w:rsid w:val="002F3B5B"/>
    <w:rsid w:val="002F3BA8"/>
    <w:rsid w:val="002F48F4"/>
    <w:rsid w:val="002F4C98"/>
    <w:rsid w:val="002F4CA4"/>
    <w:rsid w:val="002F69FB"/>
    <w:rsid w:val="002F6B2E"/>
    <w:rsid w:val="002F6C7F"/>
    <w:rsid w:val="002F740C"/>
    <w:rsid w:val="002F7E3B"/>
    <w:rsid w:val="00300578"/>
    <w:rsid w:val="00301952"/>
    <w:rsid w:val="00302193"/>
    <w:rsid w:val="003024B2"/>
    <w:rsid w:val="00302D60"/>
    <w:rsid w:val="0030382A"/>
    <w:rsid w:val="00303989"/>
    <w:rsid w:val="00303F44"/>
    <w:rsid w:val="00304067"/>
    <w:rsid w:val="00304B0C"/>
    <w:rsid w:val="00304FD1"/>
    <w:rsid w:val="00305216"/>
    <w:rsid w:val="003065B2"/>
    <w:rsid w:val="00306A19"/>
    <w:rsid w:val="003073D6"/>
    <w:rsid w:val="003079F9"/>
    <w:rsid w:val="00310583"/>
    <w:rsid w:val="0031135D"/>
    <w:rsid w:val="00311497"/>
    <w:rsid w:val="00311E00"/>
    <w:rsid w:val="00312516"/>
    <w:rsid w:val="003135CC"/>
    <w:rsid w:val="00313B15"/>
    <w:rsid w:val="00313E09"/>
    <w:rsid w:val="00313E8E"/>
    <w:rsid w:val="003157BE"/>
    <w:rsid w:val="00315F29"/>
    <w:rsid w:val="00316FAA"/>
    <w:rsid w:val="003173DE"/>
    <w:rsid w:val="00317CE0"/>
    <w:rsid w:val="00317D04"/>
    <w:rsid w:val="003209E5"/>
    <w:rsid w:val="00321220"/>
    <w:rsid w:val="00321B44"/>
    <w:rsid w:val="00322BB1"/>
    <w:rsid w:val="00322E09"/>
    <w:rsid w:val="00322E6F"/>
    <w:rsid w:val="0032548F"/>
    <w:rsid w:val="00325E0E"/>
    <w:rsid w:val="00326844"/>
    <w:rsid w:val="00326B11"/>
    <w:rsid w:val="00327E89"/>
    <w:rsid w:val="00331CC4"/>
    <w:rsid w:val="003321C6"/>
    <w:rsid w:val="00332D36"/>
    <w:rsid w:val="00334203"/>
    <w:rsid w:val="00334230"/>
    <w:rsid w:val="003344D3"/>
    <w:rsid w:val="00335E8C"/>
    <w:rsid w:val="0033689B"/>
    <w:rsid w:val="00336CB8"/>
    <w:rsid w:val="00336F38"/>
    <w:rsid w:val="0033788A"/>
    <w:rsid w:val="00337FE7"/>
    <w:rsid w:val="00340754"/>
    <w:rsid w:val="00340BBB"/>
    <w:rsid w:val="00340E4C"/>
    <w:rsid w:val="00341027"/>
    <w:rsid w:val="0034209D"/>
    <w:rsid w:val="00342F69"/>
    <w:rsid w:val="0034389E"/>
    <w:rsid w:val="00344063"/>
    <w:rsid w:val="00344B51"/>
    <w:rsid w:val="00344D37"/>
    <w:rsid w:val="00345247"/>
    <w:rsid w:val="003454E6"/>
    <w:rsid w:val="0034578A"/>
    <w:rsid w:val="00345ED7"/>
    <w:rsid w:val="003478F7"/>
    <w:rsid w:val="00347B7F"/>
    <w:rsid w:val="00351434"/>
    <w:rsid w:val="003514EF"/>
    <w:rsid w:val="00351A9C"/>
    <w:rsid w:val="00353815"/>
    <w:rsid w:val="0035568F"/>
    <w:rsid w:val="0035576A"/>
    <w:rsid w:val="00356933"/>
    <w:rsid w:val="003575FF"/>
    <w:rsid w:val="00361359"/>
    <w:rsid w:val="00361543"/>
    <w:rsid w:val="00361A35"/>
    <w:rsid w:val="00361AC2"/>
    <w:rsid w:val="00361E33"/>
    <w:rsid w:val="003623C9"/>
    <w:rsid w:val="00363D68"/>
    <w:rsid w:val="0036481D"/>
    <w:rsid w:val="0036513E"/>
    <w:rsid w:val="003659C7"/>
    <w:rsid w:val="00371372"/>
    <w:rsid w:val="003713CF"/>
    <w:rsid w:val="00371C5F"/>
    <w:rsid w:val="00371FE9"/>
    <w:rsid w:val="003722F5"/>
    <w:rsid w:val="00372CCE"/>
    <w:rsid w:val="0037437D"/>
    <w:rsid w:val="00374A86"/>
    <w:rsid w:val="00374C12"/>
    <w:rsid w:val="00374E18"/>
    <w:rsid w:val="003757B3"/>
    <w:rsid w:val="00375C17"/>
    <w:rsid w:val="00375C4C"/>
    <w:rsid w:val="00376F27"/>
    <w:rsid w:val="003776AB"/>
    <w:rsid w:val="00377CF8"/>
    <w:rsid w:val="003803CE"/>
    <w:rsid w:val="00380465"/>
    <w:rsid w:val="00380885"/>
    <w:rsid w:val="00380B1D"/>
    <w:rsid w:val="00380F90"/>
    <w:rsid w:val="00381350"/>
    <w:rsid w:val="0038173D"/>
    <w:rsid w:val="00381F0F"/>
    <w:rsid w:val="00382482"/>
    <w:rsid w:val="00384176"/>
    <w:rsid w:val="00384A62"/>
    <w:rsid w:val="00387B30"/>
    <w:rsid w:val="00390924"/>
    <w:rsid w:val="00390B99"/>
    <w:rsid w:val="00391B6E"/>
    <w:rsid w:val="00391D3F"/>
    <w:rsid w:val="00392748"/>
    <w:rsid w:val="0039288D"/>
    <w:rsid w:val="00393440"/>
    <w:rsid w:val="00393692"/>
    <w:rsid w:val="00393698"/>
    <w:rsid w:val="003938C1"/>
    <w:rsid w:val="00393D61"/>
    <w:rsid w:val="003942C0"/>
    <w:rsid w:val="00394754"/>
    <w:rsid w:val="0039486A"/>
    <w:rsid w:val="0039542C"/>
    <w:rsid w:val="0039677C"/>
    <w:rsid w:val="00396C92"/>
    <w:rsid w:val="003974B7"/>
    <w:rsid w:val="003A0E51"/>
    <w:rsid w:val="003A1D83"/>
    <w:rsid w:val="003A3118"/>
    <w:rsid w:val="003A3139"/>
    <w:rsid w:val="003A41D9"/>
    <w:rsid w:val="003A4BB6"/>
    <w:rsid w:val="003A4E91"/>
    <w:rsid w:val="003A537A"/>
    <w:rsid w:val="003A53F1"/>
    <w:rsid w:val="003A69BA"/>
    <w:rsid w:val="003A6E83"/>
    <w:rsid w:val="003A724B"/>
    <w:rsid w:val="003B000B"/>
    <w:rsid w:val="003B0284"/>
    <w:rsid w:val="003B0981"/>
    <w:rsid w:val="003B3685"/>
    <w:rsid w:val="003B3EED"/>
    <w:rsid w:val="003B44C3"/>
    <w:rsid w:val="003B5EA9"/>
    <w:rsid w:val="003B65F2"/>
    <w:rsid w:val="003B6F84"/>
    <w:rsid w:val="003B7075"/>
    <w:rsid w:val="003B708B"/>
    <w:rsid w:val="003C0037"/>
    <w:rsid w:val="003C0180"/>
    <w:rsid w:val="003C08C2"/>
    <w:rsid w:val="003C0DEB"/>
    <w:rsid w:val="003C18F7"/>
    <w:rsid w:val="003C2C17"/>
    <w:rsid w:val="003C406C"/>
    <w:rsid w:val="003C55D3"/>
    <w:rsid w:val="003C623F"/>
    <w:rsid w:val="003C62D7"/>
    <w:rsid w:val="003C6475"/>
    <w:rsid w:val="003C658B"/>
    <w:rsid w:val="003D0AFF"/>
    <w:rsid w:val="003D1144"/>
    <w:rsid w:val="003D176E"/>
    <w:rsid w:val="003D1A65"/>
    <w:rsid w:val="003D1FD9"/>
    <w:rsid w:val="003D28F1"/>
    <w:rsid w:val="003D2A62"/>
    <w:rsid w:val="003D384C"/>
    <w:rsid w:val="003D3C0C"/>
    <w:rsid w:val="003D562D"/>
    <w:rsid w:val="003D5B8B"/>
    <w:rsid w:val="003D67AE"/>
    <w:rsid w:val="003E0F86"/>
    <w:rsid w:val="003E1EB1"/>
    <w:rsid w:val="003E2268"/>
    <w:rsid w:val="003E248A"/>
    <w:rsid w:val="003E25C9"/>
    <w:rsid w:val="003E2723"/>
    <w:rsid w:val="003E2A2C"/>
    <w:rsid w:val="003E54A2"/>
    <w:rsid w:val="003E6167"/>
    <w:rsid w:val="003E64FE"/>
    <w:rsid w:val="003E686E"/>
    <w:rsid w:val="003E70D1"/>
    <w:rsid w:val="003F002B"/>
    <w:rsid w:val="003F029D"/>
    <w:rsid w:val="003F0869"/>
    <w:rsid w:val="003F0967"/>
    <w:rsid w:val="003F1DA7"/>
    <w:rsid w:val="003F1F85"/>
    <w:rsid w:val="003F231B"/>
    <w:rsid w:val="003F2B2C"/>
    <w:rsid w:val="003F2D89"/>
    <w:rsid w:val="003F3764"/>
    <w:rsid w:val="003F51CE"/>
    <w:rsid w:val="003F6F07"/>
    <w:rsid w:val="003F707D"/>
    <w:rsid w:val="003F742E"/>
    <w:rsid w:val="00400C50"/>
    <w:rsid w:val="00401128"/>
    <w:rsid w:val="00401F33"/>
    <w:rsid w:val="004029CF"/>
    <w:rsid w:val="00402A2A"/>
    <w:rsid w:val="00402CC4"/>
    <w:rsid w:val="00403F9B"/>
    <w:rsid w:val="004049FD"/>
    <w:rsid w:val="00406058"/>
    <w:rsid w:val="00406443"/>
    <w:rsid w:val="00407ECB"/>
    <w:rsid w:val="00410452"/>
    <w:rsid w:val="0041066F"/>
    <w:rsid w:val="00410C3C"/>
    <w:rsid w:val="0041191C"/>
    <w:rsid w:val="004124D0"/>
    <w:rsid w:val="00413FEB"/>
    <w:rsid w:val="00414A4E"/>
    <w:rsid w:val="0041576D"/>
    <w:rsid w:val="00416BBC"/>
    <w:rsid w:val="004200C5"/>
    <w:rsid w:val="0042022B"/>
    <w:rsid w:val="00422424"/>
    <w:rsid w:val="00422789"/>
    <w:rsid w:val="00422B3D"/>
    <w:rsid w:val="00422C77"/>
    <w:rsid w:val="00422E12"/>
    <w:rsid w:val="004236BC"/>
    <w:rsid w:val="00424240"/>
    <w:rsid w:val="0042429B"/>
    <w:rsid w:val="004247FF"/>
    <w:rsid w:val="0042502E"/>
    <w:rsid w:val="00425246"/>
    <w:rsid w:val="0042598A"/>
    <w:rsid w:val="00426C24"/>
    <w:rsid w:val="00426F96"/>
    <w:rsid w:val="0043037A"/>
    <w:rsid w:val="0043088C"/>
    <w:rsid w:val="00431606"/>
    <w:rsid w:val="00433A63"/>
    <w:rsid w:val="00433ABC"/>
    <w:rsid w:val="00434866"/>
    <w:rsid w:val="00434B71"/>
    <w:rsid w:val="0043628D"/>
    <w:rsid w:val="00437206"/>
    <w:rsid w:val="00437654"/>
    <w:rsid w:val="00437758"/>
    <w:rsid w:val="00441771"/>
    <w:rsid w:val="00442C44"/>
    <w:rsid w:val="004437A6"/>
    <w:rsid w:val="00444021"/>
    <w:rsid w:val="004444CB"/>
    <w:rsid w:val="00445FA7"/>
    <w:rsid w:val="0044777E"/>
    <w:rsid w:val="00452046"/>
    <w:rsid w:val="00452BE3"/>
    <w:rsid w:val="00452F83"/>
    <w:rsid w:val="00455891"/>
    <w:rsid w:val="00455FBC"/>
    <w:rsid w:val="00456844"/>
    <w:rsid w:val="00456D9F"/>
    <w:rsid w:val="00456FE5"/>
    <w:rsid w:val="00457227"/>
    <w:rsid w:val="00457E68"/>
    <w:rsid w:val="004600B6"/>
    <w:rsid w:val="0046022B"/>
    <w:rsid w:val="004611BD"/>
    <w:rsid w:val="0046550B"/>
    <w:rsid w:val="00466B54"/>
    <w:rsid w:val="00467A4F"/>
    <w:rsid w:val="00467AAF"/>
    <w:rsid w:val="00470DD0"/>
    <w:rsid w:val="004721C6"/>
    <w:rsid w:val="004735C4"/>
    <w:rsid w:val="00473E27"/>
    <w:rsid w:val="00474E96"/>
    <w:rsid w:val="0047554C"/>
    <w:rsid w:val="0047572C"/>
    <w:rsid w:val="00477284"/>
    <w:rsid w:val="00477285"/>
    <w:rsid w:val="00477387"/>
    <w:rsid w:val="00477DD4"/>
    <w:rsid w:val="00477EB3"/>
    <w:rsid w:val="004808B6"/>
    <w:rsid w:val="00480C87"/>
    <w:rsid w:val="004842CD"/>
    <w:rsid w:val="0048623A"/>
    <w:rsid w:val="0048629E"/>
    <w:rsid w:val="00486B80"/>
    <w:rsid w:val="00490279"/>
    <w:rsid w:val="00491A6B"/>
    <w:rsid w:val="004921B7"/>
    <w:rsid w:val="0049248D"/>
    <w:rsid w:val="00492671"/>
    <w:rsid w:val="0049360F"/>
    <w:rsid w:val="00494A94"/>
    <w:rsid w:val="00496325"/>
    <w:rsid w:val="0049695A"/>
    <w:rsid w:val="00496E33"/>
    <w:rsid w:val="00496F0F"/>
    <w:rsid w:val="004970EF"/>
    <w:rsid w:val="004A12A7"/>
    <w:rsid w:val="004A18EF"/>
    <w:rsid w:val="004A254D"/>
    <w:rsid w:val="004A26C7"/>
    <w:rsid w:val="004A3474"/>
    <w:rsid w:val="004A35D2"/>
    <w:rsid w:val="004A3B2A"/>
    <w:rsid w:val="004A4621"/>
    <w:rsid w:val="004A49A7"/>
    <w:rsid w:val="004A5814"/>
    <w:rsid w:val="004A59A6"/>
    <w:rsid w:val="004A5E46"/>
    <w:rsid w:val="004A6A5D"/>
    <w:rsid w:val="004A7ADA"/>
    <w:rsid w:val="004B0FA4"/>
    <w:rsid w:val="004B14BD"/>
    <w:rsid w:val="004B29AE"/>
    <w:rsid w:val="004B3EC9"/>
    <w:rsid w:val="004B4826"/>
    <w:rsid w:val="004B4CA6"/>
    <w:rsid w:val="004B5F20"/>
    <w:rsid w:val="004B625F"/>
    <w:rsid w:val="004B6DC7"/>
    <w:rsid w:val="004B6F89"/>
    <w:rsid w:val="004B7146"/>
    <w:rsid w:val="004B76F2"/>
    <w:rsid w:val="004C005B"/>
    <w:rsid w:val="004C0DB2"/>
    <w:rsid w:val="004C1020"/>
    <w:rsid w:val="004C28B7"/>
    <w:rsid w:val="004C4003"/>
    <w:rsid w:val="004C4CF5"/>
    <w:rsid w:val="004C5547"/>
    <w:rsid w:val="004C5B4E"/>
    <w:rsid w:val="004C6D7A"/>
    <w:rsid w:val="004D159F"/>
    <w:rsid w:val="004D1F61"/>
    <w:rsid w:val="004D2800"/>
    <w:rsid w:val="004D2841"/>
    <w:rsid w:val="004D3AF0"/>
    <w:rsid w:val="004D480F"/>
    <w:rsid w:val="004D53AB"/>
    <w:rsid w:val="004D6298"/>
    <w:rsid w:val="004D6EEF"/>
    <w:rsid w:val="004D74F9"/>
    <w:rsid w:val="004D7F16"/>
    <w:rsid w:val="004D7F96"/>
    <w:rsid w:val="004E103E"/>
    <w:rsid w:val="004E173E"/>
    <w:rsid w:val="004E2234"/>
    <w:rsid w:val="004E298A"/>
    <w:rsid w:val="004E3B0D"/>
    <w:rsid w:val="004E3C93"/>
    <w:rsid w:val="004E4BF3"/>
    <w:rsid w:val="004E54F0"/>
    <w:rsid w:val="004E5723"/>
    <w:rsid w:val="004E5C98"/>
    <w:rsid w:val="004E6152"/>
    <w:rsid w:val="004E62DC"/>
    <w:rsid w:val="004E7392"/>
    <w:rsid w:val="004E7B04"/>
    <w:rsid w:val="004F2708"/>
    <w:rsid w:val="004F316D"/>
    <w:rsid w:val="004F32EC"/>
    <w:rsid w:val="004F3B62"/>
    <w:rsid w:val="004F4195"/>
    <w:rsid w:val="004F4341"/>
    <w:rsid w:val="004F4971"/>
    <w:rsid w:val="004F4DCA"/>
    <w:rsid w:val="004F5C9E"/>
    <w:rsid w:val="004F608B"/>
    <w:rsid w:val="004F63E5"/>
    <w:rsid w:val="004F69E9"/>
    <w:rsid w:val="004F76F5"/>
    <w:rsid w:val="00500ED0"/>
    <w:rsid w:val="00501F86"/>
    <w:rsid w:val="00502B86"/>
    <w:rsid w:val="00503B16"/>
    <w:rsid w:val="0050480B"/>
    <w:rsid w:val="00504CBE"/>
    <w:rsid w:val="00505BB4"/>
    <w:rsid w:val="00506F59"/>
    <w:rsid w:val="00507996"/>
    <w:rsid w:val="00510DEC"/>
    <w:rsid w:val="00511659"/>
    <w:rsid w:val="00511951"/>
    <w:rsid w:val="00512B40"/>
    <w:rsid w:val="00512E42"/>
    <w:rsid w:val="005138B8"/>
    <w:rsid w:val="00513C5F"/>
    <w:rsid w:val="005144B7"/>
    <w:rsid w:val="005153D6"/>
    <w:rsid w:val="00515B1A"/>
    <w:rsid w:val="00515C5E"/>
    <w:rsid w:val="0051642E"/>
    <w:rsid w:val="00516447"/>
    <w:rsid w:val="005166E4"/>
    <w:rsid w:val="0051701B"/>
    <w:rsid w:val="0051709F"/>
    <w:rsid w:val="0051775D"/>
    <w:rsid w:val="00517E2E"/>
    <w:rsid w:val="00517E4C"/>
    <w:rsid w:val="00520079"/>
    <w:rsid w:val="00520E7B"/>
    <w:rsid w:val="005211E0"/>
    <w:rsid w:val="0052143A"/>
    <w:rsid w:val="00522997"/>
    <w:rsid w:val="00523104"/>
    <w:rsid w:val="00523140"/>
    <w:rsid w:val="00523454"/>
    <w:rsid w:val="0052391B"/>
    <w:rsid w:val="005247A2"/>
    <w:rsid w:val="00524CAF"/>
    <w:rsid w:val="00524D63"/>
    <w:rsid w:val="00525055"/>
    <w:rsid w:val="005259E4"/>
    <w:rsid w:val="00526B45"/>
    <w:rsid w:val="005273CD"/>
    <w:rsid w:val="00527C2C"/>
    <w:rsid w:val="00530429"/>
    <w:rsid w:val="005310AE"/>
    <w:rsid w:val="00531F0D"/>
    <w:rsid w:val="0053273B"/>
    <w:rsid w:val="005328FF"/>
    <w:rsid w:val="00532FBB"/>
    <w:rsid w:val="0053403F"/>
    <w:rsid w:val="00534711"/>
    <w:rsid w:val="00535B92"/>
    <w:rsid w:val="00537F87"/>
    <w:rsid w:val="005412BD"/>
    <w:rsid w:val="005415A7"/>
    <w:rsid w:val="00541B96"/>
    <w:rsid w:val="00542691"/>
    <w:rsid w:val="005435B2"/>
    <w:rsid w:val="00544318"/>
    <w:rsid w:val="00544A95"/>
    <w:rsid w:val="00545E7B"/>
    <w:rsid w:val="00546929"/>
    <w:rsid w:val="005477F4"/>
    <w:rsid w:val="0055039F"/>
    <w:rsid w:val="005503E4"/>
    <w:rsid w:val="00550E14"/>
    <w:rsid w:val="005524F4"/>
    <w:rsid w:val="00552A02"/>
    <w:rsid w:val="0055359D"/>
    <w:rsid w:val="00554758"/>
    <w:rsid w:val="00556A63"/>
    <w:rsid w:val="00556F65"/>
    <w:rsid w:val="005570AB"/>
    <w:rsid w:val="0056088F"/>
    <w:rsid w:val="00560964"/>
    <w:rsid w:val="00560C9E"/>
    <w:rsid w:val="00560E3D"/>
    <w:rsid w:val="005614D0"/>
    <w:rsid w:val="0056247D"/>
    <w:rsid w:val="005652D4"/>
    <w:rsid w:val="0056570B"/>
    <w:rsid w:val="00565D81"/>
    <w:rsid w:val="00566076"/>
    <w:rsid w:val="005663DE"/>
    <w:rsid w:val="005671B8"/>
    <w:rsid w:val="00567437"/>
    <w:rsid w:val="00570968"/>
    <w:rsid w:val="00570F86"/>
    <w:rsid w:val="00571ABF"/>
    <w:rsid w:val="00572283"/>
    <w:rsid w:val="0057275D"/>
    <w:rsid w:val="00572D23"/>
    <w:rsid w:val="00572F08"/>
    <w:rsid w:val="005732A2"/>
    <w:rsid w:val="005733D2"/>
    <w:rsid w:val="0057463B"/>
    <w:rsid w:val="00574772"/>
    <w:rsid w:val="00574A17"/>
    <w:rsid w:val="005760FE"/>
    <w:rsid w:val="005763A7"/>
    <w:rsid w:val="005766B2"/>
    <w:rsid w:val="00577661"/>
    <w:rsid w:val="005778A1"/>
    <w:rsid w:val="00577979"/>
    <w:rsid w:val="00577A5C"/>
    <w:rsid w:val="0058268E"/>
    <w:rsid w:val="00582D29"/>
    <w:rsid w:val="00583577"/>
    <w:rsid w:val="00583870"/>
    <w:rsid w:val="00583BC0"/>
    <w:rsid w:val="00583BC8"/>
    <w:rsid w:val="00583FA5"/>
    <w:rsid w:val="005842F1"/>
    <w:rsid w:val="005870D1"/>
    <w:rsid w:val="00587257"/>
    <w:rsid w:val="005879C3"/>
    <w:rsid w:val="0059211F"/>
    <w:rsid w:val="0059242D"/>
    <w:rsid w:val="00592466"/>
    <w:rsid w:val="00592951"/>
    <w:rsid w:val="00593853"/>
    <w:rsid w:val="00593DD5"/>
    <w:rsid w:val="005952BF"/>
    <w:rsid w:val="005963FC"/>
    <w:rsid w:val="00596715"/>
    <w:rsid w:val="005978B3"/>
    <w:rsid w:val="00597D35"/>
    <w:rsid w:val="00597EF2"/>
    <w:rsid w:val="005A14FE"/>
    <w:rsid w:val="005A1944"/>
    <w:rsid w:val="005A19EA"/>
    <w:rsid w:val="005A2ADA"/>
    <w:rsid w:val="005A51E8"/>
    <w:rsid w:val="005A61D1"/>
    <w:rsid w:val="005A62A1"/>
    <w:rsid w:val="005A68BF"/>
    <w:rsid w:val="005A695A"/>
    <w:rsid w:val="005A71EA"/>
    <w:rsid w:val="005B1916"/>
    <w:rsid w:val="005B20B6"/>
    <w:rsid w:val="005B299D"/>
    <w:rsid w:val="005B2B8A"/>
    <w:rsid w:val="005B2BFA"/>
    <w:rsid w:val="005B32E3"/>
    <w:rsid w:val="005B3C43"/>
    <w:rsid w:val="005B3CD0"/>
    <w:rsid w:val="005B4129"/>
    <w:rsid w:val="005B53F0"/>
    <w:rsid w:val="005B545C"/>
    <w:rsid w:val="005B582C"/>
    <w:rsid w:val="005B5C16"/>
    <w:rsid w:val="005B6C58"/>
    <w:rsid w:val="005B70EF"/>
    <w:rsid w:val="005B7F4D"/>
    <w:rsid w:val="005C0311"/>
    <w:rsid w:val="005C091A"/>
    <w:rsid w:val="005C0E57"/>
    <w:rsid w:val="005C1780"/>
    <w:rsid w:val="005C2B23"/>
    <w:rsid w:val="005C2DFD"/>
    <w:rsid w:val="005C387E"/>
    <w:rsid w:val="005C3F0D"/>
    <w:rsid w:val="005C45D9"/>
    <w:rsid w:val="005C4DE5"/>
    <w:rsid w:val="005C561A"/>
    <w:rsid w:val="005C6552"/>
    <w:rsid w:val="005C6D76"/>
    <w:rsid w:val="005C6E88"/>
    <w:rsid w:val="005D0341"/>
    <w:rsid w:val="005D0AF6"/>
    <w:rsid w:val="005D1B28"/>
    <w:rsid w:val="005D2323"/>
    <w:rsid w:val="005D3D52"/>
    <w:rsid w:val="005D4956"/>
    <w:rsid w:val="005D4D3F"/>
    <w:rsid w:val="005D4E41"/>
    <w:rsid w:val="005D5A5E"/>
    <w:rsid w:val="005D6A85"/>
    <w:rsid w:val="005D6C31"/>
    <w:rsid w:val="005D7D01"/>
    <w:rsid w:val="005E0831"/>
    <w:rsid w:val="005E0941"/>
    <w:rsid w:val="005E14D5"/>
    <w:rsid w:val="005E18F8"/>
    <w:rsid w:val="005E196C"/>
    <w:rsid w:val="005E238C"/>
    <w:rsid w:val="005E345F"/>
    <w:rsid w:val="005E3965"/>
    <w:rsid w:val="005E3DB6"/>
    <w:rsid w:val="005E4692"/>
    <w:rsid w:val="005E6284"/>
    <w:rsid w:val="005E707B"/>
    <w:rsid w:val="005E739B"/>
    <w:rsid w:val="005E74A4"/>
    <w:rsid w:val="005E74D8"/>
    <w:rsid w:val="005F25D4"/>
    <w:rsid w:val="005F27D7"/>
    <w:rsid w:val="005F330C"/>
    <w:rsid w:val="005F39F5"/>
    <w:rsid w:val="005F45DD"/>
    <w:rsid w:val="005F46CA"/>
    <w:rsid w:val="005F50B4"/>
    <w:rsid w:val="005F716E"/>
    <w:rsid w:val="0060139B"/>
    <w:rsid w:val="00601D0F"/>
    <w:rsid w:val="00602491"/>
    <w:rsid w:val="00602BF7"/>
    <w:rsid w:val="00603FB8"/>
    <w:rsid w:val="00604649"/>
    <w:rsid w:val="00605D4F"/>
    <w:rsid w:val="006076B9"/>
    <w:rsid w:val="006079F4"/>
    <w:rsid w:val="006106A7"/>
    <w:rsid w:val="0061084D"/>
    <w:rsid w:val="00610D52"/>
    <w:rsid w:val="00611C30"/>
    <w:rsid w:val="00612E7C"/>
    <w:rsid w:val="00613724"/>
    <w:rsid w:val="0061391F"/>
    <w:rsid w:val="00615418"/>
    <w:rsid w:val="00616578"/>
    <w:rsid w:val="006203F1"/>
    <w:rsid w:val="006209AA"/>
    <w:rsid w:val="00620EF9"/>
    <w:rsid w:val="00621379"/>
    <w:rsid w:val="0062221C"/>
    <w:rsid w:val="006239F3"/>
    <w:rsid w:val="00623F93"/>
    <w:rsid w:val="006258AB"/>
    <w:rsid w:val="00626CB9"/>
    <w:rsid w:val="00626D8F"/>
    <w:rsid w:val="00626EDF"/>
    <w:rsid w:val="0062767E"/>
    <w:rsid w:val="00627BEB"/>
    <w:rsid w:val="00630F40"/>
    <w:rsid w:val="0063120C"/>
    <w:rsid w:val="00631952"/>
    <w:rsid w:val="00632E89"/>
    <w:rsid w:val="006347F0"/>
    <w:rsid w:val="0063482A"/>
    <w:rsid w:val="0063529B"/>
    <w:rsid w:val="0063568F"/>
    <w:rsid w:val="0064114C"/>
    <w:rsid w:val="006411DA"/>
    <w:rsid w:val="00642C07"/>
    <w:rsid w:val="00642E70"/>
    <w:rsid w:val="006434C8"/>
    <w:rsid w:val="00643A9F"/>
    <w:rsid w:val="00643D77"/>
    <w:rsid w:val="00644C83"/>
    <w:rsid w:val="006454B3"/>
    <w:rsid w:val="00645A1D"/>
    <w:rsid w:val="00646368"/>
    <w:rsid w:val="006469BE"/>
    <w:rsid w:val="00650668"/>
    <w:rsid w:val="00650AB6"/>
    <w:rsid w:val="00650D12"/>
    <w:rsid w:val="006511FD"/>
    <w:rsid w:val="00651F46"/>
    <w:rsid w:val="006533C1"/>
    <w:rsid w:val="00653D5B"/>
    <w:rsid w:val="0065420B"/>
    <w:rsid w:val="006546F3"/>
    <w:rsid w:val="00655271"/>
    <w:rsid w:val="006607B8"/>
    <w:rsid w:val="00660962"/>
    <w:rsid w:val="00662B67"/>
    <w:rsid w:val="006635F3"/>
    <w:rsid w:val="00663935"/>
    <w:rsid w:val="00663A7D"/>
    <w:rsid w:val="00663FD5"/>
    <w:rsid w:val="00664902"/>
    <w:rsid w:val="00665636"/>
    <w:rsid w:val="00665C4F"/>
    <w:rsid w:val="0066630A"/>
    <w:rsid w:val="00666BD8"/>
    <w:rsid w:val="006677A7"/>
    <w:rsid w:val="00667E47"/>
    <w:rsid w:val="0067068E"/>
    <w:rsid w:val="0067232A"/>
    <w:rsid w:val="00672722"/>
    <w:rsid w:val="00672B0E"/>
    <w:rsid w:val="00674837"/>
    <w:rsid w:val="00676516"/>
    <w:rsid w:val="00676CEA"/>
    <w:rsid w:val="006802B1"/>
    <w:rsid w:val="006806A9"/>
    <w:rsid w:val="006809A9"/>
    <w:rsid w:val="006814B3"/>
    <w:rsid w:val="006819C7"/>
    <w:rsid w:val="006828E5"/>
    <w:rsid w:val="00683321"/>
    <w:rsid w:val="00683D96"/>
    <w:rsid w:val="00684EA2"/>
    <w:rsid w:val="00686161"/>
    <w:rsid w:val="00686D2D"/>
    <w:rsid w:val="006870DC"/>
    <w:rsid w:val="0069096D"/>
    <w:rsid w:val="00691231"/>
    <w:rsid w:val="00691E23"/>
    <w:rsid w:val="00691FEA"/>
    <w:rsid w:val="00692D85"/>
    <w:rsid w:val="006958AB"/>
    <w:rsid w:val="00696604"/>
    <w:rsid w:val="006A1747"/>
    <w:rsid w:val="006A1DE8"/>
    <w:rsid w:val="006A3170"/>
    <w:rsid w:val="006A3B85"/>
    <w:rsid w:val="006A429C"/>
    <w:rsid w:val="006A5042"/>
    <w:rsid w:val="006A552C"/>
    <w:rsid w:val="006A583A"/>
    <w:rsid w:val="006A73A9"/>
    <w:rsid w:val="006A772E"/>
    <w:rsid w:val="006A7809"/>
    <w:rsid w:val="006A7C20"/>
    <w:rsid w:val="006B0362"/>
    <w:rsid w:val="006B17DA"/>
    <w:rsid w:val="006B22DD"/>
    <w:rsid w:val="006B3320"/>
    <w:rsid w:val="006B3BD3"/>
    <w:rsid w:val="006B41B4"/>
    <w:rsid w:val="006B65EF"/>
    <w:rsid w:val="006C0BA4"/>
    <w:rsid w:val="006C121E"/>
    <w:rsid w:val="006C1A8A"/>
    <w:rsid w:val="006C270B"/>
    <w:rsid w:val="006C28F1"/>
    <w:rsid w:val="006C2FF0"/>
    <w:rsid w:val="006C311A"/>
    <w:rsid w:val="006C36C5"/>
    <w:rsid w:val="006C40EE"/>
    <w:rsid w:val="006C49BA"/>
    <w:rsid w:val="006C4B5C"/>
    <w:rsid w:val="006C527A"/>
    <w:rsid w:val="006C72B6"/>
    <w:rsid w:val="006C7B2A"/>
    <w:rsid w:val="006C7CE6"/>
    <w:rsid w:val="006D092F"/>
    <w:rsid w:val="006D0C12"/>
    <w:rsid w:val="006D1349"/>
    <w:rsid w:val="006D304D"/>
    <w:rsid w:val="006D37D2"/>
    <w:rsid w:val="006D3C92"/>
    <w:rsid w:val="006D5013"/>
    <w:rsid w:val="006D5AC1"/>
    <w:rsid w:val="006D5CEC"/>
    <w:rsid w:val="006D6C29"/>
    <w:rsid w:val="006D6C93"/>
    <w:rsid w:val="006D7012"/>
    <w:rsid w:val="006D73C2"/>
    <w:rsid w:val="006D7B8C"/>
    <w:rsid w:val="006D7DFC"/>
    <w:rsid w:val="006E016C"/>
    <w:rsid w:val="006E04DD"/>
    <w:rsid w:val="006E0F1D"/>
    <w:rsid w:val="006E2CD5"/>
    <w:rsid w:val="006E34D7"/>
    <w:rsid w:val="006E3879"/>
    <w:rsid w:val="006E3A64"/>
    <w:rsid w:val="006E48E3"/>
    <w:rsid w:val="006E516B"/>
    <w:rsid w:val="006E54DE"/>
    <w:rsid w:val="006E5755"/>
    <w:rsid w:val="006E5E13"/>
    <w:rsid w:val="006E66D0"/>
    <w:rsid w:val="006E69EF"/>
    <w:rsid w:val="006E6A15"/>
    <w:rsid w:val="006E6D64"/>
    <w:rsid w:val="006E769F"/>
    <w:rsid w:val="006F0685"/>
    <w:rsid w:val="006F0A18"/>
    <w:rsid w:val="006F160F"/>
    <w:rsid w:val="006F1A75"/>
    <w:rsid w:val="006F2C8A"/>
    <w:rsid w:val="006F2F0C"/>
    <w:rsid w:val="006F2F17"/>
    <w:rsid w:val="006F4871"/>
    <w:rsid w:val="006F527A"/>
    <w:rsid w:val="006F76A3"/>
    <w:rsid w:val="006F7E3D"/>
    <w:rsid w:val="007007B3"/>
    <w:rsid w:val="00700A1A"/>
    <w:rsid w:val="00700F4E"/>
    <w:rsid w:val="00700FB4"/>
    <w:rsid w:val="0070311E"/>
    <w:rsid w:val="0070385A"/>
    <w:rsid w:val="00703CB5"/>
    <w:rsid w:val="007048FC"/>
    <w:rsid w:val="007061D2"/>
    <w:rsid w:val="00707475"/>
    <w:rsid w:val="007077BD"/>
    <w:rsid w:val="0070786E"/>
    <w:rsid w:val="00707A75"/>
    <w:rsid w:val="0071006B"/>
    <w:rsid w:val="00710359"/>
    <w:rsid w:val="00710A25"/>
    <w:rsid w:val="00710C6D"/>
    <w:rsid w:val="00711AB4"/>
    <w:rsid w:val="007121AA"/>
    <w:rsid w:val="0071294B"/>
    <w:rsid w:val="00714789"/>
    <w:rsid w:val="00715357"/>
    <w:rsid w:val="00716BB6"/>
    <w:rsid w:val="00720082"/>
    <w:rsid w:val="007200D7"/>
    <w:rsid w:val="00723B88"/>
    <w:rsid w:val="00723E94"/>
    <w:rsid w:val="00724F35"/>
    <w:rsid w:val="0072566E"/>
    <w:rsid w:val="00725E49"/>
    <w:rsid w:val="00726226"/>
    <w:rsid w:val="00727635"/>
    <w:rsid w:val="0072798F"/>
    <w:rsid w:val="00727E91"/>
    <w:rsid w:val="00731DE0"/>
    <w:rsid w:val="00732EC4"/>
    <w:rsid w:val="00733E64"/>
    <w:rsid w:val="00733FC7"/>
    <w:rsid w:val="00734C3F"/>
    <w:rsid w:val="0073531E"/>
    <w:rsid w:val="00735942"/>
    <w:rsid w:val="0073667E"/>
    <w:rsid w:val="00737F97"/>
    <w:rsid w:val="00740E57"/>
    <w:rsid w:val="00741ACB"/>
    <w:rsid w:val="00742DFB"/>
    <w:rsid w:val="007435E8"/>
    <w:rsid w:val="00743755"/>
    <w:rsid w:val="00743CEB"/>
    <w:rsid w:val="007452D7"/>
    <w:rsid w:val="00746101"/>
    <w:rsid w:val="007505DF"/>
    <w:rsid w:val="007508A1"/>
    <w:rsid w:val="007518DB"/>
    <w:rsid w:val="007519C5"/>
    <w:rsid w:val="00752B3C"/>
    <w:rsid w:val="00753F72"/>
    <w:rsid w:val="0075503D"/>
    <w:rsid w:val="0075504A"/>
    <w:rsid w:val="00755B70"/>
    <w:rsid w:val="007566A4"/>
    <w:rsid w:val="007571B9"/>
    <w:rsid w:val="00760160"/>
    <w:rsid w:val="00760E64"/>
    <w:rsid w:val="007613F6"/>
    <w:rsid w:val="00761934"/>
    <w:rsid w:val="00761A16"/>
    <w:rsid w:val="00762C16"/>
    <w:rsid w:val="007632D1"/>
    <w:rsid w:val="00763E9E"/>
    <w:rsid w:val="00764D60"/>
    <w:rsid w:val="00765B1C"/>
    <w:rsid w:val="00765CD9"/>
    <w:rsid w:val="00765E63"/>
    <w:rsid w:val="00766B19"/>
    <w:rsid w:val="0077060D"/>
    <w:rsid w:val="00770C05"/>
    <w:rsid w:val="007713B1"/>
    <w:rsid w:val="0077177C"/>
    <w:rsid w:val="00772373"/>
    <w:rsid w:val="00772637"/>
    <w:rsid w:val="00772EBE"/>
    <w:rsid w:val="00773DF0"/>
    <w:rsid w:val="00774A1B"/>
    <w:rsid w:val="00775655"/>
    <w:rsid w:val="007757D2"/>
    <w:rsid w:val="007764E3"/>
    <w:rsid w:val="007806BB"/>
    <w:rsid w:val="007810DA"/>
    <w:rsid w:val="0078122A"/>
    <w:rsid w:val="00781480"/>
    <w:rsid w:val="00782B0B"/>
    <w:rsid w:val="00784664"/>
    <w:rsid w:val="00785FF2"/>
    <w:rsid w:val="00786206"/>
    <w:rsid w:val="00786AA8"/>
    <w:rsid w:val="007873A6"/>
    <w:rsid w:val="00790BB6"/>
    <w:rsid w:val="00791220"/>
    <w:rsid w:val="00792746"/>
    <w:rsid w:val="00792D01"/>
    <w:rsid w:val="00792D7B"/>
    <w:rsid w:val="00793185"/>
    <w:rsid w:val="00793377"/>
    <w:rsid w:val="00793392"/>
    <w:rsid w:val="00794C02"/>
    <w:rsid w:val="0079644E"/>
    <w:rsid w:val="00796D7B"/>
    <w:rsid w:val="00796FFC"/>
    <w:rsid w:val="007A040E"/>
    <w:rsid w:val="007A242C"/>
    <w:rsid w:val="007A2532"/>
    <w:rsid w:val="007A2B98"/>
    <w:rsid w:val="007A2C78"/>
    <w:rsid w:val="007A2CBF"/>
    <w:rsid w:val="007A37D0"/>
    <w:rsid w:val="007A4C97"/>
    <w:rsid w:val="007A5410"/>
    <w:rsid w:val="007A5572"/>
    <w:rsid w:val="007A6903"/>
    <w:rsid w:val="007A71C5"/>
    <w:rsid w:val="007B00A6"/>
    <w:rsid w:val="007B3585"/>
    <w:rsid w:val="007B38CD"/>
    <w:rsid w:val="007B40DB"/>
    <w:rsid w:val="007B4268"/>
    <w:rsid w:val="007B5448"/>
    <w:rsid w:val="007B6109"/>
    <w:rsid w:val="007B6D9D"/>
    <w:rsid w:val="007B77B8"/>
    <w:rsid w:val="007C0714"/>
    <w:rsid w:val="007C0DED"/>
    <w:rsid w:val="007C1212"/>
    <w:rsid w:val="007C18F4"/>
    <w:rsid w:val="007C3411"/>
    <w:rsid w:val="007C3600"/>
    <w:rsid w:val="007C39D3"/>
    <w:rsid w:val="007C3E85"/>
    <w:rsid w:val="007C4768"/>
    <w:rsid w:val="007C4D26"/>
    <w:rsid w:val="007C6445"/>
    <w:rsid w:val="007C6D4F"/>
    <w:rsid w:val="007C75A7"/>
    <w:rsid w:val="007C7F65"/>
    <w:rsid w:val="007D125A"/>
    <w:rsid w:val="007D1931"/>
    <w:rsid w:val="007D2BCE"/>
    <w:rsid w:val="007D2CD4"/>
    <w:rsid w:val="007D2E6B"/>
    <w:rsid w:val="007D32AA"/>
    <w:rsid w:val="007D3F97"/>
    <w:rsid w:val="007D4112"/>
    <w:rsid w:val="007D419B"/>
    <w:rsid w:val="007D4EBE"/>
    <w:rsid w:val="007D5065"/>
    <w:rsid w:val="007D58F2"/>
    <w:rsid w:val="007D6278"/>
    <w:rsid w:val="007D6A35"/>
    <w:rsid w:val="007D6EFE"/>
    <w:rsid w:val="007D7CAD"/>
    <w:rsid w:val="007E0265"/>
    <w:rsid w:val="007E130F"/>
    <w:rsid w:val="007E2028"/>
    <w:rsid w:val="007E2DC5"/>
    <w:rsid w:val="007E394F"/>
    <w:rsid w:val="007E45DF"/>
    <w:rsid w:val="007E6F91"/>
    <w:rsid w:val="007F2724"/>
    <w:rsid w:val="007F3E11"/>
    <w:rsid w:val="007F479F"/>
    <w:rsid w:val="007F521A"/>
    <w:rsid w:val="007F6FD3"/>
    <w:rsid w:val="00801DB1"/>
    <w:rsid w:val="008024A4"/>
    <w:rsid w:val="008024AB"/>
    <w:rsid w:val="00802940"/>
    <w:rsid w:val="008036FC"/>
    <w:rsid w:val="00805534"/>
    <w:rsid w:val="00806F0C"/>
    <w:rsid w:val="00807D5D"/>
    <w:rsid w:val="00807F14"/>
    <w:rsid w:val="0081096D"/>
    <w:rsid w:val="00811D8C"/>
    <w:rsid w:val="0081202F"/>
    <w:rsid w:val="00812219"/>
    <w:rsid w:val="00813BF3"/>
    <w:rsid w:val="0081429F"/>
    <w:rsid w:val="00815E48"/>
    <w:rsid w:val="00816A65"/>
    <w:rsid w:val="008172E6"/>
    <w:rsid w:val="00817BB2"/>
    <w:rsid w:val="00820C1B"/>
    <w:rsid w:val="00821E78"/>
    <w:rsid w:val="00824E91"/>
    <w:rsid w:val="008258AE"/>
    <w:rsid w:val="00825FD8"/>
    <w:rsid w:val="00826412"/>
    <w:rsid w:val="00826C37"/>
    <w:rsid w:val="00826CE0"/>
    <w:rsid w:val="00827617"/>
    <w:rsid w:val="008300B8"/>
    <w:rsid w:val="008321D8"/>
    <w:rsid w:val="00832FF4"/>
    <w:rsid w:val="008346A0"/>
    <w:rsid w:val="008347DD"/>
    <w:rsid w:val="00835C2F"/>
    <w:rsid w:val="008364A8"/>
    <w:rsid w:val="00836507"/>
    <w:rsid w:val="00837A77"/>
    <w:rsid w:val="00840338"/>
    <w:rsid w:val="00840742"/>
    <w:rsid w:val="0084179C"/>
    <w:rsid w:val="00841B68"/>
    <w:rsid w:val="008420BE"/>
    <w:rsid w:val="00842DBD"/>
    <w:rsid w:val="0084304A"/>
    <w:rsid w:val="00843CA2"/>
    <w:rsid w:val="00843E0D"/>
    <w:rsid w:val="00845721"/>
    <w:rsid w:val="0084605F"/>
    <w:rsid w:val="00846971"/>
    <w:rsid w:val="008469C9"/>
    <w:rsid w:val="00846C27"/>
    <w:rsid w:val="00847108"/>
    <w:rsid w:val="00847C97"/>
    <w:rsid w:val="00847F63"/>
    <w:rsid w:val="00850FCE"/>
    <w:rsid w:val="00852BA4"/>
    <w:rsid w:val="00852DD4"/>
    <w:rsid w:val="00853862"/>
    <w:rsid w:val="00853C03"/>
    <w:rsid w:val="00853D18"/>
    <w:rsid w:val="00854175"/>
    <w:rsid w:val="008542B5"/>
    <w:rsid w:val="00855584"/>
    <w:rsid w:val="0085637D"/>
    <w:rsid w:val="008568BB"/>
    <w:rsid w:val="008576FF"/>
    <w:rsid w:val="00861A6F"/>
    <w:rsid w:val="00861E81"/>
    <w:rsid w:val="00863A18"/>
    <w:rsid w:val="00863CC1"/>
    <w:rsid w:val="008640A9"/>
    <w:rsid w:val="0086605E"/>
    <w:rsid w:val="008663CC"/>
    <w:rsid w:val="008664CD"/>
    <w:rsid w:val="00866D18"/>
    <w:rsid w:val="00866D6C"/>
    <w:rsid w:val="0086713F"/>
    <w:rsid w:val="00867384"/>
    <w:rsid w:val="00872528"/>
    <w:rsid w:val="00872C14"/>
    <w:rsid w:val="008730D8"/>
    <w:rsid w:val="008731EA"/>
    <w:rsid w:val="0087492C"/>
    <w:rsid w:val="008754D6"/>
    <w:rsid w:val="00875A23"/>
    <w:rsid w:val="00876138"/>
    <w:rsid w:val="00876F8D"/>
    <w:rsid w:val="00877180"/>
    <w:rsid w:val="0087761A"/>
    <w:rsid w:val="00877786"/>
    <w:rsid w:val="00877AF2"/>
    <w:rsid w:val="00880414"/>
    <w:rsid w:val="008811AD"/>
    <w:rsid w:val="00881E8B"/>
    <w:rsid w:val="008828CC"/>
    <w:rsid w:val="00882998"/>
    <w:rsid w:val="00883227"/>
    <w:rsid w:val="00883456"/>
    <w:rsid w:val="00884809"/>
    <w:rsid w:val="00884A73"/>
    <w:rsid w:val="00886ACA"/>
    <w:rsid w:val="00887C00"/>
    <w:rsid w:val="00890102"/>
    <w:rsid w:val="00891B71"/>
    <w:rsid w:val="00892884"/>
    <w:rsid w:val="00892B1E"/>
    <w:rsid w:val="00893558"/>
    <w:rsid w:val="00894361"/>
    <w:rsid w:val="0089541D"/>
    <w:rsid w:val="00895782"/>
    <w:rsid w:val="00896BF9"/>
    <w:rsid w:val="00896F85"/>
    <w:rsid w:val="008975C3"/>
    <w:rsid w:val="0089764F"/>
    <w:rsid w:val="00897F47"/>
    <w:rsid w:val="00897FFA"/>
    <w:rsid w:val="008A020E"/>
    <w:rsid w:val="008A0880"/>
    <w:rsid w:val="008A0FAD"/>
    <w:rsid w:val="008A20D9"/>
    <w:rsid w:val="008A273C"/>
    <w:rsid w:val="008A49BB"/>
    <w:rsid w:val="008A658F"/>
    <w:rsid w:val="008A6712"/>
    <w:rsid w:val="008A7251"/>
    <w:rsid w:val="008A7A4E"/>
    <w:rsid w:val="008A7DA4"/>
    <w:rsid w:val="008B1097"/>
    <w:rsid w:val="008B17FB"/>
    <w:rsid w:val="008B2309"/>
    <w:rsid w:val="008B29E1"/>
    <w:rsid w:val="008B3C07"/>
    <w:rsid w:val="008B49FD"/>
    <w:rsid w:val="008B4AB5"/>
    <w:rsid w:val="008B54D8"/>
    <w:rsid w:val="008B5B20"/>
    <w:rsid w:val="008B65EE"/>
    <w:rsid w:val="008B692B"/>
    <w:rsid w:val="008B72DD"/>
    <w:rsid w:val="008B7B63"/>
    <w:rsid w:val="008B7E07"/>
    <w:rsid w:val="008C1120"/>
    <w:rsid w:val="008C11C0"/>
    <w:rsid w:val="008C12BB"/>
    <w:rsid w:val="008C147F"/>
    <w:rsid w:val="008C1D00"/>
    <w:rsid w:val="008C2576"/>
    <w:rsid w:val="008C2C79"/>
    <w:rsid w:val="008C3303"/>
    <w:rsid w:val="008C3DE4"/>
    <w:rsid w:val="008C4500"/>
    <w:rsid w:val="008C5A97"/>
    <w:rsid w:val="008C5DFB"/>
    <w:rsid w:val="008D0392"/>
    <w:rsid w:val="008D0A89"/>
    <w:rsid w:val="008D126A"/>
    <w:rsid w:val="008D25D6"/>
    <w:rsid w:val="008D2E4A"/>
    <w:rsid w:val="008D3009"/>
    <w:rsid w:val="008D3523"/>
    <w:rsid w:val="008D4177"/>
    <w:rsid w:val="008D423C"/>
    <w:rsid w:val="008D47C7"/>
    <w:rsid w:val="008D4E2A"/>
    <w:rsid w:val="008D5199"/>
    <w:rsid w:val="008D51E1"/>
    <w:rsid w:val="008D6598"/>
    <w:rsid w:val="008D66A3"/>
    <w:rsid w:val="008D674B"/>
    <w:rsid w:val="008D6D6B"/>
    <w:rsid w:val="008E382D"/>
    <w:rsid w:val="008E3C24"/>
    <w:rsid w:val="008E4AAB"/>
    <w:rsid w:val="008E4BEC"/>
    <w:rsid w:val="008E527D"/>
    <w:rsid w:val="008E5F21"/>
    <w:rsid w:val="008E5F56"/>
    <w:rsid w:val="008E6A9A"/>
    <w:rsid w:val="008E7393"/>
    <w:rsid w:val="008E78CD"/>
    <w:rsid w:val="008E7A69"/>
    <w:rsid w:val="008F16CC"/>
    <w:rsid w:val="008F196F"/>
    <w:rsid w:val="008F2A81"/>
    <w:rsid w:val="008F4335"/>
    <w:rsid w:val="008F4DA7"/>
    <w:rsid w:val="008F5124"/>
    <w:rsid w:val="008F5AE7"/>
    <w:rsid w:val="008F5C80"/>
    <w:rsid w:val="008F6FB3"/>
    <w:rsid w:val="00900976"/>
    <w:rsid w:val="00900FB2"/>
    <w:rsid w:val="009014E2"/>
    <w:rsid w:val="00901BE0"/>
    <w:rsid w:val="00902604"/>
    <w:rsid w:val="0090299F"/>
    <w:rsid w:val="00902AF2"/>
    <w:rsid w:val="0090458E"/>
    <w:rsid w:val="009049F7"/>
    <w:rsid w:val="00904A4F"/>
    <w:rsid w:val="009054CD"/>
    <w:rsid w:val="00907B93"/>
    <w:rsid w:val="00911E83"/>
    <w:rsid w:val="009120B1"/>
    <w:rsid w:val="009120F3"/>
    <w:rsid w:val="0091224D"/>
    <w:rsid w:val="009125A5"/>
    <w:rsid w:val="009130FB"/>
    <w:rsid w:val="00913998"/>
    <w:rsid w:val="0091541B"/>
    <w:rsid w:val="00916B98"/>
    <w:rsid w:val="00917494"/>
    <w:rsid w:val="00917D68"/>
    <w:rsid w:val="00920001"/>
    <w:rsid w:val="009209FD"/>
    <w:rsid w:val="00920C22"/>
    <w:rsid w:val="0092119C"/>
    <w:rsid w:val="00921838"/>
    <w:rsid w:val="009222BA"/>
    <w:rsid w:val="009229BC"/>
    <w:rsid w:val="009237CF"/>
    <w:rsid w:val="009246D9"/>
    <w:rsid w:val="00925ECF"/>
    <w:rsid w:val="0092653C"/>
    <w:rsid w:val="00926A66"/>
    <w:rsid w:val="00927886"/>
    <w:rsid w:val="00927BA4"/>
    <w:rsid w:val="00927DF6"/>
    <w:rsid w:val="00927E85"/>
    <w:rsid w:val="00930D00"/>
    <w:rsid w:val="0093140E"/>
    <w:rsid w:val="009314BC"/>
    <w:rsid w:val="0093178E"/>
    <w:rsid w:val="00931B07"/>
    <w:rsid w:val="00931F02"/>
    <w:rsid w:val="00932065"/>
    <w:rsid w:val="00932164"/>
    <w:rsid w:val="009323B8"/>
    <w:rsid w:val="00933B86"/>
    <w:rsid w:val="0093429A"/>
    <w:rsid w:val="00935A19"/>
    <w:rsid w:val="009367F2"/>
    <w:rsid w:val="0093698C"/>
    <w:rsid w:val="00937015"/>
    <w:rsid w:val="00937512"/>
    <w:rsid w:val="00937610"/>
    <w:rsid w:val="00937DFF"/>
    <w:rsid w:val="00940072"/>
    <w:rsid w:val="00940A42"/>
    <w:rsid w:val="00940BDD"/>
    <w:rsid w:val="009418D0"/>
    <w:rsid w:val="00941B20"/>
    <w:rsid w:val="00941B91"/>
    <w:rsid w:val="00941EF4"/>
    <w:rsid w:val="0094250D"/>
    <w:rsid w:val="00942899"/>
    <w:rsid w:val="00943092"/>
    <w:rsid w:val="00943BD2"/>
    <w:rsid w:val="0094523B"/>
    <w:rsid w:val="0094570A"/>
    <w:rsid w:val="00946133"/>
    <w:rsid w:val="00946936"/>
    <w:rsid w:val="00946DAD"/>
    <w:rsid w:val="009477D8"/>
    <w:rsid w:val="009478B8"/>
    <w:rsid w:val="00951423"/>
    <w:rsid w:val="00951820"/>
    <w:rsid w:val="0095283A"/>
    <w:rsid w:val="0095287B"/>
    <w:rsid w:val="00952A42"/>
    <w:rsid w:val="0095315D"/>
    <w:rsid w:val="00953C24"/>
    <w:rsid w:val="009553DD"/>
    <w:rsid w:val="009557E6"/>
    <w:rsid w:val="00955BB9"/>
    <w:rsid w:val="00955D81"/>
    <w:rsid w:val="00956BB2"/>
    <w:rsid w:val="009579DD"/>
    <w:rsid w:val="0096203C"/>
    <w:rsid w:val="00963621"/>
    <w:rsid w:val="00963896"/>
    <w:rsid w:val="0096418C"/>
    <w:rsid w:val="0096469A"/>
    <w:rsid w:val="00964976"/>
    <w:rsid w:val="00967238"/>
    <w:rsid w:val="00967371"/>
    <w:rsid w:val="009677BA"/>
    <w:rsid w:val="00967CA7"/>
    <w:rsid w:val="009711DA"/>
    <w:rsid w:val="00971393"/>
    <w:rsid w:val="00971950"/>
    <w:rsid w:val="00971A92"/>
    <w:rsid w:val="00971B4D"/>
    <w:rsid w:val="00972452"/>
    <w:rsid w:val="0097294D"/>
    <w:rsid w:val="00973200"/>
    <w:rsid w:val="0097406E"/>
    <w:rsid w:val="009743BD"/>
    <w:rsid w:val="00974C14"/>
    <w:rsid w:val="00974C2B"/>
    <w:rsid w:val="00976C00"/>
    <w:rsid w:val="00980A46"/>
    <w:rsid w:val="00981ABE"/>
    <w:rsid w:val="00981EA5"/>
    <w:rsid w:val="00982986"/>
    <w:rsid w:val="00983D4D"/>
    <w:rsid w:val="0098432C"/>
    <w:rsid w:val="0098434C"/>
    <w:rsid w:val="00984A12"/>
    <w:rsid w:val="00984EFC"/>
    <w:rsid w:val="00985560"/>
    <w:rsid w:val="009855D9"/>
    <w:rsid w:val="009871EE"/>
    <w:rsid w:val="0099110C"/>
    <w:rsid w:val="00991330"/>
    <w:rsid w:val="009918F9"/>
    <w:rsid w:val="00991EB9"/>
    <w:rsid w:val="00992882"/>
    <w:rsid w:val="00992C1C"/>
    <w:rsid w:val="00994D98"/>
    <w:rsid w:val="0099558A"/>
    <w:rsid w:val="00996394"/>
    <w:rsid w:val="0099696C"/>
    <w:rsid w:val="00996AD0"/>
    <w:rsid w:val="00996AE4"/>
    <w:rsid w:val="009A027A"/>
    <w:rsid w:val="009A0316"/>
    <w:rsid w:val="009A03D6"/>
    <w:rsid w:val="009A12F4"/>
    <w:rsid w:val="009A3A11"/>
    <w:rsid w:val="009A7642"/>
    <w:rsid w:val="009B0404"/>
    <w:rsid w:val="009B0A5C"/>
    <w:rsid w:val="009B0ECB"/>
    <w:rsid w:val="009B1560"/>
    <w:rsid w:val="009B1B7C"/>
    <w:rsid w:val="009B25EC"/>
    <w:rsid w:val="009B4899"/>
    <w:rsid w:val="009B4C4E"/>
    <w:rsid w:val="009B5B38"/>
    <w:rsid w:val="009B5E05"/>
    <w:rsid w:val="009B6690"/>
    <w:rsid w:val="009B6719"/>
    <w:rsid w:val="009B6902"/>
    <w:rsid w:val="009B7084"/>
    <w:rsid w:val="009B712F"/>
    <w:rsid w:val="009B716F"/>
    <w:rsid w:val="009B7775"/>
    <w:rsid w:val="009B77A9"/>
    <w:rsid w:val="009C0361"/>
    <w:rsid w:val="009C1264"/>
    <w:rsid w:val="009C219E"/>
    <w:rsid w:val="009C2420"/>
    <w:rsid w:val="009C2844"/>
    <w:rsid w:val="009C2FF2"/>
    <w:rsid w:val="009C3F25"/>
    <w:rsid w:val="009C44E9"/>
    <w:rsid w:val="009C6180"/>
    <w:rsid w:val="009C6565"/>
    <w:rsid w:val="009C6638"/>
    <w:rsid w:val="009C6B56"/>
    <w:rsid w:val="009C714B"/>
    <w:rsid w:val="009C736A"/>
    <w:rsid w:val="009C7CCB"/>
    <w:rsid w:val="009D018D"/>
    <w:rsid w:val="009D0CD1"/>
    <w:rsid w:val="009D14DE"/>
    <w:rsid w:val="009D2082"/>
    <w:rsid w:val="009D2114"/>
    <w:rsid w:val="009D2830"/>
    <w:rsid w:val="009D2E07"/>
    <w:rsid w:val="009D2F38"/>
    <w:rsid w:val="009D3070"/>
    <w:rsid w:val="009D32B9"/>
    <w:rsid w:val="009D33B0"/>
    <w:rsid w:val="009D6379"/>
    <w:rsid w:val="009D78F3"/>
    <w:rsid w:val="009D7B94"/>
    <w:rsid w:val="009E0B54"/>
    <w:rsid w:val="009E18E6"/>
    <w:rsid w:val="009E1C28"/>
    <w:rsid w:val="009E2093"/>
    <w:rsid w:val="009E2F80"/>
    <w:rsid w:val="009E3EDD"/>
    <w:rsid w:val="009E42E3"/>
    <w:rsid w:val="009E484D"/>
    <w:rsid w:val="009E5E25"/>
    <w:rsid w:val="009E6D9C"/>
    <w:rsid w:val="009E7B3A"/>
    <w:rsid w:val="009F1107"/>
    <w:rsid w:val="009F129E"/>
    <w:rsid w:val="009F1E9F"/>
    <w:rsid w:val="009F38A1"/>
    <w:rsid w:val="009F3DD7"/>
    <w:rsid w:val="009F3DF7"/>
    <w:rsid w:val="009F3FF1"/>
    <w:rsid w:val="009F4E17"/>
    <w:rsid w:val="009F53BB"/>
    <w:rsid w:val="009F56EE"/>
    <w:rsid w:val="009F609F"/>
    <w:rsid w:val="009F7922"/>
    <w:rsid w:val="009F7D94"/>
    <w:rsid w:val="00A000F6"/>
    <w:rsid w:val="00A0017B"/>
    <w:rsid w:val="00A0032E"/>
    <w:rsid w:val="00A00C27"/>
    <w:rsid w:val="00A00D18"/>
    <w:rsid w:val="00A01153"/>
    <w:rsid w:val="00A01AE7"/>
    <w:rsid w:val="00A02B2F"/>
    <w:rsid w:val="00A02D61"/>
    <w:rsid w:val="00A03302"/>
    <w:rsid w:val="00A035C4"/>
    <w:rsid w:val="00A040B7"/>
    <w:rsid w:val="00A04356"/>
    <w:rsid w:val="00A04C9E"/>
    <w:rsid w:val="00A04D41"/>
    <w:rsid w:val="00A04D5A"/>
    <w:rsid w:val="00A057DE"/>
    <w:rsid w:val="00A057E7"/>
    <w:rsid w:val="00A10FB7"/>
    <w:rsid w:val="00A11A4D"/>
    <w:rsid w:val="00A14CFE"/>
    <w:rsid w:val="00A15A12"/>
    <w:rsid w:val="00A1652B"/>
    <w:rsid w:val="00A1666A"/>
    <w:rsid w:val="00A16DE2"/>
    <w:rsid w:val="00A212A2"/>
    <w:rsid w:val="00A21A52"/>
    <w:rsid w:val="00A22614"/>
    <w:rsid w:val="00A227E0"/>
    <w:rsid w:val="00A2290A"/>
    <w:rsid w:val="00A22ABF"/>
    <w:rsid w:val="00A23044"/>
    <w:rsid w:val="00A263A7"/>
    <w:rsid w:val="00A26E41"/>
    <w:rsid w:val="00A33243"/>
    <w:rsid w:val="00A33676"/>
    <w:rsid w:val="00A33D78"/>
    <w:rsid w:val="00A341B9"/>
    <w:rsid w:val="00A3425A"/>
    <w:rsid w:val="00A35BE5"/>
    <w:rsid w:val="00A3651C"/>
    <w:rsid w:val="00A36A6F"/>
    <w:rsid w:val="00A41749"/>
    <w:rsid w:val="00A449CC"/>
    <w:rsid w:val="00A46328"/>
    <w:rsid w:val="00A46A32"/>
    <w:rsid w:val="00A47323"/>
    <w:rsid w:val="00A47704"/>
    <w:rsid w:val="00A47DA4"/>
    <w:rsid w:val="00A47EF5"/>
    <w:rsid w:val="00A51E78"/>
    <w:rsid w:val="00A55E94"/>
    <w:rsid w:val="00A56717"/>
    <w:rsid w:val="00A5677F"/>
    <w:rsid w:val="00A626BA"/>
    <w:rsid w:val="00A626C6"/>
    <w:rsid w:val="00A629F1"/>
    <w:rsid w:val="00A62EAF"/>
    <w:rsid w:val="00A64AD8"/>
    <w:rsid w:val="00A65558"/>
    <w:rsid w:val="00A65977"/>
    <w:rsid w:val="00A65C5F"/>
    <w:rsid w:val="00A661B0"/>
    <w:rsid w:val="00A678F5"/>
    <w:rsid w:val="00A70689"/>
    <w:rsid w:val="00A72471"/>
    <w:rsid w:val="00A7264E"/>
    <w:rsid w:val="00A72731"/>
    <w:rsid w:val="00A72E3F"/>
    <w:rsid w:val="00A74ABF"/>
    <w:rsid w:val="00A75107"/>
    <w:rsid w:val="00A7541D"/>
    <w:rsid w:val="00A766F4"/>
    <w:rsid w:val="00A801D4"/>
    <w:rsid w:val="00A805A0"/>
    <w:rsid w:val="00A807CD"/>
    <w:rsid w:val="00A81D1E"/>
    <w:rsid w:val="00A82CD5"/>
    <w:rsid w:val="00A837BA"/>
    <w:rsid w:val="00A841FD"/>
    <w:rsid w:val="00A849EB"/>
    <w:rsid w:val="00A8507F"/>
    <w:rsid w:val="00A86E55"/>
    <w:rsid w:val="00A9023D"/>
    <w:rsid w:val="00A907C3"/>
    <w:rsid w:val="00A90DA1"/>
    <w:rsid w:val="00A90E8D"/>
    <w:rsid w:val="00A919F8"/>
    <w:rsid w:val="00A9263A"/>
    <w:rsid w:val="00A953A9"/>
    <w:rsid w:val="00A95421"/>
    <w:rsid w:val="00A96862"/>
    <w:rsid w:val="00A97728"/>
    <w:rsid w:val="00A97D7F"/>
    <w:rsid w:val="00AA025F"/>
    <w:rsid w:val="00AA1062"/>
    <w:rsid w:val="00AA16A6"/>
    <w:rsid w:val="00AA1970"/>
    <w:rsid w:val="00AA3DF3"/>
    <w:rsid w:val="00AA5BF1"/>
    <w:rsid w:val="00AA7552"/>
    <w:rsid w:val="00AB044E"/>
    <w:rsid w:val="00AB0618"/>
    <w:rsid w:val="00AB0B4A"/>
    <w:rsid w:val="00AB1178"/>
    <w:rsid w:val="00AB179E"/>
    <w:rsid w:val="00AB24CB"/>
    <w:rsid w:val="00AB2A5C"/>
    <w:rsid w:val="00AB2DDA"/>
    <w:rsid w:val="00AB333F"/>
    <w:rsid w:val="00AB3361"/>
    <w:rsid w:val="00AB3669"/>
    <w:rsid w:val="00AB5075"/>
    <w:rsid w:val="00AB5680"/>
    <w:rsid w:val="00AB5802"/>
    <w:rsid w:val="00AB5DA6"/>
    <w:rsid w:val="00AB60A7"/>
    <w:rsid w:val="00AB6FD9"/>
    <w:rsid w:val="00AC045E"/>
    <w:rsid w:val="00AC1ADC"/>
    <w:rsid w:val="00AC3DAD"/>
    <w:rsid w:val="00AC4D06"/>
    <w:rsid w:val="00AC5868"/>
    <w:rsid w:val="00AC6362"/>
    <w:rsid w:val="00AC69AF"/>
    <w:rsid w:val="00AC6CED"/>
    <w:rsid w:val="00AC76BB"/>
    <w:rsid w:val="00AC7861"/>
    <w:rsid w:val="00AC7A05"/>
    <w:rsid w:val="00AC7FF4"/>
    <w:rsid w:val="00AD18CB"/>
    <w:rsid w:val="00AD1B16"/>
    <w:rsid w:val="00AD2041"/>
    <w:rsid w:val="00AD2389"/>
    <w:rsid w:val="00AD2DD0"/>
    <w:rsid w:val="00AD2E86"/>
    <w:rsid w:val="00AD2F7F"/>
    <w:rsid w:val="00AD49E3"/>
    <w:rsid w:val="00AD4F5D"/>
    <w:rsid w:val="00AD51EF"/>
    <w:rsid w:val="00AD53F6"/>
    <w:rsid w:val="00AD5C2A"/>
    <w:rsid w:val="00AD6E05"/>
    <w:rsid w:val="00AD7867"/>
    <w:rsid w:val="00AE0ADD"/>
    <w:rsid w:val="00AE1665"/>
    <w:rsid w:val="00AE25AB"/>
    <w:rsid w:val="00AE32C0"/>
    <w:rsid w:val="00AE3709"/>
    <w:rsid w:val="00AE39B7"/>
    <w:rsid w:val="00AE42CF"/>
    <w:rsid w:val="00AE4FD3"/>
    <w:rsid w:val="00AE504E"/>
    <w:rsid w:val="00AE731E"/>
    <w:rsid w:val="00AE7FBB"/>
    <w:rsid w:val="00AF1FF3"/>
    <w:rsid w:val="00AF301C"/>
    <w:rsid w:val="00AF3108"/>
    <w:rsid w:val="00AF384F"/>
    <w:rsid w:val="00AF3F52"/>
    <w:rsid w:val="00AF4394"/>
    <w:rsid w:val="00AF51E1"/>
    <w:rsid w:val="00AF5631"/>
    <w:rsid w:val="00AF56D6"/>
    <w:rsid w:val="00AF75CA"/>
    <w:rsid w:val="00B01B76"/>
    <w:rsid w:val="00B01C83"/>
    <w:rsid w:val="00B026CA"/>
    <w:rsid w:val="00B02DA0"/>
    <w:rsid w:val="00B034C1"/>
    <w:rsid w:val="00B03989"/>
    <w:rsid w:val="00B056C3"/>
    <w:rsid w:val="00B06A78"/>
    <w:rsid w:val="00B0710A"/>
    <w:rsid w:val="00B10273"/>
    <w:rsid w:val="00B10DF1"/>
    <w:rsid w:val="00B11345"/>
    <w:rsid w:val="00B11EA2"/>
    <w:rsid w:val="00B1237C"/>
    <w:rsid w:val="00B12E74"/>
    <w:rsid w:val="00B13600"/>
    <w:rsid w:val="00B15259"/>
    <w:rsid w:val="00B16CA2"/>
    <w:rsid w:val="00B1717F"/>
    <w:rsid w:val="00B1725D"/>
    <w:rsid w:val="00B176C5"/>
    <w:rsid w:val="00B2086B"/>
    <w:rsid w:val="00B216C7"/>
    <w:rsid w:val="00B21A00"/>
    <w:rsid w:val="00B21AAE"/>
    <w:rsid w:val="00B2231A"/>
    <w:rsid w:val="00B22681"/>
    <w:rsid w:val="00B226EB"/>
    <w:rsid w:val="00B22CFA"/>
    <w:rsid w:val="00B22D3F"/>
    <w:rsid w:val="00B235C9"/>
    <w:rsid w:val="00B24445"/>
    <w:rsid w:val="00B24789"/>
    <w:rsid w:val="00B248D8"/>
    <w:rsid w:val="00B24DAB"/>
    <w:rsid w:val="00B25595"/>
    <w:rsid w:val="00B26030"/>
    <w:rsid w:val="00B26453"/>
    <w:rsid w:val="00B26B1C"/>
    <w:rsid w:val="00B307CB"/>
    <w:rsid w:val="00B30DCC"/>
    <w:rsid w:val="00B32B2B"/>
    <w:rsid w:val="00B33AE8"/>
    <w:rsid w:val="00B33C11"/>
    <w:rsid w:val="00B36711"/>
    <w:rsid w:val="00B367CC"/>
    <w:rsid w:val="00B36C02"/>
    <w:rsid w:val="00B404AA"/>
    <w:rsid w:val="00B411B6"/>
    <w:rsid w:val="00B41E88"/>
    <w:rsid w:val="00B43127"/>
    <w:rsid w:val="00B45B71"/>
    <w:rsid w:val="00B46283"/>
    <w:rsid w:val="00B46DEB"/>
    <w:rsid w:val="00B47461"/>
    <w:rsid w:val="00B478AE"/>
    <w:rsid w:val="00B47ED9"/>
    <w:rsid w:val="00B47F30"/>
    <w:rsid w:val="00B50A9F"/>
    <w:rsid w:val="00B50AEF"/>
    <w:rsid w:val="00B514BA"/>
    <w:rsid w:val="00B52690"/>
    <w:rsid w:val="00B532F9"/>
    <w:rsid w:val="00B53BC3"/>
    <w:rsid w:val="00B53D90"/>
    <w:rsid w:val="00B602FF"/>
    <w:rsid w:val="00B6051C"/>
    <w:rsid w:val="00B60FE4"/>
    <w:rsid w:val="00B614E6"/>
    <w:rsid w:val="00B62978"/>
    <w:rsid w:val="00B62D17"/>
    <w:rsid w:val="00B62DF8"/>
    <w:rsid w:val="00B633D5"/>
    <w:rsid w:val="00B64965"/>
    <w:rsid w:val="00B64BEE"/>
    <w:rsid w:val="00B64D82"/>
    <w:rsid w:val="00B66265"/>
    <w:rsid w:val="00B669B7"/>
    <w:rsid w:val="00B66EBC"/>
    <w:rsid w:val="00B67A18"/>
    <w:rsid w:val="00B70B2A"/>
    <w:rsid w:val="00B70BFF"/>
    <w:rsid w:val="00B71321"/>
    <w:rsid w:val="00B7270C"/>
    <w:rsid w:val="00B72B4F"/>
    <w:rsid w:val="00B7321C"/>
    <w:rsid w:val="00B745BA"/>
    <w:rsid w:val="00B74C18"/>
    <w:rsid w:val="00B74E20"/>
    <w:rsid w:val="00B7565F"/>
    <w:rsid w:val="00B76895"/>
    <w:rsid w:val="00B7693B"/>
    <w:rsid w:val="00B76F64"/>
    <w:rsid w:val="00B7719F"/>
    <w:rsid w:val="00B807B5"/>
    <w:rsid w:val="00B8097E"/>
    <w:rsid w:val="00B80DDE"/>
    <w:rsid w:val="00B81A1A"/>
    <w:rsid w:val="00B822CB"/>
    <w:rsid w:val="00B825E9"/>
    <w:rsid w:val="00B82CC9"/>
    <w:rsid w:val="00B83037"/>
    <w:rsid w:val="00B83285"/>
    <w:rsid w:val="00B861C8"/>
    <w:rsid w:val="00B86A9F"/>
    <w:rsid w:val="00B86C91"/>
    <w:rsid w:val="00B87BF7"/>
    <w:rsid w:val="00B9071E"/>
    <w:rsid w:val="00B9086F"/>
    <w:rsid w:val="00B90BB4"/>
    <w:rsid w:val="00B90C0C"/>
    <w:rsid w:val="00B90F5C"/>
    <w:rsid w:val="00B90F73"/>
    <w:rsid w:val="00B91187"/>
    <w:rsid w:val="00B91541"/>
    <w:rsid w:val="00B92B11"/>
    <w:rsid w:val="00B934F1"/>
    <w:rsid w:val="00B9367E"/>
    <w:rsid w:val="00B9395F"/>
    <w:rsid w:val="00B94202"/>
    <w:rsid w:val="00B9532F"/>
    <w:rsid w:val="00B956C0"/>
    <w:rsid w:val="00B95D13"/>
    <w:rsid w:val="00B96915"/>
    <w:rsid w:val="00BA0008"/>
    <w:rsid w:val="00BA047E"/>
    <w:rsid w:val="00BA155B"/>
    <w:rsid w:val="00BA272E"/>
    <w:rsid w:val="00BA2BE3"/>
    <w:rsid w:val="00BA31F0"/>
    <w:rsid w:val="00BA3228"/>
    <w:rsid w:val="00BA425A"/>
    <w:rsid w:val="00BA4468"/>
    <w:rsid w:val="00BA5F25"/>
    <w:rsid w:val="00BA61AE"/>
    <w:rsid w:val="00BA63DE"/>
    <w:rsid w:val="00BA76BE"/>
    <w:rsid w:val="00BA7797"/>
    <w:rsid w:val="00BA7834"/>
    <w:rsid w:val="00BA79C8"/>
    <w:rsid w:val="00BA7A44"/>
    <w:rsid w:val="00BA7C75"/>
    <w:rsid w:val="00BB0702"/>
    <w:rsid w:val="00BB07E3"/>
    <w:rsid w:val="00BB0DAC"/>
    <w:rsid w:val="00BB0EA3"/>
    <w:rsid w:val="00BB1D1B"/>
    <w:rsid w:val="00BB1EDE"/>
    <w:rsid w:val="00BB224A"/>
    <w:rsid w:val="00BB2573"/>
    <w:rsid w:val="00BB2B50"/>
    <w:rsid w:val="00BB3C5B"/>
    <w:rsid w:val="00BB44F2"/>
    <w:rsid w:val="00BB5B65"/>
    <w:rsid w:val="00BB7055"/>
    <w:rsid w:val="00BB76BE"/>
    <w:rsid w:val="00BB7CDC"/>
    <w:rsid w:val="00BB7DB2"/>
    <w:rsid w:val="00BC009E"/>
    <w:rsid w:val="00BC0144"/>
    <w:rsid w:val="00BC065B"/>
    <w:rsid w:val="00BC10F8"/>
    <w:rsid w:val="00BC1186"/>
    <w:rsid w:val="00BC355E"/>
    <w:rsid w:val="00BC3CB4"/>
    <w:rsid w:val="00BC4645"/>
    <w:rsid w:val="00BC522A"/>
    <w:rsid w:val="00BC607B"/>
    <w:rsid w:val="00BD0A54"/>
    <w:rsid w:val="00BD0C5C"/>
    <w:rsid w:val="00BD1D40"/>
    <w:rsid w:val="00BD26B0"/>
    <w:rsid w:val="00BD3908"/>
    <w:rsid w:val="00BD4DE3"/>
    <w:rsid w:val="00BD544A"/>
    <w:rsid w:val="00BD5463"/>
    <w:rsid w:val="00BD5907"/>
    <w:rsid w:val="00BD5E01"/>
    <w:rsid w:val="00BD5E87"/>
    <w:rsid w:val="00BD5F75"/>
    <w:rsid w:val="00BD6915"/>
    <w:rsid w:val="00BE01BD"/>
    <w:rsid w:val="00BE0821"/>
    <w:rsid w:val="00BE17BF"/>
    <w:rsid w:val="00BE2377"/>
    <w:rsid w:val="00BE26D4"/>
    <w:rsid w:val="00BE2DD1"/>
    <w:rsid w:val="00BE2EC2"/>
    <w:rsid w:val="00BE3BCD"/>
    <w:rsid w:val="00BE3FB7"/>
    <w:rsid w:val="00BE4862"/>
    <w:rsid w:val="00BE4D59"/>
    <w:rsid w:val="00BE4F83"/>
    <w:rsid w:val="00BE5AD5"/>
    <w:rsid w:val="00BE7393"/>
    <w:rsid w:val="00BE74A0"/>
    <w:rsid w:val="00BE7A77"/>
    <w:rsid w:val="00BE7FA4"/>
    <w:rsid w:val="00BF050C"/>
    <w:rsid w:val="00BF088B"/>
    <w:rsid w:val="00BF08EB"/>
    <w:rsid w:val="00BF08F0"/>
    <w:rsid w:val="00BF1188"/>
    <w:rsid w:val="00BF1855"/>
    <w:rsid w:val="00BF253D"/>
    <w:rsid w:val="00BF2E0B"/>
    <w:rsid w:val="00BF3C15"/>
    <w:rsid w:val="00BF42CC"/>
    <w:rsid w:val="00BF561B"/>
    <w:rsid w:val="00BF56FF"/>
    <w:rsid w:val="00BF5C4A"/>
    <w:rsid w:val="00BF6080"/>
    <w:rsid w:val="00BF64B5"/>
    <w:rsid w:val="00BF6869"/>
    <w:rsid w:val="00BF6875"/>
    <w:rsid w:val="00BF6987"/>
    <w:rsid w:val="00BF6ACD"/>
    <w:rsid w:val="00BF6B98"/>
    <w:rsid w:val="00BF75AD"/>
    <w:rsid w:val="00BF7A62"/>
    <w:rsid w:val="00C01E4B"/>
    <w:rsid w:val="00C0325E"/>
    <w:rsid w:val="00C0364F"/>
    <w:rsid w:val="00C03650"/>
    <w:rsid w:val="00C0471A"/>
    <w:rsid w:val="00C04A98"/>
    <w:rsid w:val="00C0523C"/>
    <w:rsid w:val="00C05EEA"/>
    <w:rsid w:val="00C10388"/>
    <w:rsid w:val="00C11401"/>
    <w:rsid w:val="00C139BD"/>
    <w:rsid w:val="00C14589"/>
    <w:rsid w:val="00C14DF6"/>
    <w:rsid w:val="00C14F7F"/>
    <w:rsid w:val="00C1522F"/>
    <w:rsid w:val="00C16F7C"/>
    <w:rsid w:val="00C17738"/>
    <w:rsid w:val="00C17C5F"/>
    <w:rsid w:val="00C203C4"/>
    <w:rsid w:val="00C20AB5"/>
    <w:rsid w:val="00C21C13"/>
    <w:rsid w:val="00C21F9A"/>
    <w:rsid w:val="00C225DD"/>
    <w:rsid w:val="00C22C71"/>
    <w:rsid w:val="00C231CE"/>
    <w:rsid w:val="00C238E6"/>
    <w:rsid w:val="00C23CB7"/>
    <w:rsid w:val="00C23E06"/>
    <w:rsid w:val="00C24D6B"/>
    <w:rsid w:val="00C25619"/>
    <w:rsid w:val="00C26DC0"/>
    <w:rsid w:val="00C270E1"/>
    <w:rsid w:val="00C27735"/>
    <w:rsid w:val="00C308B1"/>
    <w:rsid w:val="00C30A53"/>
    <w:rsid w:val="00C322F6"/>
    <w:rsid w:val="00C3255B"/>
    <w:rsid w:val="00C32D01"/>
    <w:rsid w:val="00C3302A"/>
    <w:rsid w:val="00C33531"/>
    <w:rsid w:val="00C33C79"/>
    <w:rsid w:val="00C33CAA"/>
    <w:rsid w:val="00C3445D"/>
    <w:rsid w:val="00C34676"/>
    <w:rsid w:val="00C34F35"/>
    <w:rsid w:val="00C35299"/>
    <w:rsid w:val="00C353F3"/>
    <w:rsid w:val="00C3541C"/>
    <w:rsid w:val="00C36EAE"/>
    <w:rsid w:val="00C37482"/>
    <w:rsid w:val="00C40ADE"/>
    <w:rsid w:val="00C42135"/>
    <w:rsid w:val="00C42D35"/>
    <w:rsid w:val="00C42D4D"/>
    <w:rsid w:val="00C4448D"/>
    <w:rsid w:val="00C4747C"/>
    <w:rsid w:val="00C51A99"/>
    <w:rsid w:val="00C54218"/>
    <w:rsid w:val="00C551B2"/>
    <w:rsid w:val="00C55B84"/>
    <w:rsid w:val="00C567DD"/>
    <w:rsid w:val="00C57A31"/>
    <w:rsid w:val="00C57A69"/>
    <w:rsid w:val="00C57DAF"/>
    <w:rsid w:val="00C60214"/>
    <w:rsid w:val="00C605BB"/>
    <w:rsid w:val="00C60AB7"/>
    <w:rsid w:val="00C62AC5"/>
    <w:rsid w:val="00C634C3"/>
    <w:rsid w:val="00C65F65"/>
    <w:rsid w:val="00C668AA"/>
    <w:rsid w:val="00C70046"/>
    <w:rsid w:val="00C70238"/>
    <w:rsid w:val="00C72F74"/>
    <w:rsid w:val="00C73220"/>
    <w:rsid w:val="00C73670"/>
    <w:rsid w:val="00C7375E"/>
    <w:rsid w:val="00C742BC"/>
    <w:rsid w:val="00C748D3"/>
    <w:rsid w:val="00C74EF5"/>
    <w:rsid w:val="00C754B1"/>
    <w:rsid w:val="00C76615"/>
    <w:rsid w:val="00C766EA"/>
    <w:rsid w:val="00C76BA7"/>
    <w:rsid w:val="00C76E21"/>
    <w:rsid w:val="00C801B2"/>
    <w:rsid w:val="00C8039C"/>
    <w:rsid w:val="00C809BF"/>
    <w:rsid w:val="00C8243C"/>
    <w:rsid w:val="00C83DF8"/>
    <w:rsid w:val="00C83E2C"/>
    <w:rsid w:val="00C83F63"/>
    <w:rsid w:val="00C86D53"/>
    <w:rsid w:val="00C87B46"/>
    <w:rsid w:val="00C87FC5"/>
    <w:rsid w:val="00C9042C"/>
    <w:rsid w:val="00C911BF"/>
    <w:rsid w:val="00C91963"/>
    <w:rsid w:val="00C9277B"/>
    <w:rsid w:val="00C92DBC"/>
    <w:rsid w:val="00C95C29"/>
    <w:rsid w:val="00C96400"/>
    <w:rsid w:val="00C96804"/>
    <w:rsid w:val="00C96A21"/>
    <w:rsid w:val="00CA0072"/>
    <w:rsid w:val="00CA013A"/>
    <w:rsid w:val="00CA05A4"/>
    <w:rsid w:val="00CA163B"/>
    <w:rsid w:val="00CA1A70"/>
    <w:rsid w:val="00CA2259"/>
    <w:rsid w:val="00CA349E"/>
    <w:rsid w:val="00CA4144"/>
    <w:rsid w:val="00CA53B0"/>
    <w:rsid w:val="00CA73B3"/>
    <w:rsid w:val="00CA760F"/>
    <w:rsid w:val="00CA7741"/>
    <w:rsid w:val="00CB027B"/>
    <w:rsid w:val="00CB05D3"/>
    <w:rsid w:val="00CB06D0"/>
    <w:rsid w:val="00CB09F8"/>
    <w:rsid w:val="00CB0CBF"/>
    <w:rsid w:val="00CB10A6"/>
    <w:rsid w:val="00CB1C78"/>
    <w:rsid w:val="00CB4E83"/>
    <w:rsid w:val="00CB5BDC"/>
    <w:rsid w:val="00CB602C"/>
    <w:rsid w:val="00CB794B"/>
    <w:rsid w:val="00CC0128"/>
    <w:rsid w:val="00CC3DD6"/>
    <w:rsid w:val="00CC4248"/>
    <w:rsid w:val="00CC47FA"/>
    <w:rsid w:val="00CC58E5"/>
    <w:rsid w:val="00CC5F2E"/>
    <w:rsid w:val="00CC7A54"/>
    <w:rsid w:val="00CC7C78"/>
    <w:rsid w:val="00CD03C4"/>
    <w:rsid w:val="00CD04DF"/>
    <w:rsid w:val="00CD084F"/>
    <w:rsid w:val="00CD158F"/>
    <w:rsid w:val="00CD2666"/>
    <w:rsid w:val="00CD2D20"/>
    <w:rsid w:val="00CD328C"/>
    <w:rsid w:val="00CD36BF"/>
    <w:rsid w:val="00CD56FB"/>
    <w:rsid w:val="00CD6758"/>
    <w:rsid w:val="00CD69D2"/>
    <w:rsid w:val="00CD6B0B"/>
    <w:rsid w:val="00CD78AB"/>
    <w:rsid w:val="00CE1061"/>
    <w:rsid w:val="00CE18D3"/>
    <w:rsid w:val="00CE1EB0"/>
    <w:rsid w:val="00CE36CE"/>
    <w:rsid w:val="00CE5357"/>
    <w:rsid w:val="00CE6D4F"/>
    <w:rsid w:val="00CE789A"/>
    <w:rsid w:val="00CE7AEB"/>
    <w:rsid w:val="00CE7BD4"/>
    <w:rsid w:val="00CF000C"/>
    <w:rsid w:val="00CF3D86"/>
    <w:rsid w:val="00CF48E5"/>
    <w:rsid w:val="00CF4981"/>
    <w:rsid w:val="00CF4B64"/>
    <w:rsid w:val="00CF55A4"/>
    <w:rsid w:val="00CF561E"/>
    <w:rsid w:val="00CF56D8"/>
    <w:rsid w:val="00CF6786"/>
    <w:rsid w:val="00D001BB"/>
    <w:rsid w:val="00D011BB"/>
    <w:rsid w:val="00D013AE"/>
    <w:rsid w:val="00D01DA0"/>
    <w:rsid w:val="00D029EB"/>
    <w:rsid w:val="00D0367C"/>
    <w:rsid w:val="00D0448C"/>
    <w:rsid w:val="00D04A82"/>
    <w:rsid w:val="00D051B1"/>
    <w:rsid w:val="00D05F3C"/>
    <w:rsid w:val="00D069CC"/>
    <w:rsid w:val="00D07135"/>
    <w:rsid w:val="00D108EE"/>
    <w:rsid w:val="00D11B9F"/>
    <w:rsid w:val="00D1273E"/>
    <w:rsid w:val="00D1282B"/>
    <w:rsid w:val="00D12D05"/>
    <w:rsid w:val="00D13131"/>
    <w:rsid w:val="00D13736"/>
    <w:rsid w:val="00D16512"/>
    <w:rsid w:val="00D218B3"/>
    <w:rsid w:val="00D226A4"/>
    <w:rsid w:val="00D2493B"/>
    <w:rsid w:val="00D24FF0"/>
    <w:rsid w:val="00D26B42"/>
    <w:rsid w:val="00D27151"/>
    <w:rsid w:val="00D313E3"/>
    <w:rsid w:val="00D3170D"/>
    <w:rsid w:val="00D32A03"/>
    <w:rsid w:val="00D32A63"/>
    <w:rsid w:val="00D32D3A"/>
    <w:rsid w:val="00D32F93"/>
    <w:rsid w:val="00D339E3"/>
    <w:rsid w:val="00D353A7"/>
    <w:rsid w:val="00D35F27"/>
    <w:rsid w:val="00D36618"/>
    <w:rsid w:val="00D36D79"/>
    <w:rsid w:val="00D37DBF"/>
    <w:rsid w:val="00D40484"/>
    <w:rsid w:val="00D404FA"/>
    <w:rsid w:val="00D41D6C"/>
    <w:rsid w:val="00D42622"/>
    <w:rsid w:val="00D42931"/>
    <w:rsid w:val="00D42EDF"/>
    <w:rsid w:val="00D43468"/>
    <w:rsid w:val="00D43C73"/>
    <w:rsid w:val="00D45B5E"/>
    <w:rsid w:val="00D460B0"/>
    <w:rsid w:val="00D46B8B"/>
    <w:rsid w:val="00D46CE3"/>
    <w:rsid w:val="00D475E8"/>
    <w:rsid w:val="00D4768B"/>
    <w:rsid w:val="00D47E13"/>
    <w:rsid w:val="00D50652"/>
    <w:rsid w:val="00D5092F"/>
    <w:rsid w:val="00D50A2D"/>
    <w:rsid w:val="00D51667"/>
    <w:rsid w:val="00D5176A"/>
    <w:rsid w:val="00D51A90"/>
    <w:rsid w:val="00D51ACC"/>
    <w:rsid w:val="00D52195"/>
    <w:rsid w:val="00D52368"/>
    <w:rsid w:val="00D523EB"/>
    <w:rsid w:val="00D5243A"/>
    <w:rsid w:val="00D528F8"/>
    <w:rsid w:val="00D52B00"/>
    <w:rsid w:val="00D52C72"/>
    <w:rsid w:val="00D5324E"/>
    <w:rsid w:val="00D535E9"/>
    <w:rsid w:val="00D53A91"/>
    <w:rsid w:val="00D5614C"/>
    <w:rsid w:val="00D56616"/>
    <w:rsid w:val="00D574C4"/>
    <w:rsid w:val="00D576EA"/>
    <w:rsid w:val="00D60101"/>
    <w:rsid w:val="00D602BD"/>
    <w:rsid w:val="00D6060F"/>
    <w:rsid w:val="00D60776"/>
    <w:rsid w:val="00D60BFE"/>
    <w:rsid w:val="00D61261"/>
    <w:rsid w:val="00D61960"/>
    <w:rsid w:val="00D619C1"/>
    <w:rsid w:val="00D6233C"/>
    <w:rsid w:val="00D63669"/>
    <w:rsid w:val="00D63D5A"/>
    <w:rsid w:val="00D64593"/>
    <w:rsid w:val="00D64D1D"/>
    <w:rsid w:val="00D64D44"/>
    <w:rsid w:val="00D67A2A"/>
    <w:rsid w:val="00D70785"/>
    <w:rsid w:val="00D70B10"/>
    <w:rsid w:val="00D70E92"/>
    <w:rsid w:val="00D71D2B"/>
    <w:rsid w:val="00D726AF"/>
    <w:rsid w:val="00D72A02"/>
    <w:rsid w:val="00D731D1"/>
    <w:rsid w:val="00D74412"/>
    <w:rsid w:val="00D74CB6"/>
    <w:rsid w:val="00D755C2"/>
    <w:rsid w:val="00D75B17"/>
    <w:rsid w:val="00D75D9C"/>
    <w:rsid w:val="00D76975"/>
    <w:rsid w:val="00D771EB"/>
    <w:rsid w:val="00D7799C"/>
    <w:rsid w:val="00D779AF"/>
    <w:rsid w:val="00D805B3"/>
    <w:rsid w:val="00D80AF9"/>
    <w:rsid w:val="00D819D6"/>
    <w:rsid w:val="00D822EA"/>
    <w:rsid w:val="00D83491"/>
    <w:rsid w:val="00D83525"/>
    <w:rsid w:val="00D854AF"/>
    <w:rsid w:val="00D854DC"/>
    <w:rsid w:val="00D85FEA"/>
    <w:rsid w:val="00D865E2"/>
    <w:rsid w:val="00D86DE7"/>
    <w:rsid w:val="00D86DED"/>
    <w:rsid w:val="00D87420"/>
    <w:rsid w:val="00D87F91"/>
    <w:rsid w:val="00D90311"/>
    <w:rsid w:val="00D90FF4"/>
    <w:rsid w:val="00D9166A"/>
    <w:rsid w:val="00D918E0"/>
    <w:rsid w:val="00D92077"/>
    <w:rsid w:val="00D9366C"/>
    <w:rsid w:val="00D94ECA"/>
    <w:rsid w:val="00D95049"/>
    <w:rsid w:val="00D955A0"/>
    <w:rsid w:val="00D96CD4"/>
    <w:rsid w:val="00DA016A"/>
    <w:rsid w:val="00DA059E"/>
    <w:rsid w:val="00DA70BF"/>
    <w:rsid w:val="00DA7FD3"/>
    <w:rsid w:val="00DB0BBA"/>
    <w:rsid w:val="00DB1217"/>
    <w:rsid w:val="00DB3156"/>
    <w:rsid w:val="00DB3DB1"/>
    <w:rsid w:val="00DB3F68"/>
    <w:rsid w:val="00DB434F"/>
    <w:rsid w:val="00DB43CB"/>
    <w:rsid w:val="00DB45EF"/>
    <w:rsid w:val="00DB4F81"/>
    <w:rsid w:val="00DB511E"/>
    <w:rsid w:val="00DB5A77"/>
    <w:rsid w:val="00DB6B2D"/>
    <w:rsid w:val="00DB6D2C"/>
    <w:rsid w:val="00DB73BB"/>
    <w:rsid w:val="00DB74A4"/>
    <w:rsid w:val="00DC176B"/>
    <w:rsid w:val="00DC238E"/>
    <w:rsid w:val="00DC2756"/>
    <w:rsid w:val="00DC3653"/>
    <w:rsid w:val="00DC37E2"/>
    <w:rsid w:val="00DC4266"/>
    <w:rsid w:val="00DC481B"/>
    <w:rsid w:val="00DC516B"/>
    <w:rsid w:val="00DC572C"/>
    <w:rsid w:val="00DC67F0"/>
    <w:rsid w:val="00DC720D"/>
    <w:rsid w:val="00DC7852"/>
    <w:rsid w:val="00DC7BD1"/>
    <w:rsid w:val="00DD0014"/>
    <w:rsid w:val="00DD037B"/>
    <w:rsid w:val="00DD24E8"/>
    <w:rsid w:val="00DD2B2D"/>
    <w:rsid w:val="00DD2D8D"/>
    <w:rsid w:val="00DD35C0"/>
    <w:rsid w:val="00DD3CCB"/>
    <w:rsid w:val="00DD402A"/>
    <w:rsid w:val="00DD463B"/>
    <w:rsid w:val="00DD483B"/>
    <w:rsid w:val="00DD549E"/>
    <w:rsid w:val="00DD5BCD"/>
    <w:rsid w:val="00DD7082"/>
    <w:rsid w:val="00DE04AB"/>
    <w:rsid w:val="00DE0A66"/>
    <w:rsid w:val="00DE0E18"/>
    <w:rsid w:val="00DE17C2"/>
    <w:rsid w:val="00DE2013"/>
    <w:rsid w:val="00DE23A4"/>
    <w:rsid w:val="00DE2B01"/>
    <w:rsid w:val="00DE2B0B"/>
    <w:rsid w:val="00DE2B63"/>
    <w:rsid w:val="00DE3814"/>
    <w:rsid w:val="00DE3AB8"/>
    <w:rsid w:val="00DE406B"/>
    <w:rsid w:val="00DE4A51"/>
    <w:rsid w:val="00DE4E17"/>
    <w:rsid w:val="00DE50AF"/>
    <w:rsid w:val="00DE60A6"/>
    <w:rsid w:val="00DE685E"/>
    <w:rsid w:val="00DE6F18"/>
    <w:rsid w:val="00DE6F55"/>
    <w:rsid w:val="00DE75A4"/>
    <w:rsid w:val="00DE7D28"/>
    <w:rsid w:val="00DF1F29"/>
    <w:rsid w:val="00DF1FEF"/>
    <w:rsid w:val="00DF3890"/>
    <w:rsid w:val="00DF51CA"/>
    <w:rsid w:val="00DF5AB9"/>
    <w:rsid w:val="00DF5C4A"/>
    <w:rsid w:val="00DF605B"/>
    <w:rsid w:val="00E00BC8"/>
    <w:rsid w:val="00E027D4"/>
    <w:rsid w:val="00E039C0"/>
    <w:rsid w:val="00E0740A"/>
    <w:rsid w:val="00E10265"/>
    <w:rsid w:val="00E10470"/>
    <w:rsid w:val="00E104DE"/>
    <w:rsid w:val="00E10863"/>
    <w:rsid w:val="00E11446"/>
    <w:rsid w:val="00E11B50"/>
    <w:rsid w:val="00E1371E"/>
    <w:rsid w:val="00E15464"/>
    <w:rsid w:val="00E15815"/>
    <w:rsid w:val="00E15938"/>
    <w:rsid w:val="00E17473"/>
    <w:rsid w:val="00E211AA"/>
    <w:rsid w:val="00E22280"/>
    <w:rsid w:val="00E22388"/>
    <w:rsid w:val="00E23015"/>
    <w:rsid w:val="00E23205"/>
    <w:rsid w:val="00E23472"/>
    <w:rsid w:val="00E2394A"/>
    <w:rsid w:val="00E240F5"/>
    <w:rsid w:val="00E248A0"/>
    <w:rsid w:val="00E249D0"/>
    <w:rsid w:val="00E25162"/>
    <w:rsid w:val="00E256CA"/>
    <w:rsid w:val="00E27323"/>
    <w:rsid w:val="00E276E5"/>
    <w:rsid w:val="00E27827"/>
    <w:rsid w:val="00E3068C"/>
    <w:rsid w:val="00E32629"/>
    <w:rsid w:val="00E32930"/>
    <w:rsid w:val="00E32EC2"/>
    <w:rsid w:val="00E33300"/>
    <w:rsid w:val="00E33338"/>
    <w:rsid w:val="00E33DC7"/>
    <w:rsid w:val="00E34478"/>
    <w:rsid w:val="00E34527"/>
    <w:rsid w:val="00E345C2"/>
    <w:rsid w:val="00E34724"/>
    <w:rsid w:val="00E348BC"/>
    <w:rsid w:val="00E34A42"/>
    <w:rsid w:val="00E34B9C"/>
    <w:rsid w:val="00E35687"/>
    <w:rsid w:val="00E35ADB"/>
    <w:rsid w:val="00E37861"/>
    <w:rsid w:val="00E4057A"/>
    <w:rsid w:val="00E409FE"/>
    <w:rsid w:val="00E40A9D"/>
    <w:rsid w:val="00E40AC4"/>
    <w:rsid w:val="00E4165E"/>
    <w:rsid w:val="00E41C16"/>
    <w:rsid w:val="00E41CD0"/>
    <w:rsid w:val="00E42600"/>
    <w:rsid w:val="00E42AAF"/>
    <w:rsid w:val="00E43B47"/>
    <w:rsid w:val="00E44831"/>
    <w:rsid w:val="00E44D77"/>
    <w:rsid w:val="00E4560F"/>
    <w:rsid w:val="00E457A7"/>
    <w:rsid w:val="00E45C16"/>
    <w:rsid w:val="00E46140"/>
    <w:rsid w:val="00E4733D"/>
    <w:rsid w:val="00E4756F"/>
    <w:rsid w:val="00E500A0"/>
    <w:rsid w:val="00E52E62"/>
    <w:rsid w:val="00E531BD"/>
    <w:rsid w:val="00E53C0B"/>
    <w:rsid w:val="00E54146"/>
    <w:rsid w:val="00E55937"/>
    <w:rsid w:val="00E57048"/>
    <w:rsid w:val="00E6172F"/>
    <w:rsid w:val="00E61B65"/>
    <w:rsid w:val="00E62002"/>
    <w:rsid w:val="00E620DF"/>
    <w:rsid w:val="00E63DA6"/>
    <w:rsid w:val="00E64E75"/>
    <w:rsid w:val="00E660D2"/>
    <w:rsid w:val="00E6649F"/>
    <w:rsid w:val="00E670DB"/>
    <w:rsid w:val="00E673E8"/>
    <w:rsid w:val="00E67804"/>
    <w:rsid w:val="00E7049F"/>
    <w:rsid w:val="00E70B1F"/>
    <w:rsid w:val="00E70D65"/>
    <w:rsid w:val="00E72290"/>
    <w:rsid w:val="00E72737"/>
    <w:rsid w:val="00E72C80"/>
    <w:rsid w:val="00E732A2"/>
    <w:rsid w:val="00E733C7"/>
    <w:rsid w:val="00E75CE4"/>
    <w:rsid w:val="00E8012D"/>
    <w:rsid w:val="00E80FD0"/>
    <w:rsid w:val="00E817E7"/>
    <w:rsid w:val="00E81F86"/>
    <w:rsid w:val="00E8346F"/>
    <w:rsid w:val="00E83A57"/>
    <w:rsid w:val="00E83A95"/>
    <w:rsid w:val="00E83F27"/>
    <w:rsid w:val="00E83F2C"/>
    <w:rsid w:val="00E842C4"/>
    <w:rsid w:val="00E853D5"/>
    <w:rsid w:val="00E8572C"/>
    <w:rsid w:val="00E86642"/>
    <w:rsid w:val="00E87CC7"/>
    <w:rsid w:val="00E903C7"/>
    <w:rsid w:val="00E909B3"/>
    <w:rsid w:val="00E94B7F"/>
    <w:rsid w:val="00E95735"/>
    <w:rsid w:val="00E96FBD"/>
    <w:rsid w:val="00EA04AB"/>
    <w:rsid w:val="00EA0E13"/>
    <w:rsid w:val="00EA0F29"/>
    <w:rsid w:val="00EA1208"/>
    <w:rsid w:val="00EA34E4"/>
    <w:rsid w:val="00EA5386"/>
    <w:rsid w:val="00EA5B73"/>
    <w:rsid w:val="00EA6448"/>
    <w:rsid w:val="00EA6E8B"/>
    <w:rsid w:val="00EB1033"/>
    <w:rsid w:val="00EB1071"/>
    <w:rsid w:val="00EB17E6"/>
    <w:rsid w:val="00EB1EBF"/>
    <w:rsid w:val="00EB23DB"/>
    <w:rsid w:val="00EB25B9"/>
    <w:rsid w:val="00EB2670"/>
    <w:rsid w:val="00EB4047"/>
    <w:rsid w:val="00EB4CB9"/>
    <w:rsid w:val="00EB50B4"/>
    <w:rsid w:val="00EB57FE"/>
    <w:rsid w:val="00EB613C"/>
    <w:rsid w:val="00EB66DD"/>
    <w:rsid w:val="00EB674B"/>
    <w:rsid w:val="00EB7368"/>
    <w:rsid w:val="00EC0AFF"/>
    <w:rsid w:val="00EC16D4"/>
    <w:rsid w:val="00EC3688"/>
    <w:rsid w:val="00EC3F3A"/>
    <w:rsid w:val="00EC49F5"/>
    <w:rsid w:val="00EC5562"/>
    <w:rsid w:val="00EC5819"/>
    <w:rsid w:val="00EC6AF6"/>
    <w:rsid w:val="00EC7D22"/>
    <w:rsid w:val="00ED0B30"/>
    <w:rsid w:val="00ED20FF"/>
    <w:rsid w:val="00ED2317"/>
    <w:rsid w:val="00ED2A63"/>
    <w:rsid w:val="00ED2F87"/>
    <w:rsid w:val="00ED2FD6"/>
    <w:rsid w:val="00ED32FF"/>
    <w:rsid w:val="00ED3865"/>
    <w:rsid w:val="00ED40C1"/>
    <w:rsid w:val="00ED40D6"/>
    <w:rsid w:val="00ED4161"/>
    <w:rsid w:val="00ED435A"/>
    <w:rsid w:val="00ED4604"/>
    <w:rsid w:val="00ED517D"/>
    <w:rsid w:val="00ED51F0"/>
    <w:rsid w:val="00ED58C2"/>
    <w:rsid w:val="00ED5B11"/>
    <w:rsid w:val="00ED635A"/>
    <w:rsid w:val="00ED73C0"/>
    <w:rsid w:val="00ED7471"/>
    <w:rsid w:val="00EE0033"/>
    <w:rsid w:val="00EE43F4"/>
    <w:rsid w:val="00EE526E"/>
    <w:rsid w:val="00EE5D77"/>
    <w:rsid w:val="00EE6574"/>
    <w:rsid w:val="00EE6B75"/>
    <w:rsid w:val="00EE7819"/>
    <w:rsid w:val="00EE79F5"/>
    <w:rsid w:val="00EE7F0C"/>
    <w:rsid w:val="00EF15D3"/>
    <w:rsid w:val="00EF160A"/>
    <w:rsid w:val="00EF1DDE"/>
    <w:rsid w:val="00EF22A4"/>
    <w:rsid w:val="00EF2753"/>
    <w:rsid w:val="00EF39D7"/>
    <w:rsid w:val="00EF4E7F"/>
    <w:rsid w:val="00EF62C7"/>
    <w:rsid w:val="00EF67F2"/>
    <w:rsid w:val="00EF7E4C"/>
    <w:rsid w:val="00F00046"/>
    <w:rsid w:val="00F001AC"/>
    <w:rsid w:val="00F00BF5"/>
    <w:rsid w:val="00F00F4B"/>
    <w:rsid w:val="00F012CD"/>
    <w:rsid w:val="00F02CC6"/>
    <w:rsid w:val="00F039FA"/>
    <w:rsid w:val="00F04E65"/>
    <w:rsid w:val="00F05F72"/>
    <w:rsid w:val="00F0622E"/>
    <w:rsid w:val="00F06512"/>
    <w:rsid w:val="00F07B2A"/>
    <w:rsid w:val="00F10AD6"/>
    <w:rsid w:val="00F11326"/>
    <w:rsid w:val="00F11D1F"/>
    <w:rsid w:val="00F11EEF"/>
    <w:rsid w:val="00F1221E"/>
    <w:rsid w:val="00F12492"/>
    <w:rsid w:val="00F13A20"/>
    <w:rsid w:val="00F14502"/>
    <w:rsid w:val="00F15340"/>
    <w:rsid w:val="00F1565F"/>
    <w:rsid w:val="00F165B8"/>
    <w:rsid w:val="00F17292"/>
    <w:rsid w:val="00F17E98"/>
    <w:rsid w:val="00F21089"/>
    <w:rsid w:val="00F21331"/>
    <w:rsid w:val="00F21AEA"/>
    <w:rsid w:val="00F2208F"/>
    <w:rsid w:val="00F221D8"/>
    <w:rsid w:val="00F22A89"/>
    <w:rsid w:val="00F230D6"/>
    <w:rsid w:val="00F23E36"/>
    <w:rsid w:val="00F2456D"/>
    <w:rsid w:val="00F314A8"/>
    <w:rsid w:val="00F317A9"/>
    <w:rsid w:val="00F31D03"/>
    <w:rsid w:val="00F32516"/>
    <w:rsid w:val="00F32831"/>
    <w:rsid w:val="00F32AAC"/>
    <w:rsid w:val="00F32BF8"/>
    <w:rsid w:val="00F336DD"/>
    <w:rsid w:val="00F359C1"/>
    <w:rsid w:val="00F37041"/>
    <w:rsid w:val="00F3724B"/>
    <w:rsid w:val="00F373AF"/>
    <w:rsid w:val="00F4181C"/>
    <w:rsid w:val="00F4252F"/>
    <w:rsid w:val="00F4269D"/>
    <w:rsid w:val="00F4380B"/>
    <w:rsid w:val="00F43CE4"/>
    <w:rsid w:val="00F4591F"/>
    <w:rsid w:val="00F45CFF"/>
    <w:rsid w:val="00F46B1E"/>
    <w:rsid w:val="00F47ECD"/>
    <w:rsid w:val="00F50071"/>
    <w:rsid w:val="00F503D4"/>
    <w:rsid w:val="00F508AD"/>
    <w:rsid w:val="00F50C3E"/>
    <w:rsid w:val="00F51F0A"/>
    <w:rsid w:val="00F530C4"/>
    <w:rsid w:val="00F5349C"/>
    <w:rsid w:val="00F54BDB"/>
    <w:rsid w:val="00F55346"/>
    <w:rsid w:val="00F554A8"/>
    <w:rsid w:val="00F55E88"/>
    <w:rsid w:val="00F561D6"/>
    <w:rsid w:val="00F5656B"/>
    <w:rsid w:val="00F56E63"/>
    <w:rsid w:val="00F576ED"/>
    <w:rsid w:val="00F6202B"/>
    <w:rsid w:val="00F62B0C"/>
    <w:rsid w:val="00F63B01"/>
    <w:rsid w:val="00F65144"/>
    <w:rsid w:val="00F6585B"/>
    <w:rsid w:val="00F67111"/>
    <w:rsid w:val="00F67302"/>
    <w:rsid w:val="00F70D9A"/>
    <w:rsid w:val="00F72792"/>
    <w:rsid w:val="00F73EB4"/>
    <w:rsid w:val="00F74B9F"/>
    <w:rsid w:val="00F76132"/>
    <w:rsid w:val="00F7672A"/>
    <w:rsid w:val="00F77141"/>
    <w:rsid w:val="00F77ADD"/>
    <w:rsid w:val="00F80200"/>
    <w:rsid w:val="00F807EB"/>
    <w:rsid w:val="00F80CC1"/>
    <w:rsid w:val="00F813D0"/>
    <w:rsid w:val="00F81D8C"/>
    <w:rsid w:val="00F831F0"/>
    <w:rsid w:val="00F83DF1"/>
    <w:rsid w:val="00F84178"/>
    <w:rsid w:val="00F84B4F"/>
    <w:rsid w:val="00F84C09"/>
    <w:rsid w:val="00F859B8"/>
    <w:rsid w:val="00F85D44"/>
    <w:rsid w:val="00F85E17"/>
    <w:rsid w:val="00F85E84"/>
    <w:rsid w:val="00F8670B"/>
    <w:rsid w:val="00F90813"/>
    <w:rsid w:val="00F91AC3"/>
    <w:rsid w:val="00F923AF"/>
    <w:rsid w:val="00F924C1"/>
    <w:rsid w:val="00F9278B"/>
    <w:rsid w:val="00F928A7"/>
    <w:rsid w:val="00F92C68"/>
    <w:rsid w:val="00F9353C"/>
    <w:rsid w:val="00F93BE0"/>
    <w:rsid w:val="00F944C3"/>
    <w:rsid w:val="00F95368"/>
    <w:rsid w:val="00F953F4"/>
    <w:rsid w:val="00F958B7"/>
    <w:rsid w:val="00F95E2F"/>
    <w:rsid w:val="00F972EC"/>
    <w:rsid w:val="00F97A28"/>
    <w:rsid w:val="00F97A57"/>
    <w:rsid w:val="00FA138B"/>
    <w:rsid w:val="00FA150E"/>
    <w:rsid w:val="00FA1849"/>
    <w:rsid w:val="00FA27B6"/>
    <w:rsid w:val="00FA2A68"/>
    <w:rsid w:val="00FA2B13"/>
    <w:rsid w:val="00FA2DAC"/>
    <w:rsid w:val="00FA3284"/>
    <w:rsid w:val="00FA3F9C"/>
    <w:rsid w:val="00FA4B45"/>
    <w:rsid w:val="00FA5AB8"/>
    <w:rsid w:val="00FA62B0"/>
    <w:rsid w:val="00FA65B0"/>
    <w:rsid w:val="00FA6BDE"/>
    <w:rsid w:val="00FB0E43"/>
    <w:rsid w:val="00FB0F47"/>
    <w:rsid w:val="00FB2047"/>
    <w:rsid w:val="00FB24F6"/>
    <w:rsid w:val="00FB5FF5"/>
    <w:rsid w:val="00FB6EAF"/>
    <w:rsid w:val="00FC0B30"/>
    <w:rsid w:val="00FC1DF4"/>
    <w:rsid w:val="00FC21DD"/>
    <w:rsid w:val="00FC2C4E"/>
    <w:rsid w:val="00FC3484"/>
    <w:rsid w:val="00FC3FA4"/>
    <w:rsid w:val="00FC4AEB"/>
    <w:rsid w:val="00FC56F2"/>
    <w:rsid w:val="00FC5D9F"/>
    <w:rsid w:val="00FC6624"/>
    <w:rsid w:val="00FC6B91"/>
    <w:rsid w:val="00FC7B10"/>
    <w:rsid w:val="00FD0249"/>
    <w:rsid w:val="00FD02DB"/>
    <w:rsid w:val="00FD2846"/>
    <w:rsid w:val="00FD428F"/>
    <w:rsid w:val="00FD47ED"/>
    <w:rsid w:val="00FD60DC"/>
    <w:rsid w:val="00FD62A3"/>
    <w:rsid w:val="00FD6772"/>
    <w:rsid w:val="00FD78C1"/>
    <w:rsid w:val="00FE1C4B"/>
    <w:rsid w:val="00FE2E69"/>
    <w:rsid w:val="00FE427D"/>
    <w:rsid w:val="00FE4FA9"/>
    <w:rsid w:val="00FE640C"/>
    <w:rsid w:val="00FE76A3"/>
    <w:rsid w:val="00FE7A23"/>
    <w:rsid w:val="00FE7A47"/>
    <w:rsid w:val="00FF113E"/>
    <w:rsid w:val="00FF17C2"/>
    <w:rsid w:val="00FF1DA6"/>
    <w:rsid w:val="00FF2544"/>
    <w:rsid w:val="00FF36A1"/>
    <w:rsid w:val="00FF3DF5"/>
    <w:rsid w:val="00FF5A39"/>
    <w:rsid w:val="00FF6027"/>
    <w:rsid w:val="00FF79E9"/>
    <w:rsid w:val="00FF7AF8"/>
    <w:rsid w:val="00FF7CE8"/>
    <w:rsid w:val="013E6142"/>
    <w:rsid w:val="01400510"/>
    <w:rsid w:val="01487061"/>
    <w:rsid w:val="016A01BB"/>
    <w:rsid w:val="016C7F52"/>
    <w:rsid w:val="0171032E"/>
    <w:rsid w:val="017E0CD4"/>
    <w:rsid w:val="01870E28"/>
    <w:rsid w:val="01AE6892"/>
    <w:rsid w:val="01BB5A85"/>
    <w:rsid w:val="01E53FB7"/>
    <w:rsid w:val="01F47D7D"/>
    <w:rsid w:val="02025A49"/>
    <w:rsid w:val="02117D9A"/>
    <w:rsid w:val="02191D9B"/>
    <w:rsid w:val="023D0B8F"/>
    <w:rsid w:val="024052B3"/>
    <w:rsid w:val="02736452"/>
    <w:rsid w:val="02861773"/>
    <w:rsid w:val="02AD4602"/>
    <w:rsid w:val="02B024CA"/>
    <w:rsid w:val="02CD29AD"/>
    <w:rsid w:val="02CF06CB"/>
    <w:rsid w:val="02D23177"/>
    <w:rsid w:val="02F6588A"/>
    <w:rsid w:val="03011BBD"/>
    <w:rsid w:val="03322828"/>
    <w:rsid w:val="03335BF7"/>
    <w:rsid w:val="034045E1"/>
    <w:rsid w:val="0377219F"/>
    <w:rsid w:val="037C7496"/>
    <w:rsid w:val="038A45B1"/>
    <w:rsid w:val="038B3165"/>
    <w:rsid w:val="038D05CA"/>
    <w:rsid w:val="03991DF6"/>
    <w:rsid w:val="03BD79D0"/>
    <w:rsid w:val="03C87BB2"/>
    <w:rsid w:val="03D63A7B"/>
    <w:rsid w:val="03E56ACA"/>
    <w:rsid w:val="03E73023"/>
    <w:rsid w:val="03EB46D6"/>
    <w:rsid w:val="03EE543B"/>
    <w:rsid w:val="04030A2E"/>
    <w:rsid w:val="041746EC"/>
    <w:rsid w:val="044E4ABB"/>
    <w:rsid w:val="045B089F"/>
    <w:rsid w:val="045D32D2"/>
    <w:rsid w:val="04610B65"/>
    <w:rsid w:val="04754611"/>
    <w:rsid w:val="049D0F9E"/>
    <w:rsid w:val="04DD448F"/>
    <w:rsid w:val="04E00440"/>
    <w:rsid w:val="04E51839"/>
    <w:rsid w:val="04EE67A7"/>
    <w:rsid w:val="05175EF8"/>
    <w:rsid w:val="051D2A33"/>
    <w:rsid w:val="056326BB"/>
    <w:rsid w:val="057236C9"/>
    <w:rsid w:val="057775DB"/>
    <w:rsid w:val="058B20A7"/>
    <w:rsid w:val="05997DCF"/>
    <w:rsid w:val="05F37C6B"/>
    <w:rsid w:val="06082C91"/>
    <w:rsid w:val="0648365F"/>
    <w:rsid w:val="066477F0"/>
    <w:rsid w:val="06693D01"/>
    <w:rsid w:val="068648B3"/>
    <w:rsid w:val="06895483"/>
    <w:rsid w:val="069D362B"/>
    <w:rsid w:val="06A92718"/>
    <w:rsid w:val="06BD4DFE"/>
    <w:rsid w:val="06CF0CCB"/>
    <w:rsid w:val="06F017EE"/>
    <w:rsid w:val="0739271F"/>
    <w:rsid w:val="07457F7A"/>
    <w:rsid w:val="07695036"/>
    <w:rsid w:val="077925F1"/>
    <w:rsid w:val="0781507A"/>
    <w:rsid w:val="078B5EF9"/>
    <w:rsid w:val="078D6D16"/>
    <w:rsid w:val="07902ECF"/>
    <w:rsid w:val="079C0106"/>
    <w:rsid w:val="07A24574"/>
    <w:rsid w:val="07AA2823"/>
    <w:rsid w:val="084F4173"/>
    <w:rsid w:val="08510D99"/>
    <w:rsid w:val="0854499A"/>
    <w:rsid w:val="08585DDB"/>
    <w:rsid w:val="08624EAC"/>
    <w:rsid w:val="08915791"/>
    <w:rsid w:val="08B937DC"/>
    <w:rsid w:val="08C10875"/>
    <w:rsid w:val="08D444F7"/>
    <w:rsid w:val="08DD4061"/>
    <w:rsid w:val="08EC37DE"/>
    <w:rsid w:val="08F901D2"/>
    <w:rsid w:val="09372E66"/>
    <w:rsid w:val="094B31AF"/>
    <w:rsid w:val="09500E2E"/>
    <w:rsid w:val="0958005D"/>
    <w:rsid w:val="095C18FB"/>
    <w:rsid w:val="098175B4"/>
    <w:rsid w:val="098B2CC4"/>
    <w:rsid w:val="09956ADD"/>
    <w:rsid w:val="09A45101"/>
    <w:rsid w:val="09C9734E"/>
    <w:rsid w:val="0A001EC0"/>
    <w:rsid w:val="0A0F25A1"/>
    <w:rsid w:val="0A1B2829"/>
    <w:rsid w:val="0A257181"/>
    <w:rsid w:val="0A2A37E9"/>
    <w:rsid w:val="0A3C576B"/>
    <w:rsid w:val="0A422FB3"/>
    <w:rsid w:val="0A5950C6"/>
    <w:rsid w:val="0A5D3EFB"/>
    <w:rsid w:val="0A6079B5"/>
    <w:rsid w:val="0A6C0264"/>
    <w:rsid w:val="0A761C4B"/>
    <w:rsid w:val="0A7B16EA"/>
    <w:rsid w:val="0AAF344D"/>
    <w:rsid w:val="0AE13F4F"/>
    <w:rsid w:val="0AE808BE"/>
    <w:rsid w:val="0AEC06CF"/>
    <w:rsid w:val="0AEF054D"/>
    <w:rsid w:val="0AF435A2"/>
    <w:rsid w:val="0B12511B"/>
    <w:rsid w:val="0B296CE4"/>
    <w:rsid w:val="0B3A6267"/>
    <w:rsid w:val="0B3A641A"/>
    <w:rsid w:val="0B594944"/>
    <w:rsid w:val="0B65165E"/>
    <w:rsid w:val="0B974F13"/>
    <w:rsid w:val="0BB2614A"/>
    <w:rsid w:val="0BBE4AEF"/>
    <w:rsid w:val="0BC0620D"/>
    <w:rsid w:val="0BD065D0"/>
    <w:rsid w:val="0BD7170D"/>
    <w:rsid w:val="0BE6720B"/>
    <w:rsid w:val="0BF16C73"/>
    <w:rsid w:val="0C0207A0"/>
    <w:rsid w:val="0C0250A9"/>
    <w:rsid w:val="0C2A7A8F"/>
    <w:rsid w:val="0C395F24"/>
    <w:rsid w:val="0C5E6F19"/>
    <w:rsid w:val="0C664690"/>
    <w:rsid w:val="0C7E602C"/>
    <w:rsid w:val="0C8F54F8"/>
    <w:rsid w:val="0C996D0F"/>
    <w:rsid w:val="0CA67734"/>
    <w:rsid w:val="0CB605B2"/>
    <w:rsid w:val="0CBE28CD"/>
    <w:rsid w:val="0CCC7052"/>
    <w:rsid w:val="0CE1352E"/>
    <w:rsid w:val="0CF62067"/>
    <w:rsid w:val="0D04544B"/>
    <w:rsid w:val="0D121D30"/>
    <w:rsid w:val="0D1610C7"/>
    <w:rsid w:val="0D206730"/>
    <w:rsid w:val="0D222E5C"/>
    <w:rsid w:val="0D2239C4"/>
    <w:rsid w:val="0D343080"/>
    <w:rsid w:val="0D3774B9"/>
    <w:rsid w:val="0D4E61AA"/>
    <w:rsid w:val="0D580769"/>
    <w:rsid w:val="0D647C26"/>
    <w:rsid w:val="0D765BAB"/>
    <w:rsid w:val="0D80664F"/>
    <w:rsid w:val="0D8D580E"/>
    <w:rsid w:val="0D921D8F"/>
    <w:rsid w:val="0DB5292F"/>
    <w:rsid w:val="0DB5782C"/>
    <w:rsid w:val="0DC7171A"/>
    <w:rsid w:val="0DCB704F"/>
    <w:rsid w:val="0E03078E"/>
    <w:rsid w:val="0E8A189E"/>
    <w:rsid w:val="0E927B6D"/>
    <w:rsid w:val="0E9A1802"/>
    <w:rsid w:val="0EA0672E"/>
    <w:rsid w:val="0EAD49A7"/>
    <w:rsid w:val="0EBC4CE1"/>
    <w:rsid w:val="0ED076B8"/>
    <w:rsid w:val="0EE32511"/>
    <w:rsid w:val="0EEE4073"/>
    <w:rsid w:val="0F0C2776"/>
    <w:rsid w:val="0F1C5AB1"/>
    <w:rsid w:val="0F1E4D8B"/>
    <w:rsid w:val="0F2A439D"/>
    <w:rsid w:val="0F51077D"/>
    <w:rsid w:val="0F6E1D32"/>
    <w:rsid w:val="0F9B703C"/>
    <w:rsid w:val="0FCB4C04"/>
    <w:rsid w:val="0FDA78BE"/>
    <w:rsid w:val="10161AA2"/>
    <w:rsid w:val="10354754"/>
    <w:rsid w:val="10374E70"/>
    <w:rsid w:val="10565011"/>
    <w:rsid w:val="106B68C8"/>
    <w:rsid w:val="108F5338"/>
    <w:rsid w:val="10C6242F"/>
    <w:rsid w:val="10C76C75"/>
    <w:rsid w:val="10E8616A"/>
    <w:rsid w:val="113E7285"/>
    <w:rsid w:val="114E4952"/>
    <w:rsid w:val="115F6379"/>
    <w:rsid w:val="11736521"/>
    <w:rsid w:val="117F262B"/>
    <w:rsid w:val="11A90AD1"/>
    <w:rsid w:val="11AB4776"/>
    <w:rsid w:val="11B06AED"/>
    <w:rsid w:val="11B11828"/>
    <w:rsid w:val="11F34DC7"/>
    <w:rsid w:val="11F823DD"/>
    <w:rsid w:val="12096398"/>
    <w:rsid w:val="122A3381"/>
    <w:rsid w:val="12331B28"/>
    <w:rsid w:val="12394ECF"/>
    <w:rsid w:val="12437033"/>
    <w:rsid w:val="12562B3D"/>
    <w:rsid w:val="12627D31"/>
    <w:rsid w:val="129C00FF"/>
    <w:rsid w:val="12D544CC"/>
    <w:rsid w:val="12D9220E"/>
    <w:rsid w:val="12E3308D"/>
    <w:rsid w:val="13086650"/>
    <w:rsid w:val="131A45F5"/>
    <w:rsid w:val="131E4F9F"/>
    <w:rsid w:val="1341293A"/>
    <w:rsid w:val="13516249"/>
    <w:rsid w:val="135F1190"/>
    <w:rsid w:val="13661495"/>
    <w:rsid w:val="13712ABD"/>
    <w:rsid w:val="13770A7B"/>
    <w:rsid w:val="1398096B"/>
    <w:rsid w:val="13BF7656"/>
    <w:rsid w:val="13C133CE"/>
    <w:rsid w:val="13C7650B"/>
    <w:rsid w:val="13CC1D73"/>
    <w:rsid w:val="13CF4D2E"/>
    <w:rsid w:val="13D73925"/>
    <w:rsid w:val="13FA1540"/>
    <w:rsid w:val="14041536"/>
    <w:rsid w:val="14362982"/>
    <w:rsid w:val="143B0298"/>
    <w:rsid w:val="14962EC2"/>
    <w:rsid w:val="14987946"/>
    <w:rsid w:val="14BB6070"/>
    <w:rsid w:val="14D3313A"/>
    <w:rsid w:val="14F45A02"/>
    <w:rsid w:val="14FF2105"/>
    <w:rsid w:val="150514FF"/>
    <w:rsid w:val="1512435C"/>
    <w:rsid w:val="15143C62"/>
    <w:rsid w:val="152A28AA"/>
    <w:rsid w:val="15476888"/>
    <w:rsid w:val="154A639A"/>
    <w:rsid w:val="154C170D"/>
    <w:rsid w:val="157C3D4D"/>
    <w:rsid w:val="15A21F5B"/>
    <w:rsid w:val="15A24B3A"/>
    <w:rsid w:val="15AC299F"/>
    <w:rsid w:val="15B96502"/>
    <w:rsid w:val="15E4684F"/>
    <w:rsid w:val="15F7475F"/>
    <w:rsid w:val="16073D85"/>
    <w:rsid w:val="163D3746"/>
    <w:rsid w:val="164125A5"/>
    <w:rsid w:val="164505CF"/>
    <w:rsid w:val="164D4641"/>
    <w:rsid w:val="166678CD"/>
    <w:rsid w:val="166D15EC"/>
    <w:rsid w:val="166F5BD0"/>
    <w:rsid w:val="168B3166"/>
    <w:rsid w:val="169C0DE5"/>
    <w:rsid w:val="16BB359B"/>
    <w:rsid w:val="16D57191"/>
    <w:rsid w:val="16DB49FE"/>
    <w:rsid w:val="16F730AB"/>
    <w:rsid w:val="16FB161F"/>
    <w:rsid w:val="16FB4714"/>
    <w:rsid w:val="1722635E"/>
    <w:rsid w:val="17227EEF"/>
    <w:rsid w:val="172929E1"/>
    <w:rsid w:val="1740285C"/>
    <w:rsid w:val="177B5642"/>
    <w:rsid w:val="1791376A"/>
    <w:rsid w:val="17981227"/>
    <w:rsid w:val="179E5F5B"/>
    <w:rsid w:val="17A8050E"/>
    <w:rsid w:val="17AF2347"/>
    <w:rsid w:val="17CF598E"/>
    <w:rsid w:val="17D265C6"/>
    <w:rsid w:val="17E63029"/>
    <w:rsid w:val="17F35A99"/>
    <w:rsid w:val="17F35C26"/>
    <w:rsid w:val="18023CC5"/>
    <w:rsid w:val="180970F2"/>
    <w:rsid w:val="18273270"/>
    <w:rsid w:val="184156D9"/>
    <w:rsid w:val="185870F6"/>
    <w:rsid w:val="185A5BA0"/>
    <w:rsid w:val="185E1616"/>
    <w:rsid w:val="18700F1F"/>
    <w:rsid w:val="187443B5"/>
    <w:rsid w:val="187C560F"/>
    <w:rsid w:val="188002B6"/>
    <w:rsid w:val="189E7BBD"/>
    <w:rsid w:val="18A7154F"/>
    <w:rsid w:val="18F337F1"/>
    <w:rsid w:val="18FD2BF4"/>
    <w:rsid w:val="1901769A"/>
    <w:rsid w:val="19041DFD"/>
    <w:rsid w:val="190F6CF2"/>
    <w:rsid w:val="192341E3"/>
    <w:rsid w:val="19362B76"/>
    <w:rsid w:val="1937113F"/>
    <w:rsid w:val="19425B5F"/>
    <w:rsid w:val="196565AA"/>
    <w:rsid w:val="198C1D89"/>
    <w:rsid w:val="19C735F4"/>
    <w:rsid w:val="19DA68F5"/>
    <w:rsid w:val="19DA6AB7"/>
    <w:rsid w:val="1A0A7151"/>
    <w:rsid w:val="1A0C5D47"/>
    <w:rsid w:val="1A0F4A12"/>
    <w:rsid w:val="1A1279D3"/>
    <w:rsid w:val="1A1A3838"/>
    <w:rsid w:val="1A4C776A"/>
    <w:rsid w:val="1A9B38A8"/>
    <w:rsid w:val="1AB96564"/>
    <w:rsid w:val="1AC217DA"/>
    <w:rsid w:val="1ACC7231"/>
    <w:rsid w:val="1AEA6E72"/>
    <w:rsid w:val="1AF441B3"/>
    <w:rsid w:val="1AF96B4E"/>
    <w:rsid w:val="1B0465B7"/>
    <w:rsid w:val="1B4A2395"/>
    <w:rsid w:val="1B4A423D"/>
    <w:rsid w:val="1BB11859"/>
    <w:rsid w:val="1BDB35BB"/>
    <w:rsid w:val="1BEF65FF"/>
    <w:rsid w:val="1C00080C"/>
    <w:rsid w:val="1C420E24"/>
    <w:rsid w:val="1C54484E"/>
    <w:rsid w:val="1C746B04"/>
    <w:rsid w:val="1C772307"/>
    <w:rsid w:val="1C7F2FA0"/>
    <w:rsid w:val="1C907DE2"/>
    <w:rsid w:val="1CAB3BF7"/>
    <w:rsid w:val="1CB26B0F"/>
    <w:rsid w:val="1CB37696"/>
    <w:rsid w:val="1CBF3A55"/>
    <w:rsid w:val="1CC4179D"/>
    <w:rsid w:val="1CD85692"/>
    <w:rsid w:val="1CED6FE2"/>
    <w:rsid w:val="1CF00880"/>
    <w:rsid w:val="1CF43B4B"/>
    <w:rsid w:val="1CFA525B"/>
    <w:rsid w:val="1D0250B6"/>
    <w:rsid w:val="1D1F1166"/>
    <w:rsid w:val="1D4A2C5A"/>
    <w:rsid w:val="1D567C3A"/>
    <w:rsid w:val="1D6F25F7"/>
    <w:rsid w:val="1D7449EF"/>
    <w:rsid w:val="1D781C47"/>
    <w:rsid w:val="1D81597C"/>
    <w:rsid w:val="1DB149DD"/>
    <w:rsid w:val="1DB6064F"/>
    <w:rsid w:val="1DBD52B0"/>
    <w:rsid w:val="1DCB0AEE"/>
    <w:rsid w:val="1E176FB9"/>
    <w:rsid w:val="1E4712C6"/>
    <w:rsid w:val="1E673D3D"/>
    <w:rsid w:val="1E6A01BF"/>
    <w:rsid w:val="1E7F2C2C"/>
    <w:rsid w:val="1E9811D0"/>
    <w:rsid w:val="1E9868A2"/>
    <w:rsid w:val="1EA638ED"/>
    <w:rsid w:val="1EAD0A1F"/>
    <w:rsid w:val="1EB71F3E"/>
    <w:rsid w:val="1EB74A99"/>
    <w:rsid w:val="1ED1023E"/>
    <w:rsid w:val="1EE01429"/>
    <w:rsid w:val="1EE75CB3"/>
    <w:rsid w:val="1EE85542"/>
    <w:rsid w:val="1EF33E2A"/>
    <w:rsid w:val="1F2F3097"/>
    <w:rsid w:val="1F3E460F"/>
    <w:rsid w:val="1F551C40"/>
    <w:rsid w:val="1F7B6C4E"/>
    <w:rsid w:val="1F8322E8"/>
    <w:rsid w:val="1F866155"/>
    <w:rsid w:val="1F876B35"/>
    <w:rsid w:val="1FA2065C"/>
    <w:rsid w:val="1FAD10BC"/>
    <w:rsid w:val="1FAF62EA"/>
    <w:rsid w:val="1FDE2C12"/>
    <w:rsid w:val="20022F84"/>
    <w:rsid w:val="202F2BD0"/>
    <w:rsid w:val="203F5B3D"/>
    <w:rsid w:val="204F3608"/>
    <w:rsid w:val="206A5E0A"/>
    <w:rsid w:val="2080016D"/>
    <w:rsid w:val="20D66A63"/>
    <w:rsid w:val="20D804FC"/>
    <w:rsid w:val="20DE3A5A"/>
    <w:rsid w:val="20F1517E"/>
    <w:rsid w:val="20F20F4F"/>
    <w:rsid w:val="20F94C23"/>
    <w:rsid w:val="211F5974"/>
    <w:rsid w:val="212F1626"/>
    <w:rsid w:val="214411D1"/>
    <w:rsid w:val="2173382E"/>
    <w:rsid w:val="218B2359"/>
    <w:rsid w:val="218D0364"/>
    <w:rsid w:val="21A9151F"/>
    <w:rsid w:val="21B20D2C"/>
    <w:rsid w:val="21DF0A9F"/>
    <w:rsid w:val="21E07116"/>
    <w:rsid w:val="21E464DA"/>
    <w:rsid w:val="21EA5073"/>
    <w:rsid w:val="21F94973"/>
    <w:rsid w:val="22060775"/>
    <w:rsid w:val="220B6382"/>
    <w:rsid w:val="22547B9D"/>
    <w:rsid w:val="2256365C"/>
    <w:rsid w:val="226B2CA0"/>
    <w:rsid w:val="22787AA7"/>
    <w:rsid w:val="228757E3"/>
    <w:rsid w:val="228C0135"/>
    <w:rsid w:val="229C0EB6"/>
    <w:rsid w:val="22AF3357"/>
    <w:rsid w:val="22E04EF3"/>
    <w:rsid w:val="231132FF"/>
    <w:rsid w:val="23205B07"/>
    <w:rsid w:val="232103BC"/>
    <w:rsid w:val="233D416C"/>
    <w:rsid w:val="23660F98"/>
    <w:rsid w:val="23683A67"/>
    <w:rsid w:val="236C6748"/>
    <w:rsid w:val="23834D68"/>
    <w:rsid w:val="2398757C"/>
    <w:rsid w:val="23AD1F42"/>
    <w:rsid w:val="23BD39A1"/>
    <w:rsid w:val="23C40EA4"/>
    <w:rsid w:val="23D36806"/>
    <w:rsid w:val="24166BE4"/>
    <w:rsid w:val="245D7C76"/>
    <w:rsid w:val="24761396"/>
    <w:rsid w:val="2479115B"/>
    <w:rsid w:val="24855D52"/>
    <w:rsid w:val="24B01733"/>
    <w:rsid w:val="24CF6FCD"/>
    <w:rsid w:val="24D4758B"/>
    <w:rsid w:val="24D76C52"/>
    <w:rsid w:val="24DC060B"/>
    <w:rsid w:val="24F7782A"/>
    <w:rsid w:val="24FA60A9"/>
    <w:rsid w:val="2520267C"/>
    <w:rsid w:val="252730D0"/>
    <w:rsid w:val="252A0F96"/>
    <w:rsid w:val="2551575A"/>
    <w:rsid w:val="256A69E2"/>
    <w:rsid w:val="25854FDA"/>
    <w:rsid w:val="258C6F34"/>
    <w:rsid w:val="258F5749"/>
    <w:rsid w:val="25B338DF"/>
    <w:rsid w:val="25BC5F42"/>
    <w:rsid w:val="25C40AFC"/>
    <w:rsid w:val="25CC1282"/>
    <w:rsid w:val="25CE5E0B"/>
    <w:rsid w:val="25E22D30"/>
    <w:rsid w:val="25EC325C"/>
    <w:rsid w:val="25F34960"/>
    <w:rsid w:val="25F45CDE"/>
    <w:rsid w:val="25F84030"/>
    <w:rsid w:val="25FA451E"/>
    <w:rsid w:val="26146435"/>
    <w:rsid w:val="26374589"/>
    <w:rsid w:val="26594E92"/>
    <w:rsid w:val="265C33EF"/>
    <w:rsid w:val="26670585"/>
    <w:rsid w:val="266A3452"/>
    <w:rsid w:val="269C2D7B"/>
    <w:rsid w:val="269E30FB"/>
    <w:rsid w:val="26A073FE"/>
    <w:rsid w:val="26A83F7A"/>
    <w:rsid w:val="26AB699A"/>
    <w:rsid w:val="26B90F58"/>
    <w:rsid w:val="26DC4B2B"/>
    <w:rsid w:val="26EC0CDA"/>
    <w:rsid w:val="26F31995"/>
    <w:rsid w:val="2719643C"/>
    <w:rsid w:val="272B0BDB"/>
    <w:rsid w:val="27815D89"/>
    <w:rsid w:val="2795753E"/>
    <w:rsid w:val="27987F45"/>
    <w:rsid w:val="279F6C39"/>
    <w:rsid w:val="27BA1630"/>
    <w:rsid w:val="27BB404B"/>
    <w:rsid w:val="27F76438"/>
    <w:rsid w:val="27F867C2"/>
    <w:rsid w:val="27FB6E4D"/>
    <w:rsid w:val="280C4004"/>
    <w:rsid w:val="281D4B59"/>
    <w:rsid w:val="284D4DD9"/>
    <w:rsid w:val="28557D42"/>
    <w:rsid w:val="285A68BB"/>
    <w:rsid w:val="285B5B40"/>
    <w:rsid w:val="288E0DB4"/>
    <w:rsid w:val="289F315B"/>
    <w:rsid w:val="28A47B0E"/>
    <w:rsid w:val="28B07116"/>
    <w:rsid w:val="28B44E58"/>
    <w:rsid w:val="28B906FD"/>
    <w:rsid w:val="28C04521"/>
    <w:rsid w:val="28F47925"/>
    <w:rsid w:val="2916736D"/>
    <w:rsid w:val="291D4049"/>
    <w:rsid w:val="29213544"/>
    <w:rsid w:val="2936514F"/>
    <w:rsid w:val="29385A89"/>
    <w:rsid w:val="2964748D"/>
    <w:rsid w:val="29736AD1"/>
    <w:rsid w:val="297445E7"/>
    <w:rsid w:val="297A554F"/>
    <w:rsid w:val="2983100E"/>
    <w:rsid w:val="298C18BF"/>
    <w:rsid w:val="29AD05C7"/>
    <w:rsid w:val="29B141BC"/>
    <w:rsid w:val="29B36EBE"/>
    <w:rsid w:val="29CC164F"/>
    <w:rsid w:val="29CC2C00"/>
    <w:rsid w:val="29DF7CB3"/>
    <w:rsid w:val="29ED4E9B"/>
    <w:rsid w:val="2A0D5455"/>
    <w:rsid w:val="2A257680"/>
    <w:rsid w:val="2A484E4A"/>
    <w:rsid w:val="2A7B6314"/>
    <w:rsid w:val="2A7C47AD"/>
    <w:rsid w:val="2ABB67E2"/>
    <w:rsid w:val="2AC401FA"/>
    <w:rsid w:val="2AC45028"/>
    <w:rsid w:val="2AC751F7"/>
    <w:rsid w:val="2AD96DF8"/>
    <w:rsid w:val="2AF953C0"/>
    <w:rsid w:val="2B0D6AA1"/>
    <w:rsid w:val="2B3D29C6"/>
    <w:rsid w:val="2B4275B5"/>
    <w:rsid w:val="2B5D3585"/>
    <w:rsid w:val="2B5D5796"/>
    <w:rsid w:val="2B681F2A"/>
    <w:rsid w:val="2B936FA7"/>
    <w:rsid w:val="2B9D27DE"/>
    <w:rsid w:val="2BBA4E38"/>
    <w:rsid w:val="2BC16673"/>
    <w:rsid w:val="2BDD6474"/>
    <w:rsid w:val="2C0808CC"/>
    <w:rsid w:val="2C212804"/>
    <w:rsid w:val="2C41606A"/>
    <w:rsid w:val="2C4608D4"/>
    <w:rsid w:val="2C5D738B"/>
    <w:rsid w:val="2C7D1A05"/>
    <w:rsid w:val="2C7E7C57"/>
    <w:rsid w:val="2C8E52D8"/>
    <w:rsid w:val="2C99629B"/>
    <w:rsid w:val="2CBA225B"/>
    <w:rsid w:val="2CCE7FC5"/>
    <w:rsid w:val="2CD00048"/>
    <w:rsid w:val="2CD82C82"/>
    <w:rsid w:val="2CDF3E80"/>
    <w:rsid w:val="2D0F571B"/>
    <w:rsid w:val="2D175B0F"/>
    <w:rsid w:val="2D493D34"/>
    <w:rsid w:val="2D67599E"/>
    <w:rsid w:val="2D79317B"/>
    <w:rsid w:val="2D80355B"/>
    <w:rsid w:val="2D841EA0"/>
    <w:rsid w:val="2D856A36"/>
    <w:rsid w:val="2DB75BCD"/>
    <w:rsid w:val="2DBC5AD2"/>
    <w:rsid w:val="2DC57B98"/>
    <w:rsid w:val="2DE721FE"/>
    <w:rsid w:val="2DF81343"/>
    <w:rsid w:val="2E4A5917"/>
    <w:rsid w:val="2E5C49F3"/>
    <w:rsid w:val="2E6210AD"/>
    <w:rsid w:val="2E680266"/>
    <w:rsid w:val="2E6817D1"/>
    <w:rsid w:val="2E750704"/>
    <w:rsid w:val="2E7850EE"/>
    <w:rsid w:val="2E8955AE"/>
    <w:rsid w:val="2E9C2EB5"/>
    <w:rsid w:val="2EA72D69"/>
    <w:rsid w:val="2EA96AE1"/>
    <w:rsid w:val="2EAD65D1"/>
    <w:rsid w:val="2EB06528"/>
    <w:rsid w:val="2EB22F79"/>
    <w:rsid w:val="2EC851B9"/>
    <w:rsid w:val="2ED95618"/>
    <w:rsid w:val="2EE30245"/>
    <w:rsid w:val="2EED4C20"/>
    <w:rsid w:val="2EFF3C16"/>
    <w:rsid w:val="2F1D6A90"/>
    <w:rsid w:val="2F3A4228"/>
    <w:rsid w:val="2F610526"/>
    <w:rsid w:val="2FA55E25"/>
    <w:rsid w:val="2FC5732C"/>
    <w:rsid w:val="301D32E3"/>
    <w:rsid w:val="302B36F5"/>
    <w:rsid w:val="30556F21"/>
    <w:rsid w:val="306A3694"/>
    <w:rsid w:val="30896BCA"/>
    <w:rsid w:val="308E5F8F"/>
    <w:rsid w:val="30946EF8"/>
    <w:rsid w:val="30D7380A"/>
    <w:rsid w:val="30E22886"/>
    <w:rsid w:val="30EE5349"/>
    <w:rsid w:val="30F229C1"/>
    <w:rsid w:val="30F4607F"/>
    <w:rsid w:val="30FA5557"/>
    <w:rsid w:val="310D7A32"/>
    <w:rsid w:val="313C62A7"/>
    <w:rsid w:val="314324C0"/>
    <w:rsid w:val="31532CF3"/>
    <w:rsid w:val="31676263"/>
    <w:rsid w:val="317034CA"/>
    <w:rsid w:val="31914D7B"/>
    <w:rsid w:val="319C655D"/>
    <w:rsid w:val="31D00715"/>
    <w:rsid w:val="31D81DF5"/>
    <w:rsid w:val="31E8672B"/>
    <w:rsid w:val="31EA18EB"/>
    <w:rsid w:val="31EC2517"/>
    <w:rsid w:val="321626E0"/>
    <w:rsid w:val="321C4ABD"/>
    <w:rsid w:val="321D3B8B"/>
    <w:rsid w:val="32665B17"/>
    <w:rsid w:val="329F2702"/>
    <w:rsid w:val="32A71383"/>
    <w:rsid w:val="32A83B48"/>
    <w:rsid w:val="32D01EE4"/>
    <w:rsid w:val="32D66DEB"/>
    <w:rsid w:val="32DD4702"/>
    <w:rsid w:val="32E60304"/>
    <w:rsid w:val="32EB76C8"/>
    <w:rsid w:val="32EC53FE"/>
    <w:rsid w:val="32EE1632"/>
    <w:rsid w:val="32FF7360"/>
    <w:rsid w:val="33274478"/>
    <w:rsid w:val="332E1518"/>
    <w:rsid w:val="339F4F36"/>
    <w:rsid w:val="33B61854"/>
    <w:rsid w:val="33B67F0A"/>
    <w:rsid w:val="33B92857"/>
    <w:rsid w:val="33C2379D"/>
    <w:rsid w:val="33C36AF4"/>
    <w:rsid w:val="33CF2B46"/>
    <w:rsid w:val="33DC6096"/>
    <w:rsid w:val="33E365F1"/>
    <w:rsid w:val="33E800AC"/>
    <w:rsid w:val="34256A40"/>
    <w:rsid w:val="34386968"/>
    <w:rsid w:val="343E2CB6"/>
    <w:rsid w:val="34525525"/>
    <w:rsid w:val="347F6325"/>
    <w:rsid w:val="34A915E9"/>
    <w:rsid w:val="34C61D8E"/>
    <w:rsid w:val="34D67F04"/>
    <w:rsid w:val="34DD2ED4"/>
    <w:rsid w:val="34E75B5E"/>
    <w:rsid w:val="34F211E2"/>
    <w:rsid w:val="34FF745B"/>
    <w:rsid w:val="350C0F78"/>
    <w:rsid w:val="351B79F9"/>
    <w:rsid w:val="35576593"/>
    <w:rsid w:val="357A6C57"/>
    <w:rsid w:val="358C3C84"/>
    <w:rsid w:val="35996DC6"/>
    <w:rsid w:val="35A12471"/>
    <w:rsid w:val="35AB1A6F"/>
    <w:rsid w:val="35B069A7"/>
    <w:rsid w:val="35B20F83"/>
    <w:rsid w:val="35D82940"/>
    <w:rsid w:val="35DD0F32"/>
    <w:rsid w:val="35E74D84"/>
    <w:rsid w:val="35E86141"/>
    <w:rsid w:val="362F3D70"/>
    <w:rsid w:val="36411F53"/>
    <w:rsid w:val="36420539"/>
    <w:rsid w:val="364D41F6"/>
    <w:rsid w:val="366E2673"/>
    <w:rsid w:val="36862240"/>
    <w:rsid w:val="36AB58D9"/>
    <w:rsid w:val="36C56DAA"/>
    <w:rsid w:val="36D71630"/>
    <w:rsid w:val="36FA5AE9"/>
    <w:rsid w:val="36FA653A"/>
    <w:rsid w:val="36FE1B8D"/>
    <w:rsid w:val="37140E8B"/>
    <w:rsid w:val="371D603F"/>
    <w:rsid w:val="37362EDC"/>
    <w:rsid w:val="37384EA6"/>
    <w:rsid w:val="37506465"/>
    <w:rsid w:val="3794471B"/>
    <w:rsid w:val="37BE0FAA"/>
    <w:rsid w:val="381A45AC"/>
    <w:rsid w:val="382D0783"/>
    <w:rsid w:val="38367638"/>
    <w:rsid w:val="38380E3A"/>
    <w:rsid w:val="384855BD"/>
    <w:rsid w:val="384C4EE6"/>
    <w:rsid w:val="385B52F0"/>
    <w:rsid w:val="385C0411"/>
    <w:rsid w:val="385F61B1"/>
    <w:rsid w:val="3874005A"/>
    <w:rsid w:val="38795776"/>
    <w:rsid w:val="3889319A"/>
    <w:rsid w:val="38903D2C"/>
    <w:rsid w:val="38947D5A"/>
    <w:rsid w:val="38997BC6"/>
    <w:rsid w:val="38A07E51"/>
    <w:rsid w:val="38A72900"/>
    <w:rsid w:val="38CB5117"/>
    <w:rsid w:val="38CF1DA1"/>
    <w:rsid w:val="38D65192"/>
    <w:rsid w:val="38DB01DF"/>
    <w:rsid w:val="390037A2"/>
    <w:rsid w:val="3915707C"/>
    <w:rsid w:val="39194863"/>
    <w:rsid w:val="3938118D"/>
    <w:rsid w:val="393D1D20"/>
    <w:rsid w:val="3970469A"/>
    <w:rsid w:val="398F0CF0"/>
    <w:rsid w:val="39AD4B5A"/>
    <w:rsid w:val="39B65C43"/>
    <w:rsid w:val="39BA083F"/>
    <w:rsid w:val="39C25E9B"/>
    <w:rsid w:val="39E135D3"/>
    <w:rsid w:val="39EC3D26"/>
    <w:rsid w:val="39FF1CAB"/>
    <w:rsid w:val="3A030438"/>
    <w:rsid w:val="3A196098"/>
    <w:rsid w:val="3A3179D9"/>
    <w:rsid w:val="3A3A2120"/>
    <w:rsid w:val="3A8B6084"/>
    <w:rsid w:val="3AA47DFB"/>
    <w:rsid w:val="3AA770AD"/>
    <w:rsid w:val="3AAB5C37"/>
    <w:rsid w:val="3AB74334"/>
    <w:rsid w:val="3AB962FE"/>
    <w:rsid w:val="3ABF40D7"/>
    <w:rsid w:val="3AE944A0"/>
    <w:rsid w:val="3B4451E0"/>
    <w:rsid w:val="3B512EF5"/>
    <w:rsid w:val="3B581673"/>
    <w:rsid w:val="3B595FB6"/>
    <w:rsid w:val="3B844933"/>
    <w:rsid w:val="3B854432"/>
    <w:rsid w:val="3B8A09D6"/>
    <w:rsid w:val="3B8E32E7"/>
    <w:rsid w:val="3B9E6677"/>
    <w:rsid w:val="3BAC5E63"/>
    <w:rsid w:val="3BC9431F"/>
    <w:rsid w:val="3BD3619A"/>
    <w:rsid w:val="3BFD29C1"/>
    <w:rsid w:val="3C0E2679"/>
    <w:rsid w:val="3C1B5079"/>
    <w:rsid w:val="3C277297"/>
    <w:rsid w:val="3C2D7ADD"/>
    <w:rsid w:val="3C4542ED"/>
    <w:rsid w:val="3C4E39CD"/>
    <w:rsid w:val="3C5138AA"/>
    <w:rsid w:val="3C6A3E70"/>
    <w:rsid w:val="3C7E77FF"/>
    <w:rsid w:val="3C817C71"/>
    <w:rsid w:val="3C8A7F52"/>
    <w:rsid w:val="3C9660FE"/>
    <w:rsid w:val="3CA97E63"/>
    <w:rsid w:val="3CCF6100"/>
    <w:rsid w:val="3CD134B8"/>
    <w:rsid w:val="3CD57615"/>
    <w:rsid w:val="3CE22CBB"/>
    <w:rsid w:val="3CE73C8A"/>
    <w:rsid w:val="3D040D44"/>
    <w:rsid w:val="3D135CCE"/>
    <w:rsid w:val="3D195573"/>
    <w:rsid w:val="3D1C6A18"/>
    <w:rsid w:val="3D2471D0"/>
    <w:rsid w:val="3D424389"/>
    <w:rsid w:val="3D781C67"/>
    <w:rsid w:val="3D8159C9"/>
    <w:rsid w:val="3D9F7C91"/>
    <w:rsid w:val="3DBF3C2B"/>
    <w:rsid w:val="3DDC33E5"/>
    <w:rsid w:val="3DE23DBE"/>
    <w:rsid w:val="3E2311CF"/>
    <w:rsid w:val="3E2665A0"/>
    <w:rsid w:val="3E2B306F"/>
    <w:rsid w:val="3E4E4854"/>
    <w:rsid w:val="3E6E73FF"/>
    <w:rsid w:val="3EDB2CE7"/>
    <w:rsid w:val="3EEA4C78"/>
    <w:rsid w:val="3EF913BF"/>
    <w:rsid w:val="3EFD1EF6"/>
    <w:rsid w:val="3F0769F5"/>
    <w:rsid w:val="3F2C52F0"/>
    <w:rsid w:val="3F455215"/>
    <w:rsid w:val="3F4B0972"/>
    <w:rsid w:val="3F4F0CAA"/>
    <w:rsid w:val="3F506134"/>
    <w:rsid w:val="3F595E79"/>
    <w:rsid w:val="3F6E0A27"/>
    <w:rsid w:val="3F7171A7"/>
    <w:rsid w:val="3F8844F1"/>
    <w:rsid w:val="3FA255B3"/>
    <w:rsid w:val="3FAE03FB"/>
    <w:rsid w:val="3FB52D64"/>
    <w:rsid w:val="3FBF0A6D"/>
    <w:rsid w:val="3FEC5FE2"/>
    <w:rsid w:val="3FF64493"/>
    <w:rsid w:val="3FFD67E9"/>
    <w:rsid w:val="400D721A"/>
    <w:rsid w:val="401D7358"/>
    <w:rsid w:val="404B5C4A"/>
    <w:rsid w:val="404D7268"/>
    <w:rsid w:val="4056454A"/>
    <w:rsid w:val="40580367"/>
    <w:rsid w:val="40612CE2"/>
    <w:rsid w:val="4074086B"/>
    <w:rsid w:val="407D15E1"/>
    <w:rsid w:val="40953369"/>
    <w:rsid w:val="40C11156"/>
    <w:rsid w:val="40DC7E04"/>
    <w:rsid w:val="40E83499"/>
    <w:rsid w:val="40E8793D"/>
    <w:rsid w:val="40EA07CA"/>
    <w:rsid w:val="40EA21FC"/>
    <w:rsid w:val="40F5239B"/>
    <w:rsid w:val="410224A6"/>
    <w:rsid w:val="41171FD0"/>
    <w:rsid w:val="411729C9"/>
    <w:rsid w:val="4189084C"/>
    <w:rsid w:val="419F046E"/>
    <w:rsid w:val="41AE2AE1"/>
    <w:rsid w:val="41C4752F"/>
    <w:rsid w:val="41DB0935"/>
    <w:rsid w:val="41E77BCB"/>
    <w:rsid w:val="41F32FFC"/>
    <w:rsid w:val="41FB60E0"/>
    <w:rsid w:val="42084E57"/>
    <w:rsid w:val="42776664"/>
    <w:rsid w:val="4281387F"/>
    <w:rsid w:val="42AD0B99"/>
    <w:rsid w:val="42BA39DA"/>
    <w:rsid w:val="42C95D30"/>
    <w:rsid w:val="42D47153"/>
    <w:rsid w:val="42D53EF1"/>
    <w:rsid w:val="42E1759B"/>
    <w:rsid w:val="431C2747"/>
    <w:rsid w:val="433B01F8"/>
    <w:rsid w:val="434748F5"/>
    <w:rsid w:val="434F0AF0"/>
    <w:rsid w:val="434F663A"/>
    <w:rsid w:val="435009E5"/>
    <w:rsid w:val="43567AA0"/>
    <w:rsid w:val="437829D6"/>
    <w:rsid w:val="43791D5B"/>
    <w:rsid w:val="43866F99"/>
    <w:rsid w:val="438D2C31"/>
    <w:rsid w:val="43942F73"/>
    <w:rsid w:val="43A20E8C"/>
    <w:rsid w:val="43B0446E"/>
    <w:rsid w:val="43CC70A2"/>
    <w:rsid w:val="43FC08F6"/>
    <w:rsid w:val="44125D20"/>
    <w:rsid w:val="44493F6A"/>
    <w:rsid w:val="44727C49"/>
    <w:rsid w:val="447F5EC2"/>
    <w:rsid w:val="448D5F1C"/>
    <w:rsid w:val="44B14A2D"/>
    <w:rsid w:val="44B65CF0"/>
    <w:rsid w:val="44D3620E"/>
    <w:rsid w:val="44E631E1"/>
    <w:rsid w:val="44F662E0"/>
    <w:rsid w:val="44FF078A"/>
    <w:rsid w:val="4516737E"/>
    <w:rsid w:val="451A03F3"/>
    <w:rsid w:val="451A478B"/>
    <w:rsid w:val="452A375D"/>
    <w:rsid w:val="455669F8"/>
    <w:rsid w:val="456B5C39"/>
    <w:rsid w:val="456D1765"/>
    <w:rsid w:val="457B0D80"/>
    <w:rsid w:val="45A1483E"/>
    <w:rsid w:val="45BE1754"/>
    <w:rsid w:val="45C60DC9"/>
    <w:rsid w:val="45CB7626"/>
    <w:rsid w:val="45D95373"/>
    <w:rsid w:val="45E87A97"/>
    <w:rsid w:val="45EC57D9"/>
    <w:rsid w:val="460D46C9"/>
    <w:rsid w:val="46101B20"/>
    <w:rsid w:val="4626233E"/>
    <w:rsid w:val="464940E8"/>
    <w:rsid w:val="464D70F4"/>
    <w:rsid w:val="467B45C3"/>
    <w:rsid w:val="469738B5"/>
    <w:rsid w:val="46B7323E"/>
    <w:rsid w:val="46CE4721"/>
    <w:rsid w:val="47015DBC"/>
    <w:rsid w:val="472139DF"/>
    <w:rsid w:val="473E506B"/>
    <w:rsid w:val="473F1E66"/>
    <w:rsid w:val="4746219C"/>
    <w:rsid w:val="47723ABC"/>
    <w:rsid w:val="47855CB2"/>
    <w:rsid w:val="4787412B"/>
    <w:rsid w:val="479C7FAC"/>
    <w:rsid w:val="47A335BE"/>
    <w:rsid w:val="47BA627E"/>
    <w:rsid w:val="47BC419F"/>
    <w:rsid w:val="47C87D68"/>
    <w:rsid w:val="47CA4C39"/>
    <w:rsid w:val="47E80223"/>
    <w:rsid w:val="47EC7D13"/>
    <w:rsid w:val="47F766E0"/>
    <w:rsid w:val="47FB447E"/>
    <w:rsid w:val="480123FB"/>
    <w:rsid w:val="48297120"/>
    <w:rsid w:val="4830361E"/>
    <w:rsid w:val="483B65A4"/>
    <w:rsid w:val="4840005F"/>
    <w:rsid w:val="48420A18"/>
    <w:rsid w:val="484713ED"/>
    <w:rsid w:val="48606166"/>
    <w:rsid w:val="48760E7D"/>
    <w:rsid w:val="48804B06"/>
    <w:rsid w:val="488076A5"/>
    <w:rsid w:val="488B4F86"/>
    <w:rsid w:val="488C313F"/>
    <w:rsid w:val="48945CB4"/>
    <w:rsid w:val="48947721"/>
    <w:rsid w:val="48D91FCF"/>
    <w:rsid w:val="491A440C"/>
    <w:rsid w:val="49425EDB"/>
    <w:rsid w:val="49576040"/>
    <w:rsid w:val="495B7301"/>
    <w:rsid w:val="496F0BFB"/>
    <w:rsid w:val="499139B5"/>
    <w:rsid w:val="499F0DB5"/>
    <w:rsid w:val="49C84985"/>
    <w:rsid w:val="49DB0BED"/>
    <w:rsid w:val="49F7474D"/>
    <w:rsid w:val="4A0A5FBA"/>
    <w:rsid w:val="4A46054B"/>
    <w:rsid w:val="4A543A0F"/>
    <w:rsid w:val="4A800D21"/>
    <w:rsid w:val="4A914BA1"/>
    <w:rsid w:val="4A9B06B2"/>
    <w:rsid w:val="4AA52FD3"/>
    <w:rsid w:val="4AB009CF"/>
    <w:rsid w:val="4AC1339F"/>
    <w:rsid w:val="4ACF319D"/>
    <w:rsid w:val="4AD256C5"/>
    <w:rsid w:val="4AE938DA"/>
    <w:rsid w:val="4AF10D28"/>
    <w:rsid w:val="4AF15640"/>
    <w:rsid w:val="4AFC202F"/>
    <w:rsid w:val="4B2C228E"/>
    <w:rsid w:val="4B3F1B99"/>
    <w:rsid w:val="4B3F45FD"/>
    <w:rsid w:val="4B547011"/>
    <w:rsid w:val="4B6B4B05"/>
    <w:rsid w:val="4B7B147E"/>
    <w:rsid w:val="4B7C315C"/>
    <w:rsid w:val="4B7F47E2"/>
    <w:rsid w:val="4B8F3721"/>
    <w:rsid w:val="4BD15178"/>
    <w:rsid w:val="4BD3026C"/>
    <w:rsid w:val="4BD61E6A"/>
    <w:rsid w:val="4BF50141"/>
    <w:rsid w:val="4BF64DA9"/>
    <w:rsid w:val="4C1B225A"/>
    <w:rsid w:val="4C5D32D8"/>
    <w:rsid w:val="4C8C223B"/>
    <w:rsid w:val="4CA669B3"/>
    <w:rsid w:val="4CC8493E"/>
    <w:rsid w:val="4CCA45F9"/>
    <w:rsid w:val="4CCC1EC1"/>
    <w:rsid w:val="4CF57E0B"/>
    <w:rsid w:val="4D4602BC"/>
    <w:rsid w:val="4D461F56"/>
    <w:rsid w:val="4D7E765F"/>
    <w:rsid w:val="4DBE5CAD"/>
    <w:rsid w:val="4DC04CA4"/>
    <w:rsid w:val="4DC50F26"/>
    <w:rsid w:val="4DD94895"/>
    <w:rsid w:val="4DDE6019"/>
    <w:rsid w:val="4DF36670"/>
    <w:rsid w:val="4E013DEC"/>
    <w:rsid w:val="4E0E58C6"/>
    <w:rsid w:val="4E101B8E"/>
    <w:rsid w:val="4E1D5ED2"/>
    <w:rsid w:val="4E347D1E"/>
    <w:rsid w:val="4E395334"/>
    <w:rsid w:val="4E571C5E"/>
    <w:rsid w:val="4E584AE8"/>
    <w:rsid w:val="4E63104D"/>
    <w:rsid w:val="4E7246C4"/>
    <w:rsid w:val="4E742810"/>
    <w:rsid w:val="4E830CA5"/>
    <w:rsid w:val="4E876E5B"/>
    <w:rsid w:val="4EB4247B"/>
    <w:rsid w:val="4EBB3112"/>
    <w:rsid w:val="4ECD3CCE"/>
    <w:rsid w:val="4EE97B38"/>
    <w:rsid w:val="4EF05B21"/>
    <w:rsid w:val="4EF74115"/>
    <w:rsid w:val="4EFC3854"/>
    <w:rsid w:val="4F023F74"/>
    <w:rsid w:val="4F0B620E"/>
    <w:rsid w:val="4F2D3032"/>
    <w:rsid w:val="4F2E690C"/>
    <w:rsid w:val="4F4E3061"/>
    <w:rsid w:val="4F5D5254"/>
    <w:rsid w:val="4F5E06A5"/>
    <w:rsid w:val="4F94687E"/>
    <w:rsid w:val="4F9E3248"/>
    <w:rsid w:val="4FAC5A3C"/>
    <w:rsid w:val="4FB24E75"/>
    <w:rsid w:val="4FC4434E"/>
    <w:rsid w:val="4FC51563"/>
    <w:rsid w:val="4FD046A9"/>
    <w:rsid w:val="4FD6548C"/>
    <w:rsid w:val="500B2A49"/>
    <w:rsid w:val="501971BD"/>
    <w:rsid w:val="50345083"/>
    <w:rsid w:val="505B30F6"/>
    <w:rsid w:val="50663347"/>
    <w:rsid w:val="5081116C"/>
    <w:rsid w:val="50966A6E"/>
    <w:rsid w:val="50972065"/>
    <w:rsid w:val="50A96FCD"/>
    <w:rsid w:val="50AF5D81"/>
    <w:rsid w:val="50B90FAB"/>
    <w:rsid w:val="51341AD6"/>
    <w:rsid w:val="514A5AAA"/>
    <w:rsid w:val="515B3813"/>
    <w:rsid w:val="51621046"/>
    <w:rsid w:val="51641AA0"/>
    <w:rsid w:val="516E1777"/>
    <w:rsid w:val="516F474D"/>
    <w:rsid w:val="517C0CBD"/>
    <w:rsid w:val="5237602E"/>
    <w:rsid w:val="52424938"/>
    <w:rsid w:val="524810C3"/>
    <w:rsid w:val="52482BF9"/>
    <w:rsid w:val="524A1D96"/>
    <w:rsid w:val="525C0CB6"/>
    <w:rsid w:val="5265471E"/>
    <w:rsid w:val="526936EE"/>
    <w:rsid w:val="526C799A"/>
    <w:rsid w:val="527E5A0B"/>
    <w:rsid w:val="52BB7C2A"/>
    <w:rsid w:val="52C71FAF"/>
    <w:rsid w:val="52CA29FF"/>
    <w:rsid w:val="52D05FF1"/>
    <w:rsid w:val="52FE19A7"/>
    <w:rsid w:val="531243A6"/>
    <w:rsid w:val="5325232B"/>
    <w:rsid w:val="533105BD"/>
    <w:rsid w:val="533A46E9"/>
    <w:rsid w:val="53401BC6"/>
    <w:rsid w:val="53464F65"/>
    <w:rsid w:val="535F5F31"/>
    <w:rsid w:val="5386634F"/>
    <w:rsid w:val="53A24A2B"/>
    <w:rsid w:val="53C57F86"/>
    <w:rsid w:val="53E77691"/>
    <w:rsid w:val="5410218B"/>
    <w:rsid w:val="543B78FC"/>
    <w:rsid w:val="54460543"/>
    <w:rsid w:val="5447369C"/>
    <w:rsid w:val="54714103"/>
    <w:rsid w:val="547A6554"/>
    <w:rsid w:val="547A78A9"/>
    <w:rsid w:val="54815451"/>
    <w:rsid w:val="548E5CAE"/>
    <w:rsid w:val="54912022"/>
    <w:rsid w:val="54931480"/>
    <w:rsid w:val="54947768"/>
    <w:rsid w:val="54AD6A7C"/>
    <w:rsid w:val="54B45F92"/>
    <w:rsid w:val="54D57058"/>
    <w:rsid w:val="54E57FC4"/>
    <w:rsid w:val="54EB4AD8"/>
    <w:rsid w:val="550017E7"/>
    <w:rsid w:val="55071606"/>
    <w:rsid w:val="5518124C"/>
    <w:rsid w:val="5539281F"/>
    <w:rsid w:val="553C093A"/>
    <w:rsid w:val="554B7B7F"/>
    <w:rsid w:val="555B5CFE"/>
    <w:rsid w:val="55645E1E"/>
    <w:rsid w:val="55947EAF"/>
    <w:rsid w:val="55B72836"/>
    <w:rsid w:val="55DE273F"/>
    <w:rsid w:val="55FD133D"/>
    <w:rsid w:val="56072502"/>
    <w:rsid w:val="56221697"/>
    <w:rsid w:val="562D1FF6"/>
    <w:rsid w:val="56356D29"/>
    <w:rsid w:val="5637484F"/>
    <w:rsid w:val="56553769"/>
    <w:rsid w:val="56690780"/>
    <w:rsid w:val="56AE2637"/>
    <w:rsid w:val="571851A6"/>
    <w:rsid w:val="571A7709"/>
    <w:rsid w:val="57207F55"/>
    <w:rsid w:val="57346FE0"/>
    <w:rsid w:val="574D6FCD"/>
    <w:rsid w:val="576C413D"/>
    <w:rsid w:val="577A0033"/>
    <w:rsid w:val="57AB3778"/>
    <w:rsid w:val="57EB0F0E"/>
    <w:rsid w:val="57F41CB9"/>
    <w:rsid w:val="57FB365A"/>
    <w:rsid w:val="57FB37AC"/>
    <w:rsid w:val="57FD7EBD"/>
    <w:rsid w:val="580C595C"/>
    <w:rsid w:val="582959F8"/>
    <w:rsid w:val="58387E87"/>
    <w:rsid w:val="583E0EFC"/>
    <w:rsid w:val="58676F42"/>
    <w:rsid w:val="58695FAD"/>
    <w:rsid w:val="588269F7"/>
    <w:rsid w:val="58B303D9"/>
    <w:rsid w:val="58C03977"/>
    <w:rsid w:val="58D72442"/>
    <w:rsid w:val="58DF0987"/>
    <w:rsid w:val="59072353"/>
    <w:rsid w:val="59237346"/>
    <w:rsid w:val="5941311E"/>
    <w:rsid w:val="595A18BF"/>
    <w:rsid w:val="5976568E"/>
    <w:rsid w:val="598D1BD4"/>
    <w:rsid w:val="599059A1"/>
    <w:rsid w:val="59A74361"/>
    <w:rsid w:val="59B85CA7"/>
    <w:rsid w:val="59BA67E9"/>
    <w:rsid w:val="59E56370"/>
    <w:rsid w:val="5A3542A9"/>
    <w:rsid w:val="5A751DEA"/>
    <w:rsid w:val="5A7959ED"/>
    <w:rsid w:val="5A8E2EAB"/>
    <w:rsid w:val="5AA51E7D"/>
    <w:rsid w:val="5ADB0A04"/>
    <w:rsid w:val="5AEB3E5A"/>
    <w:rsid w:val="5AF0391C"/>
    <w:rsid w:val="5AFF3461"/>
    <w:rsid w:val="5B103471"/>
    <w:rsid w:val="5B200F0C"/>
    <w:rsid w:val="5B3756F3"/>
    <w:rsid w:val="5B4437B8"/>
    <w:rsid w:val="5B6C0341"/>
    <w:rsid w:val="5BA933B4"/>
    <w:rsid w:val="5BB1191E"/>
    <w:rsid w:val="5BFE2505"/>
    <w:rsid w:val="5C2A4EC1"/>
    <w:rsid w:val="5C313AEE"/>
    <w:rsid w:val="5C4536AD"/>
    <w:rsid w:val="5C6A7000"/>
    <w:rsid w:val="5CA173BF"/>
    <w:rsid w:val="5CB52971"/>
    <w:rsid w:val="5CBC3D00"/>
    <w:rsid w:val="5CC52489"/>
    <w:rsid w:val="5CD92B9D"/>
    <w:rsid w:val="5CE7331A"/>
    <w:rsid w:val="5D0A39BA"/>
    <w:rsid w:val="5D3B135C"/>
    <w:rsid w:val="5D46210F"/>
    <w:rsid w:val="5D5208A9"/>
    <w:rsid w:val="5D6E7F82"/>
    <w:rsid w:val="5D720862"/>
    <w:rsid w:val="5D786B2D"/>
    <w:rsid w:val="5D83037A"/>
    <w:rsid w:val="5D83466D"/>
    <w:rsid w:val="5D9215FF"/>
    <w:rsid w:val="5D93437A"/>
    <w:rsid w:val="5D9E7AC6"/>
    <w:rsid w:val="5DC050CB"/>
    <w:rsid w:val="5DDE1A39"/>
    <w:rsid w:val="5DE11544"/>
    <w:rsid w:val="5DED376F"/>
    <w:rsid w:val="5DF1084D"/>
    <w:rsid w:val="5DF85E12"/>
    <w:rsid w:val="5E00229D"/>
    <w:rsid w:val="5E113BD7"/>
    <w:rsid w:val="5E14267C"/>
    <w:rsid w:val="5E391921"/>
    <w:rsid w:val="5EA10CB9"/>
    <w:rsid w:val="5EC23124"/>
    <w:rsid w:val="5EE57DEF"/>
    <w:rsid w:val="5F052A6C"/>
    <w:rsid w:val="5F0962CD"/>
    <w:rsid w:val="5F0E3857"/>
    <w:rsid w:val="5F4B3119"/>
    <w:rsid w:val="5F5024DD"/>
    <w:rsid w:val="5F5E109E"/>
    <w:rsid w:val="5F97010C"/>
    <w:rsid w:val="5FC42283"/>
    <w:rsid w:val="5FC45651"/>
    <w:rsid w:val="5FCA04E2"/>
    <w:rsid w:val="5FEF1CF6"/>
    <w:rsid w:val="5FF13CB0"/>
    <w:rsid w:val="5FF31EFA"/>
    <w:rsid w:val="601F7CA7"/>
    <w:rsid w:val="604A3405"/>
    <w:rsid w:val="604E64EB"/>
    <w:rsid w:val="605129B1"/>
    <w:rsid w:val="605D5F6F"/>
    <w:rsid w:val="608156EE"/>
    <w:rsid w:val="60871584"/>
    <w:rsid w:val="60C90FEE"/>
    <w:rsid w:val="60CA2EC5"/>
    <w:rsid w:val="60EF0A8D"/>
    <w:rsid w:val="60F51610"/>
    <w:rsid w:val="61021986"/>
    <w:rsid w:val="61120392"/>
    <w:rsid w:val="611F3807"/>
    <w:rsid w:val="61230ED4"/>
    <w:rsid w:val="61272C43"/>
    <w:rsid w:val="616A6886"/>
    <w:rsid w:val="616C4ACE"/>
    <w:rsid w:val="61AC4652"/>
    <w:rsid w:val="61BC335E"/>
    <w:rsid w:val="61CC2CBD"/>
    <w:rsid w:val="61E6537B"/>
    <w:rsid w:val="61F54FE7"/>
    <w:rsid w:val="61FD3A09"/>
    <w:rsid w:val="620220F2"/>
    <w:rsid w:val="620D2908"/>
    <w:rsid w:val="621226D9"/>
    <w:rsid w:val="621C0D9D"/>
    <w:rsid w:val="62206C5A"/>
    <w:rsid w:val="62312C31"/>
    <w:rsid w:val="6232569A"/>
    <w:rsid w:val="62516F89"/>
    <w:rsid w:val="62610E93"/>
    <w:rsid w:val="62860232"/>
    <w:rsid w:val="62884D44"/>
    <w:rsid w:val="62960B4F"/>
    <w:rsid w:val="62A17773"/>
    <w:rsid w:val="62D6719E"/>
    <w:rsid w:val="62DA2B50"/>
    <w:rsid w:val="62DF5E1F"/>
    <w:rsid w:val="62E573E1"/>
    <w:rsid w:val="62F45876"/>
    <w:rsid w:val="62F77851"/>
    <w:rsid w:val="630379B8"/>
    <w:rsid w:val="631F6AC2"/>
    <w:rsid w:val="632C76DA"/>
    <w:rsid w:val="633C29B4"/>
    <w:rsid w:val="63462575"/>
    <w:rsid w:val="63473BF7"/>
    <w:rsid w:val="6353259C"/>
    <w:rsid w:val="6356208C"/>
    <w:rsid w:val="636010D6"/>
    <w:rsid w:val="637565C9"/>
    <w:rsid w:val="6386272B"/>
    <w:rsid w:val="63945D3F"/>
    <w:rsid w:val="63FD51B7"/>
    <w:rsid w:val="64001E1A"/>
    <w:rsid w:val="64306D81"/>
    <w:rsid w:val="64314153"/>
    <w:rsid w:val="643C4D0F"/>
    <w:rsid w:val="644B5F99"/>
    <w:rsid w:val="64542A70"/>
    <w:rsid w:val="645662DE"/>
    <w:rsid w:val="645D4BDF"/>
    <w:rsid w:val="64675609"/>
    <w:rsid w:val="64807563"/>
    <w:rsid w:val="64843D6C"/>
    <w:rsid w:val="648824FA"/>
    <w:rsid w:val="648D7198"/>
    <w:rsid w:val="64A9704A"/>
    <w:rsid w:val="64B052C2"/>
    <w:rsid w:val="64C90C78"/>
    <w:rsid w:val="64E900E3"/>
    <w:rsid w:val="64F658D5"/>
    <w:rsid w:val="652C65C8"/>
    <w:rsid w:val="653F54D1"/>
    <w:rsid w:val="65460AAA"/>
    <w:rsid w:val="654F2C3B"/>
    <w:rsid w:val="65510D5D"/>
    <w:rsid w:val="657A339A"/>
    <w:rsid w:val="657C5592"/>
    <w:rsid w:val="65827DC5"/>
    <w:rsid w:val="65C1594C"/>
    <w:rsid w:val="65C77271"/>
    <w:rsid w:val="662621EA"/>
    <w:rsid w:val="66337AF9"/>
    <w:rsid w:val="664675D5"/>
    <w:rsid w:val="66635D30"/>
    <w:rsid w:val="66965764"/>
    <w:rsid w:val="669B62F6"/>
    <w:rsid w:val="66AE0E73"/>
    <w:rsid w:val="66C41748"/>
    <w:rsid w:val="66CD4D5B"/>
    <w:rsid w:val="66E712F7"/>
    <w:rsid w:val="66FF7E7D"/>
    <w:rsid w:val="67116949"/>
    <w:rsid w:val="67144AEC"/>
    <w:rsid w:val="6734051F"/>
    <w:rsid w:val="673D7566"/>
    <w:rsid w:val="6764121C"/>
    <w:rsid w:val="67673975"/>
    <w:rsid w:val="678E6C8F"/>
    <w:rsid w:val="679115D2"/>
    <w:rsid w:val="67C85410"/>
    <w:rsid w:val="67D31EFE"/>
    <w:rsid w:val="67E34982"/>
    <w:rsid w:val="67E9249E"/>
    <w:rsid w:val="6802019C"/>
    <w:rsid w:val="681349F0"/>
    <w:rsid w:val="68166FAE"/>
    <w:rsid w:val="68232E85"/>
    <w:rsid w:val="683901A9"/>
    <w:rsid w:val="684834F6"/>
    <w:rsid w:val="68646FFA"/>
    <w:rsid w:val="686A0AB4"/>
    <w:rsid w:val="687A7B66"/>
    <w:rsid w:val="688E6277"/>
    <w:rsid w:val="689306DB"/>
    <w:rsid w:val="68960D03"/>
    <w:rsid w:val="68B240A3"/>
    <w:rsid w:val="68C62EB4"/>
    <w:rsid w:val="68CD2A80"/>
    <w:rsid w:val="68D15555"/>
    <w:rsid w:val="68D86F6F"/>
    <w:rsid w:val="68F77E6E"/>
    <w:rsid w:val="690F51B7"/>
    <w:rsid w:val="692951CD"/>
    <w:rsid w:val="692D376D"/>
    <w:rsid w:val="694031DD"/>
    <w:rsid w:val="696852BB"/>
    <w:rsid w:val="696C4A11"/>
    <w:rsid w:val="6987132B"/>
    <w:rsid w:val="699E02E9"/>
    <w:rsid w:val="69B30A74"/>
    <w:rsid w:val="69BC2421"/>
    <w:rsid w:val="69C51E9C"/>
    <w:rsid w:val="69ED5F64"/>
    <w:rsid w:val="69F738FD"/>
    <w:rsid w:val="6A391689"/>
    <w:rsid w:val="6A434211"/>
    <w:rsid w:val="6A706260"/>
    <w:rsid w:val="6A843983"/>
    <w:rsid w:val="6AA223C1"/>
    <w:rsid w:val="6AAD66D5"/>
    <w:rsid w:val="6AD0121D"/>
    <w:rsid w:val="6AE57A81"/>
    <w:rsid w:val="6AEC1C54"/>
    <w:rsid w:val="6AEE2DDF"/>
    <w:rsid w:val="6B0A3E88"/>
    <w:rsid w:val="6B2D6CAD"/>
    <w:rsid w:val="6B3B7327"/>
    <w:rsid w:val="6B491993"/>
    <w:rsid w:val="6B4F4D85"/>
    <w:rsid w:val="6B59096C"/>
    <w:rsid w:val="6BA75B7B"/>
    <w:rsid w:val="6BAD2A66"/>
    <w:rsid w:val="6BD235F7"/>
    <w:rsid w:val="6BEE00B5"/>
    <w:rsid w:val="6C046540"/>
    <w:rsid w:val="6C0F4144"/>
    <w:rsid w:val="6C1A459F"/>
    <w:rsid w:val="6C2125AD"/>
    <w:rsid w:val="6C485677"/>
    <w:rsid w:val="6C6A5E8F"/>
    <w:rsid w:val="6C7133DB"/>
    <w:rsid w:val="6C723D28"/>
    <w:rsid w:val="6C727F37"/>
    <w:rsid w:val="6CB7717D"/>
    <w:rsid w:val="6CCB4011"/>
    <w:rsid w:val="6CCE0EE6"/>
    <w:rsid w:val="6CDC1854"/>
    <w:rsid w:val="6CFA11B6"/>
    <w:rsid w:val="6D113D1E"/>
    <w:rsid w:val="6D230EE5"/>
    <w:rsid w:val="6D2D2FB9"/>
    <w:rsid w:val="6DA00AD4"/>
    <w:rsid w:val="6DAD5C76"/>
    <w:rsid w:val="6DF649D4"/>
    <w:rsid w:val="6DFB5D0A"/>
    <w:rsid w:val="6E1F6495"/>
    <w:rsid w:val="6E233F45"/>
    <w:rsid w:val="6E38063A"/>
    <w:rsid w:val="6E554E69"/>
    <w:rsid w:val="6E556358"/>
    <w:rsid w:val="6E5A0C83"/>
    <w:rsid w:val="6E6D2B84"/>
    <w:rsid w:val="6E6F3DD8"/>
    <w:rsid w:val="6EB8009F"/>
    <w:rsid w:val="6EC17CEC"/>
    <w:rsid w:val="6ECF3F5B"/>
    <w:rsid w:val="6ED263AB"/>
    <w:rsid w:val="6EDF44DB"/>
    <w:rsid w:val="6EE35DD6"/>
    <w:rsid w:val="6F0F3465"/>
    <w:rsid w:val="6F103A37"/>
    <w:rsid w:val="6F183AB1"/>
    <w:rsid w:val="6F2B7738"/>
    <w:rsid w:val="6F3064A3"/>
    <w:rsid w:val="6FAC5C06"/>
    <w:rsid w:val="6FB14B96"/>
    <w:rsid w:val="701F16FA"/>
    <w:rsid w:val="70473960"/>
    <w:rsid w:val="70500519"/>
    <w:rsid w:val="706440EC"/>
    <w:rsid w:val="707567AE"/>
    <w:rsid w:val="707F0E75"/>
    <w:rsid w:val="707F465E"/>
    <w:rsid w:val="7086485E"/>
    <w:rsid w:val="709D6C13"/>
    <w:rsid w:val="70BF1B85"/>
    <w:rsid w:val="70C76562"/>
    <w:rsid w:val="710316C2"/>
    <w:rsid w:val="71047D89"/>
    <w:rsid w:val="710B44B6"/>
    <w:rsid w:val="711A6DEF"/>
    <w:rsid w:val="712E4435"/>
    <w:rsid w:val="713C0B14"/>
    <w:rsid w:val="714675D2"/>
    <w:rsid w:val="7163389C"/>
    <w:rsid w:val="71702DB7"/>
    <w:rsid w:val="717958C4"/>
    <w:rsid w:val="718010AA"/>
    <w:rsid w:val="71895A3B"/>
    <w:rsid w:val="718C57B0"/>
    <w:rsid w:val="71957A02"/>
    <w:rsid w:val="71AA59DF"/>
    <w:rsid w:val="71CF42B0"/>
    <w:rsid w:val="72096948"/>
    <w:rsid w:val="72394493"/>
    <w:rsid w:val="7253254D"/>
    <w:rsid w:val="72594275"/>
    <w:rsid w:val="725956F5"/>
    <w:rsid w:val="72670EE8"/>
    <w:rsid w:val="7270462C"/>
    <w:rsid w:val="72B74571"/>
    <w:rsid w:val="72B953A9"/>
    <w:rsid w:val="731D5652"/>
    <w:rsid w:val="73216213"/>
    <w:rsid w:val="73350BA2"/>
    <w:rsid w:val="733D3C83"/>
    <w:rsid w:val="736C6B93"/>
    <w:rsid w:val="737635EB"/>
    <w:rsid w:val="738B18DE"/>
    <w:rsid w:val="739C0597"/>
    <w:rsid w:val="73A257C2"/>
    <w:rsid w:val="73AE0F82"/>
    <w:rsid w:val="73D634A1"/>
    <w:rsid w:val="73EB547B"/>
    <w:rsid w:val="73F35F92"/>
    <w:rsid w:val="740A6CA7"/>
    <w:rsid w:val="74114C81"/>
    <w:rsid w:val="741C711E"/>
    <w:rsid w:val="743933DB"/>
    <w:rsid w:val="743B3FB6"/>
    <w:rsid w:val="746A267E"/>
    <w:rsid w:val="74795BDB"/>
    <w:rsid w:val="748B7CDB"/>
    <w:rsid w:val="74916333"/>
    <w:rsid w:val="74935B40"/>
    <w:rsid w:val="74956A1F"/>
    <w:rsid w:val="74B46B63"/>
    <w:rsid w:val="74CC79B3"/>
    <w:rsid w:val="74DB6B96"/>
    <w:rsid w:val="74E20EC9"/>
    <w:rsid w:val="74E505E9"/>
    <w:rsid w:val="75137DDD"/>
    <w:rsid w:val="75447E03"/>
    <w:rsid w:val="755A1EB0"/>
    <w:rsid w:val="75630D65"/>
    <w:rsid w:val="75671ED7"/>
    <w:rsid w:val="757A1C0A"/>
    <w:rsid w:val="758D3377"/>
    <w:rsid w:val="75A14593"/>
    <w:rsid w:val="75A650F5"/>
    <w:rsid w:val="75B42927"/>
    <w:rsid w:val="75B72D40"/>
    <w:rsid w:val="75B92EF0"/>
    <w:rsid w:val="76547561"/>
    <w:rsid w:val="76631766"/>
    <w:rsid w:val="76770D7F"/>
    <w:rsid w:val="76A618B1"/>
    <w:rsid w:val="76AF3C34"/>
    <w:rsid w:val="76CE6D39"/>
    <w:rsid w:val="76CF3BF4"/>
    <w:rsid w:val="76FD6F97"/>
    <w:rsid w:val="772528B1"/>
    <w:rsid w:val="773131EB"/>
    <w:rsid w:val="77375BA4"/>
    <w:rsid w:val="77433851"/>
    <w:rsid w:val="77461810"/>
    <w:rsid w:val="775F0E9D"/>
    <w:rsid w:val="776E4410"/>
    <w:rsid w:val="777729C5"/>
    <w:rsid w:val="77781021"/>
    <w:rsid w:val="777D3191"/>
    <w:rsid w:val="778253DE"/>
    <w:rsid w:val="77976AA4"/>
    <w:rsid w:val="77A26675"/>
    <w:rsid w:val="77B7266B"/>
    <w:rsid w:val="77C32519"/>
    <w:rsid w:val="77C345DF"/>
    <w:rsid w:val="77C35A05"/>
    <w:rsid w:val="77C51333"/>
    <w:rsid w:val="77CA7D39"/>
    <w:rsid w:val="77E37F3B"/>
    <w:rsid w:val="78021B0A"/>
    <w:rsid w:val="78071BC7"/>
    <w:rsid w:val="780B5B21"/>
    <w:rsid w:val="780E0A06"/>
    <w:rsid w:val="78524762"/>
    <w:rsid w:val="785D609B"/>
    <w:rsid w:val="78727511"/>
    <w:rsid w:val="787D4684"/>
    <w:rsid w:val="78947FFC"/>
    <w:rsid w:val="789B0F87"/>
    <w:rsid w:val="78A376CA"/>
    <w:rsid w:val="78EC5779"/>
    <w:rsid w:val="78F63C9E"/>
    <w:rsid w:val="78F66AE6"/>
    <w:rsid w:val="790014AB"/>
    <w:rsid w:val="79002D6F"/>
    <w:rsid w:val="7905571D"/>
    <w:rsid w:val="79105D7D"/>
    <w:rsid w:val="796915C9"/>
    <w:rsid w:val="796C0E73"/>
    <w:rsid w:val="798B563F"/>
    <w:rsid w:val="798C0575"/>
    <w:rsid w:val="79A327CD"/>
    <w:rsid w:val="79B83361"/>
    <w:rsid w:val="79C00D6B"/>
    <w:rsid w:val="79C478F8"/>
    <w:rsid w:val="79D12015"/>
    <w:rsid w:val="79D42231"/>
    <w:rsid w:val="79E56752"/>
    <w:rsid w:val="79EB2366"/>
    <w:rsid w:val="79F31EF2"/>
    <w:rsid w:val="79FB2386"/>
    <w:rsid w:val="7A150525"/>
    <w:rsid w:val="7A4C71D0"/>
    <w:rsid w:val="7A4D3501"/>
    <w:rsid w:val="7A4D5656"/>
    <w:rsid w:val="7A606109"/>
    <w:rsid w:val="7A624F5B"/>
    <w:rsid w:val="7A650BB7"/>
    <w:rsid w:val="7A657011"/>
    <w:rsid w:val="7A690B86"/>
    <w:rsid w:val="7A7F1A71"/>
    <w:rsid w:val="7AA51A04"/>
    <w:rsid w:val="7AA64737"/>
    <w:rsid w:val="7AA818F2"/>
    <w:rsid w:val="7AB02B5F"/>
    <w:rsid w:val="7AB575D1"/>
    <w:rsid w:val="7ABC7ECE"/>
    <w:rsid w:val="7AD552F2"/>
    <w:rsid w:val="7ADF6832"/>
    <w:rsid w:val="7AE11C5E"/>
    <w:rsid w:val="7AF67921"/>
    <w:rsid w:val="7AFD63A7"/>
    <w:rsid w:val="7B024B7C"/>
    <w:rsid w:val="7B0965DE"/>
    <w:rsid w:val="7B136D89"/>
    <w:rsid w:val="7B4D1418"/>
    <w:rsid w:val="7B9E6939"/>
    <w:rsid w:val="7BA9271D"/>
    <w:rsid w:val="7BAA63DA"/>
    <w:rsid w:val="7BC63DFB"/>
    <w:rsid w:val="7BD06A28"/>
    <w:rsid w:val="7BDB119A"/>
    <w:rsid w:val="7C134591"/>
    <w:rsid w:val="7C183F2B"/>
    <w:rsid w:val="7C3C2310"/>
    <w:rsid w:val="7C3E62BD"/>
    <w:rsid w:val="7C5102F9"/>
    <w:rsid w:val="7C5E289E"/>
    <w:rsid w:val="7C63649E"/>
    <w:rsid w:val="7C7E46D6"/>
    <w:rsid w:val="7C8141C6"/>
    <w:rsid w:val="7C8617DD"/>
    <w:rsid w:val="7C957577"/>
    <w:rsid w:val="7CAA7279"/>
    <w:rsid w:val="7CBB1486"/>
    <w:rsid w:val="7CC16F9F"/>
    <w:rsid w:val="7CDF63C7"/>
    <w:rsid w:val="7D296CAB"/>
    <w:rsid w:val="7D2E5ABF"/>
    <w:rsid w:val="7D341239"/>
    <w:rsid w:val="7D3B2AF2"/>
    <w:rsid w:val="7D47476B"/>
    <w:rsid w:val="7D52300C"/>
    <w:rsid w:val="7D6B7D04"/>
    <w:rsid w:val="7DB46ED9"/>
    <w:rsid w:val="7DBD7B7B"/>
    <w:rsid w:val="7DE03AAD"/>
    <w:rsid w:val="7DEC4B26"/>
    <w:rsid w:val="7E064DF2"/>
    <w:rsid w:val="7E1567F5"/>
    <w:rsid w:val="7E221091"/>
    <w:rsid w:val="7E265025"/>
    <w:rsid w:val="7E2D63B4"/>
    <w:rsid w:val="7E394D59"/>
    <w:rsid w:val="7E404D56"/>
    <w:rsid w:val="7E424321"/>
    <w:rsid w:val="7E790203"/>
    <w:rsid w:val="7ECA1AB2"/>
    <w:rsid w:val="7EEA6053"/>
    <w:rsid w:val="7F0215EE"/>
    <w:rsid w:val="7F021BC7"/>
    <w:rsid w:val="7F345520"/>
    <w:rsid w:val="7F7B4EFD"/>
    <w:rsid w:val="7F7C7250"/>
    <w:rsid w:val="7F98692A"/>
    <w:rsid w:val="7F9B7267"/>
    <w:rsid w:val="7FB85B92"/>
    <w:rsid w:val="7FB87EFF"/>
    <w:rsid w:val="7FD6679E"/>
    <w:rsid w:val="7FF96339"/>
    <w:rsid w:val="CFFF6E60"/>
    <w:rsid w:val="EE7DEF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kern w:val="2"/>
      <w:sz w:val="21"/>
      <w:lang w:val="en-US" w:eastAsia="zh-CN" w:bidi="ar-SA"/>
    </w:rPr>
  </w:style>
  <w:style w:type="paragraph" w:styleId="3">
    <w:name w:val="heading 1"/>
    <w:basedOn w:val="1"/>
    <w:next w:val="1"/>
    <w:link w:val="52"/>
    <w:qFormat/>
    <w:uiPriority w:val="0"/>
    <w:pPr>
      <w:keepNext/>
      <w:jc w:val="center"/>
      <w:outlineLvl w:val="0"/>
    </w:pPr>
    <w:rPr>
      <w:b/>
      <w:bCs/>
      <w:sz w:val="2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before="260" w:after="260" w:line="416" w:lineRule="auto"/>
      <w:outlineLvl w:val="2"/>
    </w:pPr>
    <w:rPr>
      <w:b/>
      <w:bCs/>
      <w:sz w:val="32"/>
      <w:szCs w:val="32"/>
    </w:rPr>
  </w:style>
  <w:style w:type="paragraph" w:styleId="6">
    <w:name w:val="heading 4"/>
    <w:basedOn w:val="5"/>
    <w:next w:val="1"/>
    <w:qFormat/>
    <w:uiPriority w:val="0"/>
    <w:pPr>
      <w:keepNext/>
      <w:keepLines/>
      <w:spacing w:before="280" w:after="290" w:line="376" w:lineRule="auto"/>
      <w:outlineLvl w:val="3"/>
    </w:pPr>
    <w:rPr>
      <w:rFonts w:ascii="Arial" w:hAnsi="Arial" w:eastAsia="黑体"/>
      <w:b w:val="0"/>
      <w:bCs w:val="0"/>
      <w:sz w:val="28"/>
      <w:szCs w:val="28"/>
    </w:rPr>
  </w:style>
  <w:style w:type="paragraph" w:styleId="7">
    <w:name w:val="heading 5"/>
    <w:basedOn w:val="1"/>
    <w:next w:val="1"/>
    <w:link w:val="55"/>
    <w:qFormat/>
    <w:uiPriority w:val="0"/>
    <w:pPr>
      <w:keepNext/>
      <w:keepLines/>
      <w:spacing w:before="280" w:after="290" w:line="376" w:lineRule="auto"/>
      <w:outlineLvl w:val="4"/>
    </w:pPr>
    <w:rPr>
      <w:b/>
      <w:bCs/>
      <w:sz w:val="28"/>
      <w:szCs w:val="28"/>
    </w:rPr>
  </w:style>
  <w:style w:type="paragraph" w:styleId="8">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5">
    <w:name w:val="Default Paragraph Font"/>
    <w:semiHidden/>
    <w:uiPriority w:val="0"/>
  </w:style>
  <w:style w:type="table" w:default="1" w:styleId="43">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43"/>
      <w:tblCellMar>
        <w:top w:w="0" w:type="dxa"/>
        <w:left w:w="108" w:type="dxa"/>
        <w:bottom w:w="0" w:type="dxa"/>
        <w:right w:w="108" w:type="dxa"/>
      </w:tblCellMar>
    </w:tblPr>
  </w:style>
  <w:style w:type="paragraph" w:styleId="2">
    <w:name w:val="toc 1"/>
    <w:basedOn w:val="1"/>
    <w:next w:val="1"/>
    <w:semiHidden/>
    <w:uiPriority w:val="0"/>
  </w:style>
  <w:style w:type="paragraph" w:styleId="9">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0">
    <w:name w:val="Normal Indent"/>
    <w:basedOn w:val="1"/>
    <w:next w:val="1"/>
    <w:link w:val="56"/>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toa heading"/>
    <w:basedOn w:val="1"/>
    <w:next w:val="1"/>
    <w:qFormat/>
    <w:uiPriority w:val="0"/>
    <w:pPr>
      <w:spacing w:before="120"/>
    </w:pPr>
    <w:rPr>
      <w:rFonts w:ascii="Arial" w:hAnsi="Arial" w:cs="Arial"/>
      <w:sz w:val="24"/>
      <w:szCs w:val="24"/>
    </w:rPr>
  </w:style>
  <w:style w:type="paragraph" w:styleId="13">
    <w:name w:val="annotation text"/>
    <w:basedOn w:val="1"/>
    <w:next w:val="14"/>
    <w:semiHidden/>
    <w:uiPriority w:val="0"/>
    <w:pPr>
      <w:jc w:val="left"/>
    </w:pPr>
  </w:style>
  <w:style w:type="paragraph" w:styleId="14">
    <w:name w:val="toc 9"/>
    <w:next w:val="1"/>
    <w:uiPriority w:val="0"/>
    <w:pPr>
      <w:wordWrap w:val="0"/>
      <w:ind w:left="2975"/>
      <w:jc w:val="both"/>
    </w:pPr>
    <w:rPr>
      <w:rFonts w:ascii="Calibri" w:hAnsi="Calibri"/>
      <w:sz w:val="21"/>
      <w:lang w:val="en-US" w:eastAsia="zh-CN" w:bidi="ar-SA"/>
    </w:rPr>
  </w:style>
  <w:style w:type="paragraph" w:styleId="15">
    <w:name w:val="Body Text 3"/>
    <w:basedOn w:val="1"/>
    <w:uiPriority w:val="0"/>
    <w:pPr>
      <w:snapToGrid w:val="0"/>
      <w:spacing w:before="50" w:after="50"/>
    </w:pPr>
    <w:rPr>
      <w:rFonts w:hAnsi="宋体" w:eastAsia="仿宋_GB2312"/>
      <w:b/>
      <w:bCs/>
      <w:sz w:val="24"/>
      <w:szCs w:val="20"/>
    </w:rPr>
  </w:style>
  <w:style w:type="paragraph" w:styleId="16">
    <w:name w:val="Body Text"/>
    <w:basedOn w:val="1"/>
    <w:next w:val="1"/>
    <w:link w:val="57"/>
    <w:uiPriority w:val="0"/>
    <w:pPr>
      <w:spacing w:after="120"/>
    </w:pPr>
    <w:rPr>
      <w:sz w:val="28"/>
    </w:rPr>
  </w:style>
  <w:style w:type="paragraph" w:styleId="17">
    <w:name w:val="Body Text Indent"/>
    <w:basedOn w:val="1"/>
    <w:next w:val="1"/>
    <w:uiPriority w:val="0"/>
    <w:pPr>
      <w:spacing w:line="200" w:lineRule="exact"/>
      <w:ind w:firstLine="301"/>
    </w:pPr>
    <w:rPr>
      <w:rFonts w:ascii="宋体" w:hAnsi="Courier New"/>
      <w:spacing w:val="-4"/>
      <w:sz w:val="18"/>
      <w:szCs w:val="20"/>
    </w:rPr>
  </w:style>
  <w:style w:type="paragraph" w:styleId="18">
    <w:name w:val="List Number 3"/>
    <w:basedOn w:val="1"/>
    <w:uiPriority w:val="0"/>
    <w:pPr>
      <w:numPr>
        <w:ilvl w:val="0"/>
        <w:numId w:val="2"/>
      </w:numPr>
    </w:pPr>
  </w:style>
  <w:style w:type="paragraph" w:styleId="19">
    <w:name w:val="List 2"/>
    <w:basedOn w:val="1"/>
    <w:uiPriority w:val="0"/>
    <w:pPr>
      <w:ind w:left="100" w:leftChars="200" w:hanging="200" w:hangingChars="200"/>
    </w:pPr>
    <w:rPr>
      <w:sz w:val="28"/>
    </w:rPr>
  </w:style>
  <w:style w:type="paragraph" w:styleId="20">
    <w:name w:val="Block Text"/>
    <w:basedOn w:val="1"/>
    <w:unhideWhenUsed/>
    <w:qFormat/>
    <w:uiPriority w:val="99"/>
    <w:pPr>
      <w:spacing w:after="120"/>
      <w:ind w:left="1440" w:leftChars="700" w:right="1440" w:rightChars="700"/>
    </w:pPr>
  </w:style>
  <w:style w:type="paragraph" w:styleId="21">
    <w:name w:val="toc 3"/>
    <w:basedOn w:val="1"/>
    <w:next w:val="1"/>
    <w:uiPriority w:val="0"/>
    <w:pPr>
      <w:ind w:left="840" w:leftChars="400"/>
    </w:pPr>
    <w:rPr>
      <w:rFonts w:ascii="Calibri" w:hAnsi="Calibri"/>
      <w:szCs w:val="22"/>
    </w:rPr>
  </w:style>
  <w:style w:type="paragraph" w:styleId="22">
    <w:name w:val="Plain Text"/>
    <w:basedOn w:val="1"/>
    <w:link w:val="58"/>
    <w:uiPriority w:val="0"/>
    <w:pPr>
      <w:spacing w:before="156" w:beforeLines="50" w:after="156" w:afterLines="50" w:line="400" w:lineRule="exact"/>
    </w:pPr>
    <w:rPr>
      <w:rFonts w:ascii="宋体" w:hAnsi="Courier New"/>
      <w:sz w:val="24"/>
    </w:rPr>
  </w:style>
  <w:style w:type="paragraph" w:styleId="23">
    <w:name w:val="Date"/>
    <w:basedOn w:val="1"/>
    <w:next w:val="1"/>
    <w:uiPriority w:val="0"/>
    <w:pPr>
      <w:ind w:leftChars="2500"/>
    </w:pPr>
    <w:rPr>
      <w:rFonts w:eastAsia="楷体_GB2312"/>
      <w:sz w:val="32"/>
      <w:szCs w:val="20"/>
    </w:rPr>
  </w:style>
  <w:style w:type="paragraph" w:styleId="24">
    <w:name w:val="Body Text Indent 2"/>
    <w:basedOn w:val="1"/>
    <w:uiPriority w:val="0"/>
    <w:pPr>
      <w:snapToGrid w:val="0"/>
      <w:ind w:firstLine="542" w:firstLineChars="225"/>
    </w:pPr>
    <w:rPr>
      <w:rFonts w:ascii="仿宋_GB2312" w:hAnsi="宋体" w:cs="Arial"/>
      <w:b/>
      <w:bCs/>
      <w:color w:val="000000"/>
      <w:sz w:val="24"/>
    </w:rPr>
  </w:style>
  <w:style w:type="paragraph" w:styleId="25">
    <w:name w:val="Balloon Text"/>
    <w:basedOn w:val="1"/>
    <w:semiHidden/>
    <w:uiPriority w:val="0"/>
    <w:rPr>
      <w:sz w:val="18"/>
      <w:szCs w:val="18"/>
    </w:rPr>
  </w:style>
  <w:style w:type="paragraph" w:styleId="26">
    <w:name w:val="footer"/>
    <w:basedOn w:val="1"/>
    <w:link w:val="59"/>
    <w:uiPriority w:val="0"/>
    <w:pPr>
      <w:tabs>
        <w:tab w:val="center" w:pos="4153"/>
        <w:tab w:val="right" w:pos="8306"/>
      </w:tabs>
      <w:snapToGrid w:val="0"/>
      <w:jc w:val="left"/>
    </w:pPr>
    <w:rPr>
      <w:rFonts w:eastAsia="黑体"/>
      <w:snapToGrid w:val="0"/>
      <w:kern w:val="0"/>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60"/>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9">
    <w:name w:val="List"/>
    <w:basedOn w:val="1"/>
    <w:uiPriority w:val="0"/>
    <w:pPr>
      <w:ind w:left="200" w:hanging="200" w:hangingChars="200"/>
    </w:pPr>
    <w:rPr>
      <w:sz w:val="28"/>
    </w:rPr>
  </w:style>
  <w:style w:type="paragraph" w:styleId="30">
    <w:name w:val="footnote text"/>
    <w:basedOn w:val="1"/>
    <w:unhideWhenUsed/>
    <w:qFormat/>
    <w:uiPriority w:val="99"/>
    <w:pPr>
      <w:snapToGrid w:val="0"/>
      <w:spacing w:beforeLines="0" w:afterLines="0"/>
      <w:jc w:val="left"/>
    </w:pPr>
    <w:rPr>
      <w:rFonts w:hint="eastAsia"/>
      <w:sz w:val="18"/>
    </w:rPr>
  </w:style>
  <w:style w:type="paragraph" w:styleId="31">
    <w:name w:val="toc 6"/>
    <w:basedOn w:val="1"/>
    <w:next w:val="1"/>
    <w:qFormat/>
    <w:uiPriority w:val="0"/>
    <w:pPr>
      <w:ind w:left="1050"/>
      <w:jc w:val="left"/>
    </w:pPr>
    <w:rPr>
      <w:rFonts w:ascii="Arial" w:hAnsi="Arial"/>
      <w:snapToGrid/>
      <w:kern w:val="2"/>
      <w:sz w:val="18"/>
      <w:szCs w:val="18"/>
    </w:rPr>
  </w:style>
  <w:style w:type="paragraph" w:styleId="32">
    <w:name w:val="List 5"/>
    <w:basedOn w:val="1"/>
    <w:uiPriority w:val="0"/>
    <w:pPr>
      <w:ind w:left="2100" w:hanging="420"/>
    </w:pPr>
    <w:rPr>
      <w:rFonts w:ascii="Calibri" w:hAnsi="Calibri" w:eastAsia="楷体_GB2312"/>
      <w:sz w:val="32"/>
      <w:szCs w:val="22"/>
    </w:rPr>
  </w:style>
  <w:style w:type="paragraph" w:styleId="33">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34">
    <w:name w:val="toc 2"/>
    <w:basedOn w:val="1"/>
    <w:next w:val="1"/>
    <w:uiPriority w:val="0"/>
    <w:pPr>
      <w:ind w:left="420" w:leftChars="200"/>
    </w:pPr>
    <w:rPr>
      <w:rFonts w:ascii="Calibri" w:hAnsi="Calibri"/>
      <w:szCs w:val="22"/>
    </w:rPr>
  </w:style>
  <w:style w:type="paragraph" w:styleId="35">
    <w:name w:val="Body Text 2"/>
    <w:basedOn w:val="1"/>
    <w:uiPriority w:val="0"/>
    <w:pPr>
      <w:widowControl/>
      <w:snapToGrid w:val="0"/>
      <w:spacing w:before="50" w:after="156" w:afterLines="50" w:line="400" w:lineRule="exact"/>
      <w:jc w:val="left"/>
    </w:pPr>
    <w:rPr>
      <w:rFonts w:ascii="宋体" w:hAnsi="宋体"/>
      <w:color w:val="000000"/>
      <w:sz w:val="24"/>
    </w:rPr>
  </w:style>
  <w:style w:type="paragraph" w:styleId="36">
    <w:name w:val="List 4"/>
    <w:basedOn w:val="1"/>
    <w:uiPriority w:val="0"/>
    <w:pPr>
      <w:ind w:left="1680" w:hanging="420"/>
    </w:pPr>
    <w:rPr>
      <w:rFonts w:ascii="Calibri" w:hAnsi="Calibri" w:eastAsia="楷体_GB2312"/>
      <w:sz w:val="32"/>
      <w:szCs w:val="22"/>
    </w:rPr>
  </w:style>
  <w:style w:type="paragraph" w:styleId="3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next w:val="1"/>
    <w:qFormat/>
    <w:uiPriority w:val="0"/>
    <w:pPr>
      <w:spacing w:line="520" w:lineRule="exact"/>
      <w:jc w:val="center"/>
      <w:outlineLvl w:val="3"/>
    </w:pPr>
    <w:rPr>
      <w:rFonts w:ascii="Cambria" w:hAnsi="Cambria"/>
      <w:b/>
      <w:bCs/>
      <w:sz w:val="28"/>
      <w:szCs w:val="32"/>
    </w:rPr>
  </w:style>
  <w:style w:type="paragraph" w:styleId="40">
    <w:name w:val="annotation subject"/>
    <w:basedOn w:val="13"/>
    <w:next w:val="13"/>
    <w:uiPriority w:val="0"/>
    <w:rPr>
      <w:b/>
      <w:bCs/>
      <w:szCs w:val="20"/>
    </w:rPr>
  </w:style>
  <w:style w:type="paragraph" w:styleId="41">
    <w:name w:val="Body Text First Indent"/>
    <w:basedOn w:val="16"/>
    <w:next w:val="31"/>
    <w:uiPriority w:val="0"/>
    <w:pPr>
      <w:autoSpaceDE w:val="0"/>
      <w:autoSpaceDN w:val="0"/>
      <w:adjustRightInd w:val="0"/>
      <w:spacing w:line="360" w:lineRule="auto"/>
      <w:ind w:firstLine="420"/>
    </w:pPr>
    <w:rPr>
      <w:rFonts w:ascii="宋体" w:hAnsi="Calibri" w:eastAsia="宋体"/>
      <w:szCs w:val="20"/>
      <w:lang w:val="zh-CN"/>
    </w:rPr>
  </w:style>
  <w:style w:type="paragraph" w:styleId="42">
    <w:name w:val="Body Text First Indent 2"/>
    <w:basedOn w:val="17"/>
    <w:qFormat/>
    <w:uiPriority w:val="0"/>
    <w:pPr>
      <w:spacing w:after="120" w:line="240" w:lineRule="auto"/>
      <w:ind w:left="420" w:leftChars="200" w:firstLine="420" w:firstLineChars="200"/>
    </w:pPr>
    <w:rPr>
      <w:rFonts w:ascii="Times New Roman" w:hAnsi="Times New Roman"/>
      <w:spacing w:val="0"/>
      <w:sz w:val="21"/>
      <w:szCs w:val="24"/>
    </w:rPr>
  </w:style>
  <w:style w:type="table" w:styleId="44">
    <w:name w:val="Table Grid"/>
    <w:basedOn w:val="43"/>
    <w:uiPriority w:val="0"/>
    <w:pPr>
      <w:widowControl w:val="0"/>
      <w:jc w:val="both"/>
    </w:pPr>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eastAsia="宋体"/>
      <w:b/>
      <w:bCs/>
      <w:kern w:val="2"/>
      <w:sz w:val="24"/>
      <w:szCs w:val="24"/>
      <w:lang w:val="en-US" w:eastAsia="zh-CN" w:bidi="ar-SA"/>
    </w:rPr>
  </w:style>
  <w:style w:type="character" w:styleId="47">
    <w:name w:val="page number"/>
    <w:uiPriority w:val="0"/>
  </w:style>
  <w:style w:type="character" w:styleId="48">
    <w:name w:val="FollowedHyperlink"/>
    <w:uiPriority w:val="0"/>
    <w:rPr>
      <w:rFonts w:eastAsia="宋体"/>
      <w:color w:val="800080"/>
      <w:kern w:val="2"/>
      <w:sz w:val="24"/>
      <w:szCs w:val="24"/>
      <w:u w:val="single"/>
      <w:lang w:val="en-US" w:eastAsia="zh-CN" w:bidi="ar-SA"/>
    </w:rPr>
  </w:style>
  <w:style w:type="character" w:styleId="49">
    <w:name w:val="Hyperlink"/>
    <w:uiPriority w:val="0"/>
    <w:rPr>
      <w:color w:val="0000FF"/>
      <w:u w:val="single"/>
    </w:rPr>
  </w:style>
  <w:style w:type="character" w:styleId="50">
    <w:name w:val="annotation reference"/>
    <w:uiPriority w:val="0"/>
    <w:rPr>
      <w:rFonts w:eastAsia="宋体"/>
      <w:kern w:val="2"/>
      <w:sz w:val="21"/>
      <w:szCs w:val="21"/>
      <w:lang w:val="en-US" w:eastAsia="zh-CN" w:bidi="ar-SA"/>
    </w:rPr>
  </w:style>
  <w:style w:type="character" w:styleId="51">
    <w:name w:val="footnote reference"/>
    <w:unhideWhenUsed/>
    <w:qFormat/>
    <w:uiPriority w:val="99"/>
    <w:rPr>
      <w:rFonts w:hint="default" w:ascii="Times New Roman"/>
      <w:sz w:val="24"/>
      <w:vertAlign w:val="superscript"/>
    </w:rPr>
  </w:style>
  <w:style w:type="character" w:customStyle="1" w:styleId="52">
    <w:name w:val="标题 1 Char"/>
    <w:link w:val="3"/>
    <w:uiPriority w:val="0"/>
    <w:rPr>
      <w:rFonts w:eastAsia="宋体"/>
      <w:b/>
      <w:bCs/>
      <w:kern w:val="2"/>
      <w:sz w:val="24"/>
      <w:szCs w:val="24"/>
      <w:lang w:val="en-US" w:eastAsia="zh-CN" w:bidi="ar-SA"/>
    </w:rPr>
  </w:style>
  <w:style w:type="character" w:customStyle="1" w:styleId="53">
    <w:name w:val="标题 2 Char"/>
    <w:link w:val="4"/>
    <w:uiPriority w:val="0"/>
    <w:rPr>
      <w:rFonts w:ascii="Arial" w:hAnsi="Arial" w:eastAsia="黑体"/>
      <w:b/>
      <w:bCs/>
      <w:kern w:val="2"/>
      <w:sz w:val="32"/>
      <w:szCs w:val="32"/>
      <w:lang w:val="en-US" w:eastAsia="zh-CN" w:bidi="ar-SA"/>
    </w:rPr>
  </w:style>
  <w:style w:type="character" w:customStyle="1" w:styleId="54">
    <w:name w:val="标题 3 Char"/>
    <w:link w:val="5"/>
    <w:uiPriority w:val="0"/>
    <w:rPr>
      <w:rFonts w:eastAsia="宋体"/>
      <w:b/>
      <w:bCs/>
      <w:kern w:val="2"/>
      <w:sz w:val="32"/>
      <w:szCs w:val="32"/>
      <w:lang w:val="en-US" w:eastAsia="zh-CN" w:bidi="ar-SA"/>
    </w:rPr>
  </w:style>
  <w:style w:type="character" w:customStyle="1" w:styleId="55">
    <w:name w:val="标题 5 Char"/>
    <w:link w:val="7"/>
    <w:uiPriority w:val="0"/>
    <w:rPr>
      <w:rFonts w:eastAsia="宋体"/>
      <w:b/>
      <w:bCs/>
      <w:kern w:val="2"/>
      <w:sz w:val="28"/>
      <w:szCs w:val="28"/>
      <w:lang w:val="en-US" w:eastAsia="zh-CN" w:bidi="ar-SA"/>
    </w:rPr>
  </w:style>
  <w:style w:type="character" w:customStyle="1" w:styleId="56">
    <w:name w:val="正文缩进 Char"/>
    <w:link w:val="10"/>
    <w:uiPriority w:val="0"/>
    <w:rPr>
      <w:rFonts w:eastAsia="宋体"/>
      <w:kern w:val="2"/>
      <w:sz w:val="21"/>
      <w:lang w:val="en-US" w:eastAsia="zh-CN" w:bidi="ar-SA"/>
    </w:rPr>
  </w:style>
  <w:style w:type="character" w:customStyle="1" w:styleId="57">
    <w:name w:val="正文文本 Char"/>
    <w:link w:val="16"/>
    <w:semiHidden/>
    <w:locked/>
    <w:uiPriority w:val="0"/>
    <w:rPr>
      <w:rFonts w:eastAsia="宋体"/>
      <w:kern w:val="2"/>
      <w:sz w:val="28"/>
      <w:szCs w:val="24"/>
      <w:lang w:val="en-US" w:eastAsia="zh-CN" w:bidi="ar-SA"/>
    </w:rPr>
  </w:style>
  <w:style w:type="character" w:customStyle="1" w:styleId="58">
    <w:name w:val="纯文本 Char"/>
    <w:link w:val="22"/>
    <w:uiPriority w:val="0"/>
    <w:rPr>
      <w:rFonts w:ascii="宋体" w:hAnsi="Courier New" w:eastAsia="宋体"/>
      <w:kern w:val="2"/>
      <w:sz w:val="24"/>
      <w:szCs w:val="24"/>
      <w:lang w:val="en-US" w:eastAsia="zh-CN" w:bidi="ar-SA"/>
    </w:rPr>
  </w:style>
  <w:style w:type="character" w:customStyle="1" w:styleId="59">
    <w:name w:val="页脚 Char"/>
    <w:link w:val="26"/>
    <w:uiPriority w:val="0"/>
    <w:rPr>
      <w:rFonts w:eastAsia="黑体"/>
      <w:snapToGrid w:val="0"/>
      <w:sz w:val="18"/>
      <w:szCs w:val="18"/>
      <w:lang w:val="en-US" w:eastAsia="zh-CN" w:bidi="ar-SA"/>
    </w:rPr>
  </w:style>
  <w:style w:type="character" w:customStyle="1" w:styleId="60">
    <w:name w:val="页眉 Char"/>
    <w:link w:val="28"/>
    <w:uiPriority w:val="0"/>
    <w:rPr>
      <w:rFonts w:eastAsia="仿宋_GB2312"/>
      <w:kern w:val="2"/>
      <w:sz w:val="18"/>
      <w:lang w:val="en-US" w:eastAsia="zh-CN" w:bidi="ar-SA"/>
    </w:rPr>
  </w:style>
  <w:style w:type="character" w:customStyle="1" w:styleId="61">
    <w:name w:val="h Char Char"/>
    <w:uiPriority w:val="0"/>
    <w:rPr>
      <w:rFonts w:eastAsia="仿宋_GB2312"/>
      <w:kern w:val="2"/>
      <w:sz w:val="18"/>
      <w:lang w:val="en-US" w:eastAsia="zh-CN" w:bidi="ar-SA"/>
    </w:rPr>
  </w:style>
  <w:style w:type="character" w:customStyle="1" w:styleId="62">
    <w:name w:val="普通文字 Char Char2"/>
    <w:aliases w:val="纯文本 Char Char Char1,纯文本 Char Char2,普通文字 Char Char Char2,普通文字 Char Char Char Char2,普通文字 Char Char Char Char Char1,普通文字1 Char1,普通文字2 Char1,普通文字3 Char1,普通文字4 Char1,普通文字5 Char1,普通文字6 Char1,普通文字11 Char1,普通文字21 Char1,普通文字31 Char1,普通文字41 Char1"/>
    <w:uiPriority w:val="0"/>
    <w:rPr>
      <w:rFonts w:ascii="宋体" w:hAnsi="Courier New" w:eastAsia="宋体"/>
      <w:kern w:val="2"/>
      <w:sz w:val="21"/>
      <w:lang w:val="en-US" w:eastAsia="zh-CN" w:bidi="ar-SA"/>
    </w:rPr>
  </w:style>
  <w:style w:type="character" w:customStyle="1" w:styleId="63">
    <w:name w:val="label_list1"/>
    <w:uiPriority w:val="0"/>
  </w:style>
  <w:style w:type="character" w:customStyle="1" w:styleId="64">
    <w:name w:val="Plain Text Char"/>
    <w:semiHidden/>
    <w:locked/>
    <w:uiPriority w:val="0"/>
    <w:rPr>
      <w:rFonts w:ascii="宋体" w:hAnsi="Courier New" w:eastAsia="宋体" w:cs="Times New Roman"/>
      <w:sz w:val="20"/>
      <w:szCs w:val="20"/>
    </w:rPr>
  </w:style>
  <w:style w:type="character" w:customStyle="1" w:styleId="65">
    <w:name w:val="List Paragraph Char"/>
    <w:link w:val="66"/>
    <w:locked/>
    <w:uiPriority w:val="0"/>
    <w:rPr>
      <w:rFonts w:eastAsia="宋体"/>
      <w:kern w:val="2"/>
      <w:sz w:val="21"/>
      <w:szCs w:val="24"/>
      <w:lang w:val="en-US" w:eastAsia="zh-CN" w:bidi="ar-SA"/>
    </w:rPr>
  </w:style>
  <w:style w:type="paragraph" w:customStyle="1" w:styleId="66">
    <w:name w:val="List Paragraph"/>
    <w:basedOn w:val="1"/>
    <w:next w:val="1"/>
    <w:link w:val="65"/>
    <w:uiPriority w:val="0"/>
    <w:pPr>
      <w:ind w:firstLine="420" w:firstLineChars="200"/>
    </w:pPr>
  </w:style>
  <w:style w:type="character" w:customStyle="1" w:styleId="67">
    <w:name w:val="class3"/>
    <w:uiPriority w:val="0"/>
  </w:style>
  <w:style w:type="character" w:customStyle="1" w:styleId="68">
    <w:name w:val="class4"/>
    <w:uiPriority w:val="0"/>
  </w:style>
  <w:style w:type="character" w:customStyle="1" w:styleId="69">
    <w:name w:val="style41"/>
    <w:uiPriority w:val="0"/>
    <w:rPr>
      <w:sz w:val="18"/>
      <w:szCs w:val="18"/>
    </w:rPr>
  </w:style>
  <w:style w:type="character" w:customStyle="1" w:styleId="70">
    <w:name w:val="普通文字 Char Char3"/>
    <w:aliases w:val="纯文本 Char Char Char2,纯文本 Char Char3,普通文字 Char Char Char3,普通文字 Char Char Char Char1,普通文字 Char2,小 Char1,Texte Char1,正 文 1 Char1,0921 Char1,普通文字1 Char2,普通文字2 Char2,普通文字3 Char2,普通文字4 Char2,普通文字5 Char2,普通文字6 Char2,普通文字11 Char2,普通文字21 Char2"/>
    <w:uiPriority w:val="0"/>
    <w:rPr>
      <w:rFonts w:ascii="宋体" w:hAnsi="Courier New" w:eastAsia="宋体"/>
      <w:kern w:val="2"/>
      <w:sz w:val="24"/>
      <w:szCs w:val="24"/>
      <w:lang w:val="en-US" w:eastAsia="zh-CN" w:bidi="ar-SA"/>
    </w:rPr>
  </w:style>
  <w:style w:type="character" w:customStyle="1" w:styleId="71">
    <w:name w:val=" Char Char18"/>
    <w:uiPriority w:val="0"/>
    <w:rPr>
      <w:rFonts w:ascii="宋体" w:eastAsia="宋体"/>
      <w:snapToGrid w:val="0"/>
      <w:color w:val="000000"/>
      <w:kern w:val="28"/>
      <w:sz w:val="28"/>
      <w:lang w:val="en-US" w:eastAsia="zh-CN" w:bidi="ar-SA"/>
    </w:rPr>
  </w:style>
  <w:style w:type="character" w:customStyle="1" w:styleId="72">
    <w:name w:val="ca-3"/>
    <w:uiPriority w:val="0"/>
    <w:rPr>
      <w:rFonts w:eastAsia="宋体"/>
      <w:kern w:val="2"/>
      <w:sz w:val="24"/>
      <w:szCs w:val="24"/>
      <w:lang w:val="en-US" w:eastAsia="zh-CN" w:bidi="ar-SA"/>
    </w:rPr>
  </w:style>
  <w:style w:type="character" w:customStyle="1" w:styleId="73">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uiPriority w:val="0"/>
    <w:rPr>
      <w:rFonts w:ascii="宋体" w:hAnsi="Courier New"/>
      <w:kern w:val="2"/>
      <w:sz w:val="24"/>
      <w:szCs w:val="24"/>
    </w:rPr>
  </w:style>
  <w:style w:type="character" w:customStyle="1" w:styleId="74">
    <w:name w:val="hui121"/>
    <w:uiPriority w:val="0"/>
    <w:rPr>
      <w:rFonts w:eastAsia="宋体"/>
      <w:color w:val="333333"/>
      <w:kern w:val="2"/>
      <w:sz w:val="18"/>
      <w:szCs w:val="18"/>
      <w:lang w:val="en-US" w:eastAsia="zh-CN" w:bidi="ar-SA"/>
    </w:rPr>
  </w:style>
  <w:style w:type="paragraph" w:customStyle="1" w:styleId="75">
    <w:name w:val="[Normal]"/>
    <w:qFormat/>
    <w:uiPriority w:val="0"/>
    <w:rPr>
      <w:rFonts w:ascii="宋体" w:hAnsi="宋体" w:eastAsia="等线" w:cs="Times New Roman"/>
      <w:sz w:val="24"/>
      <w:szCs w:val="22"/>
      <w:lang w:val="zh-CN" w:eastAsia="zh-CN" w:bidi="ar-SA"/>
    </w:rPr>
  </w:style>
  <w:style w:type="paragraph" w:customStyle="1" w:styleId="76">
    <w:name w:val="纯文本3"/>
    <w:basedOn w:val="77"/>
    <w:qFormat/>
    <w:uiPriority w:val="0"/>
    <w:pPr>
      <w:widowControl/>
      <w:jc w:val="left"/>
    </w:pPr>
    <w:rPr>
      <w:rFonts w:ascii="宋体" w:hAnsi="Courier New"/>
    </w:rPr>
  </w:style>
  <w:style w:type="paragraph" w:customStyle="1" w:styleId="7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
    <w:name w:val="_Style 68"/>
    <w:basedOn w:val="1"/>
    <w:qFormat/>
    <w:uiPriority w:val="99"/>
    <w:pPr>
      <w:widowControl/>
      <w:ind w:left="720" w:firstLine="360"/>
      <w:contextualSpacing/>
      <w:jc w:val="left"/>
    </w:pPr>
    <w:rPr>
      <w:rFonts w:ascii="Calibri" w:hAnsi="Calibri"/>
      <w:kern w:val="0"/>
      <w:sz w:val="22"/>
      <w:szCs w:val="22"/>
      <w:lang w:eastAsia="en-US" w:bidi="en-US"/>
    </w:rPr>
  </w:style>
  <w:style w:type="paragraph" w:customStyle="1" w:styleId="79">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eastAsia="仿宋_GB2312"/>
      <w:b/>
      <w:sz w:val="32"/>
    </w:rPr>
  </w:style>
  <w:style w:type="paragraph" w:customStyle="1" w:styleId="80">
    <w:name w:val="CM14"/>
    <w:basedOn w:val="81"/>
    <w:next w:val="81"/>
    <w:unhideWhenUsed/>
    <w:qFormat/>
    <w:uiPriority w:val="99"/>
    <w:pPr>
      <w:spacing w:beforeLines="0" w:afterLines="0" w:line="546" w:lineRule="atLeast"/>
    </w:pPr>
    <w:rPr>
      <w:rFonts w:hint="eastAsia"/>
      <w:sz w:val="24"/>
    </w:rPr>
  </w:style>
  <w:style w:type="paragraph" w:customStyle="1" w:styleId="81">
    <w:name w:val="Default"/>
    <w:next w:val="82"/>
    <w:uiPriority w:val="0"/>
    <w:pPr>
      <w:widowControl w:val="0"/>
      <w:autoSpaceDE w:val="0"/>
      <w:autoSpaceDN w:val="0"/>
      <w:adjustRightInd w:val="0"/>
    </w:pPr>
    <w:rPr>
      <w:rFonts w:ascii="..ì." w:eastAsia="..ì." w:cs="..ì."/>
      <w:color w:val="000000"/>
      <w:sz w:val="24"/>
      <w:szCs w:val="24"/>
      <w:lang w:val="en-US" w:eastAsia="zh-CN" w:bidi="ar-SA"/>
    </w:rPr>
  </w:style>
  <w:style w:type="paragraph" w:customStyle="1" w:styleId="82">
    <w:name w:val="目录 71"/>
    <w:next w:val="1"/>
    <w:qFormat/>
    <w:uiPriority w:val="0"/>
    <w:pPr>
      <w:wordWrap w:val="0"/>
      <w:ind w:left="2550"/>
      <w:jc w:val="both"/>
    </w:pPr>
    <w:rPr>
      <w:rFonts w:ascii="Calibri" w:hAnsi="Calibri"/>
      <w:sz w:val="21"/>
      <w:szCs w:val="22"/>
      <w:lang w:val="en-US" w:eastAsia="zh-CN" w:bidi="ar-SA"/>
    </w:rPr>
  </w:style>
  <w:style w:type="paragraph" w:customStyle="1" w:styleId="83">
    <w:name w:val="Plain Text1"/>
    <w:basedOn w:val="84"/>
    <w:uiPriority w:val="0"/>
    <w:pPr>
      <w:widowControl/>
      <w:jc w:val="left"/>
    </w:pPr>
    <w:rPr>
      <w:rFonts w:ascii="宋体" w:hAnsi="Courier New"/>
    </w:rPr>
  </w:style>
  <w:style w:type="paragraph" w:customStyle="1" w:styleId="84">
    <w:name w:val="Normal1"/>
    <w:uiPriority w:val="0"/>
    <w:pPr>
      <w:widowControl w:val="0"/>
      <w:jc w:val="both"/>
    </w:pPr>
    <w:rPr>
      <w:rFonts w:hint="eastAsia"/>
      <w:kern w:val="2"/>
      <w:sz w:val="21"/>
      <w:lang w:val="en-US" w:eastAsia="zh-CN" w:bidi="ar-SA"/>
    </w:rPr>
  </w:style>
  <w:style w:type="paragraph" w:customStyle="1" w:styleId="85">
    <w:name w:val="cjk"/>
    <w:basedOn w:val="1"/>
    <w:uiPriority w:val="0"/>
    <w:pPr>
      <w:widowControl/>
      <w:spacing w:line="480" w:lineRule="auto"/>
      <w:jc w:val="left"/>
    </w:pPr>
    <w:rPr>
      <w:rFonts w:ascii="宋体" w:hAnsi="宋体" w:cs="宋体"/>
      <w:kern w:val="0"/>
      <w:sz w:val="24"/>
      <w:szCs w:val="22"/>
    </w:rPr>
  </w:style>
  <w:style w:type="paragraph" w:customStyle="1" w:styleId="86">
    <w:name w:val="toc 7"/>
    <w:next w:val="1"/>
    <w:qFormat/>
    <w:uiPriority w:val="0"/>
    <w:pPr>
      <w:wordWrap w:val="0"/>
      <w:ind w:left="2550"/>
      <w:jc w:val="both"/>
    </w:pPr>
    <w:rPr>
      <w:sz w:val="21"/>
      <w:szCs w:val="22"/>
      <w:lang w:val="en-US" w:eastAsia="zh-CN" w:bidi="ar-SA"/>
    </w:rPr>
  </w:style>
  <w:style w:type="paragraph" w:customStyle="1" w:styleId="87">
    <w:name w:val="p0"/>
    <w:basedOn w:val="1"/>
    <w:uiPriority w:val="0"/>
    <w:pPr>
      <w:widowControl/>
    </w:pPr>
    <w:rPr>
      <w:kern w:val="0"/>
      <w:szCs w:val="21"/>
    </w:rPr>
  </w:style>
  <w:style w:type="paragraph" w:customStyle="1" w:styleId="88">
    <w:name w:val="正文2"/>
    <w:basedOn w:val="1"/>
    <w:uiPriority w:val="0"/>
    <w:pPr>
      <w:spacing w:before="156" w:beforeLines="0" w:line="360" w:lineRule="auto"/>
      <w:ind w:firstLine="510" w:firstLineChars="200"/>
    </w:pPr>
    <w:rPr>
      <w:rFonts w:eastAsia="宋体"/>
      <w:kern w:val="2"/>
      <w:sz w:val="24"/>
      <w:lang w:val="en-US" w:eastAsia="zh-CN" w:bidi="ar-SA"/>
    </w:rPr>
  </w:style>
  <w:style w:type="paragraph" w:customStyle="1" w:styleId="89">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90">
    <w:name w:val="CM11"/>
    <w:basedOn w:val="81"/>
    <w:next w:val="81"/>
    <w:unhideWhenUsed/>
    <w:qFormat/>
    <w:uiPriority w:val="99"/>
    <w:pPr>
      <w:spacing w:beforeLines="0" w:afterLines="0" w:line="520" w:lineRule="atLeast"/>
    </w:pPr>
    <w:rPr>
      <w:rFonts w:hint="eastAsia"/>
      <w:sz w:val="24"/>
    </w:rPr>
  </w:style>
  <w:style w:type="paragraph" w:customStyle="1" w:styleId="91">
    <w:name w:val="Char Char Char"/>
    <w:basedOn w:val="1"/>
    <w:uiPriority w:val="0"/>
    <w:rPr>
      <w:rFonts w:ascii="Calibri" w:hAnsi="Calibri"/>
      <w:szCs w:val="22"/>
    </w:rPr>
  </w:style>
  <w:style w:type="paragraph" w:customStyle="1" w:styleId="92">
    <w:name w:val="正文段"/>
    <w:basedOn w:val="1"/>
    <w:uiPriority w:val="0"/>
    <w:pPr>
      <w:widowControl/>
      <w:snapToGrid w:val="0"/>
      <w:spacing w:after="50" w:afterLines="50"/>
      <w:ind w:firstLine="200" w:firstLineChars="200"/>
    </w:pPr>
    <w:rPr>
      <w:kern w:val="0"/>
      <w:sz w:val="24"/>
      <w:szCs w:val="20"/>
    </w:rPr>
  </w:style>
  <w:style w:type="paragraph" w:customStyle="1" w:styleId="93">
    <w:name w:val="默认段落字体 Para Char Char Char Char Char Char Char Char Char1 Char Char Char Char"/>
    <w:basedOn w:val="1"/>
    <w:uiPriority w:val="0"/>
    <w:rPr>
      <w:rFonts w:ascii="Tahoma" w:hAnsi="Tahoma"/>
      <w:sz w:val="24"/>
      <w:szCs w:val="20"/>
    </w:rPr>
  </w:style>
  <w:style w:type="paragraph" w:customStyle="1" w:styleId="94">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95">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6">
    <w:name w:val="CM19"/>
    <w:basedOn w:val="81"/>
    <w:next w:val="81"/>
    <w:unhideWhenUsed/>
    <w:uiPriority w:val="99"/>
    <w:pPr>
      <w:spacing w:beforeLines="0" w:afterLines="0"/>
    </w:pPr>
    <w:rPr>
      <w:rFonts w:hint="eastAsia"/>
      <w:sz w:val="24"/>
    </w:rPr>
  </w:style>
  <w:style w:type="paragraph" w:customStyle="1" w:styleId="9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98">
    <w:name w:val="Char"/>
    <w:basedOn w:val="1"/>
    <w:uiPriority w:val="0"/>
    <w:pPr>
      <w:numPr>
        <w:ilvl w:val="0"/>
        <w:numId w:val="2"/>
      </w:numPr>
    </w:pPr>
    <w:rPr>
      <w:sz w:val="24"/>
    </w:rPr>
  </w:style>
  <w:style w:type="paragraph" w:customStyle="1" w:styleId="99">
    <w:name w:val="列出段落1"/>
    <w:basedOn w:val="1"/>
    <w:uiPriority w:val="0"/>
    <w:pPr>
      <w:ind w:firstLine="420" w:firstLineChars="200"/>
    </w:pPr>
    <w:rPr>
      <w:rFonts w:ascii="Calibri" w:hAnsi="Calibri"/>
      <w:szCs w:val="22"/>
    </w:rPr>
  </w:style>
  <w:style w:type="paragraph" w:customStyle="1" w:styleId="100">
    <w:name w:val="正文_13"/>
    <w:qFormat/>
    <w:uiPriority w:val="0"/>
    <w:pPr>
      <w:widowControl w:val="0"/>
      <w:jc w:val="both"/>
    </w:pPr>
    <w:rPr>
      <w:kern w:val="2"/>
      <w:sz w:val="21"/>
      <w:szCs w:val="24"/>
      <w:lang w:val="en-US" w:eastAsia="zh-CN" w:bidi="ar-SA"/>
    </w:rPr>
  </w:style>
  <w:style w:type="paragraph" w:customStyle="1" w:styleId="101">
    <w:name w:val="WPSOffice手动目录 1"/>
    <w:uiPriority w:val="0"/>
    <w:rPr>
      <w:lang w:val="en-US" w:eastAsia="zh-CN" w:bidi="ar-SA"/>
    </w:rPr>
  </w:style>
  <w:style w:type="paragraph" w:customStyle="1" w:styleId="102">
    <w:name w:val="lp1"/>
    <w:basedOn w:val="1"/>
    <w:next w:val="66"/>
    <w:qFormat/>
    <w:uiPriority w:val="34"/>
    <w:pPr>
      <w:widowControl/>
      <w:ind w:left="720"/>
      <w:contextualSpacing/>
      <w:jc w:val="left"/>
    </w:pPr>
    <w:rPr>
      <w:sz w:val="24"/>
      <w:szCs w:val="24"/>
    </w:rPr>
  </w:style>
  <w:style w:type="paragraph" w:customStyle="1" w:styleId="103">
    <w:name w:val="简单回函地址"/>
    <w:basedOn w:val="1"/>
    <w:uiPriority w:val="0"/>
    <w:pPr>
      <w:adjustRightInd w:val="0"/>
      <w:spacing w:line="312" w:lineRule="atLeast"/>
      <w:textAlignment w:val="baseline"/>
    </w:pPr>
    <w:rPr>
      <w:kern w:val="0"/>
      <w:szCs w:val="20"/>
    </w:rPr>
  </w:style>
  <w:style w:type="paragraph" w:customStyle="1" w:styleId="10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5">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自定义正文"/>
    <w:basedOn w:val="1"/>
    <w:qFormat/>
    <w:uiPriority w:val="0"/>
    <w:pPr>
      <w:spacing w:before="120" w:after="60" w:line="400" w:lineRule="exact"/>
      <w:ind w:firstLine="200" w:firstLineChars="200"/>
      <w:jc w:val="left"/>
    </w:pPr>
    <w:rPr>
      <w:rFonts w:ascii="仿宋_GB2312" w:hAnsi="Calibri" w:eastAsia="仿宋_GB2312"/>
      <w:kern w:val="0"/>
      <w:sz w:val="24"/>
      <w:szCs w:val="20"/>
    </w:rPr>
  </w:style>
  <w:style w:type="paragraph" w:customStyle="1" w:styleId="107">
    <w:name w:val="DAS正文"/>
    <w:basedOn w:val="1"/>
    <w:qFormat/>
    <w:uiPriority w:val="0"/>
    <w:pPr>
      <w:spacing w:line="360" w:lineRule="auto"/>
      <w:ind w:right="181" w:firstLine="480" w:firstLineChars="200"/>
    </w:pPr>
    <w:rPr>
      <w:rFonts w:ascii="Verdana" w:hAnsi="Verdana"/>
      <w:sz w:val="24"/>
    </w:rPr>
  </w:style>
  <w:style w:type="paragraph" w:customStyle="1" w:styleId="108">
    <w:name w:val="1 Char"/>
    <w:basedOn w:val="1"/>
    <w:uiPriority w:val="0"/>
    <w:rPr>
      <w:szCs w:val="20"/>
    </w:rPr>
  </w:style>
  <w:style w:type="paragraph" w:customStyle="1" w:styleId="109">
    <w:name w:val="标题A"/>
    <w:basedOn w:val="3"/>
    <w:uiPriority w:val="0"/>
    <w:pPr>
      <w:keepLines/>
      <w:adjustRightInd w:val="0"/>
      <w:spacing w:before="100" w:beforeAutospacing="1" w:after="60"/>
      <w:textAlignment w:val="baseline"/>
    </w:pPr>
    <w:rPr>
      <w:rFonts w:ascii="Arial" w:hAnsi="Arial"/>
      <w:kern w:val="44"/>
      <w:sz w:val="28"/>
      <w:szCs w:val="44"/>
    </w:rPr>
  </w:style>
  <w:style w:type="paragraph" w:customStyle="1" w:styleId="110">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11">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12">
    <w:name w:val="标题B"/>
    <w:basedOn w:val="4"/>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3">
    <w:name w:val="标题C"/>
    <w:basedOn w:val="5"/>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4">
    <w:name w:val="Medium Grid 1 - Accent 21"/>
    <w:basedOn w:val="1"/>
    <w:uiPriority w:val="0"/>
    <w:pPr>
      <w:spacing w:line="500" w:lineRule="exact"/>
      <w:ind w:firstLine="420" w:firstLineChars="200"/>
    </w:pPr>
    <w:rPr>
      <w:kern w:val="0"/>
      <w:sz w:val="21"/>
      <w:szCs w:val="24"/>
    </w:rPr>
  </w:style>
  <w:style w:type="paragraph" w:customStyle="1" w:styleId="115">
    <w:name w:val="首行缩进"/>
    <w:basedOn w:val="1"/>
    <w:uiPriority w:val="0"/>
    <w:pPr>
      <w:adjustRightInd w:val="0"/>
      <w:spacing w:line="360" w:lineRule="auto"/>
      <w:ind w:firstLine="480" w:firstLineChars="200"/>
    </w:pPr>
    <w:rPr>
      <w:rFonts w:ascii="宋体"/>
      <w:sz w:val="24"/>
      <w:szCs w:val="20"/>
    </w:rPr>
  </w:style>
  <w:style w:type="paragraph" w:customStyle="1" w:styleId="116">
    <w:name w:val="Normal"/>
    <w:uiPriority w:val="0"/>
    <w:pPr>
      <w:widowControl w:val="0"/>
      <w:jc w:val="both"/>
    </w:pPr>
    <w:rPr>
      <w:rFonts w:hint="eastAsia"/>
      <w:kern w:val="2"/>
      <w:sz w:val="21"/>
      <w:lang w:val="en-US" w:eastAsia="zh-CN" w:bidi="ar-SA"/>
    </w:rPr>
  </w:style>
  <w:style w:type="paragraph" w:customStyle="1" w:styleId="11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8">
    <w:name w:val="标准文本"/>
    <w:basedOn w:val="1"/>
    <w:qFormat/>
    <w:uiPriority w:val="0"/>
    <w:pPr>
      <w:spacing w:line="360" w:lineRule="auto"/>
      <w:ind w:firstLine="480" w:firstLineChars="200"/>
    </w:pPr>
    <w:rPr>
      <w:rFonts w:ascii="Calibri" w:hAnsi="Calibri" w:eastAsia="仿宋" w:cs="Times New Roman"/>
      <w:kern w:val="0"/>
      <w:sz w:val="24"/>
      <w:szCs w:val="20"/>
    </w:rPr>
  </w:style>
  <w:style w:type="paragraph" w:customStyle="1" w:styleId="119">
    <w:name w:val="表格"/>
    <w:basedOn w:val="1"/>
    <w:qFormat/>
    <w:uiPriority w:val="0"/>
    <w:pPr>
      <w:snapToGrid w:val="0"/>
      <w:spacing w:line="360" w:lineRule="auto"/>
      <w:ind w:firstLine="42" w:firstLineChars="21"/>
    </w:pPr>
    <w:rPr>
      <w:rFonts w:ascii="宋体" w:hAnsi="宋体"/>
      <w:kern w:val="0"/>
      <w:sz w:val="20"/>
      <w:szCs w:val="20"/>
    </w:rPr>
  </w:style>
  <w:style w:type="paragraph" w:customStyle="1" w:styleId="120">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121">
    <w:name w:val="Normal Indent1"/>
    <w:basedOn w:val="1"/>
    <w:qFormat/>
    <w:uiPriority w:val="0"/>
    <w:pPr>
      <w:ind w:firstLine="420" w:firstLineChars="200"/>
    </w:pPr>
  </w:style>
  <w:style w:type="paragraph" w:customStyle="1" w:styleId="122">
    <w:name w:val="默认段落字体 Para Char Char Char Char"/>
    <w:basedOn w:val="1"/>
    <w:uiPriority w:val="0"/>
    <w:rPr>
      <w:spacing w:val="20"/>
      <w:sz w:val="28"/>
      <w:szCs w:val="21"/>
    </w:rPr>
  </w:style>
  <w:style w:type="paragraph" w:customStyle="1" w:styleId="123">
    <w:name w:val="列表段落1"/>
    <w:basedOn w:val="1"/>
    <w:qFormat/>
    <w:uiPriority w:val="0"/>
    <w:pPr>
      <w:ind w:firstLine="420" w:firstLineChars="200"/>
    </w:pPr>
    <w:rPr>
      <w:rFonts w:ascii="Calibri" w:hAnsi="Calibri" w:eastAsia="宋体" w:cs="Times New Roman"/>
      <w:sz w:val="21"/>
      <w:szCs w:val="22"/>
    </w:rPr>
  </w:style>
  <w:style w:type="paragraph" w:customStyle="1" w:styleId="124">
    <w:name w:val="表格文字"/>
    <w:basedOn w:val="1"/>
    <w:next w:val="16"/>
    <w:qFormat/>
    <w:uiPriority w:val="0"/>
    <w:pPr>
      <w:adjustRightInd w:val="0"/>
      <w:spacing w:line="420" w:lineRule="atLeast"/>
      <w:jc w:val="left"/>
      <w:textAlignment w:val="baseline"/>
    </w:pPr>
    <w:rPr>
      <w:kern w:val="0"/>
    </w:rPr>
  </w:style>
  <w:style w:type="paragraph" w:customStyle="1" w:styleId="125">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hAnsi="Arial Unicode MS" w:eastAsia="Times New Roman" w:cs="Arial Unicode MS"/>
      <w:color w:val="000000"/>
      <w:kern w:val="2"/>
      <w:sz w:val="21"/>
      <w:szCs w:val="21"/>
      <w:u w:val="none" w:color="000000"/>
      <w:lang w:val="en-US" w:eastAsia="zh-CN" w:bidi="ar-SA"/>
    </w:rPr>
  </w:style>
  <w:style w:type="paragraph" w:customStyle="1" w:styleId="126">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27">
    <w:name w:val="内文正文"/>
    <w:qFormat/>
    <w:uiPriority w:val="0"/>
    <w:pPr>
      <w:autoSpaceDE w:val="0"/>
      <w:autoSpaceDN w:val="0"/>
      <w:spacing w:line="400" w:lineRule="exact"/>
      <w:ind w:firstLine="200" w:firstLineChars="200"/>
      <w:jc w:val="both"/>
      <w:textAlignment w:val="bottom"/>
    </w:pPr>
    <w:rPr>
      <w:rFonts w:ascii="??" w:hAnsi="??" w:eastAsia="??"/>
      <w:sz w:val="21"/>
      <w:szCs w:val="28"/>
      <w:lang w:val="en-US" w:eastAsia="zh-CN" w:bidi="ar-SA"/>
    </w:rPr>
  </w:style>
  <w:style w:type="paragraph" w:customStyle="1" w:styleId="128">
    <w:name w:val=" Char Char Char Char Char Char"/>
    <w:basedOn w:val="1"/>
    <w:uiPriority w:val="0"/>
    <w:rPr>
      <w:rFonts w:ascii="仿宋_GB2312" w:eastAsia="仿宋_GB2312"/>
      <w:b/>
      <w:sz w:val="32"/>
      <w:szCs w:val="32"/>
    </w:rPr>
  </w:style>
  <w:style w:type="paragraph" w:customStyle="1" w:styleId="129">
    <w:name w:val="CM13"/>
    <w:basedOn w:val="81"/>
    <w:next w:val="81"/>
    <w:unhideWhenUsed/>
    <w:qFormat/>
    <w:uiPriority w:val="99"/>
    <w:pPr>
      <w:spacing w:beforeLines="0" w:afterLines="0" w:line="520" w:lineRule="atLeast"/>
    </w:pPr>
    <w:rPr>
      <w:rFonts w:hint="eastAsia"/>
      <w:sz w:val="24"/>
    </w:rPr>
  </w:style>
  <w:style w:type="paragraph" w:styleId="130">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131">
    <w:name w:val="Plain Text"/>
    <w:basedOn w:val="116"/>
    <w:uiPriority w:val="0"/>
    <w:pPr>
      <w:widowControl/>
      <w:jc w:val="left"/>
    </w:pPr>
    <w:rPr>
      <w:rFonts w:ascii="宋体" w:hAnsi="Courier New"/>
    </w:rPr>
  </w:style>
  <w:style w:type="paragraph" w:customStyle="1" w:styleId="132">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13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135">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7">
    <w:name w:val="纯文本1"/>
    <w:basedOn w:val="133"/>
    <w:qFormat/>
    <w:uiPriority w:val="0"/>
    <w:pPr>
      <w:widowControl/>
      <w:jc w:val="left"/>
    </w:pPr>
    <w:rPr>
      <w:rFonts w:ascii="宋体" w:hAnsi="Courier Ne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5.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footer1.xml" Type="http://schemas.openxmlformats.org/officeDocument/2006/relationships/footer"/><Relationship Id="rId5" Target="footer2.xml" Type="http://schemas.openxmlformats.org/officeDocument/2006/relationships/footer"/><Relationship Id="rId6" Target="header1.xml" Type="http://schemas.openxmlformats.org/officeDocument/2006/relationships/header"/><Relationship Id="rId7" Target="footer3.xml" Type="http://schemas.openxmlformats.org/officeDocument/2006/relationships/footer"/><Relationship Id="rId8" Target="header2.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青鸟杭办</Company>
  <Pages>67</Pages>
  <Words>39161</Words>
  <Characters>40132</Characters>
  <Lines>559</Lines>
  <Paragraphs>203</Paragraphs>
  <TotalTime>19</TotalTime>
  <ScaleCrop>false</ScaleCrop>
  <LinksUpToDate>false</LinksUpToDate>
  <CharactersWithSpaces>41982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2018-06-28T10:12:00Z</dcterms:created>
  <dc:creator>黄旭明</dc:creator>
  <cp:lastModifiedBy>WPS_1701756769</cp:lastModifiedBy>
  <cp:lastPrinted>2019-07-04T10:12:00Z</cp:lastPrinted>
  <dcterms:modified xsi:type="dcterms:W3CDTF">2024-02-23T03:59:36Z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0509BD85ACC0407C84C7990213F00244_13</vt:lpwstr>
  </property>
</Properties>
</file>