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jc w:val="center"/>
        <w:rPr>
          <w:rFonts w:ascii="Times New Roman" w:hAnsi="Times New Roman"/>
          <w:b/>
          <w:color w:val="auto"/>
          <w:kern w:val="1"/>
          <w:sz w:val="48"/>
          <w:highlight w:val="none"/>
        </w:rPr>
      </w:pPr>
      <w:bookmarkStart w:id="75" w:name="_GoBack"/>
      <w:bookmarkEnd w:id="75"/>
    </w:p>
    <w:p>
      <w:pPr>
        <w:spacing w:before="156"/>
        <w:jc w:val="center"/>
        <w:rPr>
          <w:rFonts w:hint="eastAsia" w:ascii="Times New Roman" w:hAnsi="Times New Roman" w:eastAsia="宋体"/>
          <w:b/>
          <w:color w:val="auto"/>
          <w:kern w:val="1"/>
          <w:sz w:val="52"/>
          <w:szCs w:val="52"/>
          <w:highlight w:val="none"/>
          <w:lang w:eastAsia="zh-CN"/>
        </w:rPr>
      </w:pPr>
      <w:r>
        <w:rPr>
          <w:rFonts w:hint="eastAsia" w:ascii="Times New Roman" w:hAnsi="Times New Roman"/>
          <w:b/>
          <w:color w:val="auto"/>
          <w:kern w:val="1"/>
          <w:sz w:val="52"/>
          <w:szCs w:val="52"/>
          <w:highlight w:val="none"/>
          <w:lang w:eastAsia="zh-CN"/>
        </w:rPr>
        <w:t>2022年义乌国际电子竞技大赛服务采购项目</w:t>
      </w:r>
    </w:p>
    <w:p>
      <w:pPr>
        <w:spacing w:before="156"/>
        <w:jc w:val="center"/>
        <w:rPr>
          <w:rFonts w:ascii="Times New Roman" w:hAnsi="Times New Roman"/>
          <w:b/>
          <w:color w:val="auto"/>
          <w:kern w:val="1"/>
          <w:sz w:val="47"/>
          <w:highlight w:val="none"/>
        </w:rPr>
      </w:pPr>
    </w:p>
    <w:p>
      <w:pPr>
        <w:spacing w:line="360" w:lineRule="auto"/>
        <w:jc w:val="center"/>
        <w:rPr>
          <w:rFonts w:ascii="Times New Roman" w:hAnsi="Times New Roman"/>
          <w:b/>
          <w:color w:val="auto"/>
          <w:kern w:val="1"/>
          <w:sz w:val="84"/>
          <w:highlight w:val="none"/>
        </w:rPr>
      </w:pPr>
    </w:p>
    <w:p>
      <w:pPr>
        <w:spacing w:line="360" w:lineRule="auto"/>
        <w:jc w:val="center"/>
        <w:rPr>
          <w:rFonts w:ascii="Times New Roman" w:hAnsi="Times New Roman"/>
          <w:color w:val="auto"/>
          <w:kern w:val="1"/>
          <w:sz w:val="84"/>
          <w:highlight w:val="none"/>
        </w:rPr>
      </w:pPr>
      <w:r>
        <w:rPr>
          <w:rFonts w:ascii="Times New Roman" w:hAnsi="Times New Roman"/>
          <w:b/>
          <w:color w:val="auto"/>
          <w:kern w:val="1"/>
          <w:sz w:val="84"/>
          <w:highlight w:val="none"/>
        </w:rPr>
        <w:t>招 标 文 件</w:t>
      </w:r>
    </w:p>
    <w:p>
      <w:pPr>
        <w:jc w:val="center"/>
        <w:rPr>
          <w:rFonts w:ascii="Times New Roman" w:hAnsi="Times New Roman"/>
          <w:b/>
          <w:color w:val="auto"/>
          <w:kern w:val="1"/>
          <w:sz w:val="32"/>
          <w:highlight w:val="none"/>
        </w:rPr>
      </w:pPr>
    </w:p>
    <w:p>
      <w:pPr>
        <w:jc w:val="both"/>
        <w:rPr>
          <w:rFonts w:ascii="Times New Roman" w:hAnsi="Times New Roman"/>
          <w:b/>
          <w:color w:val="auto"/>
          <w:kern w:val="1"/>
          <w:sz w:val="32"/>
          <w:highlight w:val="none"/>
        </w:rPr>
      </w:pPr>
    </w:p>
    <w:p>
      <w:pPr>
        <w:jc w:val="center"/>
        <w:rPr>
          <w:rFonts w:hint="default" w:ascii="Times New Roman" w:hAnsi="Times New Roman" w:eastAsia="宋体"/>
          <w:b/>
          <w:color w:val="auto"/>
          <w:kern w:val="1"/>
          <w:sz w:val="32"/>
          <w:highlight w:val="none"/>
          <w:lang w:val="en-US" w:eastAsia="zh-CN"/>
        </w:rPr>
      </w:pPr>
      <w:r>
        <w:rPr>
          <w:rFonts w:ascii="Times New Roman" w:hAnsi="Times New Roman"/>
          <w:b/>
          <w:color w:val="auto"/>
          <w:kern w:val="1"/>
          <w:sz w:val="32"/>
          <w:highlight w:val="none"/>
        </w:rPr>
        <w:t>采购编号：</w:t>
      </w:r>
      <w:r>
        <w:rPr>
          <w:rFonts w:hint="eastAsia" w:ascii="Times New Roman" w:hAnsi="Times New Roman"/>
          <w:b/>
          <w:color w:val="auto"/>
          <w:kern w:val="1"/>
          <w:sz w:val="32"/>
          <w:szCs w:val="22"/>
          <w:highlight w:val="none"/>
          <w:lang w:eastAsia="zh-CN"/>
        </w:rPr>
        <w:t>CTZB-2022050161</w:t>
      </w:r>
    </w:p>
    <w:p>
      <w:pPr>
        <w:jc w:val="center"/>
        <w:rPr>
          <w:rFonts w:ascii="Times New Roman" w:hAnsi="Times New Roman"/>
          <w:b/>
          <w:color w:val="auto"/>
          <w:kern w:val="1"/>
          <w:sz w:val="32"/>
          <w:highlight w:val="none"/>
        </w:rPr>
      </w:pPr>
      <w:r>
        <w:rPr>
          <w:rFonts w:ascii="Times New Roman" w:hAnsi="Times New Roman"/>
          <w:b/>
          <w:color w:val="auto"/>
          <w:kern w:val="1"/>
          <w:sz w:val="32"/>
          <w:highlight w:val="none"/>
        </w:rPr>
        <w:t xml:space="preserve"> </w:t>
      </w:r>
    </w:p>
    <w:p>
      <w:pPr>
        <w:jc w:val="center"/>
        <w:rPr>
          <w:rFonts w:ascii="Times New Roman" w:hAnsi="Times New Roman"/>
          <w:b/>
          <w:color w:val="auto"/>
          <w:kern w:val="1"/>
          <w:sz w:val="32"/>
          <w:highlight w:val="none"/>
        </w:rPr>
      </w:pPr>
    </w:p>
    <w:p>
      <w:pPr>
        <w:jc w:val="center"/>
        <w:rPr>
          <w:rFonts w:ascii="Times New Roman" w:hAnsi="Times New Roman"/>
          <w:b/>
          <w:color w:val="auto"/>
          <w:kern w:val="1"/>
          <w:sz w:val="36"/>
          <w:highlight w:val="none"/>
        </w:rPr>
      </w:pPr>
    </w:p>
    <w:p>
      <w:pPr>
        <w:jc w:val="center"/>
        <w:rPr>
          <w:rFonts w:ascii="Times New Roman" w:hAnsi="Times New Roman"/>
          <w:b/>
          <w:color w:val="auto"/>
          <w:kern w:val="1"/>
          <w:sz w:val="36"/>
          <w:highlight w:val="none"/>
        </w:rPr>
      </w:pPr>
    </w:p>
    <w:p>
      <w:pPr>
        <w:jc w:val="both"/>
        <w:rPr>
          <w:rFonts w:ascii="Times New Roman" w:hAnsi="Times New Roman"/>
          <w:b/>
          <w:color w:val="auto"/>
          <w:kern w:val="1"/>
          <w:sz w:val="36"/>
          <w:highlight w:val="none"/>
        </w:rPr>
      </w:pPr>
    </w:p>
    <w:p>
      <w:pPr>
        <w:jc w:val="center"/>
        <w:rPr>
          <w:rFonts w:ascii="Times New Roman" w:hAnsi="Times New Roman"/>
          <w:b/>
          <w:color w:val="auto"/>
          <w:kern w:val="1"/>
          <w:sz w:val="36"/>
          <w:highlight w:val="none"/>
        </w:rPr>
      </w:pPr>
    </w:p>
    <w:p>
      <w:pPr>
        <w:jc w:val="center"/>
        <w:rPr>
          <w:rFonts w:ascii="Times New Roman" w:hAnsi="Times New Roman"/>
          <w:b/>
          <w:color w:val="auto"/>
          <w:kern w:val="1"/>
          <w:sz w:val="36"/>
          <w:highlight w:val="none"/>
        </w:rPr>
      </w:pPr>
    </w:p>
    <w:p>
      <w:pPr>
        <w:pStyle w:val="28"/>
        <w:spacing w:before="120" w:after="120" w:line="480" w:lineRule="auto"/>
        <w:ind w:firstLine="1030" w:firstLineChars="300"/>
        <w:rPr>
          <w:rFonts w:ascii="Times New Roman" w:hAnsi="Times New Roman"/>
          <w:b/>
          <w:color w:val="auto"/>
          <w:w w:val="95"/>
          <w:sz w:val="36"/>
          <w:highlight w:val="none"/>
        </w:rPr>
      </w:pPr>
      <w:r>
        <w:rPr>
          <w:rFonts w:ascii="Times New Roman" w:hAnsi="Times New Roman"/>
          <w:b/>
          <w:color w:val="auto"/>
          <w:w w:val="95"/>
          <w:sz w:val="36"/>
          <w:highlight w:val="none"/>
        </w:rPr>
        <w:t xml:space="preserve">采  </w:t>
      </w:r>
      <w:r>
        <w:rPr>
          <w:rFonts w:hint="eastAsia" w:ascii="Times New Roman" w:hAnsi="Times New Roman"/>
          <w:b/>
          <w:color w:val="auto"/>
          <w:w w:val="95"/>
          <w:sz w:val="36"/>
          <w:highlight w:val="none"/>
          <w:lang w:val="en-US" w:eastAsia="zh-CN"/>
        </w:rPr>
        <w:t xml:space="preserve"> </w:t>
      </w:r>
      <w:r>
        <w:rPr>
          <w:rFonts w:ascii="Times New Roman" w:hAnsi="Times New Roman"/>
          <w:b/>
          <w:color w:val="auto"/>
          <w:w w:val="95"/>
          <w:sz w:val="36"/>
          <w:highlight w:val="none"/>
        </w:rPr>
        <w:t>购　</w:t>
      </w:r>
      <w:r>
        <w:rPr>
          <w:rFonts w:hint="eastAsia" w:ascii="Times New Roman" w:hAnsi="Times New Roman"/>
          <w:b/>
          <w:color w:val="auto"/>
          <w:w w:val="95"/>
          <w:sz w:val="36"/>
          <w:highlight w:val="none"/>
          <w:lang w:val="en-US" w:eastAsia="zh-CN"/>
        </w:rPr>
        <w:t xml:space="preserve"> </w:t>
      </w:r>
      <w:r>
        <w:rPr>
          <w:rFonts w:ascii="Times New Roman" w:hAnsi="Times New Roman"/>
          <w:b/>
          <w:color w:val="auto"/>
          <w:w w:val="95"/>
          <w:sz w:val="36"/>
          <w:highlight w:val="none"/>
        </w:rPr>
        <w:t>人：</w:t>
      </w:r>
      <w:r>
        <w:rPr>
          <w:rFonts w:hint="eastAsia" w:ascii="Times New Roman" w:hAnsi="Times New Roman"/>
          <w:b/>
          <w:color w:val="auto"/>
          <w:sz w:val="36"/>
          <w:highlight w:val="none"/>
          <w:u w:val="single"/>
          <w:lang w:eastAsia="zh-CN"/>
        </w:rPr>
        <w:t>义乌市文化和广电旅游体育局</w:t>
      </w:r>
    </w:p>
    <w:p>
      <w:pPr>
        <w:pStyle w:val="28"/>
        <w:spacing w:before="120" w:after="120" w:line="480" w:lineRule="auto"/>
        <w:jc w:val="center"/>
        <w:rPr>
          <w:rFonts w:ascii="Times New Roman" w:hAnsi="Times New Roman"/>
          <w:b/>
          <w:color w:val="auto"/>
          <w:sz w:val="36"/>
          <w:highlight w:val="none"/>
        </w:rPr>
      </w:pPr>
      <w:r>
        <w:rPr>
          <w:rFonts w:ascii="Times New Roman" w:hAnsi="Times New Roman"/>
          <w:b/>
          <w:color w:val="auto"/>
          <w:w w:val="95"/>
          <w:sz w:val="36"/>
          <w:highlight w:val="none"/>
        </w:rPr>
        <w:t>采购代理机构：</w:t>
      </w:r>
      <w:r>
        <w:rPr>
          <w:rFonts w:ascii="Times New Roman" w:hAnsi="Times New Roman"/>
          <w:b/>
          <w:color w:val="auto"/>
          <w:sz w:val="36"/>
          <w:highlight w:val="none"/>
          <w:u w:val="single"/>
        </w:rPr>
        <w:t>浙江省成套招标代理有限公司</w:t>
      </w:r>
    </w:p>
    <w:p>
      <w:pPr>
        <w:jc w:val="center"/>
        <w:rPr>
          <w:rFonts w:ascii="Times New Roman" w:hAnsi="Times New Roman"/>
          <w:b/>
          <w:color w:val="auto"/>
          <w:kern w:val="1"/>
          <w:sz w:val="36"/>
          <w:highlight w:val="none"/>
        </w:rPr>
      </w:pPr>
    </w:p>
    <w:p>
      <w:pPr>
        <w:jc w:val="center"/>
        <w:rPr>
          <w:rFonts w:ascii="Times New Roman" w:hAnsi="Times New Roman"/>
          <w:b/>
          <w:color w:val="auto"/>
          <w:kern w:val="1"/>
          <w:sz w:val="36"/>
          <w:highlight w:val="none"/>
        </w:rPr>
      </w:pPr>
    </w:p>
    <w:p>
      <w:pPr>
        <w:spacing w:line="600" w:lineRule="auto"/>
        <w:jc w:val="center"/>
        <w:rPr>
          <w:rFonts w:ascii="Times New Roman" w:hAnsi="Times New Roman"/>
          <w:b/>
          <w:color w:val="auto"/>
          <w:kern w:val="1"/>
          <w:sz w:val="44"/>
          <w:highlight w:val="none"/>
        </w:rPr>
        <w:sectPr>
          <w:headerReference r:id="rId5" w:type="first"/>
          <w:headerReference r:id="rId3" w:type="default"/>
          <w:footerReference r:id="rId6" w:type="default"/>
          <w:headerReference r:id="rId4" w:type="even"/>
          <w:footerReference r:id="rId7" w:type="even"/>
          <w:pgSz w:w="11906" w:h="16838"/>
          <w:pgMar w:top="1247" w:right="1361" w:bottom="1247" w:left="1417" w:header="851" w:footer="992" w:gutter="0"/>
          <w:pgBorders>
            <w:top w:val="none" w:sz="0" w:space="0"/>
            <w:left w:val="none" w:sz="0" w:space="0"/>
            <w:bottom w:val="none" w:sz="0" w:space="0"/>
            <w:right w:val="none" w:sz="0" w:space="0"/>
          </w:pgBorders>
          <w:pgNumType w:fmt="numberInDash" w:start="0"/>
          <w:cols w:space="720" w:num="1"/>
          <w:titlePg/>
        </w:sectPr>
      </w:pPr>
      <w:r>
        <w:rPr>
          <w:rFonts w:hint="eastAsia" w:ascii="Times New Roman" w:hAnsi="Times New Roman"/>
          <w:b/>
          <w:color w:val="auto"/>
          <w:kern w:val="1"/>
          <w:sz w:val="32"/>
          <w:highlight w:val="none"/>
          <w:lang w:val="en-US" w:eastAsia="zh-CN"/>
        </w:rPr>
        <w:t>2</w:t>
      </w:r>
      <w:r>
        <w:rPr>
          <w:rFonts w:hint="eastAsia" w:ascii="Times New Roman" w:hAnsi="Times New Roman"/>
          <w:b/>
          <w:color w:val="auto"/>
          <w:kern w:val="1"/>
          <w:sz w:val="32"/>
          <w:highlight w:val="none"/>
          <w:lang w:val="en-US" w:eastAsia="zh-CN"/>
        </w:rPr>
        <w:t>022年5</w:t>
      </w:r>
      <w:r>
        <w:rPr>
          <w:rFonts w:ascii="Times New Roman" w:hAnsi="Times New Roman"/>
          <w:b/>
          <w:color w:val="auto"/>
          <w:kern w:val="1"/>
          <w:sz w:val="32"/>
          <w:highlight w:val="none"/>
        </w:rPr>
        <w:t>月</w:t>
      </w:r>
    </w:p>
    <w:p>
      <w:pPr>
        <w:spacing w:before="480" w:beforeLines="200" w:line="600" w:lineRule="auto"/>
        <w:jc w:val="center"/>
        <w:rPr>
          <w:rFonts w:ascii="Times New Roman" w:hAnsi="Times New Roman"/>
          <w:b/>
          <w:color w:val="auto"/>
          <w:kern w:val="1"/>
          <w:sz w:val="44"/>
          <w:highlight w:val="none"/>
        </w:rPr>
      </w:pPr>
      <w:r>
        <w:rPr>
          <w:rFonts w:ascii="Times New Roman" w:hAnsi="Times New Roman"/>
          <w:b/>
          <w:color w:val="auto"/>
          <w:kern w:val="1"/>
          <w:sz w:val="44"/>
          <w:highlight w:val="none"/>
        </w:rPr>
        <w:t>目    录</w:t>
      </w:r>
    </w:p>
    <w:p>
      <w:pPr>
        <w:pStyle w:val="36"/>
        <w:rPr>
          <w:rFonts w:ascii="等线" w:hAnsi="等线" w:eastAsia="等线"/>
          <w:color w:val="auto"/>
          <w:kern w:val="2"/>
          <w:sz w:val="24"/>
          <w:szCs w:val="24"/>
          <w:highlight w:val="none"/>
          <w:lang/>
        </w:rPr>
      </w:pPr>
      <w:r>
        <w:rPr>
          <w:rFonts w:ascii="Times New Roman" w:hAnsi="Times New Roman" w:eastAsia="宋体"/>
          <w:color w:val="auto"/>
          <w:sz w:val="24"/>
          <w:highlight w:val="none"/>
        </w:rPr>
        <w:fldChar w:fldCharType="begin"/>
      </w:r>
      <w:r>
        <w:rPr>
          <w:rFonts w:ascii="Times New Roman" w:hAnsi="Times New Roman" w:eastAsia="宋体"/>
          <w:color w:val="auto"/>
          <w:sz w:val="24"/>
          <w:highlight w:val="none"/>
        </w:rPr>
        <w:instrText xml:space="preserve"> TOC \o </w:instrText>
      </w:r>
      <w:r>
        <w:rPr>
          <w:rFonts w:ascii="Times New Roman" w:hAnsi="Times New Roman" w:eastAsia="宋体"/>
          <w:color w:val="auto"/>
          <w:sz w:val="24"/>
          <w:highlight w:val="none"/>
        </w:rPr>
        <w:fldChar w:fldCharType="separate"/>
      </w:r>
      <w:r>
        <w:rPr>
          <w:rFonts w:ascii="Times New Roman" w:hAnsi="Times New Roman"/>
          <w:color w:val="auto"/>
          <w:sz w:val="24"/>
          <w:szCs w:val="24"/>
          <w:highlight w:val="none"/>
          <w:lang/>
        </w:rPr>
        <w:t>第一章　采购公告</w:t>
      </w:r>
      <w:r>
        <w:rPr>
          <w:color w:val="auto"/>
          <w:sz w:val="24"/>
          <w:szCs w:val="24"/>
          <w:highlight w:val="none"/>
          <w:lang/>
        </w:rPr>
        <w:tab/>
      </w:r>
      <w:r>
        <w:rPr>
          <w:color w:val="auto"/>
          <w:sz w:val="24"/>
          <w:szCs w:val="24"/>
          <w:highlight w:val="none"/>
          <w:lang/>
        </w:rPr>
        <w:fldChar w:fldCharType="begin"/>
      </w:r>
      <w:r>
        <w:rPr>
          <w:color w:val="auto"/>
          <w:sz w:val="24"/>
          <w:szCs w:val="24"/>
          <w:highlight w:val="none"/>
          <w:lang/>
        </w:rPr>
        <w:instrText xml:space="preserve"> PAGEREF _Toc34949998 \h </w:instrText>
      </w:r>
      <w:r>
        <w:rPr>
          <w:color w:val="auto"/>
          <w:sz w:val="24"/>
          <w:szCs w:val="24"/>
          <w:highlight w:val="none"/>
          <w:lang/>
        </w:rPr>
        <w:fldChar w:fldCharType="separate"/>
      </w:r>
      <w:r>
        <w:rPr>
          <w:color w:val="auto"/>
          <w:sz w:val="24"/>
          <w:szCs w:val="24"/>
          <w:highlight w:val="none"/>
          <w:lang/>
        </w:rPr>
        <w:t>- 2 -</w:t>
      </w:r>
      <w:r>
        <w:rPr>
          <w:color w:val="auto"/>
          <w:sz w:val="24"/>
          <w:szCs w:val="24"/>
          <w:highlight w:val="none"/>
          <w:lang/>
        </w:rPr>
        <w:fldChar w:fldCharType="end"/>
      </w:r>
    </w:p>
    <w:p>
      <w:pPr>
        <w:pStyle w:val="36"/>
        <w:rPr>
          <w:rFonts w:ascii="等线" w:hAnsi="等线" w:eastAsia="等线"/>
          <w:color w:val="auto"/>
          <w:kern w:val="2"/>
          <w:sz w:val="24"/>
          <w:szCs w:val="24"/>
          <w:highlight w:val="none"/>
          <w:lang/>
        </w:rPr>
      </w:pPr>
      <w:r>
        <w:rPr>
          <w:rFonts w:ascii="Times New Roman" w:hAnsi="Times New Roman"/>
          <w:color w:val="auto"/>
          <w:sz w:val="24"/>
          <w:szCs w:val="24"/>
          <w:highlight w:val="none"/>
          <w:lang/>
        </w:rPr>
        <w:t>第二章　投标须知和投标须知前附表</w:t>
      </w:r>
      <w:r>
        <w:rPr>
          <w:color w:val="auto"/>
          <w:sz w:val="24"/>
          <w:szCs w:val="24"/>
          <w:highlight w:val="none"/>
          <w:lang/>
        </w:rPr>
        <w:tab/>
      </w:r>
      <w:r>
        <w:rPr>
          <w:color w:val="auto"/>
          <w:sz w:val="24"/>
          <w:szCs w:val="24"/>
          <w:highlight w:val="none"/>
          <w:lang/>
        </w:rPr>
        <w:fldChar w:fldCharType="begin"/>
      </w:r>
      <w:r>
        <w:rPr>
          <w:color w:val="auto"/>
          <w:sz w:val="24"/>
          <w:szCs w:val="24"/>
          <w:highlight w:val="none"/>
          <w:lang/>
        </w:rPr>
        <w:instrText xml:space="preserve"> PAGEREF _Toc34949999 \h </w:instrText>
      </w:r>
      <w:r>
        <w:rPr>
          <w:color w:val="auto"/>
          <w:sz w:val="24"/>
          <w:szCs w:val="24"/>
          <w:highlight w:val="none"/>
          <w:lang/>
        </w:rPr>
        <w:fldChar w:fldCharType="separate"/>
      </w:r>
      <w:r>
        <w:rPr>
          <w:color w:val="auto"/>
          <w:sz w:val="24"/>
          <w:szCs w:val="24"/>
          <w:highlight w:val="none"/>
          <w:lang/>
        </w:rPr>
        <w:t>- 5 -</w:t>
      </w:r>
      <w:r>
        <w:rPr>
          <w:color w:val="auto"/>
          <w:sz w:val="24"/>
          <w:szCs w:val="24"/>
          <w:highlight w:val="none"/>
          <w:lang/>
        </w:rPr>
        <w:fldChar w:fldCharType="end"/>
      </w:r>
    </w:p>
    <w:p>
      <w:pPr>
        <w:pStyle w:val="36"/>
        <w:rPr>
          <w:rFonts w:ascii="等线" w:hAnsi="等线" w:eastAsia="等线"/>
          <w:color w:val="auto"/>
          <w:kern w:val="2"/>
          <w:sz w:val="24"/>
          <w:szCs w:val="24"/>
          <w:highlight w:val="none"/>
          <w:lang/>
        </w:rPr>
      </w:pPr>
      <w:r>
        <w:rPr>
          <w:rFonts w:ascii="Times New Roman" w:hAnsi="Times New Roman"/>
          <w:color w:val="auto"/>
          <w:sz w:val="24"/>
          <w:szCs w:val="24"/>
          <w:highlight w:val="none"/>
          <w:lang/>
        </w:rPr>
        <w:t>投标须知</w:t>
      </w:r>
      <w:r>
        <w:rPr>
          <w:color w:val="auto"/>
          <w:sz w:val="24"/>
          <w:szCs w:val="24"/>
          <w:highlight w:val="none"/>
          <w:lang/>
        </w:rPr>
        <w:tab/>
      </w:r>
      <w:r>
        <w:rPr>
          <w:color w:val="auto"/>
          <w:sz w:val="24"/>
          <w:szCs w:val="24"/>
          <w:highlight w:val="none"/>
          <w:lang/>
        </w:rPr>
        <w:fldChar w:fldCharType="begin"/>
      </w:r>
      <w:r>
        <w:rPr>
          <w:color w:val="auto"/>
          <w:sz w:val="24"/>
          <w:szCs w:val="24"/>
          <w:highlight w:val="none"/>
          <w:lang/>
        </w:rPr>
        <w:instrText xml:space="preserve"> PAGEREF _Toc34950000 \h </w:instrText>
      </w:r>
      <w:r>
        <w:rPr>
          <w:color w:val="auto"/>
          <w:sz w:val="24"/>
          <w:szCs w:val="24"/>
          <w:highlight w:val="none"/>
          <w:lang/>
        </w:rPr>
        <w:fldChar w:fldCharType="separate"/>
      </w:r>
      <w:r>
        <w:rPr>
          <w:color w:val="auto"/>
          <w:sz w:val="24"/>
          <w:szCs w:val="24"/>
          <w:highlight w:val="none"/>
          <w:lang/>
        </w:rPr>
        <w:t>- 8 -</w:t>
      </w:r>
      <w:r>
        <w:rPr>
          <w:color w:val="auto"/>
          <w:sz w:val="24"/>
          <w:szCs w:val="24"/>
          <w:highlight w:val="none"/>
          <w:lang/>
        </w:rPr>
        <w:fldChar w:fldCharType="end"/>
      </w:r>
    </w:p>
    <w:p>
      <w:pPr>
        <w:pStyle w:val="36"/>
        <w:rPr>
          <w:rFonts w:ascii="宋体" w:hAnsi="宋体" w:eastAsia="宋体"/>
          <w:color w:val="auto"/>
          <w:sz w:val="24"/>
          <w:szCs w:val="24"/>
          <w:highlight w:val="none"/>
          <w:lang/>
        </w:rPr>
      </w:pPr>
      <w:r>
        <w:rPr>
          <w:rFonts w:ascii="宋体" w:hAnsi="宋体" w:eastAsia="宋体"/>
          <w:color w:val="auto"/>
          <w:sz w:val="24"/>
          <w:szCs w:val="24"/>
          <w:highlight w:val="none"/>
          <w:lang/>
        </w:rPr>
        <w:t>一、说明</w:t>
      </w:r>
      <w:r>
        <w:rPr>
          <w:rFonts w:ascii="宋体" w:hAnsi="宋体" w:eastAsia="宋体"/>
          <w:color w:val="auto"/>
          <w:sz w:val="24"/>
          <w:szCs w:val="24"/>
          <w:highlight w:val="none"/>
          <w:lang/>
        </w:rPr>
        <w:tab/>
      </w:r>
      <w:r>
        <w:rPr>
          <w:rFonts w:ascii="宋体" w:hAnsi="宋体" w:eastAsia="宋体"/>
          <w:color w:val="auto"/>
          <w:sz w:val="24"/>
          <w:szCs w:val="24"/>
          <w:highlight w:val="none"/>
          <w:lang/>
        </w:rPr>
        <w:fldChar w:fldCharType="begin"/>
      </w:r>
      <w:r>
        <w:rPr>
          <w:rFonts w:ascii="宋体" w:hAnsi="宋体" w:eastAsia="宋体"/>
          <w:color w:val="auto"/>
          <w:sz w:val="24"/>
          <w:szCs w:val="24"/>
          <w:highlight w:val="none"/>
          <w:lang/>
        </w:rPr>
        <w:instrText xml:space="preserve"> PAGEREF _Toc34950001 \h </w:instrText>
      </w:r>
      <w:r>
        <w:rPr>
          <w:rFonts w:ascii="宋体" w:hAnsi="宋体" w:eastAsia="宋体"/>
          <w:color w:val="auto"/>
          <w:sz w:val="24"/>
          <w:szCs w:val="24"/>
          <w:highlight w:val="none"/>
          <w:lang/>
        </w:rPr>
        <w:fldChar w:fldCharType="separate"/>
      </w:r>
      <w:r>
        <w:rPr>
          <w:rFonts w:ascii="宋体" w:hAnsi="宋体" w:eastAsia="宋体"/>
          <w:color w:val="auto"/>
          <w:sz w:val="24"/>
          <w:szCs w:val="24"/>
          <w:highlight w:val="none"/>
          <w:lang/>
        </w:rPr>
        <w:t>- 8 -</w:t>
      </w:r>
      <w:r>
        <w:rPr>
          <w:rFonts w:ascii="宋体" w:hAnsi="宋体" w:eastAsia="宋体"/>
          <w:color w:val="auto"/>
          <w:sz w:val="24"/>
          <w:szCs w:val="24"/>
          <w:highlight w:val="none"/>
          <w:lang/>
        </w:rPr>
        <w:fldChar w:fldCharType="end"/>
      </w:r>
    </w:p>
    <w:p>
      <w:pPr>
        <w:pStyle w:val="36"/>
        <w:rPr>
          <w:rFonts w:ascii="宋体" w:hAnsi="宋体" w:eastAsia="宋体"/>
          <w:color w:val="auto"/>
          <w:sz w:val="24"/>
          <w:szCs w:val="24"/>
          <w:highlight w:val="none"/>
          <w:lang/>
        </w:rPr>
      </w:pPr>
      <w:r>
        <w:rPr>
          <w:rFonts w:ascii="宋体" w:hAnsi="宋体" w:eastAsia="宋体"/>
          <w:color w:val="auto"/>
          <w:sz w:val="24"/>
          <w:szCs w:val="24"/>
          <w:highlight w:val="none"/>
          <w:lang/>
        </w:rPr>
        <w:t>二、招标文件</w:t>
      </w:r>
      <w:r>
        <w:rPr>
          <w:rFonts w:ascii="宋体" w:hAnsi="宋体" w:eastAsia="宋体"/>
          <w:color w:val="auto"/>
          <w:sz w:val="24"/>
          <w:szCs w:val="24"/>
          <w:highlight w:val="none"/>
          <w:lang/>
        </w:rPr>
        <w:tab/>
      </w:r>
      <w:r>
        <w:rPr>
          <w:rFonts w:ascii="宋体" w:hAnsi="宋体" w:eastAsia="宋体"/>
          <w:color w:val="auto"/>
          <w:sz w:val="24"/>
          <w:szCs w:val="24"/>
          <w:highlight w:val="none"/>
          <w:lang/>
        </w:rPr>
        <w:fldChar w:fldCharType="begin"/>
      </w:r>
      <w:r>
        <w:rPr>
          <w:rFonts w:ascii="宋体" w:hAnsi="宋体" w:eastAsia="宋体"/>
          <w:color w:val="auto"/>
          <w:sz w:val="24"/>
          <w:szCs w:val="24"/>
          <w:highlight w:val="none"/>
          <w:lang/>
        </w:rPr>
        <w:instrText xml:space="preserve"> PAGEREF _Toc34950002 \h </w:instrText>
      </w:r>
      <w:r>
        <w:rPr>
          <w:rFonts w:ascii="宋体" w:hAnsi="宋体" w:eastAsia="宋体"/>
          <w:color w:val="auto"/>
          <w:sz w:val="24"/>
          <w:szCs w:val="24"/>
          <w:highlight w:val="none"/>
          <w:lang/>
        </w:rPr>
        <w:fldChar w:fldCharType="separate"/>
      </w:r>
      <w:r>
        <w:rPr>
          <w:rFonts w:ascii="宋体" w:hAnsi="宋体" w:eastAsia="宋体"/>
          <w:color w:val="auto"/>
          <w:sz w:val="24"/>
          <w:szCs w:val="24"/>
          <w:highlight w:val="none"/>
          <w:lang/>
        </w:rPr>
        <w:t>- 9 -</w:t>
      </w:r>
      <w:r>
        <w:rPr>
          <w:rFonts w:ascii="宋体" w:hAnsi="宋体" w:eastAsia="宋体"/>
          <w:color w:val="auto"/>
          <w:sz w:val="24"/>
          <w:szCs w:val="24"/>
          <w:highlight w:val="none"/>
          <w:lang/>
        </w:rPr>
        <w:fldChar w:fldCharType="end"/>
      </w:r>
    </w:p>
    <w:p>
      <w:pPr>
        <w:pStyle w:val="36"/>
        <w:rPr>
          <w:rFonts w:ascii="宋体" w:hAnsi="宋体" w:eastAsia="宋体"/>
          <w:color w:val="auto"/>
          <w:sz w:val="24"/>
          <w:szCs w:val="24"/>
          <w:highlight w:val="none"/>
          <w:lang/>
        </w:rPr>
      </w:pPr>
      <w:r>
        <w:rPr>
          <w:rFonts w:ascii="宋体" w:hAnsi="宋体" w:eastAsia="宋体"/>
          <w:color w:val="auto"/>
          <w:sz w:val="24"/>
          <w:szCs w:val="24"/>
          <w:highlight w:val="none"/>
          <w:lang/>
        </w:rPr>
        <w:t>三、投标文件</w:t>
      </w:r>
      <w:r>
        <w:rPr>
          <w:rFonts w:ascii="宋体" w:hAnsi="宋体" w:eastAsia="宋体"/>
          <w:color w:val="auto"/>
          <w:sz w:val="24"/>
          <w:szCs w:val="24"/>
          <w:highlight w:val="none"/>
          <w:lang/>
        </w:rPr>
        <w:tab/>
      </w:r>
      <w:r>
        <w:rPr>
          <w:rFonts w:ascii="宋体" w:hAnsi="宋体" w:eastAsia="宋体"/>
          <w:color w:val="auto"/>
          <w:sz w:val="24"/>
          <w:szCs w:val="24"/>
          <w:highlight w:val="none"/>
          <w:lang/>
        </w:rPr>
        <w:fldChar w:fldCharType="begin"/>
      </w:r>
      <w:r>
        <w:rPr>
          <w:rFonts w:ascii="宋体" w:hAnsi="宋体" w:eastAsia="宋体"/>
          <w:color w:val="auto"/>
          <w:sz w:val="24"/>
          <w:szCs w:val="24"/>
          <w:highlight w:val="none"/>
          <w:lang/>
        </w:rPr>
        <w:instrText xml:space="preserve"> PAGEREF _Toc34950003 \h </w:instrText>
      </w:r>
      <w:r>
        <w:rPr>
          <w:rFonts w:ascii="宋体" w:hAnsi="宋体" w:eastAsia="宋体"/>
          <w:color w:val="auto"/>
          <w:sz w:val="24"/>
          <w:szCs w:val="24"/>
          <w:highlight w:val="none"/>
          <w:lang/>
        </w:rPr>
        <w:fldChar w:fldCharType="separate"/>
      </w:r>
      <w:r>
        <w:rPr>
          <w:rFonts w:ascii="宋体" w:hAnsi="宋体" w:eastAsia="宋体"/>
          <w:color w:val="auto"/>
          <w:sz w:val="24"/>
          <w:szCs w:val="24"/>
          <w:highlight w:val="none"/>
          <w:lang/>
        </w:rPr>
        <w:t>- 10 -</w:t>
      </w:r>
      <w:r>
        <w:rPr>
          <w:rFonts w:ascii="宋体" w:hAnsi="宋体" w:eastAsia="宋体"/>
          <w:color w:val="auto"/>
          <w:sz w:val="24"/>
          <w:szCs w:val="24"/>
          <w:highlight w:val="none"/>
          <w:lang/>
        </w:rPr>
        <w:fldChar w:fldCharType="end"/>
      </w:r>
    </w:p>
    <w:p>
      <w:pPr>
        <w:pStyle w:val="36"/>
        <w:rPr>
          <w:rFonts w:ascii="等线" w:hAnsi="等线" w:eastAsia="等线"/>
          <w:color w:val="auto"/>
          <w:kern w:val="2"/>
          <w:sz w:val="24"/>
          <w:szCs w:val="24"/>
          <w:highlight w:val="none"/>
          <w:lang/>
        </w:rPr>
      </w:pPr>
      <w:r>
        <w:rPr>
          <w:rFonts w:ascii="宋体" w:hAnsi="宋体" w:eastAsia="宋体"/>
          <w:color w:val="auto"/>
          <w:sz w:val="24"/>
          <w:szCs w:val="24"/>
          <w:highlight w:val="none"/>
          <w:lang/>
        </w:rPr>
        <w:t>四、投标文件的递交</w:t>
      </w:r>
      <w:r>
        <w:rPr>
          <w:rFonts w:ascii="宋体" w:hAnsi="宋体" w:eastAsia="宋体"/>
          <w:color w:val="auto"/>
          <w:sz w:val="24"/>
          <w:szCs w:val="24"/>
          <w:highlight w:val="none"/>
          <w:lang/>
        </w:rPr>
        <w:tab/>
      </w:r>
      <w:r>
        <w:rPr>
          <w:rFonts w:ascii="宋体" w:hAnsi="宋体" w:eastAsia="宋体"/>
          <w:color w:val="auto"/>
          <w:sz w:val="24"/>
          <w:szCs w:val="24"/>
          <w:highlight w:val="none"/>
          <w:lang/>
        </w:rPr>
        <w:fldChar w:fldCharType="begin"/>
      </w:r>
      <w:r>
        <w:rPr>
          <w:rFonts w:ascii="宋体" w:hAnsi="宋体" w:eastAsia="宋体"/>
          <w:color w:val="auto"/>
          <w:sz w:val="24"/>
          <w:szCs w:val="24"/>
          <w:highlight w:val="none"/>
          <w:lang/>
        </w:rPr>
        <w:instrText xml:space="preserve"> PAGEREF _Toc34950004 \h </w:instrText>
      </w:r>
      <w:r>
        <w:rPr>
          <w:rFonts w:ascii="宋体" w:hAnsi="宋体" w:eastAsia="宋体"/>
          <w:color w:val="auto"/>
          <w:sz w:val="24"/>
          <w:szCs w:val="24"/>
          <w:highlight w:val="none"/>
          <w:lang/>
        </w:rPr>
        <w:fldChar w:fldCharType="separate"/>
      </w:r>
      <w:r>
        <w:rPr>
          <w:rFonts w:ascii="宋体" w:hAnsi="宋体" w:eastAsia="宋体"/>
          <w:color w:val="auto"/>
          <w:sz w:val="24"/>
          <w:szCs w:val="24"/>
          <w:highlight w:val="none"/>
          <w:lang/>
        </w:rPr>
        <w:t>- 13 -</w:t>
      </w:r>
      <w:r>
        <w:rPr>
          <w:rFonts w:ascii="宋体" w:hAnsi="宋体" w:eastAsia="宋体"/>
          <w:color w:val="auto"/>
          <w:sz w:val="24"/>
          <w:szCs w:val="24"/>
          <w:highlight w:val="none"/>
          <w:lang/>
        </w:rPr>
        <w:fldChar w:fldCharType="end"/>
      </w:r>
    </w:p>
    <w:p>
      <w:pPr>
        <w:pStyle w:val="36"/>
        <w:tabs>
          <w:tab w:val="left" w:pos="1260"/>
        </w:tabs>
        <w:rPr>
          <w:rFonts w:ascii="等线" w:hAnsi="等线" w:eastAsia="等线"/>
          <w:color w:val="auto"/>
          <w:kern w:val="2"/>
          <w:sz w:val="24"/>
          <w:szCs w:val="24"/>
          <w:highlight w:val="none"/>
          <w:lang/>
        </w:rPr>
      </w:pPr>
      <w:r>
        <w:rPr>
          <w:rFonts w:ascii="Times New Roman" w:hAnsi="Times New Roman"/>
          <w:color w:val="auto"/>
          <w:sz w:val="24"/>
          <w:szCs w:val="24"/>
          <w:highlight w:val="none"/>
          <w:lang/>
        </w:rPr>
        <w:t>第三章</w:t>
      </w:r>
      <w:r>
        <w:rPr>
          <w:rFonts w:hint="eastAsia" w:ascii="Times New Roman" w:hAnsi="Times New Roman"/>
          <w:color w:val="auto"/>
          <w:sz w:val="24"/>
          <w:szCs w:val="24"/>
          <w:highlight w:val="none"/>
          <w:lang w:val="en-US" w:eastAsia="zh-CN"/>
        </w:rPr>
        <w:t xml:space="preserve">  </w:t>
      </w:r>
      <w:r>
        <w:rPr>
          <w:rFonts w:ascii="Times New Roman" w:hAnsi="Times New Roman"/>
          <w:color w:val="auto"/>
          <w:sz w:val="24"/>
          <w:szCs w:val="24"/>
          <w:highlight w:val="none"/>
          <w:lang/>
        </w:rPr>
        <w:t>招标项目要求</w:t>
      </w:r>
      <w:r>
        <w:rPr>
          <w:color w:val="auto"/>
          <w:sz w:val="24"/>
          <w:szCs w:val="24"/>
          <w:highlight w:val="none"/>
          <w:lang/>
        </w:rPr>
        <w:tab/>
      </w:r>
      <w:r>
        <w:rPr>
          <w:color w:val="auto"/>
          <w:sz w:val="24"/>
          <w:szCs w:val="24"/>
          <w:highlight w:val="none"/>
          <w:lang/>
        </w:rPr>
        <w:fldChar w:fldCharType="begin"/>
      </w:r>
      <w:r>
        <w:rPr>
          <w:color w:val="auto"/>
          <w:sz w:val="24"/>
          <w:szCs w:val="24"/>
          <w:highlight w:val="none"/>
          <w:lang/>
        </w:rPr>
        <w:instrText xml:space="preserve"> PAGEREF _Toc34950005 \h </w:instrText>
      </w:r>
      <w:r>
        <w:rPr>
          <w:color w:val="auto"/>
          <w:sz w:val="24"/>
          <w:szCs w:val="24"/>
          <w:highlight w:val="none"/>
          <w:lang/>
        </w:rPr>
        <w:fldChar w:fldCharType="separate"/>
      </w:r>
      <w:r>
        <w:rPr>
          <w:color w:val="auto"/>
          <w:sz w:val="24"/>
          <w:szCs w:val="24"/>
          <w:highlight w:val="none"/>
          <w:lang/>
        </w:rPr>
        <w:t>- 14 -</w:t>
      </w:r>
      <w:r>
        <w:rPr>
          <w:color w:val="auto"/>
          <w:sz w:val="24"/>
          <w:szCs w:val="24"/>
          <w:highlight w:val="none"/>
          <w:lang/>
        </w:rPr>
        <w:fldChar w:fldCharType="end"/>
      </w:r>
    </w:p>
    <w:p>
      <w:pPr>
        <w:pStyle w:val="36"/>
        <w:tabs>
          <w:tab w:val="left" w:pos="1260"/>
        </w:tabs>
        <w:rPr>
          <w:rFonts w:ascii="等线" w:hAnsi="等线" w:eastAsia="等线"/>
          <w:color w:val="auto"/>
          <w:kern w:val="2"/>
          <w:sz w:val="24"/>
          <w:szCs w:val="24"/>
          <w:highlight w:val="none"/>
          <w:lang/>
        </w:rPr>
      </w:pPr>
      <w:r>
        <w:rPr>
          <w:rFonts w:ascii="Times New Roman" w:hAnsi="Times New Roman"/>
          <w:color w:val="auto"/>
          <w:sz w:val="24"/>
          <w:szCs w:val="24"/>
          <w:highlight w:val="none"/>
          <w:lang/>
        </w:rPr>
        <w:t>第四章</w:t>
      </w:r>
      <w:r>
        <w:rPr>
          <w:rFonts w:hint="eastAsia" w:ascii="Times New Roman" w:hAnsi="Times New Roman"/>
          <w:color w:val="auto"/>
          <w:sz w:val="24"/>
          <w:szCs w:val="24"/>
          <w:highlight w:val="none"/>
          <w:lang w:val="en-US" w:eastAsia="zh-CN"/>
        </w:rPr>
        <w:t xml:space="preserve">  </w:t>
      </w:r>
      <w:r>
        <w:rPr>
          <w:rFonts w:ascii="Times New Roman" w:hAnsi="Times New Roman"/>
          <w:color w:val="auto"/>
          <w:sz w:val="24"/>
          <w:szCs w:val="24"/>
          <w:highlight w:val="none"/>
          <w:lang/>
        </w:rPr>
        <w:t>开标、评标和定标须知</w:t>
      </w:r>
      <w:r>
        <w:rPr>
          <w:color w:val="auto"/>
          <w:sz w:val="24"/>
          <w:szCs w:val="24"/>
          <w:highlight w:val="none"/>
          <w:lang/>
        </w:rPr>
        <w:tab/>
      </w:r>
      <w:r>
        <w:rPr>
          <w:color w:val="auto"/>
          <w:sz w:val="24"/>
          <w:szCs w:val="24"/>
          <w:highlight w:val="none"/>
          <w:lang/>
        </w:rPr>
        <w:fldChar w:fldCharType="begin"/>
      </w:r>
      <w:r>
        <w:rPr>
          <w:color w:val="auto"/>
          <w:sz w:val="24"/>
          <w:szCs w:val="24"/>
          <w:highlight w:val="none"/>
          <w:lang/>
        </w:rPr>
        <w:instrText xml:space="preserve"> PAGEREF _Toc34950018 \h </w:instrText>
      </w:r>
      <w:r>
        <w:rPr>
          <w:color w:val="auto"/>
          <w:sz w:val="24"/>
          <w:szCs w:val="24"/>
          <w:highlight w:val="none"/>
          <w:lang/>
        </w:rPr>
        <w:fldChar w:fldCharType="separate"/>
      </w:r>
      <w:r>
        <w:rPr>
          <w:color w:val="auto"/>
          <w:sz w:val="24"/>
          <w:szCs w:val="24"/>
          <w:highlight w:val="none"/>
          <w:lang/>
        </w:rPr>
        <w:t>- 19 -</w:t>
      </w:r>
      <w:r>
        <w:rPr>
          <w:color w:val="auto"/>
          <w:sz w:val="24"/>
          <w:szCs w:val="24"/>
          <w:highlight w:val="none"/>
          <w:lang/>
        </w:rPr>
        <w:fldChar w:fldCharType="end"/>
      </w:r>
    </w:p>
    <w:p>
      <w:pPr>
        <w:pStyle w:val="36"/>
        <w:rPr>
          <w:rFonts w:ascii="宋体" w:hAnsi="宋体" w:eastAsia="宋体"/>
          <w:color w:val="auto"/>
          <w:sz w:val="24"/>
          <w:szCs w:val="24"/>
          <w:highlight w:val="none"/>
          <w:lang/>
        </w:rPr>
      </w:pPr>
      <w:r>
        <w:rPr>
          <w:rFonts w:ascii="宋体" w:hAnsi="宋体" w:eastAsia="宋体"/>
          <w:color w:val="auto"/>
          <w:sz w:val="24"/>
          <w:szCs w:val="24"/>
          <w:highlight w:val="none"/>
          <w:lang/>
        </w:rPr>
        <w:t>一、开标</w:t>
      </w:r>
      <w:r>
        <w:rPr>
          <w:rFonts w:ascii="宋体" w:hAnsi="宋体" w:eastAsia="宋体"/>
          <w:color w:val="auto"/>
          <w:sz w:val="24"/>
          <w:szCs w:val="24"/>
          <w:highlight w:val="none"/>
          <w:lang/>
        </w:rPr>
        <w:tab/>
      </w:r>
      <w:r>
        <w:rPr>
          <w:rFonts w:ascii="宋体" w:hAnsi="宋体" w:eastAsia="宋体"/>
          <w:color w:val="auto"/>
          <w:sz w:val="24"/>
          <w:szCs w:val="24"/>
          <w:highlight w:val="none"/>
          <w:lang/>
        </w:rPr>
        <w:fldChar w:fldCharType="begin"/>
      </w:r>
      <w:r>
        <w:rPr>
          <w:rFonts w:ascii="宋体" w:hAnsi="宋体" w:eastAsia="宋体"/>
          <w:color w:val="auto"/>
          <w:sz w:val="24"/>
          <w:szCs w:val="24"/>
          <w:highlight w:val="none"/>
          <w:lang/>
        </w:rPr>
        <w:instrText xml:space="preserve"> PAGEREF _Toc34950019 \h </w:instrText>
      </w:r>
      <w:r>
        <w:rPr>
          <w:rFonts w:ascii="宋体" w:hAnsi="宋体" w:eastAsia="宋体"/>
          <w:color w:val="auto"/>
          <w:sz w:val="24"/>
          <w:szCs w:val="24"/>
          <w:highlight w:val="none"/>
          <w:lang/>
        </w:rPr>
        <w:fldChar w:fldCharType="separate"/>
      </w:r>
      <w:r>
        <w:rPr>
          <w:rFonts w:ascii="宋体" w:hAnsi="宋体" w:eastAsia="宋体"/>
          <w:color w:val="auto"/>
          <w:sz w:val="24"/>
          <w:szCs w:val="24"/>
          <w:highlight w:val="none"/>
          <w:lang/>
        </w:rPr>
        <w:t>- 19 -</w:t>
      </w:r>
      <w:r>
        <w:rPr>
          <w:rFonts w:ascii="宋体" w:hAnsi="宋体" w:eastAsia="宋体"/>
          <w:color w:val="auto"/>
          <w:sz w:val="24"/>
          <w:szCs w:val="24"/>
          <w:highlight w:val="none"/>
          <w:lang/>
        </w:rPr>
        <w:fldChar w:fldCharType="end"/>
      </w:r>
    </w:p>
    <w:p>
      <w:pPr>
        <w:pStyle w:val="36"/>
        <w:rPr>
          <w:rFonts w:ascii="宋体" w:hAnsi="宋体" w:eastAsia="宋体"/>
          <w:color w:val="auto"/>
          <w:sz w:val="24"/>
          <w:szCs w:val="24"/>
          <w:highlight w:val="none"/>
          <w:lang/>
        </w:rPr>
      </w:pPr>
      <w:r>
        <w:rPr>
          <w:rFonts w:ascii="宋体" w:hAnsi="宋体" w:eastAsia="宋体"/>
          <w:color w:val="auto"/>
          <w:sz w:val="24"/>
          <w:szCs w:val="24"/>
          <w:highlight w:val="none"/>
          <w:lang/>
        </w:rPr>
        <w:t>二、评标</w:t>
      </w:r>
      <w:r>
        <w:rPr>
          <w:rFonts w:ascii="宋体" w:hAnsi="宋体" w:eastAsia="宋体"/>
          <w:color w:val="auto"/>
          <w:sz w:val="24"/>
          <w:szCs w:val="24"/>
          <w:highlight w:val="none"/>
          <w:lang/>
        </w:rPr>
        <w:tab/>
      </w:r>
      <w:r>
        <w:rPr>
          <w:rFonts w:ascii="宋体" w:hAnsi="宋体" w:eastAsia="宋体"/>
          <w:color w:val="auto"/>
          <w:sz w:val="24"/>
          <w:szCs w:val="24"/>
          <w:highlight w:val="none"/>
          <w:lang/>
        </w:rPr>
        <w:fldChar w:fldCharType="begin"/>
      </w:r>
      <w:r>
        <w:rPr>
          <w:rFonts w:ascii="宋体" w:hAnsi="宋体" w:eastAsia="宋体"/>
          <w:color w:val="auto"/>
          <w:sz w:val="24"/>
          <w:szCs w:val="24"/>
          <w:highlight w:val="none"/>
          <w:lang/>
        </w:rPr>
        <w:instrText xml:space="preserve"> PAGEREF _Toc34950020 \h </w:instrText>
      </w:r>
      <w:r>
        <w:rPr>
          <w:rFonts w:ascii="宋体" w:hAnsi="宋体" w:eastAsia="宋体"/>
          <w:color w:val="auto"/>
          <w:sz w:val="24"/>
          <w:szCs w:val="24"/>
          <w:highlight w:val="none"/>
          <w:lang/>
        </w:rPr>
        <w:fldChar w:fldCharType="separate"/>
      </w:r>
      <w:r>
        <w:rPr>
          <w:rFonts w:ascii="宋体" w:hAnsi="宋体" w:eastAsia="宋体"/>
          <w:color w:val="auto"/>
          <w:sz w:val="24"/>
          <w:szCs w:val="24"/>
          <w:highlight w:val="none"/>
          <w:lang/>
        </w:rPr>
        <w:t>- 19 -</w:t>
      </w:r>
      <w:r>
        <w:rPr>
          <w:rFonts w:ascii="宋体" w:hAnsi="宋体" w:eastAsia="宋体"/>
          <w:color w:val="auto"/>
          <w:sz w:val="24"/>
          <w:szCs w:val="24"/>
          <w:highlight w:val="none"/>
          <w:lang/>
        </w:rPr>
        <w:fldChar w:fldCharType="end"/>
      </w:r>
    </w:p>
    <w:p>
      <w:pPr>
        <w:pStyle w:val="36"/>
        <w:rPr>
          <w:rFonts w:ascii="宋体" w:hAnsi="宋体" w:eastAsia="宋体"/>
          <w:color w:val="auto"/>
          <w:sz w:val="24"/>
          <w:szCs w:val="24"/>
          <w:highlight w:val="none"/>
          <w:lang/>
        </w:rPr>
      </w:pPr>
      <w:r>
        <w:rPr>
          <w:rFonts w:ascii="宋体" w:hAnsi="宋体" w:eastAsia="宋体"/>
          <w:color w:val="auto"/>
          <w:sz w:val="24"/>
          <w:szCs w:val="24"/>
          <w:highlight w:val="none"/>
          <w:lang/>
        </w:rPr>
        <w:t>三、定标</w:t>
      </w:r>
      <w:r>
        <w:rPr>
          <w:rFonts w:ascii="宋体" w:hAnsi="宋体" w:eastAsia="宋体"/>
          <w:color w:val="auto"/>
          <w:sz w:val="24"/>
          <w:szCs w:val="24"/>
          <w:highlight w:val="none"/>
          <w:lang/>
        </w:rPr>
        <w:tab/>
      </w:r>
      <w:r>
        <w:rPr>
          <w:rFonts w:ascii="宋体" w:hAnsi="宋体" w:eastAsia="宋体"/>
          <w:color w:val="auto"/>
          <w:sz w:val="24"/>
          <w:szCs w:val="24"/>
          <w:highlight w:val="none"/>
          <w:lang/>
        </w:rPr>
        <w:fldChar w:fldCharType="begin"/>
      </w:r>
      <w:r>
        <w:rPr>
          <w:rFonts w:ascii="宋体" w:hAnsi="宋体" w:eastAsia="宋体"/>
          <w:color w:val="auto"/>
          <w:sz w:val="24"/>
          <w:szCs w:val="24"/>
          <w:highlight w:val="none"/>
          <w:lang/>
        </w:rPr>
        <w:instrText xml:space="preserve"> PAGEREF _Toc34950021 \h </w:instrText>
      </w:r>
      <w:r>
        <w:rPr>
          <w:rFonts w:ascii="宋体" w:hAnsi="宋体" w:eastAsia="宋体"/>
          <w:color w:val="auto"/>
          <w:sz w:val="24"/>
          <w:szCs w:val="24"/>
          <w:highlight w:val="none"/>
          <w:lang/>
        </w:rPr>
        <w:fldChar w:fldCharType="separate"/>
      </w:r>
      <w:r>
        <w:rPr>
          <w:rFonts w:ascii="宋体" w:hAnsi="宋体" w:eastAsia="宋体"/>
          <w:color w:val="auto"/>
          <w:sz w:val="24"/>
          <w:szCs w:val="24"/>
          <w:highlight w:val="none"/>
          <w:lang/>
        </w:rPr>
        <w:t>- 21 -</w:t>
      </w:r>
      <w:r>
        <w:rPr>
          <w:rFonts w:ascii="宋体" w:hAnsi="宋体" w:eastAsia="宋体"/>
          <w:color w:val="auto"/>
          <w:sz w:val="24"/>
          <w:szCs w:val="24"/>
          <w:highlight w:val="none"/>
          <w:lang/>
        </w:rPr>
        <w:fldChar w:fldCharType="end"/>
      </w:r>
    </w:p>
    <w:p>
      <w:pPr>
        <w:pStyle w:val="36"/>
        <w:rPr>
          <w:rFonts w:ascii="等线" w:hAnsi="等线" w:eastAsia="等线"/>
          <w:color w:val="auto"/>
          <w:kern w:val="2"/>
          <w:sz w:val="24"/>
          <w:szCs w:val="24"/>
          <w:highlight w:val="none"/>
          <w:lang/>
        </w:rPr>
      </w:pPr>
      <w:r>
        <w:rPr>
          <w:rFonts w:ascii="Times New Roman" w:hAnsi="Times New Roman"/>
          <w:color w:val="auto"/>
          <w:sz w:val="24"/>
          <w:szCs w:val="24"/>
          <w:highlight w:val="none"/>
          <w:lang/>
        </w:rPr>
        <w:t>第五章  投标文件的有效性</w:t>
      </w:r>
      <w:r>
        <w:rPr>
          <w:color w:val="auto"/>
          <w:sz w:val="24"/>
          <w:szCs w:val="24"/>
          <w:highlight w:val="none"/>
          <w:lang/>
        </w:rPr>
        <w:tab/>
      </w:r>
      <w:r>
        <w:rPr>
          <w:color w:val="auto"/>
          <w:sz w:val="24"/>
          <w:szCs w:val="24"/>
          <w:highlight w:val="none"/>
          <w:lang/>
        </w:rPr>
        <w:fldChar w:fldCharType="begin"/>
      </w:r>
      <w:r>
        <w:rPr>
          <w:color w:val="auto"/>
          <w:sz w:val="24"/>
          <w:szCs w:val="24"/>
          <w:highlight w:val="none"/>
          <w:lang/>
        </w:rPr>
        <w:instrText xml:space="preserve"> PAGEREF _Toc34950022 \h </w:instrText>
      </w:r>
      <w:r>
        <w:rPr>
          <w:color w:val="auto"/>
          <w:sz w:val="24"/>
          <w:szCs w:val="24"/>
          <w:highlight w:val="none"/>
          <w:lang/>
        </w:rPr>
        <w:fldChar w:fldCharType="separate"/>
      </w:r>
      <w:r>
        <w:rPr>
          <w:color w:val="auto"/>
          <w:sz w:val="24"/>
          <w:szCs w:val="24"/>
          <w:highlight w:val="none"/>
          <w:lang/>
        </w:rPr>
        <w:t>- 23 -</w:t>
      </w:r>
      <w:r>
        <w:rPr>
          <w:color w:val="auto"/>
          <w:sz w:val="24"/>
          <w:szCs w:val="24"/>
          <w:highlight w:val="none"/>
          <w:lang/>
        </w:rPr>
        <w:fldChar w:fldCharType="end"/>
      </w:r>
    </w:p>
    <w:p>
      <w:pPr>
        <w:pStyle w:val="36"/>
        <w:rPr>
          <w:rFonts w:ascii="等线" w:hAnsi="等线" w:eastAsia="等线"/>
          <w:color w:val="auto"/>
          <w:kern w:val="2"/>
          <w:sz w:val="24"/>
          <w:szCs w:val="24"/>
          <w:highlight w:val="none"/>
          <w:lang/>
        </w:rPr>
      </w:pPr>
      <w:r>
        <w:rPr>
          <w:rFonts w:ascii="Times New Roman" w:hAnsi="Times New Roman"/>
          <w:color w:val="auto"/>
          <w:sz w:val="24"/>
          <w:szCs w:val="24"/>
          <w:highlight w:val="none"/>
          <w:lang/>
        </w:rPr>
        <w:t>第六章  评标办法</w:t>
      </w:r>
      <w:r>
        <w:rPr>
          <w:color w:val="auto"/>
          <w:sz w:val="24"/>
          <w:szCs w:val="24"/>
          <w:highlight w:val="none"/>
          <w:lang/>
        </w:rPr>
        <w:tab/>
      </w:r>
      <w:r>
        <w:rPr>
          <w:color w:val="auto"/>
          <w:sz w:val="24"/>
          <w:szCs w:val="24"/>
          <w:highlight w:val="none"/>
          <w:lang/>
        </w:rPr>
        <w:fldChar w:fldCharType="begin"/>
      </w:r>
      <w:r>
        <w:rPr>
          <w:color w:val="auto"/>
          <w:sz w:val="24"/>
          <w:szCs w:val="24"/>
          <w:highlight w:val="none"/>
          <w:lang/>
        </w:rPr>
        <w:instrText xml:space="preserve"> PAGEREF _Toc34950023 \h </w:instrText>
      </w:r>
      <w:r>
        <w:rPr>
          <w:color w:val="auto"/>
          <w:sz w:val="24"/>
          <w:szCs w:val="24"/>
          <w:highlight w:val="none"/>
          <w:lang/>
        </w:rPr>
        <w:fldChar w:fldCharType="separate"/>
      </w:r>
      <w:r>
        <w:rPr>
          <w:color w:val="auto"/>
          <w:sz w:val="24"/>
          <w:szCs w:val="24"/>
          <w:highlight w:val="none"/>
          <w:lang/>
        </w:rPr>
        <w:t>- 25 -</w:t>
      </w:r>
      <w:r>
        <w:rPr>
          <w:color w:val="auto"/>
          <w:sz w:val="24"/>
          <w:szCs w:val="24"/>
          <w:highlight w:val="none"/>
          <w:lang/>
        </w:rPr>
        <w:fldChar w:fldCharType="end"/>
      </w:r>
    </w:p>
    <w:p>
      <w:pPr>
        <w:pStyle w:val="36"/>
        <w:rPr>
          <w:rFonts w:ascii="等线" w:hAnsi="等线" w:eastAsia="等线"/>
          <w:color w:val="auto"/>
          <w:kern w:val="2"/>
          <w:sz w:val="24"/>
          <w:szCs w:val="24"/>
          <w:highlight w:val="none"/>
          <w:lang/>
        </w:rPr>
      </w:pPr>
      <w:r>
        <w:rPr>
          <w:rFonts w:ascii="Times New Roman" w:hAnsi="Times New Roman"/>
          <w:color w:val="auto"/>
          <w:sz w:val="24"/>
          <w:szCs w:val="24"/>
          <w:highlight w:val="none"/>
          <w:lang/>
        </w:rPr>
        <w:t>第七章  合同主要条款</w:t>
      </w:r>
      <w:r>
        <w:rPr>
          <w:color w:val="auto"/>
          <w:sz w:val="24"/>
          <w:szCs w:val="24"/>
          <w:highlight w:val="none"/>
          <w:lang/>
        </w:rPr>
        <w:tab/>
      </w:r>
      <w:r>
        <w:rPr>
          <w:color w:val="auto"/>
          <w:sz w:val="24"/>
          <w:szCs w:val="24"/>
          <w:highlight w:val="none"/>
          <w:lang/>
        </w:rPr>
        <w:fldChar w:fldCharType="begin"/>
      </w:r>
      <w:r>
        <w:rPr>
          <w:color w:val="auto"/>
          <w:sz w:val="24"/>
          <w:szCs w:val="24"/>
          <w:highlight w:val="none"/>
          <w:lang/>
        </w:rPr>
        <w:instrText xml:space="preserve"> PAGEREF _Toc34950028 \h </w:instrText>
      </w:r>
      <w:r>
        <w:rPr>
          <w:color w:val="auto"/>
          <w:sz w:val="24"/>
          <w:szCs w:val="24"/>
          <w:highlight w:val="none"/>
          <w:lang/>
        </w:rPr>
        <w:fldChar w:fldCharType="separate"/>
      </w:r>
      <w:r>
        <w:rPr>
          <w:color w:val="auto"/>
          <w:sz w:val="24"/>
          <w:szCs w:val="24"/>
          <w:highlight w:val="none"/>
          <w:lang/>
        </w:rPr>
        <w:t>- 28 -</w:t>
      </w:r>
      <w:r>
        <w:rPr>
          <w:color w:val="auto"/>
          <w:sz w:val="24"/>
          <w:szCs w:val="24"/>
          <w:highlight w:val="none"/>
          <w:lang/>
        </w:rPr>
        <w:fldChar w:fldCharType="end"/>
      </w:r>
    </w:p>
    <w:p>
      <w:pPr>
        <w:pStyle w:val="36"/>
        <w:rPr>
          <w:rFonts w:ascii="等线" w:hAnsi="等线" w:eastAsia="等线"/>
          <w:color w:val="auto"/>
          <w:kern w:val="2"/>
          <w:sz w:val="24"/>
          <w:szCs w:val="24"/>
          <w:highlight w:val="none"/>
          <w:lang/>
        </w:rPr>
      </w:pPr>
      <w:r>
        <w:rPr>
          <w:rFonts w:ascii="Times New Roman" w:hAnsi="Times New Roman"/>
          <w:color w:val="auto"/>
          <w:sz w:val="24"/>
          <w:szCs w:val="24"/>
          <w:highlight w:val="none"/>
          <w:lang/>
        </w:rPr>
        <w:t>第八章  投标文件部分格式</w:t>
      </w:r>
      <w:r>
        <w:rPr>
          <w:color w:val="auto"/>
          <w:sz w:val="24"/>
          <w:szCs w:val="24"/>
          <w:highlight w:val="none"/>
          <w:lang/>
        </w:rPr>
        <w:tab/>
      </w:r>
      <w:r>
        <w:rPr>
          <w:color w:val="auto"/>
          <w:sz w:val="24"/>
          <w:szCs w:val="24"/>
          <w:highlight w:val="none"/>
          <w:lang/>
        </w:rPr>
        <w:fldChar w:fldCharType="begin"/>
      </w:r>
      <w:r>
        <w:rPr>
          <w:color w:val="auto"/>
          <w:sz w:val="24"/>
          <w:szCs w:val="24"/>
          <w:highlight w:val="none"/>
          <w:lang/>
        </w:rPr>
        <w:instrText xml:space="preserve"> PAGEREF _Toc34950030 \h </w:instrText>
      </w:r>
      <w:r>
        <w:rPr>
          <w:color w:val="auto"/>
          <w:sz w:val="24"/>
          <w:szCs w:val="24"/>
          <w:highlight w:val="none"/>
          <w:lang/>
        </w:rPr>
        <w:fldChar w:fldCharType="separate"/>
      </w:r>
      <w:r>
        <w:rPr>
          <w:color w:val="auto"/>
          <w:sz w:val="24"/>
          <w:szCs w:val="24"/>
          <w:highlight w:val="none"/>
          <w:lang/>
        </w:rPr>
        <w:t>- 32 -</w:t>
      </w:r>
      <w:r>
        <w:rPr>
          <w:color w:val="auto"/>
          <w:sz w:val="24"/>
          <w:szCs w:val="24"/>
          <w:highlight w:val="none"/>
          <w:lang/>
        </w:rPr>
        <w:fldChar w:fldCharType="end"/>
      </w:r>
    </w:p>
    <w:p>
      <w:pPr>
        <w:pStyle w:val="4"/>
        <w:spacing w:before="0" w:after="0" w:line="400" w:lineRule="exact"/>
        <w:rPr>
          <w:rFonts w:ascii="Times New Roman" w:hAnsi="Times New Roman"/>
          <w:b w:val="0"/>
          <w:color w:val="auto"/>
          <w:sz w:val="24"/>
          <w:highlight w:val="none"/>
        </w:rPr>
      </w:pPr>
      <w:r>
        <w:rPr>
          <w:rFonts w:ascii="Times New Roman" w:hAnsi="Times New Roman"/>
          <w:color w:val="auto"/>
          <w:sz w:val="24"/>
          <w:highlight w:val="none"/>
        </w:rPr>
        <w:fldChar w:fldCharType="end"/>
      </w:r>
    </w:p>
    <w:p>
      <w:pPr>
        <w:rPr>
          <w:rFonts w:ascii="Times New Roman" w:hAnsi="Times New Roman"/>
          <w:color w:val="auto"/>
          <w:kern w:val="1"/>
          <w:highlight w:val="none"/>
        </w:rPr>
      </w:pPr>
    </w:p>
    <w:p>
      <w:pPr>
        <w:rPr>
          <w:rFonts w:ascii="Times New Roman" w:hAnsi="Times New Roman"/>
          <w:color w:val="auto"/>
          <w:kern w:val="1"/>
          <w:highlight w:val="none"/>
        </w:rPr>
      </w:pPr>
    </w:p>
    <w:p>
      <w:pPr>
        <w:pStyle w:val="4"/>
        <w:spacing w:before="0" w:after="0" w:line="360" w:lineRule="auto"/>
        <w:jc w:val="center"/>
        <w:rPr>
          <w:rFonts w:ascii="Times New Roman" w:hAnsi="Times New Roman"/>
          <w:color w:val="auto"/>
          <w:sz w:val="36"/>
          <w:highlight w:val="none"/>
        </w:rPr>
      </w:pPr>
      <w:r>
        <w:rPr>
          <w:rFonts w:ascii="Times New Roman" w:hAnsi="Times New Roman"/>
          <w:color w:val="auto"/>
          <w:highlight w:val="none"/>
        </w:rPr>
        <w:br w:type="page"/>
      </w:r>
      <w:bookmarkStart w:id="0" w:name="_Toc34949998"/>
      <w:r>
        <w:rPr>
          <w:rFonts w:ascii="Times New Roman" w:hAnsi="Times New Roman"/>
          <w:color w:val="auto"/>
          <w:sz w:val="32"/>
          <w:highlight w:val="none"/>
        </w:rPr>
        <w:t>第一章　采购公告</w:t>
      </w:r>
      <w:bookmarkEnd w:id="0"/>
    </w:p>
    <w:p>
      <w:pPr>
        <w:keepNext w:val="0"/>
        <w:keepLines w:val="0"/>
        <w:pageBreakBefore w:val="0"/>
        <w:pBdr>
          <w:top w:val="single" w:color="auto" w:sz="4" w:space="1"/>
          <w:left w:val="single" w:color="auto" w:sz="4" w:space="4"/>
          <w:bottom w:val="single" w:color="auto" w:sz="4" w:space="1"/>
          <w:right w:val="single" w:color="auto" w:sz="4" w:space="4"/>
        </w:pBdr>
        <w:kinsoku/>
        <w:wordWrap/>
        <w:overflowPunct/>
        <w:topLinePunct w:val="0"/>
        <w:autoSpaceDE/>
        <w:autoSpaceDN/>
        <w:bidi w:val="0"/>
        <w:snapToGrid w:val="0"/>
        <w:spacing w:line="3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val="0"/>
        <w:overflowPunct/>
        <w:topLinePunct w:val="0"/>
        <w:autoSpaceDE/>
        <w:autoSpaceDN/>
        <w:bidi w:val="0"/>
        <w:adjustRightInd/>
        <w:snapToGrid w:val="0"/>
        <w:spacing w:line="380" w:lineRule="exact"/>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eastAsia="zh-CN"/>
        </w:rPr>
        <w:t>2022年义乌国际电子竞技大赛服务采购项目</w:t>
      </w:r>
      <w:r>
        <w:rPr>
          <w:rFonts w:hint="eastAsia" w:ascii="宋体" w:hAnsi="宋体" w:eastAsia="宋体" w:cs="宋体"/>
          <w:color w:val="000000"/>
          <w:sz w:val="21"/>
          <w:szCs w:val="21"/>
          <w:highlight w:val="none"/>
        </w:rPr>
        <w:t>的潜在投标人应在浙江政府采购网（http://zfcg.czt.zj.gov.cn/）获取（下载）招标文件，并于</w:t>
      </w:r>
      <w:r>
        <w:rPr>
          <w:rFonts w:hint="eastAsia" w:ascii="宋体" w:hAnsi="宋体" w:eastAsia="宋体" w:cs="宋体"/>
          <w:color w:val="000000"/>
          <w:sz w:val="21"/>
          <w:szCs w:val="21"/>
          <w:highlight w:val="none"/>
          <w:lang w:val="en-US" w:eastAsia="zh-CN"/>
        </w:rPr>
        <w:t>2022年06月02日</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eastAsia="zh-CN"/>
        </w:rPr>
        <w:t>14:00</w:t>
      </w:r>
      <w:r>
        <w:rPr>
          <w:rFonts w:hint="eastAsia" w:ascii="宋体" w:hAnsi="宋体" w:eastAsia="宋体" w:cs="宋体"/>
          <w:color w:val="000000"/>
          <w:sz w:val="21"/>
          <w:szCs w:val="21"/>
          <w:highlight w:val="none"/>
        </w:rPr>
        <w:t>（北京时间）前递交（上传）投标文件。</w:t>
      </w:r>
    </w:p>
    <w:p>
      <w:pPr>
        <w:keepNext w:val="0"/>
        <w:keepLines w:val="0"/>
        <w:pageBreakBefore w:val="0"/>
        <w:widowControl w:val="0"/>
        <w:kinsoku/>
        <w:wordWrap w:val="0"/>
        <w:overflowPunct/>
        <w:topLinePunct w:val="0"/>
        <w:autoSpaceDE/>
        <w:autoSpaceDN/>
        <w:bidi w:val="0"/>
        <w:adjustRightInd/>
        <w:spacing w:line="380" w:lineRule="exact"/>
        <w:ind w:firstLine="435"/>
        <w:textAlignment w:val="auto"/>
        <w:rPr>
          <w:rFonts w:hint="eastAsia" w:ascii="Times New Roman" w:hAnsi="Times New Roman"/>
          <w:b/>
          <w:color w:val="auto"/>
          <w:kern w:val="1"/>
          <w:highlight w:val="none"/>
        </w:rPr>
      </w:pPr>
      <w:r>
        <w:rPr>
          <w:rFonts w:hint="eastAsia" w:ascii="Times New Roman" w:hAnsi="Times New Roman"/>
          <w:b/>
          <w:color w:val="auto"/>
          <w:kern w:val="1"/>
          <w:highlight w:val="none"/>
        </w:rPr>
        <w:t>一、项目基本情况</w:t>
      </w:r>
    </w:p>
    <w:p>
      <w:pPr>
        <w:keepNext w:val="0"/>
        <w:keepLines w:val="0"/>
        <w:pageBreakBefore w:val="0"/>
        <w:kinsoku/>
        <w:wordWrap/>
        <w:overflowPunct/>
        <w:topLinePunct w:val="0"/>
        <w:autoSpaceDE/>
        <w:autoSpaceDN/>
        <w:bidi w:val="0"/>
        <w:spacing w:line="380" w:lineRule="exact"/>
        <w:ind w:firstLine="435"/>
        <w:textAlignment w:val="auto"/>
        <w:rPr>
          <w:rFonts w:hint="eastAsia" w:ascii="Times New Roman" w:hAnsi="Times New Roman" w:eastAsia="宋体"/>
          <w:b w:val="0"/>
          <w:bCs/>
          <w:color w:val="auto"/>
          <w:kern w:val="1"/>
          <w:highlight w:val="none"/>
          <w:lang w:eastAsia="zh-CN"/>
        </w:rPr>
      </w:pPr>
      <w:r>
        <w:rPr>
          <w:rFonts w:hint="eastAsia" w:ascii="Times New Roman" w:hAnsi="Times New Roman"/>
          <w:b w:val="0"/>
          <w:bCs/>
          <w:color w:val="auto"/>
          <w:kern w:val="1"/>
          <w:highlight w:val="none"/>
        </w:rPr>
        <w:t>项目编号：</w:t>
      </w:r>
      <w:r>
        <w:rPr>
          <w:rFonts w:hint="eastAsia" w:ascii="Times New Roman" w:hAnsi="Times New Roman"/>
          <w:b w:val="0"/>
          <w:bCs/>
          <w:color w:val="auto"/>
          <w:kern w:val="1"/>
          <w:highlight w:val="none"/>
          <w:lang w:eastAsia="zh-CN"/>
        </w:rPr>
        <w:t>CTZB-2022050161</w:t>
      </w:r>
    </w:p>
    <w:p>
      <w:pPr>
        <w:keepNext w:val="0"/>
        <w:keepLines w:val="0"/>
        <w:pageBreakBefore w:val="0"/>
        <w:kinsoku/>
        <w:wordWrap/>
        <w:overflowPunct/>
        <w:topLinePunct w:val="0"/>
        <w:autoSpaceDE/>
        <w:autoSpaceDN/>
        <w:bidi w:val="0"/>
        <w:spacing w:line="380" w:lineRule="exact"/>
        <w:ind w:firstLine="435"/>
        <w:textAlignment w:val="auto"/>
        <w:rPr>
          <w:rFonts w:hint="eastAsia" w:ascii="Times New Roman" w:hAnsi="Times New Roman" w:eastAsia="宋体"/>
          <w:b w:val="0"/>
          <w:bCs/>
          <w:color w:val="auto"/>
          <w:kern w:val="1"/>
          <w:highlight w:val="none"/>
          <w:lang w:eastAsia="zh-CN"/>
        </w:rPr>
      </w:pPr>
      <w:r>
        <w:rPr>
          <w:rFonts w:hint="eastAsia" w:ascii="Times New Roman" w:hAnsi="Times New Roman"/>
          <w:b w:val="0"/>
          <w:bCs/>
          <w:color w:val="auto"/>
          <w:kern w:val="1"/>
          <w:highlight w:val="none"/>
        </w:rPr>
        <w:t>项目名称：</w:t>
      </w:r>
      <w:r>
        <w:rPr>
          <w:rFonts w:hint="eastAsia" w:ascii="Times New Roman" w:hAnsi="Times New Roman"/>
          <w:b w:val="0"/>
          <w:bCs/>
          <w:color w:val="auto"/>
          <w:kern w:val="1"/>
          <w:highlight w:val="none"/>
          <w:lang w:eastAsia="zh-CN"/>
        </w:rPr>
        <w:t>2022年义乌国际电子竞技大赛服务采购项目</w:t>
      </w:r>
    </w:p>
    <w:p>
      <w:pPr>
        <w:keepNext w:val="0"/>
        <w:keepLines w:val="0"/>
        <w:pageBreakBefore w:val="0"/>
        <w:kinsoku/>
        <w:wordWrap/>
        <w:overflowPunct/>
        <w:topLinePunct w:val="0"/>
        <w:autoSpaceDE/>
        <w:autoSpaceDN/>
        <w:bidi w:val="0"/>
        <w:spacing w:line="380" w:lineRule="exact"/>
        <w:ind w:firstLine="435"/>
        <w:textAlignment w:val="auto"/>
        <w:rPr>
          <w:rFonts w:hint="default" w:ascii="Times New Roman" w:hAnsi="Times New Roman" w:eastAsia="宋体"/>
          <w:b w:val="0"/>
          <w:bCs/>
          <w:color w:val="auto"/>
          <w:kern w:val="1"/>
          <w:highlight w:val="none"/>
          <w:lang w:val="en-US" w:eastAsia="zh-CN"/>
        </w:rPr>
      </w:pPr>
      <w:r>
        <w:rPr>
          <w:rFonts w:hint="eastAsia" w:ascii="Times New Roman" w:hAnsi="Times New Roman"/>
          <w:b w:val="0"/>
          <w:bCs/>
          <w:color w:val="auto"/>
          <w:kern w:val="1"/>
          <w:highlight w:val="none"/>
        </w:rPr>
        <w:t>预算金额（元）：</w:t>
      </w:r>
      <w:r>
        <w:rPr>
          <w:rFonts w:hint="eastAsia" w:ascii="Times New Roman" w:hAnsi="Times New Roman"/>
          <w:b w:val="0"/>
          <w:bCs/>
          <w:color w:val="auto"/>
          <w:kern w:val="1"/>
          <w:highlight w:val="none"/>
          <w:lang w:val="en-US" w:eastAsia="zh-CN"/>
        </w:rPr>
        <w:t>2000000</w:t>
      </w:r>
    </w:p>
    <w:p>
      <w:pPr>
        <w:keepNext w:val="0"/>
        <w:keepLines w:val="0"/>
        <w:pageBreakBefore w:val="0"/>
        <w:kinsoku/>
        <w:wordWrap/>
        <w:overflowPunct/>
        <w:topLinePunct w:val="0"/>
        <w:autoSpaceDE/>
        <w:autoSpaceDN/>
        <w:bidi w:val="0"/>
        <w:spacing w:line="380" w:lineRule="exact"/>
        <w:ind w:firstLine="435"/>
        <w:textAlignment w:val="auto"/>
        <w:rPr>
          <w:rFonts w:hint="eastAsia" w:ascii="Times New Roman" w:hAnsi="Times New Roman" w:eastAsia="宋体"/>
          <w:b w:val="0"/>
          <w:bCs/>
          <w:color w:val="auto"/>
          <w:kern w:val="1"/>
          <w:highlight w:val="none"/>
          <w:lang w:eastAsia="zh-CN"/>
        </w:rPr>
      </w:pPr>
      <w:r>
        <w:rPr>
          <w:rFonts w:hint="eastAsia" w:ascii="Times New Roman" w:hAnsi="Times New Roman"/>
          <w:b w:val="0"/>
          <w:bCs/>
          <w:color w:val="auto"/>
          <w:kern w:val="1"/>
          <w:highlight w:val="none"/>
        </w:rPr>
        <w:t>最高限价（元）：</w:t>
      </w:r>
      <w:r>
        <w:rPr>
          <w:rFonts w:hint="eastAsia" w:ascii="Times New Roman" w:hAnsi="Times New Roman"/>
          <w:b w:val="0"/>
          <w:bCs/>
          <w:color w:val="auto"/>
          <w:kern w:val="1"/>
          <w:highlight w:val="none"/>
          <w:lang w:val="en-US" w:eastAsia="zh-CN"/>
        </w:rPr>
        <w:t>2000000</w:t>
      </w:r>
    </w:p>
    <w:p>
      <w:pPr>
        <w:keepNext w:val="0"/>
        <w:keepLines w:val="0"/>
        <w:pageBreakBefore w:val="0"/>
        <w:kinsoku/>
        <w:wordWrap/>
        <w:overflowPunct/>
        <w:topLinePunct w:val="0"/>
        <w:autoSpaceDE/>
        <w:autoSpaceDN/>
        <w:bidi w:val="0"/>
        <w:spacing w:line="380" w:lineRule="exact"/>
        <w:ind w:firstLine="420" w:firstLineChars="200"/>
        <w:textAlignment w:val="auto"/>
        <w:rPr>
          <w:rFonts w:hint="eastAsia" w:ascii="Times New Roman" w:hAnsi="Times New Roman"/>
          <w:b w:val="0"/>
          <w:bCs/>
          <w:color w:val="auto"/>
          <w:kern w:val="1"/>
          <w:highlight w:val="none"/>
          <w:lang w:val="en-US" w:eastAsia="zh-CN"/>
        </w:rPr>
      </w:pPr>
      <w:r>
        <w:rPr>
          <w:rFonts w:hint="eastAsia" w:ascii="Times New Roman" w:hAnsi="Times New Roman"/>
          <w:b w:val="0"/>
          <w:bCs/>
          <w:color w:val="auto"/>
          <w:kern w:val="1"/>
          <w:highlight w:val="none"/>
          <w:lang w:val="en-US" w:eastAsia="zh-CN"/>
        </w:rPr>
        <w:t>采购需求：</w:t>
      </w:r>
    </w:p>
    <w:tbl>
      <w:tblPr>
        <w:tblStyle w:val="53"/>
        <w:tblW w:w="94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2701"/>
        <w:gridCol w:w="1104"/>
        <w:gridCol w:w="3722"/>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663" w:type="dxa"/>
            <w:noWrap w:val="0"/>
            <w:vAlign w:val="center"/>
          </w:tcPr>
          <w:p>
            <w:pPr>
              <w:keepNext w:val="0"/>
              <w:keepLines w:val="0"/>
              <w:pageBreakBefore w:val="0"/>
              <w:kinsoku/>
              <w:wordWrap/>
              <w:overflowPunct/>
              <w:topLinePunct w:val="0"/>
              <w:autoSpaceDE/>
              <w:autoSpaceDN/>
              <w:bidi w:val="0"/>
              <w:spacing w:line="380" w:lineRule="exact"/>
              <w:jc w:val="center"/>
              <w:textAlignment w:val="auto"/>
              <w:rPr>
                <w:rFonts w:hint="default" w:ascii="Times New Roman" w:hAnsi="Times New Roman" w:eastAsia="宋体"/>
                <w:color w:val="auto"/>
                <w:szCs w:val="21"/>
                <w:highlight w:val="none"/>
                <w:lang w:val="en-US" w:eastAsia="zh-CN"/>
              </w:rPr>
            </w:pPr>
            <w:r>
              <w:rPr>
                <w:rFonts w:hint="eastAsia" w:ascii="Times New Roman" w:hAnsi="Times New Roman"/>
                <w:color w:val="auto"/>
                <w:szCs w:val="21"/>
                <w:highlight w:val="none"/>
                <w:lang w:val="en-US" w:eastAsia="zh-CN"/>
              </w:rPr>
              <w:t>序号</w:t>
            </w:r>
          </w:p>
        </w:tc>
        <w:tc>
          <w:tcPr>
            <w:tcW w:w="2701" w:type="dxa"/>
            <w:noWrap w:val="0"/>
            <w:vAlign w:val="center"/>
          </w:tcPr>
          <w:p>
            <w:pPr>
              <w:keepNext w:val="0"/>
              <w:keepLines w:val="0"/>
              <w:pageBreakBefore w:val="0"/>
              <w:kinsoku/>
              <w:wordWrap/>
              <w:overflowPunct/>
              <w:topLinePunct w:val="0"/>
              <w:autoSpaceDE/>
              <w:autoSpaceDN/>
              <w:bidi w:val="0"/>
              <w:spacing w:line="380" w:lineRule="exact"/>
              <w:jc w:val="center"/>
              <w:textAlignment w:val="auto"/>
              <w:rPr>
                <w:rFonts w:ascii="Times New Roman" w:hAnsi="Times New Roman"/>
                <w:color w:val="auto"/>
                <w:szCs w:val="21"/>
                <w:highlight w:val="none"/>
              </w:rPr>
            </w:pPr>
            <w:r>
              <w:rPr>
                <w:rFonts w:hint="eastAsia" w:ascii="Times New Roman" w:hAnsi="Times New Roman"/>
                <w:color w:val="auto"/>
                <w:szCs w:val="21"/>
                <w:highlight w:val="none"/>
              </w:rPr>
              <w:t>标项名称</w:t>
            </w:r>
          </w:p>
        </w:tc>
        <w:tc>
          <w:tcPr>
            <w:tcW w:w="1104" w:type="dxa"/>
            <w:noWrap w:val="0"/>
            <w:vAlign w:val="center"/>
          </w:tcPr>
          <w:p>
            <w:pPr>
              <w:keepNext w:val="0"/>
              <w:keepLines w:val="0"/>
              <w:pageBreakBefore w:val="0"/>
              <w:kinsoku/>
              <w:wordWrap/>
              <w:overflowPunct/>
              <w:topLinePunct w:val="0"/>
              <w:autoSpaceDE/>
              <w:autoSpaceDN/>
              <w:bidi w:val="0"/>
              <w:spacing w:line="380" w:lineRule="exact"/>
              <w:jc w:val="center"/>
              <w:textAlignment w:val="auto"/>
              <w:rPr>
                <w:rFonts w:ascii="Times New Roman" w:hAnsi="Times New Roman"/>
                <w:color w:val="auto"/>
                <w:szCs w:val="21"/>
                <w:highlight w:val="none"/>
              </w:rPr>
            </w:pPr>
            <w:r>
              <w:rPr>
                <w:rFonts w:hint="eastAsia" w:ascii="Times New Roman" w:hAnsi="Times New Roman"/>
                <w:color w:val="auto"/>
                <w:szCs w:val="21"/>
                <w:highlight w:val="none"/>
              </w:rPr>
              <w:t>预算金额（</w:t>
            </w:r>
            <w:r>
              <w:rPr>
                <w:rFonts w:hint="eastAsia" w:ascii="Times New Roman" w:hAnsi="Times New Roman"/>
                <w:color w:val="auto"/>
                <w:szCs w:val="21"/>
                <w:highlight w:val="none"/>
                <w:lang w:val="en-US" w:eastAsia="zh-CN"/>
              </w:rPr>
              <w:t>万</w:t>
            </w:r>
            <w:r>
              <w:rPr>
                <w:rFonts w:hint="eastAsia" w:ascii="Times New Roman" w:hAnsi="Times New Roman"/>
                <w:color w:val="auto"/>
                <w:szCs w:val="21"/>
                <w:highlight w:val="none"/>
              </w:rPr>
              <w:t>元）</w:t>
            </w:r>
          </w:p>
        </w:tc>
        <w:tc>
          <w:tcPr>
            <w:tcW w:w="3722" w:type="dxa"/>
            <w:noWrap w:val="0"/>
            <w:vAlign w:val="center"/>
          </w:tcPr>
          <w:p>
            <w:pPr>
              <w:keepNext w:val="0"/>
              <w:keepLines w:val="0"/>
              <w:pageBreakBefore w:val="0"/>
              <w:kinsoku/>
              <w:wordWrap/>
              <w:overflowPunct/>
              <w:topLinePunct w:val="0"/>
              <w:autoSpaceDE/>
              <w:autoSpaceDN/>
              <w:bidi w:val="0"/>
              <w:spacing w:line="380" w:lineRule="exact"/>
              <w:jc w:val="center"/>
              <w:textAlignment w:val="auto"/>
              <w:rPr>
                <w:rFonts w:ascii="Times New Roman" w:hAnsi="Times New Roman"/>
                <w:color w:val="auto"/>
                <w:szCs w:val="21"/>
                <w:highlight w:val="none"/>
              </w:rPr>
            </w:pPr>
            <w:r>
              <w:rPr>
                <w:rFonts w:hint="eastAsia" w:ascii="Times New Roman" w:hAnsi="Times New Roman"/>
                <w:color w:val="auto"/>
                <w:szCs w:val="21"/>
                <w:highlight w:val="none"/>
              </w:rPr>
              <w:t>简要规格描述</w:t>
            </w:r>
          </w:p>
        </w:tc>
        <w:tc>
          <w:tcPr>
            <w:tcW w:w="1260" w:type="dxa"/>
            <w:noWrap w:val="0"/>
            <w:vAlign w:val="center"/>
          </w:tcPr>
          <w:p>
            <w:pPr>
              <w:keepNext w:val="0"/>
              <w:keepLines w:val="0"/>
              <w:pageBreakBefore w:val="0"/>
              <w:kinsoku/>
              <w:wordWrap/>
              <w:overflowPunct/>
              <w:topLinePunct w:val="0"/>
              <w:autoSpaceDE/>
              <w:autoSpaceDN/>
              <w:bidi w:val="0"/>
              <w:spacing w:line="380" w:lineRule="exact"/>
              <w:jc w:val="center"/>
              <w:textAlignment w:val="auto"/>
              <w:rPr>
                <w:rFonts w:ascii="Times New Roman" w:hAnsi="Times New Roman"/>
                <w:color w:val="auto"/>
                <w:szCs w:val="21"/>
                <w:highlight w:val="none"/>
              </w:rPr>
            </w:pPr>
            <w:r>
              <w:rPr>
                <w:rFonts w:hint="eastAsia" w:ascii="Times New Roman" w:hAnsi="Times New Roman"/>
                <w:color w:val="auto"/>
                <w:szCs w:val="21"/>
                <w:highlight w:val="none"/>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663" w:type="dxa"/>
            <w:noWrap w:val="0"/>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Times New Roman" w:hAnsi="Times New Roman" w:eastAsia="宋体"/>
                <w:color w:val="auto"/>
                <w:szCs w:val="21"/>
                <w:highlight w:val="none"/>
                <w:lang w:eastAsia="zh-CN"/>
              </w:rPr>
            </w:pPr>
            <w:r>
              <w:rPr>
                <w:rFonts w:hint="eastAsia" w:ascii="Times New Roman" w:hAnsi="Times New Roman"/>
                <w:color w:val="auto"/>
                <w:szCs w:val="21"/>
                <w:highlight w:val="none"/>
                <w:lang w:val="en-US" w:eastAsia="zh-CN"/>
              </w:rPr>
              <w:t>1</w:t>
            </w:r>
          </w:p>
        </w:tc>
        <w:tc>
          <w:tcPr>
            <w:tcW w:w="2701" w:type="dxa"/>
            <w:noWrap w:val="0"/>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Times New Roman" w:hAnsi="Times New Roman" w:eastAsia="宋体"/>
                <w:color w:val="auto"/>
                <w:szCs w:val="21"/>
                <w:highlight w:val="none"/>
                <w:lang w:eastAsia="zh-CN"/>
              </w:rPr>
            </w:pPr>
            <w:r>
              <w:rPr>
                <w:rFonts w:hint="eastAsia" w:ascii="Times New Roman" w:hAnsi="Times New Roman"/>
                <w:color w:val="auto"/>
                <w:szCs w:val="21"/>
                <w:highlight w:val="none"/>
                <w:lang w:eastAsia="zh-CN"/>
              </w:rPr>
              <w:t>2022年义乌国际电子竞技大赛服务采购项目</w:t>
            </w:r>
          </w:p>
        </w:tc>
        <w:tc>
          <w:tcPr>
            <w:tcW w:w="1104" w:type="dxa"/>
            <w:noWrap w:val="0"/>
            <w:vAlign w:val="center"/>
          </w:tcPr>
          <w:p>
            <w:pPr>
              <w:keepNext w:val="0"/>
              <w:keepLines w:val="0"/>
              <w:pageBreakBefore w:val="0"/>
              <w:kinsoku/>
              <w:wordWrap/>
              <w:overflowPunct/>
              <w:topLinePunct w:val="0"/>
              <w:autoSpaceDE/>
              <w:autoSpaceDN/>
              <w:bidi w:val="0"/>
              <w:spacing w:line="380" w:lineRule="exact"/>
              <w:jc w:val="center"/>
              <w:textAlignment w:val="auto"/>
              <w:rPr>
                <w:rFonts w:hint="default" w:ascii="Times New Roman" w:hAnsi="Times New Roman" w:eastAsia="宋体"/>
                <w:color w:val="auto"/>
                <w:szCs w:val="21"/>
                <w:highlight w:val="none"/>
                <w:lang w:val="en-US" w:eastAsia="zh-CN"/>
              </w:rPr>
            </w:pPr>
            <w:r>
              <w:rPr>
                <w:rFonts w:hint="eastAsia" w:ascii="Times New Roman" w:hAnsi="Times New Roman"/>
                <w:color w:val="auto"/>
                <w:szCs w:val="21"/>
                <w:highlight w:val="none"/>
                <w:lang w:val="en-US" w:eastAsia="zh-CN"/>
              </w:rPr>
              <w:t>200</w:t>
            </w:r>
          </w:p>
        </w:tc>
        <w:tc>
          <w:tcPr>
            <w:tcW w:w="3722" w:type="dxa"/>
            <w:noWrap w:val="0"/>
            <w:vAlign w:val="center"/>
          </w:tcPr>
          <w:p>
            <w:pPr>
              <w:keepNext w:val="0"/>
              <w:keepLines w:val="0"/>
              <w:pageBreakBefore w:val="0"/>
              <w:kinsoku/>
              <w:wordWrap/>
              <w:overflowPunct/>
              <w:topLinePunct w:val="0"/>
              <w:autoSpaceDE/>
              <w:autoSpaceDN/>
              <w:bidi w:val="0"/>
              <w:spacing w:line="380" w:lineRule="exact"/>
              <w:jc w:val="center"/>
              <w:textAlignment w:val="auto"/>
              <w:rPr>
                <w:rFonts w:ascii="Times New Roman" w:hAnsi="Times New Roman"/>
                <w:color w:val="auto"/>
                <w:szCs w:val="21"/>
                <w:highlight w:val="none"/>
              </w:rPr>
            </w:pPr>
            <w:r>
              <w:rPr>
                <w:rFonts w:hint="eastAsia" w:ascii="Times New Roman" w:hAnsi="Times New Roman"/>
                <w:color w:val="auto"/>
                <w:szCs w:val="21"/>
                <w:highlight w:val="none"/>
                <w:lang w:eastAsia="zh-CN"/>
              </w:rPr>
              <w:t>2022年义乌国际电子竞技大赛</w:t>
            </w:r>
            <w:r>
              <w:rPr>
                <w:rFonts w:hint="eastAsia" w:ascii="Times New Roman" w:hAnsi="Times New Roman"/>
                <w:color w:val="auto"/>
                <w:szCs w:val="21"/>
                <w:highlight w:val="none"/>
                <w:lang w:eastAsia="zh-CN"/>
              </w:rPr>
              <w:t>承办</w:t>
            </w:r>
            <w:r>
              <w:rPr>
                <w:rFonts w:hint="eastAsia" w:ascii="Times New Roman" w:hAnsi="Times New Roman"/>
                <w:color w:val="auto"/>
                <w:szCs w:val="21"/>
                <w:highlight w:val="none"/>
                <w:lang w:val="en-US" w:eastAsia="zh-CN"/>
              </w:rPr>
              <w:t>服务。具体内容及要求详见第三章“招标项目要求”。</w:t>
            </w:r>
          </w:p>
        </w:tc>
        <w:tc>
          <w:tcPr>
            <w:tcW w:w="1260" w:type="dxa"/>
            <w:noWrap w:val="0"/>
            <w:vAlign w:val="center"/>
          </w:tcPr>
          <w:p>
            <w:pPr>
              <w:keepNext w:val="0"/>
              <w:keepLines w:val="0"/>
              <w:pageBreakBefore w:val="0"/>
              <w:kinsoku/>
              <w:wordWrap/>
              <w:overflowPunct/>
              <w:topLinePunct w:val="0"/>
              <w:autoSpaceDE/>
              <w:autoSpaceDN/>
              <w:bidi w:val="0"/>
              <w:spacing w:line="380" w:lineRule="exact"/>
              <w:jc w:val="center"/>
              <w:textAlignment w:val="auto"/>
              <w:rPr>
                <w:rFonts w:hint="eastAsia" w:ascii="Times New Roman" w:hAnsi="Times New Roman"/>
                <w:color w:val="auto"/>
                <w:szCs w:val="21"/>
                <w:highlight w:val="none"/>
                <w:lang w:val="en-US" w:eastAsia="zh-CN"/>
              </w:rPr>
            </w:pPr>
            <w:r>
              <w:rPr>
                <w:rFonts w:hint="eastAsia" w:ascii="Times New Roman" w:hAnsi="Times New Roman"/>
                <w:color w:val="auto"/>
                <w:szCs w:val="21"/>
                <w:highlight w:val="none"/>
                <w:lang w:val="en-US" w:eastAsia="zh-CN"/>
              </w:rPr>
              <w:t>其他未列明行业</w:t>
            </w:r>
          </w:p>
        </w:tc>
      </w:tr>
    </w:tbl>
    <w:p>
      <w:pPr>
        <w:pStyle w:val="162"/>
        <w:keepNext w:val="0"/>
        <w:keepLines w:val="0"/>
        <w:pageBreakBefore w:val="0"/>
        <w:widowControl w:val="0"/>
        <w:kinsoku/>
        <w:wordWrap/>
        <w:overflowPunct/>
        <w:topLinePunct w:val="0"/>
        <w:autoSpaceDE/>
        <w:autoSpaceDN/>
        <w:bidi w:val="0"/>
        <w:adjustRightInd/>
        <w:snapToGrid w:val="0"/>
        <w:spacing w:line="380" w:lineRule="exact"/>
        <w:ind w:firstLine="422" w:firstLineChars="200"/>
        <w:textAlignment w:val="auto"/>
        <w:rPr>
          <w:rFonts w:hint="eastAsia" w:ascii="宋体" w:hAnsi="宋体" w:eastAsia="宋体" w:cs="宋体"/>
          <w:b/>
          <w:bCs/>
          <w:color w:val="000000"/>
          <w:sz w:val="21"/>
          <w:szCs w:val="21"/>
          <w:highlight w:val="none"/>
        </w:rPr>
      </w:pPr>
      <w:r>
        <w:rPr>
          <w:rFonts w:hint="eastAsia" w:ascii="宋体" w:hAnsi="宋体" w:eastAsia="宋体" w:cs="宋体"/>
          <w:b/>
          <w:bCs/>
          <w:color w:val="000000"/>
          <w:sz w:val="21"/>
          <w:szCs w:val="21"/>
          <w:highlight w:val="none"/>
        </w:rPr>
        <w:t>合同履约期限：</w:t>
      </w:r>
      <w:r>
        <w:rPr>
          <w:rFonts w:hint="eastAsia" w:ascii="宋体" w:hAnsi="宋体" w:eastAsia="宋体" w:cs="宋体"/>
          <w:bCs/>
          <w:color w:val="000000"/>
          <w:sz w:val="21"/>
          <w:szCs w:val="21"/>
          <w:highlight w:val="none"/>
        </w:rPr>
        <w:t>自合同签订起至赛事承办全部工作结束止。</w:t>
      </w:r>
    </w:p>
    <w:p>
      <w:pPr>
        <w:pStyle w:val="16"/>
        <w:keepNext w:val="0"/>
        <w:keepLines w:val="0"/>
        <w:pageBreakBefore w:val="0"/>
        <w:widowControl w:val="0"/>
        <w:kinsoku/>
        <w:wordWrap/>
        <w:overflowPunct/>
        <w:topLinePunct w:val="0"/>
        <w:autoSpaceDE/>
        <w:autoSpaceDN/>
        <w:bidi w:val="0"/>
        <w:adjustRightInd/>
        <w:spacing w:line="380" w:lineRule="exact"/>
        <w:ind w:firstLine="422" w:firstLineChars="200"/>
        <w:textAlignment w:val="auto"/>
        <w:rPr>
          <w:rFonts w:hint="eastAsia"/>
          <w:highlight w:val="none"/>
          <w:lang w:val="en-US" w:eastAsia="zh-CN"/>
        </w:rPr>
      </w:pPr>
      <w:r>
        <w:rPr>
          <w:rFonts w:hint="eastAsia" w:ascii="宋体" w:hAnsi="宋体" w:eastAsia="宋体" w:cs="宋体"/>
          <w:b/>
          <w:color w:val="000000"/>
          <w:sz w:val="21"/>
          <w:szCs w:val="21"/>
          <w:highlight w:val="none"/>
        </w:rPr>
        <w:t>本项目接受联合体投标：</w:t>
      </w:r>
      <w:r>
        <w:rPr>
          <w:rFonts w:hint="eastAsia" w:ascii="宋体" w:hAnsi="宋体" w:eastAsia="宋体" w:cs="宋体"/>
          <w:color w:val="000000"/>
          <w:kern w:val="0"/>
          <w:sz w:val="21"/>
          <w:szCs w:val="21"/>
          <w:highlight w:val="none"/>
        </w:rPr>
        <w:sym w:font="Wingdings" w:char="00A8"/>
      </w:r>
      <w:r>
        <w:rPr>
          <w:rFonts w:hint="eastAsia" w:ascii="宋体" w:hAnsi="宋体" w:eastAsia="宋体" w:cs="宋体"/>
          <w:b/>
          <w:color w:val="000000"/>
          <w:sz w:val="21"/>
          <w:szCs w:val="21"/>
          <w:highlight w:val="none"/>
        </w:rPr>
        <w:t>是，</w:t>
      </w:r>
      <w:r>
        <w:rPr>
          <w:rFonts w:hint="eastAsia" w:ascii="宋体" w:hAnsi="宋体" w:eastAsia="宋体" w:cs="宋体"/>
          <w:color w:val="000000"/>
          <w:kern w:val="0"/>
          <w:sz w:val="21"/>
          <w:szCs w:val="21"/>
          <w:highlight w:val="none"/>
        </w:rPr>
        <w:sym w:font="Wingdings" w:char="00FE"/>
      </w:r>
      <w:r>
        <w:rPr>
          <w:rFonts w:hint="eastAsia" w:ascii="宋体" w:hAnsi="宋体" w:eastAsia="宋体" w:cs="宋体"/>
          <w:b/>
          <w:color w:val="000000"/>
          <w:sz w:val="21"/>
          <w:szCs w:val="21"/>
          <w:highlight w:val="none"/>
        </w:rPr>
        <w:t>否</w:t>
      </w:r>
      <w:r>
        <w:rPr>
          <w:rFonts w:hint="eastAsia" w:ascii="宋体" w:hAnsi="宋体" w:eastAsia="宋体" w:cs="宋体"/>
          <w:color w:val="000000"/>
          <w:kern w:val="0"/>
          <w:sz w:val="21"/>
          <w:szCs w:val="21"/>
          <w:highlight w:val="none"/>
        </w:rPr>
        <w:t>。</w:t>
      </w:r>
    </w:p>
    <w:p>
      <w:pPr>
        <w:pStyle w:val="28"/>
        <w:keepNext w:val="0"/>
        <w:keepLines w:val="0"/>
        <w:pageBreakBefore w:val="0"/>
        <w:kinsoku/>
        <w:wordWrap/>
        <w:overflowPunct/>
        <w:topLinePunct w:val="0"/>
        <w:autoSpaceDE/>
        <w:autoSpaceDN/>
        <w:bidi w:val="0"/>
        <w:adjustRightInd/>
        <w:snapToGrid/>
        <w:spacing w:line="380" w:lineRule="exact"/>
        <w:ind w:firstLine="422"/>
        <w:textAlignment w:val="auto"/>
        <w:rPr>
          <w:rFonts w:ascii="Times New Roman" w:hAnsi="Times New Roman"/>
          <w:b/>
          <w:color w:val="auto"/>
          <w:highlight w:val="none"/>
        </w:rPr>
      </w:pPr>
      <w:r>
        <w:rPr>
          <w:rFonts w:hint="eastAsia" w:ascii="Times New Roman" w:hAnsi="Times New Roman"/>
          <w:b/>
          <w:color w:val="auto"/>
          <w:kern w:val="1"/>
          <w:highlight w:val="none"/>
          <w:lang w:val="en-US" w:eastAsia="zh-CN"/>
        </w:rPr>
        <w:t>二</w:t>
      </w:r>
      <w:r>
        <w:rPr>
          <w:rFonts w:hint="eastAsia" w:ascii="Times New Roman" w:hAnsi="Times New Roman"/>
          <w:b/>
          <w:color w:val="auto"/>
          <w:kern w:val="1"/>
          <w:highlight w:val="none"/>
        </w:rPr>
        <w:t>、</w:t>
      </w:r>
      <w:r>
        <w:rPr>
          <w:rFonts w:ascii="Times New Roman" w:hAnsi="Times New Roman"/>
          <w:b/>
          <w:color w:val="auto"/>
          <w:highlight w:val="none"/>
        </w:rPr>
        <w:t>供应商的资格要求：</w:t>
      </w:r>
    </w:p>
    <w:p>
      <w:pPr>
        <w:keepNext w:val="0"/>
        <w:keepLines w:val="0"/>
        <w:pageBreakBefore w:val="0"/>
        <w:kinsoku/>
        <w:wordWrap/>
        <w:overflowPunct/>
        <w:topLinePunct w:val="0"/>
        <w:autoSpaceDE/>
        <w:autoSpaceDN/>
        <w:bidi w:val="0"/>
        <w:adjustRightInd/>
        <w:snapToGrid/>
        <w:spacing w:line="380" w:lineRule="exact"/>
        <w:ind w:firstLine="420"/>
        <w:textAlignment w:val="auto"/>
        <w:rPr>
          <w:rFonts w:ascii="Times New Roman" w:hAnsi="Times New Roman"/>
          <w:color w:val="auto"/>
          <w:kern w:val="1"/>
          <w:highlight w:val="none"/>
        </w:rPr>
      </w:pPr>
      <w:r>
        <w:rPr>
          <w:rFonts w:ascii="Times New Roman" w:hAnsi="Times New Roman"/>
          <w:color w:val="auto"/>
          <w:kern w:val="1"/>
          <w:highlight w:val="none"/>
        </w:rPr>
        <w:t>①、</w:t>
      </w:r>
      <w:r>
        <w:rPr>
          <w:rFonts w:ascii="Times New Roman" w:hAnsi="Times New Roman"/>
          <w:color w:val="auto"/>
          <w:kern w:val="1"/>
          <w:highlight w:val="none"/>
        </w:rPr>
        <w:t>符合《中华人民共和国政府采购法》第二十二条要求</w:t>
      </w:r>
      <w:r>
        <w:rPr>
          <w:rFonts w:ascii="Times New Roman" w:hAnsi="Times New Roman"/>
          <w:color w:val="auto"/>
          <w:kern w:val="1"/>
          <w:highlight w:val="none"/>
        </w:rPr>
        <w:t xml:space="preserve">； </w:t>
      </w:r>
    </w:p>
    <w:p>
      <w:pPr>
        <w:keepNext w:val="0"/>
        <w:keepLines w:val="0"/>
        <w:pageBreakBefore w:val="0"/>
        <w:kinsoku/>
        <w:wordWrap/>
        <w:overflowPunct/>
        <w:topLinePunct w:val="0"/>
        <w:autoSpaceDE/>
        <w:autoSpaceDN/>
        <w:bidi w:val="0"/>
        <w:adjustRightInd/>
        <w:snapToGrid/>
        <w:spacing w:line="380" w:lineRule="exact"/>
        <w:ind w:firstLine="420"/>
        <w:textAlignment w:val="auto"/>
        <w:rPr>
          <w:rFonts w:hint="default" w:ascii="Times New Roman" w:hAnsi="Times New Roman" w:eastAsia="宋体"/>
          <w:color w:val="auto"/>
          <w:kern w:val="1"/>
          <w:highlight w:val="none"/>
          <w:lang w:val="en-US" w:eastAsia="zh-CN"/>
        </w:rPr>
      </w:pPr>
      <w:r>
        <w:rPr>
          <w:rFonts w:ascii="Times New Roman" w:hAnsi="Times New Roman"/>
          <w:color w:val="auto"/>
          <w:kern w:val="1"/>
          <w:highlight w:val="none"/>
        </w:rPr>
        <w:t>②、参加政府采购活动前三年内，在经营活动中没有重大违法记录。投标人无下列不良行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或被义乌市政府采购监管部门列入不良行为还在公告期内的或者处于暂停政府采购资格期的；或被“信用中国”（www.creditchina.gov.cn）、中国政府采购网（www.ccgp.gov.cn）列入失信被执行人、重大税收违法案件当事人名单、政府采购严重违法失信行为记录名单的</w:t>
      </w:r>
      <w:r>
        <w:rPr>
          <w:rFonts w:hint="eastAsia" w:ascii="Times New Roman" w:hAnsi="Times New Roman"/>
          <w:color w:val="auto"/>
          <w:kern w:val="1"/>
          <w:highlight w:val="none"/>
          <w:lang w:eastAsia="zh-CN"/>
        </w:rPr>
        <w:t>；</w:t>
      </w:r>
    </w:p>
    <w:p>
      <w:pPr>
        <w:keepNext w:val="0"/>
        <w:keepLines w:val="0"/>
        <w:pageBreakBefore w:val="0"/>
        <w:kinsoku/>
        <w:wordWrap/>
        <w:overflowPunct/>
        <w:topLinePunct w:val="0"/>
        <w:autoSpaceDE/>
        <w:autoSpaceDN/>
        <w:bidi w:val="0"/>
        <w:spacing w:line="380" w:lineRule="exact"/>
        <w:ind w:firstLine="420"/>
        <w:textAlignment w:val="auto"/>
        <w:rPr>
          <w:rFonts w:hint="eastAsia" w:ascii="Times New Roman" w:hAnsi="Times New Roman" w:eastAsia="宋体"/>
          <w:color w:val="auto"/>
          <w:kern w:val="1"/>
          <w:highlight w:val="none"/>
          <w:lang w:eastAsia="zh-CN"/>
        </w:rPr>
      </w:pPr>
      <w:r>
        <w:rPr>
          <w:rFonts w:ascii="Times New Roman" w:hAnsi="Times New Roman"/>
          <w:color w:val="auto"/>
          <w:kern w:val="1"/>
          <w:highlight w:val="none"/>
        </w:rPr>
        <w:t>③、根据《关于在全市公共资源交易活动中应用信用报告的通知》（义行服管[2017]17号）规定，</w:t>
      </w:r>
      <w:r>
        <w:rPr>
          <w:rFonts w:hint="eastAsia" w:ascii="Times New Roman" w:hAnsi="Times New Roman"/>
          <w:color w:val="auto"/>
          <w:kern w:val="1"/>
          <w:highlight w:val="none"/>
        </w:rPr>
        <w:t>综合信用报告评级</w:t>
      </w:r>
      <w:r>
        <w:rPr>
          <w:rFonts w:ascii="Times New Roman" w:hAnsi="Times New Roman"/>
          <w:color w:val="auto"/>
          <w:kern w:val="1"/>
          <w:highlight w:val="none"/>
        </w:rPr>
        <w:t>为D、E类的投标人，不得参与本项目投标（无信用评价供应商不受此项条件限制），查询结果以投标截止时间为准；</w:t>
      </w:r>
    </w:p>
    <w:p>
      <w:pPr>
        <w:keepNext w:val="0"/>
        <w:keepLines w:val="0"/>
        <w:pageBreakBefore w:val="0"/>
        <w:kinsoku/>
        <w:wordWrap/>
        <w:overflowPunct/>
        <w:topLinePunct w:val="0"/>
        <w:autoSpaceDE/>
        <w:autoSpaceDN/>
        <w:bidi w:val="0"/>
        <w:spacing w:line="380" w:lineRule="exact"/>
        <w:ind w:firstLine="420"/>
        <w:textAlignment w:val="auto"/>
        <w:rPr>
          <w:rFonts w:ascii="Times New Roman" w:hAnsi="Times New Roman"/>
          <w:color w:val="auto"/>
          <w:kern w:val="1"/>
          <w:highlight w:val="none"/>
        </w:rPr>
      </w:pPr>
      <w:r>
        <w:rPr>
          <w:rFonts w:ascii="Times New Roman" w:hAnsi="Times New Roman"/>
          <w:color w:val="auto"/>
          <w:kern w:val="1"/>
          <w:highlight w:val="none"/>
        </w:rPr>
        <w:t>④、投标人自</w:t>
      </w:r>
      <w:r>
        <w:rPr>
          <w:rFonts w:hint="eastAsia" w:ascii="Times New Roman" w:hAnsi="Times New Roman"/>
          <w:color w:val="auto"/>
          <w:kern w:val="1"/>
          <w:highlight w:val="none"/>
          <w:lang w:eastAsia="zh-CN"/>
        </w:rPr>
        <w:t>2019年1月1日</w:t>
      </w:r>
      <w:r>
        <w:rPr>
          <w:rFonts w:ascii="Times New Roman" w:hAnsi="Times New Roman"/>
          <w:color w:val="auto"/>
          <w:kern w:val="1"/>
          <w:highlight w:val="none"/>
        </w:rPr>
        <w:t>起到中标公告期结束前无行贿犯罪记录（</w:t>
      </w:r>
      <w:r>
        <w:rPr>
          <w:rFonts w:hint="eastAsia" w:ascii="Times New Roman" w:hAnsi="Times New Roman"/>
          <w:color w:val="auto"/>
          <w:kern w:val="1"/>
          <w:highlight w:val="none"/>
        </w:rPr>
        <w:t>评标结束后，发放中标通知书前由采购人通过中国裁判文书网（http://wenshu.court.gov.cn/）按照招标文件约定对拟中标单位的行贿犯罪记录进行查询，查询结果以网站页面显示内容为准</w:t>
      </w:r>
      <w:r>
        <w:rPr>
          <w:rFonts w:ascii="Times New Roman" w:hAnsi="Times New Roman"/>
          <w:color w:val="auto"/>
          <w:kern w:val="1"/>
          <w:highlight w:val="none"/>
        </w:rPr>
        <w:t>）；</w:t>
      </w:r>
    </w:p>
    <w:p>
      <w:pPr>
        <w:keepNext w:val="0"/>
        <w:keepLines w:val="0"/>
        <w:pageBreakBefore w:val="0"/>
        <w:kinsoku/>
        <w:wordWrap/>
        <w:overflowPunct/>
        <w:topLinePunct w:val="0"/>
        <w:autoSpaceDE/>
        <w:autoSpaceDN/>
        <w:bidi w:val="0"/>
        <w:spacing w:line="380" w:lineRule="exact"/>
        <w:ind w:firstLine="420"/>
        <w:textAlignment w:val="auto"/>
        <w:rPr>
          <w:rFonts w:hint="eastAsia" w:ascii="Times New Roman" w:hAnsi="Times New Roman"/>
          <w:color w:val="auto"/>
          <w:kern w:val="1"/>
          <w:highlight w:val="none"/>
          <w:lang w:eastAsia="zh-CN"/>
        </w:rPr>
      </w:pPr>
      <w:r>
        <w:rPr>
          <w:rFonts w:ascii="Times New Roman" w:hAnsi="Times New Roman"/>
          <w:color w:val="auto"/>
          <w:kern w:val="1"/>
          <w:highlight w:val="none"/>
        </w:rPr>
        <w:t>⑤、</w:t>
      </w:r>
      <w:r>
        <w:rPr>
          <w:rFonts w:hint="eastAsia" w:ascii="Times New Roman" w:hAnsi="Times New Roman"/>
          <w:color w:val="auto"/>
          <w:kern w:val="1"/>
          <w:highlight w:val="none"/>
        </w:rPr>
        <w:t>公益一类事业单位不属于政府购买服务的承接主体，不得参与承接购买服务采购项目</w:t>
      </w:r>
      <w:r>
        <w:rPr>
          <w:rFonts w:hint="eastAsia" w:ascii="Times New Roman" w:hAnsi="Times New Roman"/>
          <w:color w:val="auto"/>
          <w:kern w:val="1"/>
          <w:highlight w:val="none"/>
          <w:lang w:eastAsia="zh-CN"/>
        </w:rPr>
        <w:t>；</w:t>
      </w:r>
    </w:p>
    <w:p>
      <w:pPr>
        <w:keepNext w:val="0"/>
        <w:keepLines w:val="0"/>
        <w:pageBreakBefore w:val="0"/>
        <w:kinsoku/>
        <w:wordWrap/>
        <w:overflowPunct/>
        <w:topLinePunct w:val="0"/>
        <w:autoSpaceDE/>
        <w:autoSpaceDN/>
        <w:bidi w:val="0"/>
        <w:snapToGrid w:val="0"/>
        <w:spacing w:line="380" w:lineRule="exact"/>
        <w:ind w:firstLine="422" w:firstLineChars="200"/>
        <w:textAlignment w:val="auto"/>
        <w:rPr>
          <w:rFonts w:hint="eastAsia" w:ascii="Times New Roman" w:hAnsi="Times New Roman"/>
          <w:b/>
          <w:color w:val="auto"/>
          <w:szCs w:val="21"/>
          <w:highlight w:val="none"/>
        </w:rPr>
      </w:pPr>
      <w:r>
        <w:rPr>
          <w:rFonts w:hint="eastAsia" w:ascii="Times New Roman" w:hAnsi="Times New Roman"/>
          <w:b/>
          <w:color w:val="auto"/>
          <w:szCs w:val="21"/>
          <w:highlight w:val="none"/>
        </w:rPr>
        <w:t>三、招标文件获取时间和方式：</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hint="eastAsia" w:ascii="Times New Roman" w:hAnsi="Times New Roman"/>
          <w:b w:val="0"/>
          <w:bCs/>
          <w:color w:val="auto"/>
          <w:szCs w:val="21"/>
          <w:highlight w:val="none"/>
        </w:rPr>
      </w:pPr>
      <w:r>
        <w:rPr>
          <w:rFonts w:hint="eastAsia" w:ascii="Times New Roman" w:hAnsi="Times New Roman"/>
          <w:b w:val="0"/>
          <w:bCs/>
          <w:color w:val="auto"/>
          <w:szCs w:val="21"/>
          <w:highlight w:val="none"/>
        </w:rPr>
        <w:t>（1）时间：/至</w:t>
      </w:r>
      <w:r>
        <w:rPr>
          <w:rFonts w:hint="eastAsia" w:ascii="Times New Roman" w:hAnsi="Times New Roman"/>
          <w:b w:val="0"/>
          <w:bCs/>
          <w:color w:val="auto"/>
          <w:szCs w:val="21"/>
          <w:highlight w:val="none"/>
        </w:rPr>
        <w:t>：</w:t>
      </w:r>
      <w:r>
        <w:rPr>
          <w:rFonts w:hint="eastAsia" w:ascii="Times New Roman" w:hAnsi="Times New Roman"/>
          <w:b w:val="0"/>
          <w:bCs/>
          <w:color w:val="auto"/>
          <w:szCs w:val="21"/>
          <w:highlight w:val="none"/>
          <w:lang w:eastAsia="zh-CN"/>
        </w:rPr>
        <w:t>2022年06月02日</w:t>
      </w:r>
      <w:r>
        <w:rPr>
          <w:rFonts w:hint="eastAsia" w:ascii="Times New Roman" w:hAnsi="Times New Roman"/>
          <w:b w:val="0"/>
          <w:bCs/>
          <w:color w:val="auto"/>
          <w:szCs w:val="21"/>
          <w:highlight w:val="none"/>
        </w:rPr>
        <w:t xml:space="preserve"> ，每天上午00:00至12:00 ，</w:t>
      </w:r>
      <w:r>
        <w:rPr>
          <w:rFonts w:hint="eastAsia" w:ascii="Times New Roman" w:hAnsi="Times New Roman"/>
          <w:b w:val="0"/>
          <w:bCs/>
          <w:color w:val="auto"/>
          <w:szCs w:val="21"/>
          <w:highlight w:val="none"/>
          <w:lang w:val="en-US" w:eastAsia="zh-CN"/>
        </w:rPr>
        <w:t>下</w:t>
      </w:r>
      <w:r>
        <w:rPr>
          <w:rFonts w:hint="eastAsia" w:ascii="Times New Roman" w:hAnsi="Times New Roman"/>
          <w:b w:val="0"/>
          <w:bCs/>
          <w:color w:val="auto"/>
          <w:szCs w:val="21"/>
          <w:highlight w:val="none"/>
          <w:lang w:eastAsia="zh-CN"/>
        </w:rPr>
        <w:t>午</w:t>
      </w:r>
      <w:r>
        <w:rPr>
          <w:rFonts w:hint="eastAsia" w:ascii="Times New Roman" w:hAnsi="Times New Roman"/>
          <w:b w:val="0"/>
          <w:bCs/>
          <w:color w:val="auto"/>
          <w:szCs w:val="21"/>
          <w:highlight w:val="none"/>
        </w:rPr>
        <w:t>12:00至23:59（北京时间，线上获取法定节假日均可，线下获取文件法定节假日除外）</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hint="eastAsia" w:ascii="Times New Roman" w:hAnsi="Times New Roman"/>
          <w:b w:val="0"/>
          <w:bCs/>
          <w:color w:val="auto"/>
          <w:szCs w:val="21"/>
          <w:highlight w:val="none"/>
        </w:rPr>
      </w:pPr>
      <w:r>
        <w:rPr>
          <w:rFonts w:hint="eastAsia" w:ascii="Times New Roman" w:hAnsi="Times New Roman"/>
          <w:b w:val="0"/>
          <w:bCs/>
          <w:color w:val="auto"/>
          <w:szCs w:val="21"/>
          <w:highlight w:val="none"/>
        </w:rPr>
        <w:t>（2）地点（网址）：浙江政府采购网（http://zfcg.czt.zj.gov.cn/）</w:t>
      </w:r>
    </w:p>
    <w:p>
      <w:pPr>
        <w:keepNext w:val="0"/>
        <w:keepLines w:val="0"/>
        <w:pageBreakBefore w:val="0"/>
        <w:widowControl w:val="0"/>
        <w:kinsoku/>
        <w:wordWrap/>
        <w:overflowPunct/>
        <w:topLinePunct w:val="0"/>
        <w:autoSpaceDE/>
        <w:autoSpaceDN/>
        <w:bidi w:val="0"/>
        <w:adjustRightInd/>
        <w:snapToGrid w:val="0"/>
        <w:spacing w:line="380" w:lineRule="exact"/>
        <w:ind w:firstLine="420" w:firstLineChars="200"/>
        <w:textAlignment w:val="auto"/>
        <w:rPr>
          <w:rFonts w:hint="eastAsia" w:ascii="Times New Roman" w:hAnsi="Times New Roman"/>
          <w:b w:val="0"/>
          <w:bCs/>
          <w:color w:val="auto"/>
          <w:szCs w:val="21"/>
          <w:highlight w:val="none"/>
        </w:rPr>
      </w:pPr>
      <w:r>
        <w:rPr>
          <w:rFonts w:hint="eastAsia" w:ascii="Times New Roman" w:hAnsi="Times New Roman"/>
          <w:b w:val="0"/>
          <w:bCs/>
          <w:color w:val="auto"/>
          <w:szCs w:val="21"/>
          <w:highlight w:val="none"/>
        </w:rPr>
        <w:t>（3）方式：供应商登录政采云平台https://www.zcygov.cn/在线申请获取采购文件（进入“项目采购”应用，在获取采购文件菜单中选择项目，申请获取采购文件）</w:t>
      </w:r>
    </w:p>
    <w:p>
      <w:pPr>
        <w:pStyle w:val="24"/>
        <w:keepNext w:val="0"/>
        <w:keepLines w:val="0"/>
        <w:pageBreakBefore w:val="0"/>
        <w:widowControl w:val="0"/>
        <w:kinsoku/>
        <w:wordWrap/>
        <w:overflowPunct/>
        <w:topLinePunct w:val="0"/>
        <w:autoSpaceDE/>
        <w:autoSpaceDN/>
        <w:bidi w:val="0"/>
        <w:adjustRightInd/>
        <w:spacing w:line="380" w:lineRule="exact"/>
        <w:textAlignment w:val="auto"/>
        <w:rPr>
          <w:rFonts w:hint="eastAsia"/>
          <w:highlight w:val="none"/>
        </w:rPr>
      </w:pPr>
      <w:r>
        <w:rPr>
          <w:rFonts w:hint="eastAsia" w:ascii="Times New Roman" w:hAnsi="Times New Roman"/>
          <w:b w:val="0"/>
          <w:bCs/>
          <w:color w:val="auto"/>
          <w:szCs w:val="21"/>
          <w:highlight w:val="none"/>
        </w:rPr>
        <w:t>（</w:t>
      </w:r>
      <w:r>
        <w:rPr>
          <w:rFonts w:hint="eastAsia" w:ascii="Times New Roman" w:hAnsi="Times New Roman"/>
          <w:b w:val="0"/>
          <w:bCs/>
          <w:color w:val="auto"/>
          <w:szCs w:val="21"/>
          <w:highlight w:val="none"/>
          <w:lang w:val="en-US" w:eastAsia="zh-CN"/>
        </w:rPr>
        <w:t>4</w:t>
      </w:r>
      <w:r>
        <w:rPr>
          <w:rFonts w:hint="eastAsia" w:ascii="Times New Roman" w:hAnsi="Times New Roman"/>
          <w:b w:val="0"/>
          <w:bCs/>
          <w:color w:val="auto"/>
          <w:szCs w:val="21"/>
          <w:highlight w:val="none"/>
        </w:rPr>
        <w:t>）售价（元）：0</w:t>
      </w:r>
    </w:p>
    <w:p>
      <w:pPr>
        <w:keepNext w:val="0"/>
        <w:keepLines w:val="0"/>
        <w:pageBreakBefore w:val="0"/>
        <w:kinsoku/>
        <w:wordWrap/>
        <w:overflowPunct/>
        <w:topLinePunct w:val="0"/>
        <w:autoSpaceDE/>
        <w:autoSpaceDN/>
        <w:bidi w:val="0"/>
        <w:snapToGrid w:val="0"/>
        <w:spacing w:line="380" w:lineRule="exact"/>
        <w:ind w:firstLine="422" w:firstLineChars="200"/>
        <w:textAlignment w:val="auto"/>
        <w:rPr>
          <w:rFonts w:hint="eastAsia" w:ascii="Times New Roman" w:hAnsi="Times New Roman"/>
          <w:b/>
          <w:color w:val="auto"/>
          <w:szCs w:val="21"/>
          <w:highlight w:val="none"/>
        </w:rPr>
      </w:pPr>
      <w:r>
        <w:rPr>
          <w:rFonts w:hint="eastAsia" w:ascii="Times New Roman" w:hAnsi="Times New Roman"/>
          <w:b/>
          <w:color w:val="auto"/>
          <w:szCs w:val="21"/>
          <w:highlight w:val="none"/>
        </w:rPr>
        <w:t>四、投标截止时间及地点：</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Times New Roman" w:hAnsi="Times New Roman"/>
          <w:b w:val="0"/>
          <w:bCs/>
          <w:color w:val="auto"/>
          <w:szCs w:val="21"/>
          <w:highlight w:val="none"/>
        </w:rPr>
      </w:pPr>
      <w:r>
        <w:rPr>
          <w:rFonts w:hint="eastAsia" w:ascii="Times New Roman" w:hAnsi="Times New Roman"/>
          <w:b w:val="0"/>
          <w:bCs/>
          <w:color w:val="auto"/>
          <w:szCs w:val="21"/>
          <w:highlight w:val="none"/>
        </w:rPr>
        <w:t>1.提交投标文件截止时间：</w:t>
      </w:r>
      <w:r>
        <w:rPr>
          <w:rFonts w:hint="eastAsia" w:ascii="Times New Roman" w:hAnsi="Times New Roman"/>
          <w:b w:val="0"/>
          <w:bCs/>
          <w:color w:val="auto"/>
          <w:szCs w:val="21"/>
          <w:highlight w:val="none"/>
          <w:lang w:eastAsia="zh-CN"/>
        </w:rPr>
        <w:t>2022年06月02日</w:t>
      </w:r>
      <w:r>
        <w:rPr>
          <w:rFonts w:hint="eastAsia" w:ascii="Times New Roman" w:hAnsi="Times New Roman"/>
          <w:b w:val="0"/>
          <w:bCs/>
          <w:color w:val="auto"/>
          <w:szCs w:val="21"/>
          <w:highlight w:val="none"/>
          <w:lang w:eastAsia="zh-CN"/>
        </w:rPr>
        <w:t>上午</w:t>
      </w:r>
      <w:r>
        <w:rPr>
          <w:rFonts w:hint="eastAsia" w:ascii="Times New Roman" w:hAnsi="Times New Roman"/>
          <w:b w:val="0"/>
          <w:bCs/>
          <w:color w:val="auto"/>
          <w:szCs w:val="21"/>
          <w:highlight w:val="none"/>
          <w:lang w:val="en-US" w:eastAsia="zh-CN"/>
        </w:rPr>
        <w:t>14:00</w:t>
      </w:r>
      <w:r>
        <w:rPr>
          <w:rFonts w:hint="eastAsia" w:ascii="Times New Roman" w:hAnsi="Times New Roman"/>
          <w:b w:val="0"/>
          <w:bCs/>
          <w:color w:val="auto"/>
          <w:szCs w:val="21"/>
          <w:highlight w:val="none"/>
        </w:rPr>
        <w:t>（北京时间）</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Times New Roman" w:hAnsi="Times New Roman"/>
          <w:b w:val="0"/>
          <w:bCs/>
          <w:color w:val="auto"/>
          <w:szCs w:val="21"/>
          <w:highlight w:val="none"/>
        </w:rPr>
      </w:pPr>
      <w:r>
        <w:rPr>
          <w:rFonts w:hint="eastAsia" w:ascii="Times New Roman" w:hAnsi="Times New Roman"/>
          <w:b w:val="0"/>
          <w:bCs/>
          <w:color w:val="auto"/>
          <w:szCs w:val="21"/>
          <w:highlight w:val="none"/>
        </w:rPr>
        <w:t>2.投标地点（网址）：</w:t>
      </w:r>
      <w:r>
        <w:rPr>
          <w:rFonts w:hint="eastAsia" w:ascii="Times New Roman" w:hAnsi="Times New Roman"/>
          <w:b w:val="0"/>
          <w:bCs/>
          <w:color w:val="auto"/>
          <w:szCs w:val="21"/>
          <w:highlight w:val="none"/>
          <w:lang w:eastAsia="zh-CN"/>
        </w:rPr>
        <w:t>政府采购云平台（简称“政采云”平台，下同，https://www.zcygov.cn/）</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Times New Roman" w:hAnsi="Times New Roman"/>
          <w:b w:val="0"/>
          <w:bCs/>
          <w:color w:val="auto"/>
          <w:szCs w:val="21"/>
          <w:highlight w:val="none"/>
        </w:rPr>
      </w:pPr>
      <w:r>
        <w:rPr>
          <w:rFonts w:hint="eastAsia" w:ascii="Times New Roman" w:hAnsi="Times New Roman"/>
          <w:b w:val="0"/>
          <w:bCs/>
          <w:color w:val="auto"/>
          <w:szCs w:val="21"/>
          <w:highlight w:val="none"/>
        </w:rPr>
        <w:t>3.开标时间：</w:t>
      </w:r>
      <w:r>
        <w:rPr>
          <w:rFonts w:hint="eastAsia" w:ascii="Times New Roman" w:hAnsi="Times New Roman"/>
          <w:b w:val="0"/>
          <w:bCs/>
          <w:color w:val="auto"/>
          <w:szCs w:val="21"/>
          <w:highlight w:val="none"/>
          <w:lang w:eastAsia="zh-CN"/>
        </w:rPr>
        <w:t>2022年06月02日</w:t>
      </w:r>
      <w:r>
        <w:rPr>
          <w:rFonts w:hint="eastAsia" w:ascii="Times New Roman" w:hAnsi="Times New Roman"/>
          <w:b w:val="0"/>
          <w:bCs/>
          <w:color w:val="auto"/>
          <w:szCs w:val="21"/>
          <w:highlight w:val="none"/>
          <w:lang w:eastAsia="zh-CN"/>
        </w:rPr>
        <w:t>上午</w:t>
      </w:r>
      <w:r>
        <w:rPr>
          <w:rFonts w:hint="eastAsia" w:ascii="Times New Roman" w:hAnsi="Times New Roman"/>
          <w:b w:val="0"/>
          <w:bCs/>
          <w:color w:val="auto"/>
          <w:szCs w:val="21"/>
          <w:highlight w:val="none"/>
          <w:lang w:val="en-US" w:eastAsia="zh-CN"/>
        </w:rPr>
        <w:t>14:00</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Times New Roman" w:hAnsi="Times New Roman"/>
          <w:b w:val="0"/>
          <w:bCs/>
          <w:color w:val="auto"/>
          <w:szCs w:val="21"/>
          <w:highlight w:val="none"/>
        </w:rPr>
      </w:pPr>
      <w:r>
        <w:rPr>
          <w:rFonts w:hint="eastAsia" w:ascii="Times New Roman" w:hAnsi="Times New Roman"/>
          <w:b w:val="0"/>
          <w:bCs/>
          <w:color w:val="auto"/>
          <w:szCs w:val="21"/>
          <w:highlight w:val="none"/>
        </w:rPr>
        <w:t>4.开标地点：义乌市望道路300号行政服务中心四楼电子开标室</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Times New Roman" w:hAnsi="Times New Roman"/>
          <w:b w:val="0"/>
          <w:bCs/>
          <w:color w:val="auto"/>
          <w:szCs w:val="21"/>
          <w:highlight w:val="none"/>
        </w:rPr>
      </w:pPr>
      <w:r>
        <w:rPr>
          <w:rFonts w:hint="eastAsia" w:ascii="Times New Roman" w:hAnsi="Times New Roman"/>
          <w:b w:val="0"/>
          <w:bCs/>
          <w:color w:val="auto"/>
          <w:szCs w:val="21"/>
          <w:highlight w:val="none"/>
        </w:rPr>
        <w:t>5.开标时间后1小时内（</w:t>
      </w:r>
      <w:r>
        <w:rPr>
          <w:rFonts w:hint="eastAsia" w:ascii="Times New Roman" w:hAnsi="Times New Roman"/>
          <w:b w:val="0"/>
          <w:bCs/>
          <w:color w:val="auto"/>
          <w:szCs w:val="21"/>
          <w:highlight w:val="none"/>
          <w:lang w:eastAsia="zh-CN"/>
        </w:rPr>
        <w:t>2022年06月02日</w:t>
      </w:r>
      <w:r>
        <w:rPr>
          <w:rFonts w:hint="eastAsia" w:ascii="Times New Roman" w:hAnsi="Times New Roman"/>
          <w:b w:val="0"/>
          <w:bCs/>
          <w:color w:val="auto"/>
          <w:szCs w:val="21"/>
          <w:highlight w:val="none"/>
          <w:lang w:eastAsia="zh-CN"/>
        </w:rPr>
        <w:t>上午</w:t>
      </w:r>
      <w:r>
        <w:rPr>
          <w:rFonts w:hint="eastAsia" w:ascii="Times New Roman" w:hAnsi="Times New Roman"/>
          <w:b w:val="0"/>
          <w:bCs/>
          <w:color w:val="auto"/>
          <w:szCs w:val="21"/>
          <w:highlight w:val="none"/>
          <w:lang w:val="en-US" w:eastAsia="zh-CN"/>
        </w:rPr>
        <w:t>15:00</w:t>
      </w:r>
      <w:r>
        <w:rPr>
          <w:rFonts w:hint="eastAsia" w:ascii="Times New Roman" w:hAnsi="Times New Roman"/>
          <w:b w:val="0"/>
          <w:bCs/>
          <w:color w:val="auto"/>
          <w:szCs w:val="21"/>
          <w:highlight w:val="none"/>
        </w:rPr>
        <w:t>前）供应商可以登录“政采云”平台，用“项目采购-开标评标”功能进行解密投标文件。</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Times New Roman" w:hAnsi="Times New Roman"/>
          <w:b w:val="0"/>
          <w:bCs/>
          <w:color w:val="auto"/>
          <w:szCs w:val="21"/>
          <w:highlight w:val="none"/>
        </w:rPr>
      </w:pPr>
      <w:r>
        <w:rPr>
          <w:rFonts w:hint="eastAsia" w:ascii="Times New Roman" w:hAnsi="Times New Roman"/>
          <w:b w:val="0"/>
          <w:bCs/>
          <w:color w:val="auto"/>
          <w:szCs w:val="21"/>
          <w:highlight w:val="none"/>
        </w:rPr>
        <w:t>备注：为确保采购项目顺利实施，避免因政采云上电子投标文件解密失败导致投标方投标无效，投标方可在</w:t>
      </w:r>
      <w:r>
        <w:rPr>
          <w:rFonts w:hint="eastAsia" w:ascii="Times New Roman" w:hAnsi="Times New Roman"/>
          <w:b w:val="0"/>
          <w:bCs/>
          <w:color w:val="auto"/>
          <w:szCs w:val="21"/>
          <w:highlight w:val="none"/>
          <w:lang w:eastAsia="zh-CN"/>
        </w:rPr>
        <w:t>2022年06月02日上午</w:t>
      </w:r>
      <w:r>
        <w:rPr>
          <w:rFonts w:hint="eastAsia" w:ascii="Times New Roman" w:hAnsi="Times New Roman"/>
          <w:b w:val="0"/>
          <w:bCs/>
          <w:color w:val="auto"/>
          <w:szCs w:val="21"/>
          <w:highlight w:val="none"/>
          <w:lang w:val="en-US" w:eastAsia="zh-CN"/>
        </w:rPr>
        <w:t>14:00</w:t>
      </w:r>
      <w:r>
        <w:rPr>
          <w:rFonts w:hint="eastAsia" w:ascii="Times New Roman" w:hAnsi="Times New Roman"/>
          <w:b w:val="0"/>
          <w:bCs/>
          <w:color w:val="auto"/>
          <w:szCs w:val="21"/>
          <w:highlight w:val="none"/>
        </w:rPr>
        <w:t>前将在政采云平台上最后生成的具备电子签章的备份加密投标文件（文件名后缀为备份文件四字的首字母）以电子邮件方式传送至</w:t>
      </w:r>
      <w:r>
        <w:rPr>
          <w:rFonts w:ascii="Times New Roman" w:hAnsi="Times New Roman"/>
          <w:color w:val="auto"/>
          <w:szCs w:val="21"/>
          <w:highlight w:val="none"/>
          <w:u w:val="none"/>
        </w:rPr>
        <w:t>浙江省成套招标代理有限公司指定邮箱（</w:t>
      </w:r>
      <w:r>
        <w:rPr>
          <w:rFonts w:hint="eastAsia" w:ascii="Times New Roman" w:hAnsi="Times New Roman"/>
          <w:color w:val="auto"/>
          <w:szCs w:val="21"/>
          <w:highlight w:val="none"/>
          <w:u w:val="none"/>
          <w:lang w:eastAsia="zh-CN"/>
        </w:rPr>
        <w:t>626736@qq.com</w:t>
      </w:r>
      <w:r>
        <w:rPr>
          <w:rFonts w:ascii="Times New Roman" w:hAnsi="Times New Roman"/>
          <w:color w:val="auto"/>
          <w:szCs w:val="21"/>
          <w:highlight w:val="none"/>
          <w:u w:val="none"/>
        </w:rPr>
        <w:t>）</w:t>
      </w:r>
      <w:r>
        <w:rPr>
          <w:rFonts w:hint="eastAsia" w:ascii="Times New Roman" w:hAnsi="Times New Roman"/>
          <w:b w:val="0"/>
          <w:bCs/>
          <w:color w:val="auto"/>
          <w:szCs w:val="21"/>
          <w:highlight w:val="none"/>
        </w:rPr>
        <w:t>，传送的备份电子投标文件需打包压缩并加密，加密密码由投标方自行保管，如政采云上电子投标文件出现解密失败情况（开标当日</w:t>
      </w:r>
      <w:r>
        <w:rPr>
          <w:rFonts w:hint="eastAsia" w:ascii="Times New Roman" w:hAnsi="Times New Roman"/>
          <w:b w:val="0"/>
          <w:bCs/>
          <w:color w:val="auto"/>
          <w:szCs w:val="21"/>
          <w:highlight w:val="none"/>
          <w:lang w:val="en-US" w:eastAsia="zh-CN"/>
        </w:rPr>
        <w:t>14:00</w:t>
      </w:r>
      <w:r>
        <w:rPr>
          <w:rFonts w:hint="eastAsia" w:ascii="Times New Roman" w:hAnsi="Times New Roman"/>
          <w:b w:val="0"/>
          <w:bCs/>
          <w:color w:val="auto"/>
          <w:szCs w:val="21"/>
          <w:highlight w:val="none"/>
        </w:rPr>
        <w:t>-</w:t>
      </w:r>
      <w:r>
        <w:rPr>
          <w:rFonts w:hint="eastAsia" w:ascii="Times New Roman" w:hAnsi="Times New Roman"/>
          <w:b w:val="0"/>
          <w:bCs/>
          <w:color w:val="auto"/>
          <w:szCs w:val="21"/>
          <w:highlight w:val="none"/>
          <w:lang w:val="en-US" w:eastAsia="zh-CN"/>
        </w:rPr>
        <w:t>15:00</w:t>
      </w:r>
      <w:r>
        <w:rPr>
          <w:rFonts w:hint="eastAsia" w:ascii="Times New Roman" w:hAnsi="Times New Roman"/>
          <w:b w:val="0"/>
          <w:bCs/>
          <w:color w:val="auto"/>
          <w:szCs w:val="21"/>
          <w:highlight w:val="none"/>
        </w:rPr>
        <w:t>期间进行解密），投标方可按照自身意愿确认是否同意提供加密密码解密传送至</w:t>
      </w:r>
      <w:r>
        <w:rPr>
          <w:rFonts w:ascii="Times New Roman" w:hAnsi="Times New Roman"/>
          <w:color w:val="auto"/>
          <w:szCs w:val="21"/>
          <w:highlight w:val="none"/>
          <w:u w:val="none"/>
        </w:rPr>
        <w:t>浙江省成套招标代理有限公司指定邮箱（</w:t>
      </w:r>
      <w:r>
        <w:rPr>
          <w:rFonts w:hint="eastAsia" w:ascii="Times New Roman" w:hAnsi="Times New Roman"/>
          <w:color w:val="auto"/>
          <w:szCs w:val="21"/>
          <w:highlight w:val="none"/>
          <w:u w:val="none"/>
          <w:lang w:eastAsia="zh-CN"/>
        </w:rPr>
        <w:t>626736@qq.com</w:t>
      </w:r>
      <w:r>
        <w:rPr>
          <w:rFonts w:ascii="Times New Roman" w:hAnsi="Times New Roman"/>
          <w:color w:val="auto"/>
          <w:szCs w:val="21"/>
          <w:highlight w:val="none"/>
          <w:u w:val="none"/>
        </w:rPr>
        <w:t>）</w:t>
      </w:r>
      <w:r>
        <w:rPr>
          <w:rFonts w:hint="eastAsia" w:ascii="Times New Roman" w:hAnsi="Times New Roman"/>
          <w:b w:val="0"/>
          <w:bCs/>
          <w:color w:val="auto"/>
          <w:szCs w:val="21"/>
          <w:highlight w:val="none"/>
        </w:rPr>
        <w:t>的备份文件，并以备份文件作为替代电子投标文件，如投标方未按照规定时间（</w:t>
      </w:r>
      <w:r>
        <w:rPr>
          <w:rFonts w:hint="eastAsia" w:ascii="Times New Roman" w:hAnsi="Times New Roman"/>
          <w:b w:val="0"/>
          <w:bCs/>
          <w:color w:val="auto"/>
          <w:szCs w:val="21"/>
          <w:highlight w:val="none"/>
          <w:lang w:eastAsia="zh-CN"/>
        </w:rPr>
        <w:t>2022年06月02日上午</w:t>
      </w:r>
      <w:r>
        <w:rPr>
          <w:rFonts w:hint="eastAsia" w:ascii="Times New Roman" w:hAnsi="Times New Roman"/>
          <w:b w:val="0"/>
          <w:bCs/>
          <w:color w:val="auto"/>
          <w:szCs w:val="21"/>
          <w:highlight w:val="none"/>
          <w:lang w:val="en-US" w:eastAsia="zh-CN"/>
        </w:rPr>
        <w:t>14:00</w:t>
      </w:r>
      <w:r>
        <w:rPr>
          <w:rFonts w:hint="eastAsia" w:ascii="Times New Roman" w:hAnsi="Times New Roman"/>
          <w:b w:val="0"/>
          <w:bCs/>
          <w:color w:val="auto"/>
          <w:szCs w:val="21"/>
          <w:highlight w:val="none"/>
        </w:rPr>
        <w:t>前）及要求提供有效备份文件，同时政采云上投标文件解密失败的，将导致投标无效。</w:t>
      </w:r>
    </w:p>
    <w:p>
      <w:pPr>
        <w:keepNext w:val="0"/>
        <w:keepLines w:val="0"/>
        <w:pageBreakBefore w:val="0"/>
        <w:kinsoku/>
        <w:wordWrap/>
        <w:overflowPunct/>
        <w:topLinePunct w:val="0"/>
        <w:autoSpaceDE/>
        <w:autoSpaceDN/>
        <w:bidi w:val="0"/>
        <w:snapToGrid w:val="0"/>
        <w:spacing w:line="380" w:lineRule="exact"/>
        <w:ind w:firstLine="420" w:firstLineChars="200"/>
        <w:textAlignment w:val="auto"/>
        <w:rPr>
          <w:rFonts w:hint="eastAsia" w:ascii="Times New Roman" w:hAnsi="Times New Roman"/>
          <w:b w:val="0"/>
          <w:bCs/>
          <w:color w:val="auto"/>
          <w:szCs w:val="21"/>
          <w:highlight w:val="none"/>
        </w:rPr>
      </w:pPr>
      <w:r>
        <w:rPr>
          <w:rFonts w:hint="eastAsia" w:ascii="Times New Roman" w:hAnsi="Times New Roman"/>
          <w:b w:val="0"/>
          <w:bCs/>
          <w:color w:val="auto"/>
          <w:szCs w:val="21"/>
          <w:highlight w:val="none"/>
        </w:rPr>
        <w:t>投标方无需在开标当天到达开标现场，只需在规定时间内在你方的办公场地，对电子投标文件进行解密。</w:t>
      </w:r>
    </w:p>
    <w:p>
      <w:pPr>
        <w:keepNext w:val="0"/>
        <w:keepLines w:val="0"/>
        <w:pageBreakBefore w:val="0"/>
        <w:kinsoku/>
        <w:wordWrap/>
        <w:overflowPunct/>
        <w:topLinePunct w:val="0"/>
        <w:autoSpaceDE/>
        <w:autoSpaceDN/>
        <w:bidi w:val="0"/>
        <w:snapToGrid w:val="0"/>
        <w:spacing w:line="380" w:lineRule="exact"/>
        <w:ind w:firstLine="422" w:firstLineChars="200"/>
        <w:textAlignment w:val="auto"/>
        <w:rPr>
          <w:rFonts w:hint="eastAsia" w:ascii="Times New Roman" w:hAnsi="Times New Roman" w:eastAsia="宋体"/>
          <w:b w:val="0"/>
          <w:bCs/>
          <w:color w:val="auto"/>
          <w:szCs w:val="21"/>
          <w:highlight w:val="none"/>
          <w:lang w:eastAsia="zh-CN"/>
        </w:rPr>
      </w:pPr>
      <w:r>
        <w:rPr>
          <w:rFonts w:hint="eastAsia" w:ascii="Times New Roman" w:hAnsi="Times New Roman"/>
          <w:b/>
          <w:bCs w:val="0"/>
          <w:color w:val="auto"/>
          <w:szCs w:val="21"/>
          <w:highlight w:val="none"/>
        </w:rPr>
        <w:t>五、公告期限：</w:t>
      </w:r>
      <w:r>
        <w:rPr>
          <w:rFonts w:hint="eastAsia" w:ascii="Times New Roman" w:hAnsi="Times New Roman"/>
          <w:b w:val="0"/>
          <w:bCs/>
          <w:color w:val="auto"/>
          <w:szCs w:val="21"/>
          <w:highlight w:val="none"/>
        </w:rPr>
        <w:t>自本公告发布之日起5个工作日</w:t>
      </w:r>
      <w:r>
        <w:rPr>
          <w:rFonts w:hint="eastAsia" w:ascii="Times New Roman" w:hAnsi="Times New Roman"/>
          <w:b w:val="0"/>
          <w:bCs/>
          <w:color w:val="auto"/>
          <w:szCs w:val="21"/>
          <w:highlight w:val="none"/>
          <w:lang w:eastAsia="zh-CN"/>
        </w:rPr>
        <w:t>。</w:t>
      </w:r>
    </w:p>
    <w:p>
      <w:pPr>
        <w:pStyle w:val="28"/>
        <w:keepNext w:val="0"/>
        <w:keepLines w:val="0"/>
        <w:pageBreakBefore w:val="0"/>
        <w:kinsoku/>
        <w:wordWrap/>
        <w:overflowPunct/>
        <w:topLinePunct w:val="0"/>
        <w:autoSpaceDE/>
        <w:autoSpaceDN/>
        <w:bidi w:val="0"/>
        <w:adjustRightInd w:val="0"/>
        <w:snapToGrid w:val="0"/>
        <w:spacing w:line="380" w:lineRule="exact"/>
        <w:ind w:firstLine="422" w:firstLineChars="200"/>
        <w:textAlignment w:val="auto"/>
        <w:rPr>
          <w:rFonts w:hint="eastAsia" w:ascii="Times New Roman" w:hAnsi="Times New Roman"/>
          <w:b/>
          <w:color w:val="auto"/>
          <w:szCs w:val="21"/>
          <w:highlight w:val="none"/>
        </w:rPr>
      </w:pPr>
      <w:r>
        <w:rPr>
          <w:rFonts w:hint="eastAsia" w:ascii="Times New Roman" w:hAnsi="Times New Roman"/>
          <w:b/>
          <w:color w:val="auto"/>
          <w:szCs w:val="21"/>
          <w:highlight w:val="none"/>
        </w:rPr>
        <w:t>六、其他补充事宜</w:t>
      </w:r>
    </w:p>
    <w:p>
      <w:pPr>
        <w:pStyle w:val="28"/>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Times New Roman" w:hAnsi="Times New Roman"/>
          <w:b w:val="0"/>
          <w:bCs/>
          <w:color w:val="auto"/>
          <w:szCs w:val="21"/>
          <w:highlight w:val="none"/>
        </w:rPr>
      </w:pPr>
      <w:r>
        <w:rPr>
          <w:rFonts w:hint="eastAsia" w:ascii="Times New Roman" w:hAnsi="Times New Roman"/>
          <w:b w:val="0"/>
          <w:bCs/>
          <w:color w:val="auto"/>
          <w:szCs w:val="21"/>
          <w:highlight w:val="none"/>
        </w:rPr>
        <w:t>1.答疑与澄清：投标人如认为招标文件表述不清晰、存在歧视性、排他性或者其他违法内容的，可以自收到采购文件之日（采购文件获取截止日之后收到采购文件的，以采购文件获取截止日为准）或者采购文件公告期限届满之日（为本公告发布后的第6个工作日）起7个工作日内，以书面递交或传真形式要求招标方作出书面解释、澄清或者向招标方提出书面质疑；本项目不组织答疑会；招标方的答疑内容和书面澄清文件是招标文件的组成部分，无论是招标方根据需要主动对招标文件进行必要澄清，或是根据投标人的要求对招标文件做出澄清，招标方的答疑内容（招标文件内容如有需修改的）和澄清文件均会在浙江省政府采购网( http://zfcg.czt.zj.gov.cn/ )上统一以公告的形式发布，供应商在投标截止时间前应充分关注该网上发布的信息，如因供应商未及时关注网上发布的信息而导致的一切投标后果由供应商自行承担。</w:t>
      </w:r>
    </w:p>
    <w:p>
      <w:pPr>
        <w:pStyle w:val="28"/>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Times New Roman" w:hAnsi="Times New Roman"/>
          <w:b w:val="0"/>
          <w:bCs/>
          <w:color w:val="auto"/>
          <w:szCs w:val="21"/>
          <w:highlight w:val="none"/>
        </w:rPr>
      </w:pPr>
      <w:r>
        <w:rPr>
          <w:rFonts w:hint="eastAsia" w:ascii="Times New Roman" w:hAnsi="Times New Roman"/>
          <w:b w:val="0"/>
          <w:bCs/>
          <w:color w:val="auto"/>
          <w:szCs w:val="21"/>
          <w:highlight w:val="none"/>
        </w:rPr>
        <w:t>2.投标保证金：无</w:t>
      </w:r>
    </w:p>
    <w:p>
      <w:pPr>
        <w:pStyle w:val="28"/>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Times New Roman" w:hAnsi="Times New Roman"/>
          <w:b w:val="0"/>
          <w:bCs/>
          <w:color w:val="auto"/>
          <w:szCs w:val="21"/>
          <w:highlight w:val="none"/>
        </w:rPr>
      </w:pPr>
      <w:r>
        <w:rPr>
          <w:rFonts w:hint="eastAsia" w:ascii="Times New Roman" w:hAnsi="Times New Roman"/>
          <w:b w:val="0"/>
          <w:bCs/>
          <w:color w:val="auto"/>
          <w:szCs w:val="21"/>
          <w:highlight w:val="none"/>
        </w:rPr>
        <w:t>3.投标与开标注意事项：</w:t>
      </w:r>
    </w:p>
    <w:p>
      <w:pPr>
        <w:pStyle w:val="28"/>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Times New Roman" w:hAnsi="Times New Roman"/>
          <w:b w:val="0"/>
          <w:bCs/>
          <w:color w:val="auto"/>
          <w:szCs w:val="21"/>
          <w:highlight w:val="none"/>
        </w:rPr>
      </w:pPr>
      <w:r>
        <w:rPr>
          <w:rFonts w:hint="eastAsia" w:ascii="Times New Roman" w:hAnsi="Times New Roman"/>
          <w:b w:val="0"/>
          <w:bCs/>
          <w:color w:val="auto"/>
          <w:szCs w:val="21"/>
          <w:highlight w:val="none"/>
        </w:rPr>
        <w:t>①本项目实行网上投标，获取文件后供应商即可参投，投标方在投标截止时间之前上传电子投标文件。供应商参与投标，需自行承担投标一切费用。</w:t>
      </w:r>
    </w:p>
    <w:p>
      <w:pPr>
        <w:pStyle w:val="28"/>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Times New Roman" w:hAnsi="Times New Roman"/>
          <w:b w:val="0"/>
          <w:bCs/>
          <w:color w:val="auto"/>
          <w:szCs w:val="21"/>
          <w:highlight w:val="none"/>
        </w:rPr>
      </w:pPr>
      <w:r>
        <w:rPr>
          <w:rFonts w:hint="eastAsia" w:ascii="Times New Roman" w:hAnsi="Times New Roman"/>
          <w:b w:val="0"/>
          <w:bCs/>
          <w:color w:val="auto"/>
          <w:szCs w:val="21"/>
          <w:highlight w:val="none"/>
        </w:rPr>
        <w:t>②标前准备：各供应商应在开标前确保成为浙江省政府采购网正式注册入库供应商，并完成CA数字证书办理。【办理流程详见电子投标工具链接，（目前“政采云”平台仅支持浙江汇信或天谷CA锁，个体工商户投标仅支持浙江汇信CA锁），申领操作流程】。因未注册入库、未办理CA数字证书等原因造成无法投标或投标失败等后果由供应商自行承担。</w:t>
      </w:r>
    </w:p>
    <w:p>
      <w:pPr>
        <w:pStyle w:val="28"/>
        <w:keepNext w:val="0"/>
        <w:keepLines w:val="0"/>
        <w:pageBreakBefore w:val="0"/>
        <w:kinsoku/>
        <w:wordWrap/>
        <w:overflowPunct/>
        <w:topLinePunct w:val="0"/>
        <w:autoSpaceDE/>
        <w:autoSpaceDN/>
        <w:bidi w:val="0"/>
        <w:adjustRightInd w:val="0"/>
        <w:snapToGrid w:val="0"/>
        <w:spacing w:line="380" w:lineRule="exact"/>
        <w:ind w:firstLine="420" w:firstLineChars="200"/>
        <w:textAlignment w:val="auto"/>
        <w:rPr>
          <w:rFonts w:hint="eastAsia" w:ascii="Times New Roman" w:hAnsi="Times New Roman"/>
          <w:b w:val="0"/>
          <w:bCs/>
          <w:color w:val="auto"/>
          <w:szCs w:val="21"/>
          <w:highlight w:val="none"/>
        </w:rPr>
      </w:pPr>
      <w:r>
        <w:rPr>
          <w:rFonts w:hint="eastAsia" w:ascii="Times New Roman" w:hAnsi="Times New Roman"/>
          <w:b w:val="0"/>
          <w:bCs/>
          <w:color w:val="auto"/>
          <w:szCs w:val="21"/>
          <w:highlight w:val="none"/>
        </w:rPr>
        <w:t>③投标文件制作：投标人通过“政采云”平台电子投标工具制作投标文件，电子投标工具请供应商自行前往浙江省政府采购网下载并安装，投标文件制作具体流程详见“政采云供应商项目采购-电子招投标操作指南”（请投标供应商</w:t>
      </w:r>
      <w:r>
        <w:rPr>
          <w:rFonts w:hint="eastAsia" w:ascii="Times New Roman" w:hAnsi="Times New Roman"/>
          <w:b w:val="0"/>
          <w:bCs/>
          <w:color w:val="auto"/>
          <w:szCs w:val="21"/>
          <w:highlight w:val="none"/>
          <w:lang w:eastAsia="zh-CN"/>
        </w:rPr>
        <w:t>登录</w:t>
      </w:r>
      <w:r>
        <w:rPr>
          <w:rFonts w:hint="eastAsia" w:ascii="Times New Roman" w:hAnsi="Times New Roman"/>
          <w:b w:val="0"/>
          <w:bCs/>
          <w:color w:val="auto"/>
          <w:szCs w:val="21"/>
          <w:highlight w:val="none"/>
        </w:rPr>
        <w:t>政采云平台政府采购电子卖场后，点击链接https://service.zcygov.cn/#/knowledges/CW1EtGwBFdiHxlNd6I3m/6IMVAG0BFdiHxlNdQ8Na）以获取最新操作指南。</w:t>
      </w:r>
    </w:p>
    <w:p>
      <w:pPr>
        <w:keepNext w:val="0"/>
        <w:keepLines w:val="0"/>
        <w:pageBreakBefore w:val="0"/>
        <w:kinsoku/>
        <w:wordWrap/>
        <w:overflowPunct/>
        <w:topLinePunct w:val="0"/>
        <w:autoSpaceDE/>
        <w:autoSpaceDN/>
        <w:bidi w:val="0"/>
        <w:snapToGrid w:val="0"/>
        <w:spacing w:line="380" w:lineRule="exact"/>
        <w:ind w:left="0" w:leftChars="0"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七、对本次招标提出询问、质疑、投诉，请按以下方式联系：</w:t>
      </w:r>
    </w:p>
    <w:p>
      <w:pPr>
        <w:keepNext w:val="0"/>
        <w:keepLines w:val="0"/>
        <w:pageBreakBefore w:val="0"/>
        <w:kinsoku/>
        <w:wordWrap/>
        <w:overflowPunct/>
        <w:topLinePunct w:val="0"/>
        <w:autoSpaceDE/>
        <w:autoSpaceDN/>
        <w:bidi w:val="0"/>
        <w:snapToGrid w:val="0"/>
        <w:spacing w:line="380" w:lineRule="exact"/>
        <w:ind w:left="0" w:leftChars="0"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1.采购人信息</w:t>
      </w:r>
    </w:p>
    <w:p>
      <w:pPr>
        <w:keepNext w:val="0"/>
        <w:keepLines w:val="0"/>
        <w:pageBreakBefore w:val="0"/>
        <w:kinsoku/>
        <w:wordWrap/>
        <w:overflowPunct/>
        <w:topLinePunct w:val="0"/>
        <w:autoSpaceDE/>
        <w:autoSpaceDN/>
        <w:bidi w:val="0"/>
        <w:spacing w:line="380" w:lineRule="exact"/>
        <w:ind w:left="0" w:leftChars="0" w:firstLine="420" w:firstLineChars="200"/>
        <w:textAlignment w:val="auto"/>
        <w:rPr>
          <w:rFonts w:hint="default" w:ascii="Times New Roman" w:hAnsi="Times New Roman" w:eastAsia="宋体" w:cs="Times New Roman"/>
          <w:bCs/>
          <w:color w:val="auto"/>
          <w:sz w:val="21"/>
          <w:szCs w:val="21"/>
          <w:highlight w:val="none"/>
        </w:rPr>
      </w:pPr>
      <w:r>
        <w:rPr>
          <w:rFonts w:hint="default" w:ascii="Times New Roman" w:hAnsi="Times New Roman" w:eastAsia="宋体" w:cs="Times New Roman"/>
          <w:color w:val="auto"/>
          <w:sz w:val="21"/>
          <w:szCs w:val="21"/>
          <w:highlight w:val="none"/>
          <w:lang w:eastAsia="zh-CN"/>
        </w:rPr>
        <w:t>名</w:t>
      </w: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lang w:eastAsia="zh-CN"/>
        </w:rPr>
        <w:t>称</w:t>
      </w:r>
      <w:r>
        <w:rPr>
          <w:rFonts w:hint="default" w:ascii="Times New Roman" w:hAnsi="Times New Roman" w:eastAsia="宋体" w:cs="Times New Roman"/>
          <w:color w:val="auto"/>
          <w:sz w:val="21"/>
          <w:szCs w:val="21"/>
          <w:highlight w:val="none"/>
        </w:rPr>
        <w:t>：</w:t>
      </w:r>
      <w:r>
        <w:rPr>
          <w:rFonts w:hint="eastAsia" w:ascii="Times New Roman" w:hAnsi="宋体"/>
          <w:color w:val="auto"/>
          <w:sz w:val="21"/>
          <w:szCs w:val="21"/>
          <w:highlight w:val="none"/>
          <w:lang w:eastAsia="zh-CN"/>
        </w:rPr>
        <w:t>义乌市文化和广电旅游体育局</w:t>
      </w:r>
    </w:p>
    <w:p>
      <w:pPr>
        <w:pStyle w:val="28"/>
        <w:keepNext w:val="0"/>
        <w:keepLines w:val="0"/>
        <w:pageBreakBefore w:val="0"/>
        <w:kinsoku/>
        <w:wordWrap/>
        <w:overflowPunct/>
        <w:topLinePunct w:val="0"/>
        <w:autoSpaceDE/>
        <w:autoSpaceDN/>
        <w:bidi w:val="0"/>
        <w:adjustRightInd w:val="0"/>
        <w:snapToGrid w:val="0"/>
        <w:spacing w:line="380" w:lineRule="exact"/>
        <w:ind w:left="0" w:leftChars="0" w:firstLine="420" w:firstLineChars="20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地  </w:t>
      </w:r>
      <w:r>
        <w:rPr>
          <w:rFonts w:hint="default" w:ascii="Times New Roman" w:hAnsi="Times New Roman" w:eastAsia="宋体" w:cs="Times New Roman"/>
          <w:color w:val="auto"/>
          <w:sz w:val="21"/>
          <w:szCs w:val="21"/>
          <w:highlight w:val="none"/>
          <w:lang w:val="en-US" w:eastAsia="zh-CN"/>
        </w:rPr>
        <w:t xml:space="preserve">   </w:t>
      </w:r>
      <w:r>
        <w:rPr>
          <w:rFonts w:hint="default" w:ascii="Times New Roman" w:hAnsi="Times New Roman" w:eastAsia="宋体" w:cs="Times New Roman"/>
          <w:color w:val="auto"/>
          <w:sz w:val="21"/>
          <w:szCs w:val="21"/>
          <w:highlight w:val="none"/>
        </w:rPr>
        <w:t>址：</w:t>
      </w:r>
      <w:r>
        <w:rPr>
          <w:rFonts w:hint="default" w:ascii="Times New Roman" w:hAnsi="Times New Roman" w:eastAsia="宋体" w:cs="Times New Roman"/>
          <w:color w:val="auto"/>
          <w:sz w:val="21"/>
          <w:szCs w:val="21"/>
          <w:highlight w:val="none"/>
          <w:lang w:eastAsia="zh-CN"/>
        </w:rPr>
        <w:t>义乌市南门街302号</w:t>
      </w:r>
    </w:p>
    <w:p>
      <w:pPr>
        <w:pStyle w:val="28"/>
        <w:keepNext w:val="0"/>
        <w:keepLines w:val="0"/>
        <w:pageBreakBefore w:val="0"/>
        <w:kinsoku/>
        <w:wordWrap/>
        <w:overflowPunct/>
        <w:topLinePunct w:val="0"/>
        <w:autoSpaceDE/>
        <w:autoSpaceDN/>
        <w:bidi w:val="0"/>
        <w:adjustRightInd w:val="0"/>
        <w:snapToGrid w:val="0"/>
        <w:spacing w:line="380" w:lineRule="exact"/>
        <w:ind w:left="0" w:leftChars="0" w:firstLine="420" w:firstLineChars="20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项目联系人：</w:t>
      </w:r>
      <w:r>
        <w:rPr>
          <w:rFonts w:hint="eastAsia" w:ascii="Times New Roman" w:hAnsi="Times New Roman" w:eastAsia="宋体" w:cs="Times New Roman"/>
          <w:color w:val="auto"/>
          <w:sz w:val="21"/>
          <w:szCs w:val="21"/>
          <w:highlight w:val="none"/>
          <w:lang w:val="en-US" w:eastAsia="zh-CN"/>
        </w:rPr>
        <w:t>何强</w:t>
      </w:r>
    </w:p>
    <w:p>
      <w:pPr>
        <w:pStyle w:val="28"/>
        <w:keepNext w:val="0"/>
        <w:keepLines w:val="0"/>
        <w:pageBreakBefore w:val="0"/>
        <w:kinsoku/>
        <w:wordWrap/>
        <w:overflowPunct/>
        <w:topLinePunct w:val="0"/>
        <w:autoSpaceDE/>
        <w:autoSpaceDN/>
        <w:bidi w:val="0"/>
        <w:adjustRightInd w:val="0"/>
        <w:snapToGrid w:val="0"/>
        <w:spacing w:line="380" w:lineRule="exact"/>
        <w:ind w:left="0" w:leftChars="0"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项目联系方式：0579-85214899</w:t>
      </w:r>
    </w:p>
    <w:p>
      <w:pPr>
        <w:pStyle w:val="28"/>
        <w:keepNext w:val="0"/>
        <w:keepLines w:val="0"/>
        <w:pageBreakBefore w:val="0"/>
        <w:kinsoku/>
        <w:wordWrap/>
        <w:overflowPunct/>
        <w:topLinePunct w:val="0"/>
        <w:autoSpaceDE/>
        <w:autoSpaceDN/>
        <w:bidi w:val="0"/>
        <w:adjustRightInd w:val="0"/>
        <w:snapToGrid w:val="0"/>
        <w:spacing w:line="380" w:lineRule="exact"/>
        <w:ind w:left="0" w:leftChars="0" w:firstLine="420" w:firstLineChars="200"/>
        <w:textAlignment w:val="auto"/>
        <w:rPr>
          <w:rFonts w:hint="eastAsia"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质疑联系人：</w:t>
      </w:r>
      <w:r>
        <w:rPr>
          <w:rFonts w:hint="eastAsia" w:ascii="Times New Roman" w:hAnsi="Times New Roman" w:eastAsia="宋体" w:cs="Times New Roman"/>
          <w:color w:val="auto"/>
          <w:sz w:val="21"/>
          <w:szCs w:val="21"/>
          <w:highlight w:val="none"/>
          <w:lang w:val="en-US" w:eastAsia="zh-CN"/>
        </w:rPr>
        <w:t>何强</w:t>
      </w:r>
    </w:p>
    <w:p>
      <w:pPr>
        <w:pStyle w:val="28"/>
        <w:keepNext w:val="0"/>
        <w:keepLines w:val="0"/>
        <w:pageBreakBefore w:val="0"/>
        <w:kinsoku/>
        <w:wordWrap/>
        <w:overflowPunct/>
        <w:topLinePunct w:val="0"/>
        <w:autoSpaceDE/>
        <w:autoSpaceDN/>
        <w:bidi w:val="0"/>
        <w:adjustRightInd w:val="0"/>
        <w:snapToGrid w:val="0"/>
        <w:spacing w:line="380" w:lineRule="exact"/>
        <w:ind w:left="0" w:leftChars="0" w:firstLine="420" w:firstLineChars="200"/>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质疑联系方式：0579-85214899</w:t>
      </w:r>
    </w:p>
    <w:p>
      <w:pPr>
        <w:keepNext w:val="0"/>
        <w:keepLines w:val="0"/>
        <w:pageBreakBefore w:val="0"/>
        <w:kinsoku/>
        <w:wordWrap/>
        <w:overflowPunct/>
        <w:topLinePunct w:val="0"/>
        <w:autoSpaceDE/>
        <w:autoSpaceDN/>
        <w:bidi w:val="0"/>
        <w:spacing w:line="380" w:lineRule="exact"/>
        <w:textAlignment w:val="auto"/>
        <w:rPr>
          <w:rFonts w:hint="default"/>
          <w:highlight w:val="none"/>
        </w:rPr>
      </w:pPr>
    </w:p>
    <w:p>
      <w:pPr>
        <w:keepNext w:val="0"/>
        <w:keepLines w:val="0"/>
        <w:pageBreakBefore w:val="0"/>
        <w:kinsoku/>
        <w:wordWrap/>
        <w:overflowPunct/>
        <w:topLinePunct w:val="0"/>
        <w:autoSpaceDE/>
        <w:autoSpaceDN/>
        <w:bidi w:val="0"/>
        <w:spacing w:line="380" w:lineRule="exact"/>
        <w:ind w:left="0" w:leftChars="0" w:firstLine="422"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b/>
          <w:color w:val="auto"/>
          <w:sz w:val="21"/>
          <w:szCs w:val="21"/>
          <w:highlight w:val="none"/>
        </w:rPr>
        <w:t>2.采购代理机构信息</w:t>
      </w:r>
    </w:p>
    <w:p>
      <w:pPr>
        <w:pStyle w:val="28"/>
        <w:keepNext w:val="0"/>
        <w:keepLines w:val="0"/>
        <w:pageBreakBefore w:val="0"/>
        <w:kinsoku/>
        <w:wordWrap/>
        <w:overflowPunct/>
        <w:topLinePunct w:val="0"/>
        <w:autoSpaceDE/>
        <w:autoSpaceDN/>
        <w:bidi w:val="0"/>
        <w:adjustRightInd w:val="0"/>
        <w:snapToGrid w:val="0"/>
        <w:spacing w:line="380" w:lineRule="exact"/>
        <w:ind w:left="0" w:leftChars="0"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名    称： 浙江省成套招标代理有限公司 　　　　　　　　　　　</w:t>
      </w:r>
    </w:p>
    <w:p>
      <w:pPr>
        <w:pStyle w:val="28"/>
        <w:keepNext w:val="0"/>
        <w:keepLines w:val="0"/>
        <w:pageBreakBefore w:val="0"/>
        <w:kinsoku/>
        <w:wordWrap/>
        <w:overflowPunct/>
        <w:topLinePunct w:val="0"/>
        <w:autoSpaceDE/>
        <w:autoSpaceDN/>
        <w:bidi w:val="0"/>
        <w:adjustRightInd w:val="0"/>
        <w:snapToGrid w:val="0"/>
        <w:spacing w:line="380" w:lineRule="exact"/>
        <w:ind w:left="0" w:leftChars="0"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地    址： 义乌市丹阳街100号三楼 　   </w:t>
      </w:r>
    </w:p>
    <w:p>
      <w:pPr>
        <w:pStyle w:val="28"/>
        <w:keepNext w:val="0"/>
        <w:keepLines w:val="0"/>
        <w:pageBreakBefore w:val="0"/>
        <w:kinsoku/>
        <w:wordWrap/>
        <w:overflowPunct/>
        <w:topLinePunct w:val="0"/>
        <w:autoSpaceDE/>
        <w:autoSpaceDN/>
        <w:bidi w:val="0"/>
        <w:adjustRightInd w:val="0"/>
        <w:snapToGrid w:val="0"/>
        <w:spacing w:line="380" w:lineRule="exact"/>
        <w:ind w:left="0" w:leftChars="0"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传    真： 0579-85116979  　</w:t>
      </w:r>
    </w:p>
    <w:p>
      <w:pPr>
        <w:pStyle w:val="28"/>
        <w:keepNext w:val="0"/>
        <w:keepLines w:val="0"/>
        <w:pageBreakBefore w:val="0"/>
        <w:kinsoku/>
        <w:wordWrap/>
        <w:overflowPunct/>
        <w:topLinePunct w:val="0"/>
        <w:autoSpaceDE/>
        <w:autoSpaceDN/>
        <w:bidi w:val="0"/>
        <w:adjustRightInd w:val="0"/>
        <w:snapToGrid w:val="0"/>
        <w:spacing w:line="380" w:lineRule="exact"/>
        <w:ind w:left="0" w:leftChars="0"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项目联系人（询问）：</w:t>
      </w:r>
      <w:r>
        <w:rPr>
          <w:rFonts w:hint="eastAsia" w:ascii="Times New Roman" w:hAnsi="Times New Roman" w:eastAsia="宋体" w:cs="Times New Roman"/>
          <w:color w:val="auto"/>
          <w:sz w:val="21"/>
          <w:szCs w:val="21"/>
          <w:highlight w:val="none"/>
          <w:lang w:val="en-US" w:eastAsia="zh-CN"/>
        </w:rPr>
        <w:t>陈健飞</w:t>
      </w:r>
      <w:r>
        <w:rPr>
          <w:rFonts w:hint="default" w:ascii="Times New Roman" w:hAnsi="Times New Roman" w:eastAsia="宋体" w:cs="Times New Roman"/>
          <w:color w:val="auto"/>
          <w:sz w:val="21"/>
          <w:szCs w:val="21"/>
          <w:highlight w:val="none"/>
        </w:rPr>
        <w:t xml:space="preserve"> 　   　　　　　　　　　　　</w:t>
      </w:r>
    </w:p>
    <w:p>
      <w:pPr>
        <w:pStyle w:val="28"/>
        <w:keepNext w:val="0"/>
        <w:keepLines w:val="0"/>
        <w:pageBreakBefore w:val="0"/>
        <w:kinsoku/>
        <w:wordWrap/>
        <w:overflowPunct/>
        <w:topLinePunct w:val="0"/>
        <w:autoSpaceDE/>
        <w:autoSpaceDN/>
        <w:bidi w:val="0"/>
        <w:adjustRightInd w:val="0"/>
        <w:snapToGrid w:val="0"/>
        <w:spacing w:line="380" w:lineRule="exact"/>
        <w:ind w:left="0" w:leftChars="0"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项目联系方式（询问）：</w:t>
      </w:r>
      <w:r>
        <w:rPr>
          <w:rFonts w:hint="eastAsia" w:ascii="Times New Roman" w:hAnsi="Times New Roman" w:eastAsia="宋体" w:cs="Times New Roman"/>
          <w:color w:val="auto"/>
          <w:sz w:val="21"/>
          <w:szCs w:val="21"/>
          <w:highlight w:val="none"/>
          <w:lang w:val="en-US" w:eastAsia="zh-CN"/>
        </w:rPr>
        <w:t>18367926262</w:t>
      </w:r>
      <w:r>
        <w:rPr>
          <w:rFonts w:hint="default" w:ascii="Times New Roman" w:hAnsi="Times New Roman" w:eastAsia="宋体" w:cs="Times New Roman"/>
          <w:color w:val="auto"/>
          <w:sz w:val="21"/>
          <w:szCs w:val="21"/>
          <w:highlight w:val="none"/>
        </w:rPr>
        <w:t xml:space="preserve"> </w:t>
      </w:r>
    </w:p>
    <w:p>
      <w:pPr>
        <w:pStyle w:val="28"/>
        <w:keepNext w:val="0"/>
        <w:keepLines w:val="0"/>
        <w:pageBreakBefore w:val="0"/>
        <w:kinsoku/>
        <w:wordWrap/>
        <w:overflowPunct/>
        <w:topLinePunct w:val="0"/>
        <w:autoSpaceDE/>
        <w:autoSpaceDN/>
        <w:bidi w:val="0"/>
        <w:adjustRightInd w:val="0"/>
        <w:snapToGrid w:val="0"/>
        <w:spacing w:line="380" w:lineRule="exact"/>
        <w:ind w:left="0" w:leftChars="0" w:firstLine="420" w:firstLineChars="200"/>
        <w:textAlignment w:val="auto"/>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质疑</w:t>
      </w:r>
      <w:r>
        <w:rPr>
          <w:rFonts w:hint="default" w:ascii="Times New Roman" w:hAnsi="Times New Roman" w:eastAsia="宋体" w:cs="Times New Roman"/>
          <w:color w:val="auto"/>
          <w:sz w:val="21"/>
          <w:szCs w:val="21"/>
          <w:highlight w:val="none"/>
        </w:rPr>
        <w:t>联系人：</w:t>
      </w:r>
      <w:r>
        <w:rPr>
          <w:rFonts w:hint="eastAsia" w:ascii="Times New Roman" w:hAnsi="Times New Roman" w:eastAsia="宋体" w:cs="Times New Roman"/>
          <w:color w:val="auto"/>
          <w:sz w:val="21"/>
          <w:szCs w:val="21"/>
          <w:highlight w:val="none"/>
          <w:lang w:val="en-US" w:eastAsia="zh-CN"/>
        </w:rPr>
        <w:t>徐李元</w:t>
      </w:r>
    </w:p>
    <w:p>
      <w:pPr>
        <w:pStyle w:val="28"/>
        <w:keepNext w:val="0"/>
        <w:keepLines w:val="0"/>
        <w:pageBreakBefore w:val="0"/>
        <w:kinsoku/>
        <w:wordWrap/>
        <w:overflowPunct/>
        <w:topLinePunct w:val="0"/>
        <w:autoSpaceDE/>
        <w:autoSpaceDN/>
        <w:bidi w:val="0"/>
        <w:adjustRightInd w:val="0"/>
        <w:snapToGrid w:val="0"/>
        <w:spacing w:line="380" w:lineRule="exact"/>
        <w:ind w:left="0" w:leftChars="0" w:firstLine="420" w:firstLineChars="200"/>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质疑</w:t>
      </w:r>
      <w:r>
        <w:rPr>
          <w:rFonts w:hint="default" w:ascii="Times New Roman" w:hAnsi="Times New Roman" w:eastAsia="宋体" w:cs="Times New Roman"/>
          <w:color w:val="auto"/>
          <w:sz w:val="21"/>
          <w:szCs w:val="21"/>
          <w:highlight w:val="none"/>
        </w:rPr>
        <w:t>联系方式： 0579-85116979</w:t>
      </w:r>
    </w:p>
    <w:p>
      <w:pPr>
        <w:keepNext w:val="0"/>
        <w:keepLines w:val="0"/>
        <w:pageBreakBefore w:val="0"/>
        <w:kinsoku/>
        <w:wordWrap/>
        <w:overflowPunct/>
        <w:topLinePunct w:val="0"/>
        <w:autoSpaceDE/>
        <w:autoSpaceDN/>
        <w:bidi w:val="0"/>
        <w:spacing w:line="380" w:lineRule="exact"/>
        <w:textAlignment w:val="auto"/>
        <w:rPr>
          <w:rFonts w:hint="default"/>
          <w:highlight w:val="none"/>
        </w:rPr>
      </w:pPr>
    </w:p>
    <w:p>
      <w:pPr>
        <w:keepNext w:val="0"/>
        <w:keepLines w:val="0"/>
        <w:pageBreakBefore w:val="0"/>
        <w:kinsoku/>
        <w:wordWrap/>
        <w:overflowPunct/>
        <w:topLinePunct w:val="0"/>
        <w:autoSpaceDE/>
        <w:autoSpaceDN/>
        <w:bidi w:val="0"/>
        <w:snapToGrid w:val="0"/>
        <w:spacing w:line="380" w:lineRule="exact"/>
        <w:ind w:left="0" w:leftChars="0" w:firstLine="422" w:firstLineChars="200"/>
        <w:textAlignment w:val="auto"/>
        <w:rPr>
          <w:rFonts w:hint="default" w:ascii="Times New Roman" w:hAnsi="Times New Roman" w:eastAsia="宋体" w:cs="Times New Roman"/>
          <w:b/>
          <w:color w:val="auto"/>
          <w:sz w:val="21"/>
          <w:szCs w:val="21"/>
          <w:highlight w:val="none"/>
        </w:rPr>
      </w:pPr>
      <w:r>
        <w:rPr>
          <w:rFonts w:hint="default" w:ascii="Times New Roman" w:hAnsi="Times New Roman" w:eastAsia="宋体" w:cs="Times New Roman"/>
          <w:b/>
          <w:color w:val="auto"/>
          <w:sz w:val="21"/>
          <w:szCs w:val="21"/>
          <w:highlight w:val="none"/>
        </w:rPr>
        <w:t>3.同级政府采购监督管理部门</w:t>
      </w:r>
    </w:p>
    <w:p>
      <w:pPr>
        <w:pStyle w:val="28"/>
        <w:keepNext w:val="0"/>
        <w:keepLines w:val="0"/>
        <w:pageBreakBefore w:val="0"/>
        <w:kinsoku/>
        <w:wordWrap/>
        <w:overflowPunct/>
        <w:topLinePunct w:val="0"/>
        <w:autoSpaceDE/>
        <w:autoSpaceDN/>
        <w:bidi w:val="0"/>
        <w:adjustRightInd w:val="0"/>
        <w:snapToGrid w:val="0"/>
        <w:spacing w:line="380" w:lineRule="exact"/>
        <w:ind w:left="0" w:leftChars="0"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名  称：义乌市财政局</w:t>
      </w:r>
    </w:p>
    <w:p>
      <w:pPr>
        <w:pStyle w:val="28"/>
        <w:keepNext w:val="0"/>
        <w:keepLines w:val="0"/>
        <w:pageBreakBefore w:val="0"/>
        <w:kinsoku/>
        <w:wordWrap/>
        <w:overflowPunct/>
        <w:topLinePunct w:val="0"/>
        <w:autoSpaceDE/>
        <w:autoSpaceDN/>
        <w:bidi w:val="0"/>
        <w:adjustRightInd w:val="0"/>
        <w:snapToGrid w:val="0"/>
        <w:spacing w:line="380" w:lineRule="exact"/>
        <w:ind w:left="0" w:leftChars="0" w:firstLine="420" w:firstLineChars="200"/>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  址：义乌市望道路300号5楼</w:t>
      </w:r>
    </w:p>
    <w:p>
      <w:pPr>
        <w:pStyle w:val="28"/>
        <w:keepNext w:val="0"/>
        <w:keepLines w:val="0"/>
        <w:pageBreakBefore w:val="0"/>
        <w:kinsoku/>
        <w:wordWrap/>
        <w:overflowPunct/>
        <w:topLinePunct w:val="0"/>
        <w:autoSpaceDE/>
        <w:autoSpaceDN/>
        <w:bidi w:val="0"/>
        <w:adjustRightInd w:val="0"/>
        <w:snapToGrid w:val="0"/>
        <w:spacing w:line="380" w:lineRule="exact"/>
        <w:ind w:left="0" w:leftChars="0" w:firstLine="420" w:firstLineChars="200"/>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联系人 ：</w:t>
      </w:r>
      <w:r>
        <w:rPr>
          <w:rFonts w:hint="eastAsia" w:ascii="宋体" w:hAnsi="宋体" w:eastAsia="宋体" w:cs="宋体"/>
          <w:color w:val="auto"/>
          <w:sz w:val="21"/>
          <w:szCs w:val="21"/>
          <w:highlight w:val="none"/>
        </w:rPr>
        <w:t>骆女士</w:t>
      </w:r>
    </w:p>
    <w:p>
      <w:pPr>
        <w:pStyle w:val="28"/>
        <w:keepNext w:val="0"/>
        <w:keepLines w:val="0"/>
        <w:pageBreakBefore w:val="0"/>
        <w:kinsoku/>
        <w:wordWrap/>
        <w:overflowPunct/>
        <w:topLinePunct w:val="0"/>
        <w:autoSpaceDE/>
        <w:autoSpaceDN/>
        <w:bidi w:val="0"/>
        <w:spacing w:line="380" w:lineRule="exact"/>
        <w:ind w:firstLine="420" w:firstLineChars="200"/>
        <w:textAlignment w:val="auto"/>
        <w:rPr>
          <w:rFonts w:ascii="Times New Roman" w:hAnsi="Times New Roman"/>
          <w:color w:val="auto"/>
          <w:sz w:val="32"/>
          <w:highlight w:val="none"/>
        </w:rPr>
      </w:pPr>
      <w:r>
        <w:rPr>
          <w:rFonts w:hint="default" w:ascii="Times New Roman" w:hAnsi="Times New Roman" w:eastAsia="宋体" w:cs="Times New Roman"/>
          <w:color w:val="auto"/>
          <w:sz w:val="21"/>
          <w:szCs w:val="21"/>
          <w:highlight w:val="none"/>
        </w:rPr>
        <w:t>监督投诉电话：0579-89915058</w:t>
      </w:r>
      <w:bookmarkStart w:id="1" w:name="_Toc34949999"/>
    </w:p>
    <w:p>
      <w:pPr>
        <w:pStyle w:val="51"/>
        <w:ind w:left="0" w:leftChars="0" w:firstLine="0" w:firstLineChars="0"/>
        <w:rPr>
          <w:highlight w:val="none"/>
        </w:rPr>
      </w:pPr>
    </w:p>
    <w:p>
      <w:pPr>
        <w:pStyle w:val="52"/>
        <w:rPr>
          <w:highlight w:val="none"/>
        </w:rPr>
      </w:pPr>
    </w:p>
    <w:p>
      <w:pPr>
        <w:rPr>
          <w:highlight w:val="none"/>
        </w:rPr>
      </w:pPr>
    </w:p>
    <w:p>
      <w:pPr>
        <w:pStyle w:val="4"/>
        <w:spacing w:before="0" w:after="0" w:line="240" w:lineRule="auto"/>
        <w:jc w:val="center"/>
        <w:rPr>
          <w:rFonts w:ascii="Times New Roman" w:hAnsi="Times New Roman"/>
          <w:color w:val="auto"/>
          <w:sz w:val="32"/>
          <w:highlight w:val="none"/>
        </w:rPr>
      </w:pPr>
      <w:r>
        <w:rPr>
          <w:rFonts w:ascii="Times New Roman" w:hAnsi="Times New Roman"/>
          <w:color w:val="auto"/>
          <w:sz w:val="32"/>
          <w:highlight w:val="none"/>
        </w:rPr>
        <w:t>第二章　投标须知和投标须知前附表</w:t>
      </w:r>
      <w:bookmarkEnd w:id="1"/>
    </w:p>
    <w:p>
      <w:pPr>
        <w:spacing w:line="360" w:lineRule="auto"/>
        <w:ind w:firstLine="562"/>
        <w:jc w:val="center"/>
        <w:rPr>
          <w:rFonts w:ascii="Times New Roman" w:hAnsi="Times New Roman"/>
          <w:b/>
          <w:color w:val="auto"/>
          <w:kern w:val="1"/>
          <w:sz w:val="28"/>
          <w:highlight w:val="none"/>
        </w:rPr>
      </w:pPr>
      <w:r>
        <w:rPr>
          <w:rFonts w:ascii="Times New Roman" w:hAnsi="Times New Roman"/>
          <w:b/>
          <w:color w:val="auto"/>
          <w:kern w:val="1"/>
          <w:sz w:val="28"/>
          <w:highlight w:val="none"/>
        </w:rPr>
        <w:t>投标须知前附表</w:t>
      </w:r>
    </w:p>
    <w:tbl>
      <w:tblPr>
        <w:tblStyle w:val="53"/>
        <w:tblW w:w="0" w:type="auto"/>
        <w:jc w:val="center"/>
        <w:tblLayout w:type="fixed"/>
        <w:tblCellMar>
          <w:top w:w="0" w:type="dxa"/>
          <w:left w:w="108" w:type="dxa"/>
          <w:bottom w:w="0" w:type="dxa"/>
          <w:right w:w="108" w:type="dxa"/>
        </w:tblCellMar>
      </w:tblPr>
      <w:tblGrid>
        <w:gridCol w:w="797"/>
        <w:gridCol w:w="1504"/>
        <w:gridCol w:w="7226"/>
      </w:tblGrid>
      <w:tr>
        <w:tblPrEx>
          <w:tblCellMar>
            <w:top w:w="0" w:type="dxa"/>
            <w:left w:w="108" w:type="dxa"/>
            <w:bottom w:w="0" w:type="dxa"/>
            <w:right w:w="108" w:type="dxa"/>
          </w:tblCellMar>
        </w:tblPrEx>
        <w:trPr>
          <w:trHeight w:val="583" w:hRule="exac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b/>
                <w:color w:val="auto"/>
                <w:kern w:val="1"/>
                <w:highlight w:val="none"/>
              </w:rPr>
            </w:pPr>
            <w:r>
              <w:rPr>
                <w:rFonts w:ascii="Times New Roman" w:hAnsi="Times New Roman"/>
                <w:b/>
                <w:color w:val="auto"/>
                <w:kern w:val="1"/>
                <w:highlight w:val="none"/>
              </w:rPr>
              <w:t>序号</w:t>
            </w:r>
          </w:p>
        </w:tc>
        <w:tc>
          <w:tcPr>
            <w:tcW w:w="873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b/>
                <w:color w:val="auto"/>
                <w:kern w:val="1"/>
                <w:highlight w:val="none"/>
              </w:rPr>
            </w:pPr>
            <w:r>
              <w:rPr>
                <w:rFonts w:ascii="Times New Roman" w:hAnsi="Times New Roman"/>
                <w:b/>
                <w:color w:val="auto"/>
                <w:kern w:val="1"/>
                <w:highlight w:val="none"/>
              </w:rPr>
              <w:t>内容规定</w:t>
            </w:r>
          </w:p>
        </w:tc>
      </w:tr>
      <w:tr>
        <w:tblPrEx>
          <w:tblCellMar>
            <w:top w:w="0" w:type="dxa"/>
            <w:left w:w="108" w:type="dxa"/>
            <w:bottom w:w="0" w:type="dxa"/>
            <w:right w:w="108" w:type="dxa"/>
          </w:tblCellMar>
        </w:tblPrEx>
        <w:trPr>
          <w:trHeight w:val="885"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ind w:firstLine="210"/>
              <w:rPr>
                <w:rFonts w:ascii="Times New Roman" w:hAnsi="Times New Roman"/>
                <w:color w:val="auto"/>
                <w:kern w:val="1"/>
                <w:highlight w:val="none"/>
              </w:rPr>
            </w:pPr>
            <w:r>
              <w:rPr>
                <w:rFonts w:ascii="Times New Roman" w:hAnsi="Times New Roman"/>
                <w:color w:val="auto"/>
                <w:kern w:val="1"/>
                <w:highlight w:val="none"/>
              </w:rPr>
              <w:t>1</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项目综合</w:t>
            </w:r>
          </w:p>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说明</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rPr>
                <w:rFonts w:hint="eastAsia" w:ascii="Times New Roman" w:hAnsi="Times New Roman" w:eastAsia="宋体"/>
                <w:bCs/>
                <w:color w:val="auto"/>
                <w:kern w:val="1"/>
                <w:highlight w:val="none"/>
                <w:lang w:eastAsia="zh-CN"/>
              </w:rPr>
            </w:pPr>
            <w:r>
              <w:rPr>
                <w:rFonts w:ascii="Times New Roman" w:hAnsi="Times New Roman"/>
                <w:bCs/>
                <w:color w:val="auto"/>
                <w:kern w:val="1"/>
                <w:highlight w:val="none"/>
              </w:rPr>
              <w:t>项目名称：</w:t>
            </w:r>
            <w:r>
              <w:rPr>
                <w:rFonts w:hint="eastAsia" w:ascii="Times New Roman" w:hAnsi="Times New Roman"/>
                <w:bCs/>
                <w:color w:val="auto"/>
                <w:kern w:val="1"/>
                <w:highlight w:val="none"/>
                <w:lang w:eastAsia="zh-CN"/>
              </w:rPr>
              <w:t>2022年义乌国际电子竞技大赛服务采购项目</w:t>
            </w:r>
          </w:p>
          <w:p>
            <w:pPr>
              <w:spacing w:line="264" w:lineRule="auto"/>
              <w:rPr>
                <w:rFonts w:ascii="Times New Roman" w:hAnsi="Times New Roman"/>
                <w:b/>
                <w:color w:val="auto"/>
                <w:kern w:val="1"/>
                <w:highlight w:val="none"/>
              </w:rPr>
            </w:pPr>
            <w:r>
              <w:rPr>
                <w:rFonts w:ascii="Times New Roman" w:hAnsi="Times New Roman"/>
                <w:bCs/>
                <w:color w:val="auto"/>
                <w:kern w:val="1"/>
                <w:highlight w:val="none"/>
              </w:rPr>
              <w:t>采购内容及数量：具体见《第三章招标项目要求》。</w:t>
            </w:r>
          </w:p>
        </w:tc>
      </w:tr>
      <w:tr>
        <w:tblPrEx>
          <w:tblCellMar>
            <w:top w:w="0" w:type="dxa"/>
            <w:left w:w="108" w:type="dxa"/>
            <w:bottom w:w="0" w:type="dxa"/>
            <w:right w:w="108" w:type="dxa"/>
          </w:tblCellMar>
        </w:tblPrEx>
        <w:trPr>
          <w:trHeight w:val="470" w:hRule="exac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2</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招标方式</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rPr>
                <w:rFonts w:ascii="Times New Roman" w:hAnsi="Times New Roman"/>
                <w:color w:val="auto"/>
                <w:kern w:val="1"/>
                <w:highlight w:val="none"/>
              </w:rPr>
            </w:pPr>
            <w:r>
              <w:rPr>
                <w:rFonts w:ascii="Times New Roman" w:hAnsi="Times New Roman"/>
                <w:color w:val="auto"/>
                <w:kern w:val="1"/>
                <w:highlight w:val="none"/>
              </w:rPr>
              <w:t>公开招标</w:t>
            </w:r>
          </w:p>
        </w:tc>
      </w:tr>
      <w:tr>
        <w:tblPrEx>
          <w:tblCellMar>
            <w:top w:w="0" w:type="dxa"/>
            <w:left w:w="108" w:type="dxa"/>
            <w:bottom w:w="0" w:type="dxa"/>
            <w:right w:w="108" w:type="dxa"/>
          </w:tblCellMar>
        </w:tblPrEx>
        <w:trPr>
          <w:trHeight w:val="640" w:hRule="exac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3</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szCs w:val="21"/>
                <w:highlight w:val="none"/>
              </w:rPr>
            </w:pPr>
            <w:r>
              <w:rPr>
                <w:rFonts w:hint="eastAsia" w:ascii="Times New Roman" w:hAnsi="Times New Roman"/>
                <w:color w:val="auto"/>
                <w:kern w:val="1"/>
                <w:szCs w:val="21"/>
                <w:highlight w:val="none"/>
              </w:rPr>
              <w:t>投标人</w:t>
            </w:r>
            <w:r>
              <w:rPr>
                <w:rFonts w:ascii="Times New Roman" w:hAnsi="Times New Roman"/>
                <w:color w:val="auto"/>
                <w:kern w:val="1"/>
                <w:szCs w:val="21"/>
                <w:highlight w:val="none"/>
              </w:rPr>
              <w:t>资格要求</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rPr>
                <w:rFonts w:ascii="Times New Roman" w:hAnsi="Times New Roman"/>
                <w:color w:val="auto"/>
                <w:kern w:val="1"/>
                <w:szCs w:val="21"/>
                <w:highlight w:val="none"/>
              </w:rPr>
            </w:pPr>
            <w:r>
              <w:rPr>
                <w:rFonts w:ascii="Times New Roman" w:hAnsi="Times New Roman"/>
                <w:color w:val="auto"/>
                <w:szCs w:val="21"/>
                <w:highlight w:val="none"/>
              </w:rPr>
              <w:t>详见招标公告</w:t>
            </w:r>
          </w:p>
        </w:tc>
      </w:tr>
      <w:tr>
        <w:tblPrEx>
          <w:tblCellMar>
            <w:top w:w="0" w:type="dxa"/>
            <w:left w:w="108" w:type="dxa"/>
            <w:bottom w:w="0" w:type="dxa"/>
            <w:right w:w="108" w:type="dxa"/>
          </w:tblCellMar>
        </w:tblPrEx>
        <w:trPr>
          <w:trHeight w:val="565" w:hRule="exac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4</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szCs w:val="21"/>
                <w:highlight w:val="none"/>
              </w:rPr>
            </w:pPr>
            <w:r>
              <w:rPr>
                <w:rFonts w:hint="eastAsia" w:ascii="Times New Roman" w:hAnsi="Times New Roman"/>
                <w:color w:val="auto"/>
                <w:kern w:val="1"/>
                <w:szCs w:val="21"/>
                <w:highlight w:val="none"/>
              </w:rPr>
              <w:t>服务期限</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rPr>
                <w:rFonts w:ascii="Times New Roman" w:hAnsi="Times New Roman"/>
                <w:color w:val="auto"/>
                <w:kern w:val="1"/>
                <w:szCs w:val="21"/>
                <w:highlight w:val="none"/>
              </w:rPr>
            </w:pPr>
            <w:r>
              <w:rPr>
                <w:rFonts w:ascii="Times New Roman" w:hAnsi="Times New Roman" w:eastAsia="新宋体"/>
                <w:color w:val="auto"/>
                <w:szCs w:val="21"/>
                <w:highlight w:val="none"/>
              </w:rPr>
              <w:t>详见第三章招标项目具体要求</w:t>
            </w:r>
          </w:p>
        </w:tc>
      </w:tr>
      <w:tr>
        <w:tblPrEx>
          <w:tblCellMar>
            <w:top w:w="0" w:type="dxa"/>
            <w:left w:w="108" w:type="dxa"/>
            <w:bottom w:w="0" w:type="dxa"/>
            <w:right w:w="108" w:type="dxa"/>
          </w:tblCellMar>
        </w:tblPrEx>
        <w:trPr>
          <w:trHeight w:val="581" w:hRule="exac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5</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招标文件发售时间和地点</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rPr>
                <w:rFonts w:ascii="Times New Roman" w:hAnsi="Times New Roman"/>
                <w:color w:val="auto"/>
                <w:kern w:val="1"/>
                <w:highlight w:val="none"/>
              </w:rPr>
            </w:pPr>
            <w:r>
              <w:rPr>
                <w:rFonts w:ascii="Times New Roman" w:hAnsi="Times New Roman"/>
                <w:color w:val="auto"/>
                <w:kern w:val="1"/>
                <w:highlight w:val="none"/>
              </w:rPr>
              <w:t>详见招标公告</w:t>
            </w:r>
          </w:p>
        </w:tc>
      </w:tr>
      <w:tr>
        <w:tblPrEx>
          <w:tblCellMar>
            <w:top w:w="0" w:type="dxa"/>
            <w:left w:w="108" w:type="dxa"/>
            <w:bottom w:w="0" w:type="dxa"/>
            <w:right w:w="108" w:type="dxa"/>
          </w:tblCellMar>
        </w:tblPrEx>
        <w:trPr>
          <w:trHeight w:val="561"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6</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现场踏勘时间</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rPr>
                <w:rFonts w:ascii="Times New Roman" w:hAnsi="Times New Roman"/>
                <w:color w:val="auto"/>
                <w:kern w:val="1"/>
                <w:highlight w:val="none"/>
              </w:rPr>
            </w:pPr>
            <w:r>
              <w:rPr>
                <w:rFonts w:ascii="Times New Roman" w:hAnsi="Times New Roman"/>
                <w:color w:val="auto"/>
                <w:kern w:val="1"/>
                <w:highlight w:val="none"/>
              </w:rPr>
              <w:t>投标前，投标人须自行到项目所在地予以踏勘，对项目实施现场及周边环境等进行勘察，以获取编制投标文件和签署合同所需的所有资料，否则，由此所造成的一切后果由投标人自行承担。踏勘期间，采购人不得留下供应商名称、联系方式等信息。</w:t>
            </w:r>
          </w:p>
        </w:tc>
      </w:tr>
      <w:tr>
        <w:tblPrEx>
          <w:tblCellMar>
            <w:top w:w="0" w:type="dxa"/>
            <w:left w:w="108" w:type="dxa"/>
            <w:bottom w:w="0" w:type="dxa"/>
            <w:right w:w="108" w:type="dxa"/>
          </w:tblCellMar>
        </w:tblPrEx>
        <w:trPr>
          <w:trHeight w:val="1573"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7</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招标答疑截止时间</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rPr>
                <w:rFonts w:ascii="Times New Roman" w:hAnsi="Times New Roman"/>
                <w:color w:val="auto"/>
                <w:kern w:val="1"/>
                <w:highlight w:val="none"/>
              </w:rPr>
            </w:pPr>
            <w:r>
              <w:rPr>
                <w:color w:val="auto"/>
                <w:highlight w:val="none"/>
              </w:rPr>
              <w:t>答疑与澄清：</w:t>
            </w:r>
            <w:r>
              <w:rPr>
                <w:rFonts w:hint="eastAsia"/>
                <w:color w:val="auto"/>
                <w:highlight w:val="none"/>
              </w:rPr>
              <w:t>潜在供应商</w:t>
            </w:r>
            <w:r>
              <w:rPr>
                <w:color w:val="auto"/>
                <w:highlight w:val="none"/>
              </w:rPr>
              <w:t>如认为招标文件表述不清晰、存在歧视性、排他性或者其他违法内容的，可以自收到采购文件之日或者采购文件公告期限届满之日（自本公告发布之日起至第6个工作日24时止）起7个工作日内，以书面递交或传真形式要求招标方作出书面解释、澄清或者向招标方提出书面质疑；本项目不组织答疑会；招标方的答疑内容和书面澄清文件是招标文件的组成部份，</w:t>
            </w:r>
            <w:r>
              <w:rPr>
                <w:rFonts w:hint="eastAsia"/>
                <w:b/>
                <w:color w:val="auto"/>
                <w:highlight w:val="none"/>
                <w:u w:val="single"/>
              </w:rPr>
              <w:t>招标方的</w:t>
            </w:r>
            <w:r>
              <w:rPr>
                <w:b/>
                <w:color w:val="auto"/>
                <w:highlight w:val="none"/>
                <w:u w:val="single"/>
              </w:rPr>
              <w:t>书面澄清</w:t>
            </w:r>
            <w:r>
              <w:rPr>
                <w:rFonts w:hint="eastAsia"/>
                <w:b/>
                <w:color w:val="auto"/>
                <w:highlight w:val="none"/>
                <w:u w:val="single"/>
              </w:rPr>
              <w:t>（更正）</w:t>
            </w:r>
            <w:r>
              <w:rPr>
                <w:b/>
                <w:color w:val="auto"/>
                <w:highlight w:val="none"/>
                <w:u w:val="single"/>
              </w:rPr>
              <w:t>文件</w:t>
            </w:r>
            <w:r>
              <w:rPr>
                <w:rFonts w:hint="eastAsia"/>
                <w:b/>
                <w:color w:val="auto"/>
                <w:highlight w:val="none"/>
                <w:u w:val="single"/>
              </w:rPr>
              <w:t>会在浙江省政府网上发布公告，</w:t>
            </w:r>
            <w:r>
              <w:rPr>
                <w:b/>
                <w:color w:val="auto"/>
                <w:highlight w:val="none"/>
                <w:u w:val="single"/>
              </w:rPr>
              <w:t>同时</w:t>
            </w:r>
            <w:r>
              <w:rPr>
                <w:rFonts w:hint="eastAsia"/>
                <w:b/>
                <w:color w:val="auto"/>
                <w:highlight w:val="none"/>
                <w:u w:val="single"/>
              </w:rPr>
              <w:t>政采云系统会</w:t>
            </w:r>
            <w:r>
              <w:rPr>
                <w:b/>
                <w:color w:val="auto"/>
                <w:highlight w:val="none"/>
                <w:u w:val="single"/>
              </w:rPr>
              <w:t>向所有</w:t>
            </w:r>
            <w:r>
              <w:rPr>
                <w:rFonts w:hint="eastAsia"/>
                <w:b/>
                <w:color w:val="auto"/>
                <w:highlight w:val="none"/>
                <w:u w:val="single"/>
              </w:rPr>
              <w:t>已按招标文件规定方式获取招标文件的潜在供应商</w:t>
            </w:r>
            <w:r>
              <w:rPr>
                <w:b/>
                <w:color w:val="auto"/>
                <w:highlight w:val="none"/>
                <w:u w:val="single"/>
              </w:rPr>
              <w:t>发送</w:t>
            </w:r>
            <w:r>
              <w:rPr>
                <w:rFonts w:hint="eastAsia"/>
                <w:b/>
                <w:color w:val="auto"/>
                <w:highlight w:val="none"/>
                <w:u w:val="single"/>
              </w:rPr>
              <w:t>更正提醒信息，潜在供应商请自行到浙江省政府采网上下载</w:t>
            </w:r>
            <w:r>
              <w:rPr>
                <w:b/>
                <w:color w:val="auto"/>
                <w:highlight w:val="none"/>
                <w:u w:val="single"/>
              </w:rPr>
              <w:t>澄清</w:t>
            </w:r>
            <w:r>
              <w:rPr>
                <w:rFonts w:hint="eastAsia" w:hAnsi="宋体"/>
                <w:b/>
                <w:color w:val="auto"/>
                <w:highlight w:val="none"/>
                <w:u w:val="single"/>
              </w:rPr>
              <w:t>（更正）</w:t>
            </w:r>
            <w:r>
              <w:rPr>
                <w:b/>
                <w:color w:val="auto"/>
                <w:highlight w:val="none"/>
                <w:u w:val="single"/>
              </w:rPr>
              <w:t>文件</w:t>
            </w:r>
            <w:r>
              <w:rPr>
                <w:rFonts w:hint="eastAsia"/>
                <w:b/>
                <w:color w:val="auto"/>
                <w:highlight w:val="none"/>
                <w:u w:val="single"/>
              </w:rPr>
              <w:t>，潜在供应商</w:t>
            </w:r>
            <w:r>
              <w:rPr>
                <w:b/>
                <w:color w:val="auto"/>
                <w:highlight w:val="none"/>
                <w:u w:val="single"/>
              </w:rPr>
              <w:t>在收到该澄清</w:t>
            </w:r>
            <w:r>
              <w:rPr>
                <w:rFonts w:hint="eastAsia" w:hAnsi="宋体"/>
                <w:b/>
                <w:color w:val="auto"/>
                <w:highlight w:val="none"/>
                <w:u w:val="single"/>
              </w:rPr>
              <w:t>（更正）</w:t>
            </w:r>
            <w:r>
              <w:rPr>
                <w:b/>
                <w:color w:val="auto"/>
                <w:highlight w:val="none"/>
                <w:u w:val="single"/>
              </w:rPr>
              <w:t>文件后应于1日内，以书面或传真形式（签署意见并加盖公章）向招标代理机构回函给予确认。过期未回复的，视为默认接受。</w:t>
            </w:r>
          </w:p>
        </w:tc>
      </w:tr>
      <w:tr>
        <w:tblPrEx>
          <w:tblCellMar>
            <w:top w:w="0" w:type="dxa"/>
            <w:left w:w="108" w:type="dxa"/>
            <w:bottom w:w="0" w:type="dxa"/>
            <w:right w:w="108" w:type="dxa"/>
          </w:tblCellMar>
        </w:tblPrEx>
        <w:trPr>
          <w:trHeight w:val="476" w:hRule="exac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8</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投标有效期</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rPr>
                <w:rFonts w:ascii="Times New Roman" w:hAnsi="Times New Roman"/>
                <w:color w:val="auto"/>
                <w:kern w:val="1"/>
                <w:highlight w:val="none"/>
              </w:rPr>
            </w:pPr>
            <w:r>
              <w:rPr>
                <w:rFonts w:ascii="Times New Roman" w:hAnsi="Times New Roman"/>
                <w:color w:val="auto"/>
                <w:kern w:val="1"/>
                <w:highlight w:val="none"/>
              </w:rPr>
              <w:t>自开标之日起60天（日历天）</w:t>
            </w:r>
          </w:p>
        </w:tc>
      </w:tr>
      <w:tr>
        <w:tblPrEx>
          <w:tblCellMar>
            <w:top w:w="0" w:type="dxa"/>
            <w:left w:w="108" w:type="dxa"/>
            <w:bottom w:w="0" w:type="dxa"/>
            <w:right w:w="108" w:type="dxa"/>
          </w:tblCellMar>
        </w:tblPrEx>
        <w:trPr>
          <w:trHeight w:val="4025" w:hRule="exac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9</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hint="eastAsia" w:ascii="Times New Roman" w:hAnsi="Times New Roman"/>
                <w:color w:val="auto"/>
                <w:kern w:val="1"/>
                <w:highlight w:val="none"/>
              </w:rPr>
            </w:pPr>
            <w:r>
              <w:rPr>
                <w:rFonts w:ascii="Times New Roman" w:hAnsi="Times New Roman"/>
                <w:color w:val="auto"/>
                <w:kern w:val="1"/>
                <w:highlight w:val="none"/>
              </w:rPr>
              <w:t>投标文件递交</w:t>
            </w:r>
            <w:r>
              <w:rPr>
                <w:rFonts w:hint="eastAsia" w:ascii="Times New Roman" w:hAnsi="Times New Roman"/>
                <w:color w:val="auto"/>
                <w:kern w:val="1"/>
                <w:highlight w:val="none"/>
              </w:rPr>
              <w:t>时间及方式</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rPr>
                <w:b/>
                <w:color w:val="auto"/>
                <w:highlight w:val="none"/>
                <w:u w:val="single"/>
              </w:rPr>
            </w:pPr>
            <w:r>
              <w:rPr>
                <w:rFonts w:hint="eastAsia"/>
                <w:b/>
                <w:color w:val="auto"/>
                <w:highlight w:val="none"/>
                <w:u w:val="single"/>
              </w:rPr>
              <w:t>投标人应于</w:t>
            </w:r>
            <w:r>
              <w:rPr>
                <w:rFonts w:hint="eastAsia"/>
                <w:b/>
                <w:color w:val="auto"/>
                <w:highlight w:val="none"/>
                <w:u w:val="single"/>
                <w:lang w:eastAsia="zh-CN"/>
              </w:rPr>
              <w:t>2022年06月02日上午14:00</w:t>
            </w:r>
            <w:r>
              <w:rPr>
                <w:rFonts w:hint="eastAsia"/>
                <w:b/>
                <w:color w:val="auto"/>
                <w:highlight w:val="none"/>
                <w:u w:val="single"/>
              </w:rPr>
              <w:t>前按照电子投标要求将电子加密标书上传到“政采云”平台，逾期或未上传成功的将导致无法投标或投标无效。</w:t>
            </w:r>
          </w:p>
          <w:p>
            <w:pPr>
              <w:pStyle w:val="146"/>
              <w:rPr>
                <w:rFonts w:hint="eastAsia" w:ascii="Calibri" w:hAnsi="Calibri"/>
                <w:b/>
                <w:color w:val="auto"/>
                <w:sz w:val="21"/>
                <w:szCs w:val="20"/>
                <w:highlight w:val="none"/>
                <w:u w:val="single"/>
              </w:rPr>
            </w:pPr>
            <w:r>
              <w:rPr>
                <w:rFonts w:hint="eastAsia" w:ascii="Calibri" w:hAnsi="Calibri"/>
                <w:b/>
                <w:color w:val="auto"/>
                <w:sz w:val="21"/>
                <w:szCs w:val="20"/>
                <w:highlight w:val="none"/>
                <w:u w:val="single"/>
              </w:rPr>
              <w:t>备注：为确保采购项目顺利实施，避免因政采云上电子投标文件解密失败导致投标方投标无效，投标方可在</w:t>
            </w:r>
            <w:r>
              <w:rPr>
                <w:rFonts w:hint="eastAsia" w:ascii="Calibri" w:hAnsi="Calibri"/>
                <w:b/>
                <w:color w:val="auto"/>
                <w:sz w:val="21"/>
                <w:szCs w:val="20"/>
                <w:highlight w:val="none"/>
                <w:u w:val="single"/>
                <w:lang w:eastAsia="zh-CN"/>
              </w:rPr>
              <w:t>2022年06月02日上午14:00</w:t>
            </w:r>
            <w:r>
              <w:rPr>
                <w:rFonts w:hint="eastAsia" w:ascii="Calibri" w:hAnsi="Calibri"/>
                <w:b/>
                <w:color w:val="auto"/>
                <w:sz w:val="21"/>
                <w:szCs w:val="20"/>
                <w:highlight w:val="none"/>
                <w:u w:val="single"/>
              </w:rPr>
              <w:t>前将在政采云平台上最后生成的具备电子签章的备份加密投标文件（文件名后缀为备份文件四字的首字母）以电子邮件方式传送至浙江省成套招标代理有限公司指定邮箱（</w:t>
            </w:r>
            <w:r>
              <w:rPr>
                <w:rFonts w:hint="eastAsia" w:ascii="Calibri" w:hAnsi="Calibri"/>
                <w:b/>
                <w:color w:val="auto"/>
                <w:sz w:val="21"/>
                <w:szCs w:val="20"/>
                <w:highlight w:val="none"/>
                <w:u w:val="single"/>
                <w:lang w:eastAsia="zh-CN"/>
              </w:rPr>
              <w:t>626736@qq.com</w:t>
            </w:r>
            <w:r>
              <w:rPr>
                <w:rFonts w:hint="eastAsia" w:ascii="Calibri" w:hAnsi="Calibri"/>
                <w:b/>
                <w:color w:val="auto"/>
                <w:sz w:val="21"/>
                <w:szCs w:val="20"/>
                <w:highlight w:val="none"/>
                <w:u w:val="single"/>
              </w:rPr>
              <w:t>），传送的备份电子投标文件需打包压缩并加密，加密密码由投标方自行保管，如政采云上电子投标文件出现解密失败情况（开标当日</w:t>
            </w:r>
            <w:r>
              <w:rPr>
                <w:rFonts w:hint="eastAsia" w:ascii="Calibri" w:hAnsi="Calibri"/>
                <w:b/>
                <w:color w:val="auto"/>
                <w:sz w:val="21"/>
                <w:szCs w:val="20"/>
                <w:highlight w:val="none"/>
                <w:u w:val="single"/>
                <w:lang w:eastAsia="zh-CN"/>
              </w:rPr>
              <w:t>14:00</w:t>
            </w:r>
            <w:r>
              <w:rPr>
                <w:rFonts w:hint="eastAsia" w:ascii="Calibri" w:hAnsi="Calibri"/>
                <w:b/>
                <w:color w:val="auto"/>
                <w:sz w:val="21"/>
                <w:szCs w:val="20"/>
                <w:highlight w:val="none"/>
                <w:u w:val="single"/>
              </w:rPr>
              <w:t>-</w:t>
            </w:r>
            <w:r>
              <w:rPr>
                <w:rFonts w:hint="eastAsia" w:ascii="Calibri" w:hAnsi="Calibri"/>
                <w:b/>
                <w:color w:val="auto"/>
                <w:sz w:val="21"/>
                <w:szCs w:val="20"/>
                <w:highlight w:val="none"/>
                <w:u w:val="single"/>
                <w:lang w:eastAsia="zh-CN"/>
              </w:rPr>
              <w:t>15:00</w:t>
            </w:r>
            <w:r>
              <w:rPr>
                <w:rFonts w:hint="eastAsia" w:ascii="Calibri" w:hAnsi="Calibri"/>
                <w:b/>
                <w:color w:val="auto"/>
                <w:sz w:val="21"/>
                <w:szCs w:val="20"/>
                <w:highlight w:val="none"/>
                <w:u w:val="single"/>
              </w:rPr>
              <w:t>期间进行解密），投标方可按照自身意愿确认是否同意提供加密密码解密传送至浙江省成套招标代理有限公司指定邮箱（</w:t>
            </w:r>
            <w:r>
              <w:rPr>
                <w:rFonts w:hint="eastAsia" w:ascii="Calibri" w:hAnsi="Calibri"/>
                <w:b/>
                <w:color w:val="auto"/>
                <w:sz w:val="21"/>
                <w:szCs w:val="20"/>
                <w:highlight w:val="none"/>
                <w:u w:val="single"/>
                <w:lang w:eastAsia="zh-CN"/>
              </w:rPr>
              <w:t>626736@qq.com</w:t>
            </w:r>
            <w:r>
              <w:rPr>
                <w:rFonts w:hint="eastAsia" w:ascii="Calibri" w:hAnsi="Calibri"/>
                <w:b/>
                <w:color w:val="auto"/>
                <w:sz w:val="21"/>
                <w:szCs w:val="20"/>
                <w:highlight w:val="none"/>
                <w:u w:val="single"/>
              </w:rPr>
              <w:t>）的备份文件，并以备份文件作为替代电子投标文件，如投标方未按照规定时间及要求提供有效备份文件，同时政采云上投标文件解密失败的，将导致投标无效。</w:t>
            </w:r>
          </w:p>
        </w:tc>
      </w:tr>
      <w:tr>
        <w:tblPrEx>
          <w:tblCellMar>
            <w:top w:w="0" w:type="dxa"/>
            <w:left w:w="108" w:type="dxa"/>
            <w:bottom w:w="0" w:type="dxa"/>
            <w:right w:w="108" w:type="dxa"/>
          </w:tblCellMar>
        </w:tblPrEx>
        <w:trPr>
          <w:trHeight w:val="473"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10</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投标保证金</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tabs>
                <w:tab w:val="left" w:pos="0"/>
              </w:tabs>
              <w:spacing w:line="264" w:lineRule="auto"/>
              <w:rPr>
                <w:rFonts w:ascii="Times New Roman" w:hAnsi="Times New Roman"/>
                <w:color w:val="auto"/>
                <w:kern w:val="1"/>
                <w:highlight w:val="none"/>
              </w:rPr>
            </w:pPr>
            <w:r>
              <w:rPr>
                <w:rFonts w:ascii="Times New Roman" w:hAnsi="Times New Roman"/>
                <w:b/>
                <w:color w:val="auto"/>
                <w:highlight w:val="none"/>
              </w:rPr>
              <w:t>无。</w:t>
            </w:r>
          </w:p>
        </w:tc>
      </w:tr>
      <w:tr>
        <w:tblPrEx>
          <w:tblCellMar>
            <w:top w:w="0" w:type="dxa"/>
            <w:left w:w="108" w:type="dxa"/>
            <w:bottom w:w="0" w:type="dxa"/>
            <w:right w:w="108" w:type="dxa"/>
          </w:tblCellMar>
        </w:tblPrEx>
        <w:trPr>
          <w:trHeight w:val="948"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11</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开标时间和地点</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rPr>
                <w:rFonts w:hint="eastAsia" w:ascii="Times New Roman" w:hAnsi="Times New Roman"/>
                <w:color w:val="auto"/>
                <w:kern w:val="1"/>
                <w:highlight w:val="none"/>
                <w:lang w:val="en-US" w:eastAsia="zh-CN"/>
              </w:rPr>
            </w:pPr>
            <w:r>
              <w:rPr>
                <w:rFonts w:ascii="Times New Roman" w:hAnsi="Times New Roman"/>
                <w:color w:val="auto"/>
                <w:kern w:val="1"/>
                <w:highlight w:val="none"/>
              </w:rPr>
              <w:t>开标时间：</w:t>
            </w:r>
            <w:r>
              <w:rPr>
                <w:rFonts w:hint="eastAsia" w:ascii="Times New Roman" w:hAnsi="Times New Roman"/>
                <w:color w:val="auto"/>
                <w:kern w:val="1"/>
                <w:highlight w:val="none"/>
                <w:lang w:eastAsia="zh-CN"/>
              </w:rPr>
              <w:t>2022年06月02日</w:t>
            </w:r>
            <w:r>
              <w:rPr>
                <w:rFonts w:hint="eastAsia" w:ascii="Times New Roman" w:hAnsi="Times New Roman"/>
                <w:color w:val="auto"/>
                <w:kern w:val="1"/>
                <w:highlight w:val="none"/>
                <w:lang w:val="en-US" w:eastAsia="zh-CN"/>
              </w:rPr>
              <w:t>14:00</w:t>
            </w:r>
          </w:p>
          <w:p>
            <w:pPr>
              <w:spacing w:line="264" w:lineRule="auto"/>
              <w:rPr>
                <w:rFonts w:ascii="Times New Roman" w:hAnsi="Times New Roman"/>
                <w:color w:val="auto"/>
                <w:kern w:val="1"/>
                <w:highlight w:val="none"/>
              </w:rPr>
            </w:pPr>
            <w:r>
              <w:rPr>
                <w:rFonts w:ascii="Times New Roman" w:hAnsi="Times New Roman"/>
                <w:color w:val="auto"/>
                <w:kern w:val="1"/>
                <w:highlight w:val="none"/>
              </w:rPr>
              <w:t>开标地点：</w:t>
            </w:r>
            <w:r>
              <w:rPr>
                <w:rFonts w:hint="eastAsia" w:ascii="Times New Roman" w:hAnsi="Times New Roman"/>
                <w:color w:val="auto"/>
                <w:kern w:val="1"/>
                <w:highlight w:val="none"/>
              </w:rPr>
              <w:t>义乌市望道路300号行政服务中心四楼电子开标室</w:t>
            </w:r>
            <w:r>
              <w:rPr>
                <w:rFonts w:ascii="Times New Roman" w:hAnsi="Times New Roman"/>
                <w:color w:val="auto"/>
                <w:kern w:val="1"/>
                <w:highlight w:val="none"/>
              </w:rPr>
              <w:t>。</w:t>
            </w:r>
          </w:p>
          <w:p>
            <w:pPr>
              <w:spacing w:line="264" w:lineRule="auto"/>
              <w:rPr>
                <w:rFonts w:ascii="Times New Roman" w:hAnsi="Times New Roman"/>
                <w:color w:val="auto"/>
                <w:kern w:val="1"/>
                <w:highlight w:val="none"/>
              </w:rPr>
            </w:pPr>
            <w:r>
              <w:rPr>
                <w:rFonts w:hint="eastAsia"/>
                <w:b/>
                <w:color w:val="auto"/>
                <w:highlight w:val="none"/>
                <w:u w:val="single"/>
              </w:rPr>
              <w:t>投标方无需在开标当天到达开标现场对电子投标进行解密，可在公司办公场地登录“政采云”平台，用“项目采购-开标评标”功能进行解密投标文件，解密时限为开标时间后1小时内。</w:t>
            </w:r>
          </w:p>
        </w:tc>
      </w:tr>
      <w:tr>
        <w:tblPrEx>
          <w:tblCellMar>
            <w:top w:w="0" w:type="dxa"/>
            <w:left w:w="108" w:type="dxa"/>
            <w:bottom w:w="0" w:type="dxa"/>
            <w:right w:w="108" w:type="dxa"/>
          </w:tblCellMar>
        </w:tblPrEx>
        <w:trPr>
          <w:trHeight w:val="325"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12</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履约保证金</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spacing w:line="288" w:lineRule="auto"/>
              <w:rPr>
                <w:rFonts w:ascii="Times New Roman" w:hAnsi="Times New Roman"/>
                <w:color w:val="auto"/>
                <w:kern w:val="1"/>
                <w:highlight w:val="none"/>
              </w:rPr>
            </w:pPr>
            <w:r>
              <w:rPr>
                <w:rFonts w:ascii="Times New Roman" w:hAnsi="Times New Roman"/>
                <w:color w:val="auto"/>
                <w:kern w:val="1"/>
                <w:highlight w:val="none"/>
              </w:rPr>
              <w:t>无。</w:t>
            </w:r>
          </w:p>
        </w:tc>
      </w:tr>
      <w:tr>
        <w:tblPrEx>
          <w:tblCellMar>
            <w:top w:w="0" w:type="dxa"/>
            <w:left w:w="108" w:type="dxa"/>
            <w:bottom w:w="0" w:type="dxa"/>
            <w:right w:w="108" w:type="dxa"/>
          </w:tblCellMar>
        </w:tblPrEx>
        <w:trPr>
          <w:trHeight w:val="401" w:hRule="exac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13</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评标办法</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rPr>
                <w:rFonts w:ascii="Times New Roman" w:hAnsi="Times New Roman"/>
                <w:color w:val="auto"/>
                <w:kern w:val="1"/>
                <w:highlight w:val="none"/>
              </w:rPr>
            </w:pPr>
            <w:r>
              <w:rPr>
                <w:rFonts w:ascii="Times New Roman" w:hAnsi="Times New Roman"/>
                <w:color w:val="auto"/>
                <w:kern w:val="1"/>
                <w:highlight w:val="none"/>
              </w:rPr>
              <w:t>综合评分法。</w:t>
            </w:r>
          </w:p>
        </w:tc>
      </w:tr>
      <w:tr>
        <w:tblPrEx>
          <w:tblCellMar>
            <w:top w:w="0" w:type="dxa"/>
            <w:left w:w="108" w:type="dxa"/>
            <w:bottom w:w="0" w:type="dxa"/>
            <w:right w:w="108" w:type="dxa"/>
          </w:tblCellMar>
        </w:tblPrEx>
        <w:trPr>
          <w:trHeight w:val="432" w:hRule="exac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14</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sz w:val="20"/>
                <w:szCs w:val="18"/>
                <w:highlight w:val="none"/>
              </w:rPr>
            </w:pPr>
            <w:r>
              <w:rPr>
                <w:rFonts w:ascii="Times New Roman" w:hAnsi="Times New Roman"/>
                <w:color w:val="auto"/>
                <w:kern w:val="1"/>
                <w:highlight w:val="none"/>
              </w:rPr>
              <w:t>付款方式</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rPr>
                <w:rFonts w:ascii="Times New Roman" w:hAnsi="Times New Roman"/>
                <w:color w:val="auto"/>
                <w:kern w:val="1"/>
                <w:sz w:val="20"/>
                <w:szCs w:val="18"/>
                <w:highlight w:val="none"/>
              </w:rPr>
            </w:pPr>
            <w:r>
              <w:rPr>
                <w:rFonts w:ascii="Times New Roman" w:hAnsi="Times New Roman" w:eastAsia="宋体" w:cs="Times New Roman"/>
                <w:color w:val="auto"/>
                <w:kern w:val="1"/>
                <w:highlight w:val="none"/>
              </w:rPr>
              <w:t>详见第三章招标项目具体要求。</w:t>
            </w:r>
          </w:p>
        </w:tc>
      </w:tr>
      <w:tr>
        <w:tblPrEx>
          <w:tblCellMar>
            <w:top w:w="0" w:type="dxa"/>
            <w:left w:w="108" w:type="dxa"/>
            <w:bottom w:w="0" w:type="dxa"/>
            <w:right w:w="108" w:type="dxa"/>
          </w:tblCellMar>
        </w:tblPrEx>
        <w:trPr>
          <w:trHeight w:val="1344"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hint="default" w:ascii="Times New Roman" w:hAnsi="Times New Roman" w:eastAsia="宋体"/>
                <w:color w:val="auto"/>
                <w:kern w:val="1"/>
                <w:highlight w:val="none"/>
                <w:lang w:val="en-US" w:eastAsia="zh-CN"/>
              </w:rPr>
            </w:pPr>
            <w:r>
              <w:rPr>
                <w:rFonts w:hint="eastAsia" w:ascii="Times New Roman" w:hAnsi="Times New Roman"/>
                <w:color w:val="auto"/>
                <w:kern w:val="1"/>
                <w:highlight w:val="none"/>
                <w:lang w:val="en-US" w:eastAsia="zh-CN"/>
              </w:rPr>
              <w:t>15</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overflowPunct/>
              <w:topLinePunct w:val="0"/>
              <w:bidi w:val="0"/>
              <w:snapToGrid w:val="0"/>
              <w:spacing w:after="0" w:line="264" w:lineRule="auto"/>
              <w:jc w:val="center"/>
              <w:rPr>
                <w:rFonts w:ascii="Times New Roman" w:hAnsi="Times New Roman"/>
                <w:b/>
                <w:color w:val="auto"/>
                <w:spacing w:val="-8"/>
                <w:kern w:val="1"/>
                <w:highlight w:val="none"/>
              </w:rPr>
            </w:pPr>
            <w:r>
              <w:rPr>
                <w:rFonts w:hint="default" w:ascii="Times New Roman" w:hAnsi="Times New Roman" w:cs="Times New Roman"/>
                <w:highlight w:val="none"/>
              </w:rPr>
              <w:t>不良信为记录</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overflowPunct/>
              <w:topLinePunct w:val="0"/>
              <w:bidi w:val="0"/>
              <w:spacing w:after="0" w:line="264" w:lineRule="auto"/>
              <w:rPr>
                <w:rFonts w:ascii="Times New Roman" w:hAnsi="Times New Roman"/>
                <w:b/>
                <w:color w:val="auto"/>
                <w:spacing w:val="-8"/>
                <w:kern w:val="1"/>
                <w:highlight w:val="none"/>
              </w:rPr>
            </w:pPr>
            <w:r>
              <w:rPr>
                <w:rFonts w:hint="default" w:ascii="Times New Roman" w:hAnsi="Times New Roman" w:cs="Times New Roman"/>
                <w:bCs/>
                <w:highlight w:val="none"/>
              </w:rPr>
              <w:t>投标人在公开网站上能查到的被财政部或浙江省财政厅处理（或处罚）而处于暂停政府采购资格期的或处于暂停承接业务资格期的；或被国家级、浙江省级、义乌市级行业主管部门处罚处于暂停承接业务资格期的；或被义乌市政府采购监管部门列入不良行为还在公告期内的或者处于暂停政府采购资格期的；</w:t>
            </w:r>
            <w:r>
              <w:rPr>
                <w:rFonts w:hint="default" w:ascii="Times New Roman" w:hAnsi="Times New Roman" w:cs="Times New Roman"/>
                <w:highlight w:val="none"/>
              </w:rPr>
              <w:t>或被“信用中国”（www.creditchina.gov.cn）、中国政府采购网（www.ccgp.gov.cn）列入失信被执行人、重大税收违法案件当事人名单、政府采购严重违法失信行为记录名单的，其投标将作无效标处理。</w:t>
            </w:r>
          </w:p>
        </w:tc>
      </w:tr>
      <w:tr>
        <w:tblPrEx>
          <w:tblCellMar>
            <w:top w:w="0" w:type="dxa"/>
            <w:left w:w="108" w:type="dxa"/>
            <w:bottom w:w="0" w:type="dxa"/>
            <w:right w:w="108" w:type="dxa"/>
          </w:tblCellMar>
        </w:tblPrEx>
        <w:trPr>
          <w:trHeight w:val="1852"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hint="default" w:ascii="Times New Roman" w:hAnsi="Times New Roman" w:eastAsia="宋体"/>
                <w:color w:val="auto"/>
                <w:kern w:val="1"/>
                <w:highlight w:val="none"/>
                <w:lang w:val="en-US" w:eastAsia="zh-CN"/>
              </w:rPr>
            </w:pPr>
            <w:r>
              <w:rPr>
                <w:rFonts w:hint="eastAsia" w:ascii="Times New Roman" w:hAnsi="Times New Roman"/>
                <w:color w:val="auto"/>
                <w:kern w:val="1"/>
                <w:highlight w:val="none"/>
                <w:lang w:val="en-US" w:eastAsia="zh-CN"/>
              </w:rPr>
              <w:t>16</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b/>
                <w:color w:val="auto"/>
                <w:spacing w:val="-8"/>
                <w:kern w:val="1"/>
                <w:highlight w:val="none"/>
              </w:rPr>
            </w:pPr>
            <w:r>
              <w:rPr>
                <w:rFonts w:ascii="Times New Roman" w:hAnsi="Times New Roman"/>
                <w:color w:val="auto"/>
                <w:kern w:val="1"/>
                <w:szCs w:val="22"/>
                <w:highlight w:val="none"/>
              </w:rPr>
              <w:t>政府采购节能环保产品</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rPr>
                <w:highlight w:val="none"/>
              </w:rPr>
            </w:pPr>
            <w:r>
              <w:rPr>
                <w:rFonts w:hint="eastAsia"/>
                <w:highlight w:val="none"/>
                <w:lang w:val="en-US" w:eastAsia="zh-CN"/>
              </w:rPr>
              <w:t>1、</w:t>
            </w:r>
            <w:r>
              <w:rPr>
                <w:highlight w:val="none"/>
              </w:rPr>
              <w:t>根据财政部 发展改革委 生态环境部 市场监管总局关于调整优化节能产品、环境标志产品政府采购执行机制的通知财库〔2019〕9号文件要求，投标方所投产品如属于节能产品政府采购品目清单或环境标志产品政府从采购品目清单内的，投标人所投的相应产品须在中国政府采购网节能清单查询目录（http://www.ccgp.gov.cn/search/jnqdchaxun.htm）或环保清单查询目录（http://www.ccgp.gov.cn/search/hbqdchaxun.htm）中可查询到。</w:t>
            </w:r>
          </w:p>
          <w:p>
            <w:pPr>
              <w:spacing w:line="264" w:lineRule="auto"/>
              <w:rPr>
                <w:rFonts w:ascii="Times New Roman" w:hAnsi="Times New Roman"/>
                <w:b/>
                <w:color w:val="auto"/>
                <w:spacing w:val="-8"/>
                <w:kern w:val="1"/>
                <w:highlight w:val="none"/>
              </w:rPr>
            </w:pPr>
            <w:r>
              <w:rPr>
                <w:rFonts w:hint="eastAsia"/>
                <w:highlight w:val="none"/>
              </w:rPr>
              <w:t>★2、招标需求中要求提供的产品属于节能产品政府采购品目清单中强制采购的，投标人须提供该清单内产品，否则其投标将作为无效标处理。</w:t>
            </w:r>
          </w:p>
        </w:tc>
      </w:tr>
      <w:tr>
        <w:tblPrEx>
          <w:tblCellMar>
            <w:top w:w="0" w:type="dxa"/>
            <w:left w:w="108" w:type="dxa"/>
            <w:bottom w:w="0" w:type="dxa"/>
            <w:right w:w="108" w:type="dxa"/>
          </w:tblCellMar>
        </w:tblPrEx>
        <w:trPr>
          <w:trHeight w:val="425"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hint="default" w:ascii="Times New Roman" w:hAnsi="Times New Roman" w:eastAsia="宋体" w:cs="Times New Roman"/>
                <w:color w:val="auto"/>
                <w:kern w:val="1"/>
                <w:highlight w:val="none"/>
                <w:lang w:val="en-US" w:eastAsia="zh-CN"/>
              </w:rPr>
            </w:pPr>
            <w:r>
              <w:rPr>
                <w:rFonts w:hint="eastAsia" w:ascii="Times New Roman" w:hAnsi="Times New Roman" w:eastAsia="宋体" w:cs="Times New Roman"/>
                <w:color w:val="auto"/>
                <w:kern w:val="1"/>
                <w:highlight w:val="none"/>
                <w:lang w:val="en-US" w:eastAsia="zh-CN"/>
              </w:rPr>
              <w:t>17</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hint="eastAsia" w:ascii="Times New Roman" w:hAnsi="Times New Roman" w:eastAsia="宋体" w:cs="Times New Roman"/>
                <w:color w:val="auto"/>
                <w:kern w:val="1"/>
                <w:highlight w:val="none"/>
                <w:lang w:val="en-US" w:eastAsia="zh-CN"/>
              </w:rPr>
            </w:pPr>
            <w:r>
              <w:rPr>
                <w:rFonts w:hint="eastAsia" w:ascii="Times New Roman" w:hAnsi="Times New Roman" w:eastAsia="宋体" w:cs="Times New Roman"/>
                <w:color w:val="auto"/>
                <w:kern w:val="1"/>
                <w:highlight w:val="none"/>
                <w:lang w:val="en-US" w:eastAsia="zh-CN"/>
              </w:rPr>
              <w:t>小微企业有关政策</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exact"/>
              <w:rPr>
                <w:rFonts w:hint="eastAsia" w:ascii="宋体" w:hAnsi="宋体" w:eastAsia="宋体" w:cs="Times New Roman"/>
                <w:color w:val="auto"/>
                <w:highlight w:val="none"/>
              </w:rPr>
            </w:pPr>
            <w:r>
              <w:rPr>
                <w:rFonts w:hint="eastAsia" w:ascii="宋体" w:hAnsi="宋体" w:eastAsia="宋体" w:cs="Times New Roman"/>
                <w:color w:val="auto"/>
                <w:highlight w:val="none"/>
              </w:rPr>
              <w:t>1、根据财库[2020]46号《政府采购促进中小企业发展管理办法》的相关规定，未预留份额专门面向中小企业采购的采购项目，以及预留份额项目中的非预留部分标段，在评审时对符合该办法规定的小微企业的投标报价给予</w:t>
            </w:r>
            <w:r>
              <w:rPr>
                <w:rFonts w:hint="eastAsia" w:ascii="宋体" w:hAnsi="宋体" w:eastAsia="宋体" w:cs="Times New Roman"/>
                <w:color w:val="auto"/>
                <w:highlight w:val="none"/>
                <w:lang w:eastAsia="zh-CN"/>
              </w:rPr>
              <w:t>10%</w:t>
            </w:r>
            <w:r>
              <w:rPr>
                <w:rFonts w:hint="eastAsia" w:ascii="宋体" w:hAnsi="宋体" w:eastAsia="宋体" w:cs="Times New Roman"/>
                <w:color w:val="auto"/>
                <w:highlight w:val="none"/>
              </w:rPr>
              <w:t>的扣除，取扣除后的价格作为评审投标报价（此评审投标报价仅在评标时使用）。享受相关中小企业扶持政策的投标人，必须在投标文件中提供《中小企业声明函》。</w:t>
            </w:r>
          </w:p>
          <w:p>
            <w:pPr>
              <w:snapToGrid w:val="0"/>
              <w:spacing w:line="360" w:lineRule="exact"/>
              <w:rPr>
                <w:rFonts w:hint="eastAsia" w:ascii="宋体" w:hAnsi="宋体" w:eastAsia="宋体" w:cs="Times New Roman"/>
                <w:color w:val="auto"/>
                <w:highlight w:val="none"/>
              </w:rPr>
            </w:pPr>
            <w:r>
              <w:rPr>
                <w:rFonts w:hint="eastAsia" w:ascii="宋体" w:hAnsi="宋体" w:eastAsia="宋体" w:cs="Times New Roman"/>
                <w:color w:val="auto"/>
                <w:highlight w:val="none"/>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snapToGrid w:val="0"/>
              <w:spacing w:line="360" w:lineRule="exact"/>
              <w:rPr>
                <w:rFonts w:hint="eastAsia" w:ascii="宋体" w:hAnsi="宋体" w:eastAsia="宋体" w:cs="Times New Roman"/>
                <w:color w:val="auto"/>
                <w:highlight w:val="none"/>
              </w:rPr>
            </w:pPr>
            <w:r>
              <w:rPr>
                <w:rFonts w:hint="eastAsia" w:ascii="宋体" w:hAnsi="宋体" w:eastAsia="宋体" w:cs="Times New Roman"/>
                <w:color w:val="auto"/>
                <w:highlight w:val="none"/>
              </w:rPr>
              <w:t>3、根据财库[2014]68号的相关规定，在政府采购活动中，监狱企业视同小型、微型企业，享受评审中价格扣除政策，并在投标文件中提供由省级以上监狱管理局、戒毒管理局（含新疆生产建设兵团）出具的属于监狱企业的声明文件（格式自拟）。</w:t>
            </w:r>
          </w:p>
          <w:p>
            <w:pPr>
              <w:snapToGrid w:val="0"/>
              <w:spacing w:line="360" w:lineRule="exact"/>
              <w:rPr>
                <w:rFonts w:hint="eastAsia" w:ascii="宋体" w:hAnsi="宋体" w:eastAsia="宋体" w:cs="Times New Roman"/>
                <w:color w:val="auto"/>
                <w:highlight w:val="none"/>
              </w:rPr>
            </w:pPr>
            <w:r>
              <w:rPr>
                <w:rFonts w:hint="eastAsia" w:ascii="宋体" w:hAnsi="宋体" w:eastAsia="宋体" w:cs="Times New Roman"/>
                <w:color w:val="auto"/>
                <w:highlight w:val="none"/>
              </w:rPr>
              <w:t>4、同一投标人，小微企业、监狱企业、残疾人福利性单位价格扣除优惠只享受一次，不得重复享受。</w:t>
            </w:r>
          </w:p>
          <w:p>
            <w:pPr>
              <w:snapToGrid w:val="0"/>
              <w:spacing w:line="360" w:lineRule="exact"/>
              <w:rPr>
                <w:rFonts w:ascii="Times New Roman" w:hAnsi="Times New Roman"/>
                <w:color w:val="auto"/>
                <w:highlight w:val="none"/>
              </w:rPr>
            </w:pPr>
            <w:r>
              <w:rPr>
                <w:rFonts w:hint="eastAsia" w:ascii="宋体" w:hAnsi="宋体" w:eastAsia="宋体" w:cs="Times New Roman"/>
                <w:b/>
                <w:bCs/>
                <w:color w:val="auto"/>
                <w:highlight w:val="none"/>
                <w:lang w:val="en-US" w:eastAsia="zh-CN"/>
              </w:rPr>
              <w:t>(注：未提供以上材料的，均不给予价格扣除）。</w:t>
            </w:r>
          </w:p>
        </w:tc>
      </w:tr>
      <w:tr>
        <w:tblPrEx>
          <w:tblCellMar>
            <w:top w:w="0" w:type="dxa"/>
            <w:left w:w="108" w:type="dxa"/>
            <w:bottom w:w="0" w:type="dxa"/>
            <w:right w:w="108" w:type="dxa"/>
          </w:tblCellMar>
        </w:tblPrEx>
        <w:trPr>
          <w:trHeight w:val="1393"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hint="default" w:ascii="Times New Roman" w:hAnsi="Times New Roman" w:eastAsia="宋体"/>
                <w:color w:val="auto"/>
                <w:kern w:val="1"/>
                <w:highlight w:val="none"/>
                <w:lang w:val="en-US" w:eastAsia="zh-CN"/>
              </w:rPr>
            </w:pPr>
            <w:r>
              <w:rPr>
                <w:rFonts w:hint="eastAsia" w:ascii="Times New Roman" w:hAnsi="Times New Roman"/>
                <w:color w:val="auto"/>
                <w:kern w:val="1"/>
                <w:highlight w:val="none"/>
                <w:lang w:val="en-US" w:eastAsia="zh-CN"/>
              </w:rPr>
              <w:t>18</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overflowPunct/>
              <w:topLinePunct w:val="0"/>
              <w:bidi w:val="0"/>
              <w:snapToGrid w:val="0"/>
              <w:spacing w:after="0" w:line="264" w:lineRule="auto"/>
              <w:jc w:val="center"/>
              <w:rPr>
                <w:rFonts w:ascii="Times New Roman" w:hAnsi="Times New Roman"/>
                <w:b/>
                <w:color w:val="auto"/>
                <w:spacing w:val="-8"/>
                <w:kern w:val="1"/>
                <w:highlight w:val="none"/>
              </w:rPr>
            </w:pPr>
            <w:r>
              <w:rPr>
                <w:rFonts w:hint="default" w:ascii="Times New Roman" w:hAnsi="Times New Roman" w:cs="Times New Roman"/>
                <w:highlight w:val="none"/>
              </w:rPr>
              <w:t>政采贷</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val="0"/>
              <w:kinsoku/>
              <w:overflowPunct/>
              <w:topLinePunct w:val="0"/>
              <w:bidi w:val="0"/>
              <w:snapToGrid w:val="0"/>
              <w:spacing w:after="0" w:line="264" w:lineRule="auto"/>
              <w:rPr>
                <w:rFonts w:ascii="Times New Roman" w:hAnsi="Times New Roman"/>
                <w:b/>
                <w:color w:val="auto"/>
                <w:spacing w:val="-8"/>
                <w:kern w:val="1"/>
                <w:highlight w:val="none"/>
              </w:rPr>
            </w:pPr>
            <w:r>
              <w:rPr>
                <w:rFonts w:hint="default" w:ascii="Times New Roman" w:hAnsi="Times New Roman" w:cs="Times New Roman"/>
                <w:highlight w:val="none"/>
              </w:rPr>
              <w:t>为支持和促进中小企业发展，进一步发挥政府采购政策功能，根据《义乌市政府采购支持中小企业信用融资暂行办法》，供应商若有融资意向，</w:t>
            </w:r>
            <w:r>
              <w:rPr>
                <w:rFonts w:hint="eastAsia" w:ascii="Times New Roman" w:hAnsi="Times New Roman" w:cs="Times New Roman"/>
                <w:highlight w:val="none"/>
                <w:lang w:eastAsia="zh-CN"/>
              </w:rPr>
              <w:t>登录</w:t>
            </w:r>
            <w:r>
              <w:rPr>
                <w:rFonts w:hint="default" w:ascii="Times New Roman" w:hAnsi="Times New Roman" w:cs="Times New Roman"/>
                <w:highlight w:val="none"/>
              </w:rPr>
              <w:t>义乌市公共资源交易平台（http://ywjypt.yw.gov.cn/）“政采贷”专栏进行查询，查看信用融资政策文件及各相关银行服务方案。</w:t>
            </w:r>
          </w:p>
        </w:tc>
      </w:tr>
      <w:tr>
        <w:tblPrEx>
          <w:tblCellMar>
            <w:top w:w="0" w:type="dxa"/>
            <w:left w:w="108" w:type="dxa"/>
            <w:bottom w:w="0" w:type="dxa"/>
            <w:right w:w="108" w:type="dxa"/>
          </w:tblCellMar>
        </w:tblPrEx>
        <w:trPr>
          <w:trHeight w:val="2074"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hint="default" w:ascii="Times New Roman" w:hAnsi="Times New Roman" w:eastAsia="宋体"/>
                <w:color w:val="auto"/>
                <w:kern w:val="1"/>
                <w:highlight w:val="none"/>
                <w:lang w:val="en-US" w:eastAsia="zh-CN"/>
              </w:rPr>
            </w:pPr>
            <w:r>
              <w:rPr>
                <w:rFonts w:hint="eastAsia" w:ascii="Times New Roman" w:hAnsi="Times New Roman"/>
                <w:color w:val="auto"/>
                <w:kern w:val="1"/>
                <w:highlight w:val="none"/>
                <w:lang w:val="en-US" w:eastAsia="zh-CN"/>
              </w:rPr>
              <w:t>19</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szCs w:val="22"/>
                <w:highlight w:val="none"/>
              </w:rPr>
              <w:t>失信行为处理</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color w:val="auto"/>
                <w:highlight w:val="none"/>
              </w:rPr>
            </w:pPr>
            <w:r>
              <w:rPr>
                <w:rFonts w:ascii="Times New Roman" w:hAnsi="Times New Roman"/>
                <w:color w:val="auto"/>
                <w:highlight w:val="none"/>
              </w:rPr>
              <w:t>投标人发生下列情况之一时，将按严重失信行为上报信用办记入政府采购严重失信行为记录名单：</w:t>
            </w:r>
          </w:p>
          <w:p>
            <w:pPr>
              <w:rPr>
                <w:rFonts w:ascii="Times New Roman" w:hAnsi="Times New Roman"/>
                <w:color w:val="auto"/>
                <w:highlight w:val="none"/>
              </w:rPr>
            </w:pPr>
            <w:r>
              <w:rPr>
                <w:rFonts w:ascii="Times New Roman" w:hAnsi="Times New Roman"/>
                <w:color w:val="auto"/>
                <w:highlight w:val="none"/>
              </w:rPr>
              <w:t>（1）投标人在规定的投标有效期内撤回投标或放弃中标的；</w:t>
            </w:r>
          </w:p>
          <w:p>
            <w:pPr>
              <w:rPr>
                <w:rFonts w:ascii="Times New Roman" w:hAnsi="Times New Roman"/>
                <w:color w:val="auto"/>
                <w:highlight w:val="none"/>
              </w:rPr>
            </w:pPr>
            <w:r>
              <w:rPr>
                <w:rFonts w:ascii="Times New Roman" w:hAnsi="Times New Roman"/>
                <w:color w:val="auto"/>
                <w:highlight w:val="none"/>
              </w:rPr>
              <w:t>（2）有意串标或提供虚假材料的；</w:t>
            </w:r>
          </w:p>
          <w:p>
            <w:pPr>
              <w:rPr>
                <w:rFonts w:ascii="Times New Roman" w:hAnsi="Times New Roman"/>
                <w:color w:val="auto"/>
                <w:highlight w:val="none"/>
              </w:rPr>
            </w:pPr>
            <w:r>
              <w:rPr>
                <w:rFonts w:ascii="Times New Roman" w:hAnsi="Times New Roman"/>
                <w:color w:val="auto"/>
                <w:highlight w:val="none"/>
              </w:rPr>
              <w:t>（3）中标人在收到中标通知书后，因自身原因不能在投标有效期内和采购人签订合同；</w:t>
            </w:r>
          </w:p>
          <w:p>
            <w:pPr>
              <w:rPr>
                <w:rFonts w:ascii="Times New Roman" w:hAnsi="Times New Roman"/>
                <w:color w:val="auto"/>
                <w:highlight w:val="none"/>
              </w:rPr>
            </w:pPr>
            <w:r>
              <w:rPr>
                <w:rFonts w:ascii="Times New Roman" w:hAnsi="Times New Roman"/>
                <w:color w:val="auto"/>
                <w:highlight w:val="none"/>
              </w:rPr>
              <w:t>（4）中标供应商在标后履约过程中未按合同约定的期限和要求履约的；</w:t>
            </w:r>
          </w:p>
          <w:p>
            <w:pPr>
              <w:rPr>
                <w:rFonts w:ascii="Times New Roman" w:hAnsi="Times New Roman"/>
                <w:color w:val="auto"/>
                <w:highlight w:val="none"/>
              </w:rPr>
            </w:pPr>
            <w:r>
              <w:rPr>
                <w:rFonts w:ascii="Times New Roman" w:hAnsi="Times New Roman"/>
                <w:color w:val="auto"/>
                <w:highlight w:val="none"/>
              </w:rPr>
              <w:t>（5）因中标供应商原因在标后履约过程中擅自终止合同的；</w:t>
            </w:r>
          </w:p>
          <w:p>
            <w:pPr>
              <w:rPr>
                <w:rFonts w:ascii="Times New Roman" w:hAnsi="Times New Roman"/>
                <w:color w:val="auto"/>
                <w:highlight w:val="none"/>
              </w:rPr>
            </w:pPr>
            <w:r>
              <w:rPr>
                <w:rFonts w:ascii="Times New Roman" w:hAnsi="Times New Roman"/>
                <w:color w:val="auto"/>
                <w:highlight w:val="none"/>
              </w:rPr>
              <w:t>（6）不符合招标文件要求的其他失信行为；</w:t>
            </w:r>
          </w:p>
          <w:p>
            <w:pPr>
              <w:rPr>
                <w:rFonts w:ascii="Times New Roman" w:hAnsi="Times New Roman"/>
                <w:color w:val="auto"/>
                <w:kern w:val="1"/>
                <w:szCs w:val="21"/>
                <w:highlight w:val="none"/>
              </w:rPr>
            </w:pPr>
            <w:r>
              <w:rPr>
                <w:rFonts w:ascii="Times New Roman" w:hAnsi="Times New Roman"/>
                <w:color w:val="auto"/>
                <w:highlight w:val="none"/>
              </w:rPr>
              <w:t>（7）中标人未按招标文件规定缴纳招标代理费的。</w:t>
            </w:r>
          </w:p>
        </w:tc>
      </w:tr>
      <w:tr>
        <w:tblPrEx>
          <w:tblCellMar>
            <w:top w:w="0" w:type="dxa"/>
            <w:left w:w="108" w:type="dxa"/>
            <w:bottom w:w="0" w:type="dxa"/>
            <w:right w:w="108" w:type="dxa"/>
          </w:tblCellMar>
        </w:tblPrEx>
        <w:trPr>
          <w:trHeight w:val="1770" w:hRule="atLeast"/>
          <w:jc w:val="center"/>
        </w:trPr>
        <w:tc>
          <w:tcPr>
            <w:tcW w:w="797"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hint="default" w:ascii="Times New Roman" w:hAnsi="Times New Roman" w:eastAsia="宋体"/>
                <w:color w:val="auto"/>
                <w:kern w:val="1"/>
                <w:highlight w:val="none"/>
                <w:lang w:val="en-US" w:eastAsia="zh-CN"/>
              </w:rPr>
            </w:pPr>
            <w:r>
              <w:rPr>
                <w:rFonts w:hint="eastAsia" w:ascii="Times New Roman" w:hAnsi="Times New Roman"/>
                <w:color w:val="auto"/>
                <w:kern w:val="1"/>
                <w:highlight w:val="none"/>
                <w:lang w:val="en-US" w:eastAsia="zh-CN"/>
              </w:rPr>
              <w:t>20</w:t>
            </w:r>
          </w:p>
        </w:tc>
        <w:tc>
          <w:tcPr>
            <w:tcW w:w="1504"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jc w:val="center"/>
              <w:rPr>
                <w:rFonts w:ascii="Times New Roman" w:hAnsi="Times New Roman"/>
                <w:color w:val="auto"/>
                <w:kern w:val="1"/>
                <w:highlight w:val="none"/>
              </w:rPr>
            </w:pPr>
            <w:r>
              <w:rPr>
                <w:rFonts w:ascii="Times New Roman" w:hAnsi="Times New Roman"/>
                <w:color w:val="auto"/>
                <w:kern w:val="1"/>
                <w:highlight w:val="none"/>
              </w:rPr>
              <w:t>其他</w:t>
            </w:r>
          </w:p>
        </w:tc>
        <w:tc>
          <w:tcPr>
            <w:tcW w:w="7226" w:type="dxa"/>
            <w:tcBorders>
              <w:top w:val="single" w:color="000000" w:sz="4" w:space="0"/>
              <w:left w:val="single" w:color="000000" w:sz="4" w:space="0"/>
              <w:bottom w:val="single" w:color="000000" w:sz="4" w:space="0"/>
              <w:right w:val="single" w:color="000000" w:sz="4" w:space="0"/>
            </w:tcBorders>
            <w:noWrap w:val="0"/>
            <w:vAlign w:val="center"/>
          </w:tcPr>
          <w:p>
            <w:pPr>
              <w:spacing w:line="264" w:lineRule="auto"/>
              <w:rPr>
                <w:rFonts w:ascii="Times New Roman" w:hAnsi="Times New Roman"/>
                <w:color w:val="auto"/>
                <w:kern w:val="1"/>
                <w:highlight w:val="none"/>
              </w:rPr>
            </w:pPr>
            <w:r>
              <w:rPr>
                <w:rFonts w:ascii="Times New Roman" w:hAnsi="Times New Roman"/>
                <w:color w:val="auto"/>
                <w:kern w:val="1"/>
                <w:szCs w:val="22"/>
                <w:highlight w:val="none"/>
              </w:rPr>
              <w:t>1、本项目预算价即为最高限价，投</w:t>
            </w:r>
            <w:r>
              <w:rPr>
                <w:rFonts w:ascii="Times New Roman" w:hAnsi="Times New Roman"/>
                <w:color w:val="auto"/>
                <w:kern w:val="1"/>
                <w:highlight w:val="none"/>
              </w:rPr>
              <w:t>标报价超过最高限价，其投标为无效标。</w:t>
            </w:r>
          </w:p>
          <w:p>
            <w:pPr>
              <w:spacing w:line="264" w:lineRule="auto"/>
              <w:rPr>
                <w:rFonts w:ascii="Times New Roman" w:hAnsi="Times New Roman"/>
                <w:color w:val="auto"/>
                <w:kern w:val="1"/>
                <w:highlight w:val="none"/>
              </w:rPr>
            </w:pPr>
            <w:r>
              <w:rPr>
                <w:rFonts w:ascii="Times New Roman" w:hAnsi="Times New Roman"/>
                <w:color w:val="auto"/>
                <w:kern w:val="1"/>
                <w:highlight w:val="none"/>
              </w:rPr>
              <w:t>2</w:t>
            </w:r>
            <w:r>
              <w:rPr>
                <w:rFonts w:ascii="Times New Roman" w:hAnsi="Times New Roman"/>
                <w:b/>
                <w:color w:val="auto"/>
                <w:kern w:val="1"/>
                <w:highlight w:val="none"/>
              </w:rPr>
              <w:t>、</w:t>
            </w:r>
            <w:r>
              <w:rPr>
                <w:rFonts w:ascii="Times New Roman" w:hAnsi="Times New Roman"/>
                <w:color w:val="auto"/>
                <w:kern w:val="1"/>
                <w:highlight w:val="none"/>
              </w:rPr>
              <w:t>招标文件中要求投标人在制作投标文件时，提供的复印件必须根据评审细则对评审的内容复印完整、清晰可辨，否则在评审时以最不利于投标人原则评审。</w:t>
            </w:r>
          </w:p>
        </w:tc>
      </w:tr>
    </w:tbl>
    <w:p>
      <w:pPr>
        <w:spacing w:line="360" w:lineRule="auto"/>
        <w:rPr>
          <w:rFonts w:ascii="Times New Roman" w:hAnsi="Times New Roman"/>
          <w:b/>
          <w:color w:val="auto"/>
          <w:kern w:val="1"/>
          <w:highlight w:val="none"/>
        </w:rPr>
      </w:pPr>
      <w:r>
        <w:rPr>
          <w:rFonts w:ascii="Times New Roman" w:hAnsi="Times New Roman"/>
          <w:b/>
          <w:color w:val="auto"/>
          <w:kern w:val="1"/>
          <w:highlight w:val="none"/>
        </w:rPr>
        <w:t>注：投标人须知前附表内容与本招标文件后述内容不一致的，以投标须知前附表为准。</w:t>
      </w:r>
    </w:p>
    <w:p>
      <w:pPr>
        <w:pStyle w:val="4"/>
        <w:spacing w:before="0" w:after="0" w:line="360" w:lineRule="auto"/>
        <w:jc w:val="center"/>
        <w:rPr>
          <w:rFonts w:ascii="Times New Roman" w:hAnsi="Times New Roman"/>
          <w:color w:val="auto"/>
          <w:sz w:val="36"/>
          <w:highlight w:val="none"/>
        </w:rPr>
      </w:pPr>
      <w:bookmarkStart w:id="2" w:name="_Toc362250686"/>
      <w:bookmarkEnd w:id="2"/>
      <w:bookmarkStart w:id="3" w:name="_Toc274303228"/>
      <w:bookmarkEnd w:id="3"/>
    </w:p>
    <w:p>
      <w:pPr>
        <w:pStyle w:val="4"/>
        <w:spacing w:before="0" w:after="0" w:line="360" w:lineRule="auto"/>
        <w:jc w:val="center"/>
        <w:rPr>
          <w:rFonts w:ascii="Times New Roman" w:hAnsi="Times New Roman"/>
          <w:color w:val="auto"/>
          <w:sz w:val="36"/>
          <w:highlight w:val="none"/>
        </w:rPr>
      </w:pPr>
      <w:r>
        <w:rPr>
          <w:rFonts w:ascii="Times New Roman" w:hAnsi="Times New Roman"/>
          <w:color w:val="auto"/>
          <w:sz w:val="36"/>
          <w:highlight w:val="none"/>
        </w:rPr>
        <w:br w:type="page"/>
      </w:r>
      <w:bookmarkStart w:id="4" w:name="_Toc34950000"/>
      <w:r>
        <w:rPr>
          <w:rFonts w:ascii="Times New Roman" w:hAnsi="Times New Roman"/>
          <w:color w:val="auto"/>
          <w:sz w:val="32"/>
          <w:highlight w:val="none"/>
        </w:rPr>
        <w:t>投标须知</w:t>
      </w:r>
      <w:bookmarkEnd w:id="4"/>
    </w:p>
    <w:p>
      <w:pPr>
        <w:pStyle w:val="5"/>
        <w:pageBreakBefore w:val="0"/>
        <w:numPr>
          <w:ilvl w:val="1"/>
          <w:numId w:val="3"/>
        </w:numPr>
        <w:kinsoku/>
        <w:wordWrap/>
        <w:overflowPunct/>
        <w:topLinePunct w:val="0"/>
        <w:autoSpaceDE/>
        <w:autoSpaceDN/>
        <w:bidi w:val="0"/>
        <w:adjustRightInd/>
        <w:snapToGrid/>
        <w:spacing w:before="0" w:after="0" w:line="360" w:lineRule="auto"/>
        <w:textAlignment w:val="auto"/>
        <w:rPr>
          <w:rFonts w:ascii="Times New Roman" w:hAnsi="Times New Roman" w:eastAsia="宋体"/>
          <w:color w:val="auto"/>
          <w:sz w:val="21"/>
          <w:highlight w:val="none"/>
        </w:rPr>
      </w:pPr>
      <w:bookmarkStart w:id="5" w:name="_Toc274303229"/>
      <w:bookmarkEnd w:id="5"/>
      <w:bookmarkStart w:id="6" w:name="_Toc362250687"/>
      <w:bookmarkEnd w:id="6"/>
      <w:bookmarkStart w:id="7" w:name="_Toc34950001"/>
      <w:r>
        <w:rPr>
          <w:rFonts w:ascii="Times New Roman" w:hAnsi="Times New Roman" w:eastAsia="宋体"/>
          <w:color w:val="auto"/>
          <w:sz w:val="21"/>
          <w:highlight w:val="none"/>
        </w:rPr>
        <w:t>一、说明</w:t>
      </w:r>
      <w:bookmarkEnd w:id="7"/>
    </w:p>
    <w:p>
      <w:pPr>
        <w:pStyle w:val="3"/>
        <w:pageBreakBefore w:val="0"/>
        <w:kinsoku/>
        <w:wordWrap/>
        <w:overflowPunct/>
        <w:topLinePunct w:val="0"/>
        <w:autoSpaceDE/>
        <w:autoSpaceDN/>
        <w:bidi w:val="0"/>
        <w:adjustRightInd/>
        <w:snapToGrid/>
        <w:spacing w:line="360" w:lineRule="auto"/>
        <w:ind w:firstLine="422"/>
        <w:jc w:val="both"/>
        <w:textAlignment w:val="auto"/>
        <w:rPr>
          <w:rFonts w:ascii="Times New Roman" w:hAnsi="Times New Roman"/>
          <w:color w:val="auto"/>
          <w:sz w:val="21"/>
          <w:highlight w:val="none"/>
        </w:rPr>
      </w:pPr>
      <w:r>
        <w:rPr>
          <w:rFonts w:ascii="Times New Roman" w:hAnsi="Times New Roman"/>
          <w:color w:val="auto"/>
          <w:sz w:val="21"/>
          <w:highlight w:val="none"/>
        </w:rPr>
        <w:t>1、适用范围</w:t>
      </w:r>
    </w:p>
    <w:p>
      <w:pPr>
        <w:pStyle w:val="3"/>
        <w:pageBreakBefore w:val="0"/>
        <w:kinsoku/>
        <w:wordWrap/>
        <w:overflowPunct/>
        <w:topLinePunct w:val="0"/>
        <w:autoSpaceDE/>
        <w:autoSpaceDN/>
        <w:bidi w:val="0"/>
        <w:adjustRightInd/>
        <w:snapToGrid/>
        <w:spacing w:line="360" w:lineRule="auto"/>
        <w:ind w:firstLine="420"/>
        <w:jc w:val="both"/>
        <w:textAlignment w:val="auto"/>
        <w:rPr>
          <w:rFonts w:ascii="Times New Roman" w:hAnsi="Times New Roman"/>
          <w:b w:val="0"/>
          <w:color w:val="auto"/>
          <w:sz w:val="21"/>
          <w:highlight w:val="none"/>
        </w:rPr>
      </w:pPr>
      <w:r>
        <w:rPr>
          <w:rFonts w:ascii="Times New Roman" w:hAnsi="Times New Roman"/>
          <w:b w:val="0"/>
          <w:color w:val="auto"/>
          <w:sz w:val="21"/>
          <w:highlight w:val="none"/>
        </w:rPr>
        <w:t>1.1 本招标文件仅适用于本次招标采购所叙述的货物和服务项目。</w:t>
      </w:r>
    </w:p>
    <w:p>
      <w:pPr>
        <w:pStyle w:val="3"/>
        <w:pageBreakBefore w:val="0"/>
        <w:kinsoku/>
        <w:wordWrap/>
        <w:overflowPunct/>
        <w:topLinePunct w:val="0"/>
        <w:autoSpaceDE/>
        <w:autoSpaceDN/>
        <w:bidi w:val="0"/>
        <w:adjustRightInd/>
        <w:snapToGrid/>
        <w:spacing w:line="360" w:lineRule="auto"/>
        <w:ind w:firstLine="422"/>
        <w:jc w:val="both"/>
        <w:textAlignment w:val="auto"/>
        <w:rPr>
          <w:rFonts w:ascii="Times New Roman" w:hAnsi="Times New Roman"/>
          <w:color w:val="auto"/>
          <w:sz w:val="21"/>
          <w:highlight w:val="none"/>
        </w:rPr>
      </w:pPr>
      <w:r>
        <w:rPr>
          <w:rFonts w:ascii="Times New Roman" w:hAnsi="Times New Roman"/>
          <w:color w:val="auto"/>
          <w:sz w:val="21"/>
          <w:highlight w:val="none"/>
        </w:rPr>
        <w:t>2、定义</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2.1采购人：系指</w:t>
      </w:r>
      <w:r>
        <w:rPr>
          <w:rFonts w:hint="eastAsia" w:ascii="Times New Roman" w:hAnsi="Times New Roman"/>
          <w:color w:val="auto"/>
          <w:highlight w:val="none"/>
          <w:lang w:eastAsia="zh-CN"/>
        </w:rPr>
        <w:t>义乌市文化和广电旅游体育局</w:t>
      </w:r>
      <w:r>
        <w:rPr>
          <w:rFonts w:ascii="Times New Roman" w:hAnsi="Times New Roman"/>
          <w:color w:val="auto"/>
          <w:highlight w:val="none"/>
        </w:rPr>
        <w:t>。</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2.2招标代理机构：系指组织本次招标工作的浙江省成套招标代理有限公司。</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2.3投标人：系指符合招标公告要求的投标供应商。</w:t>
      </w:r>
    </w:p>
    <w:p>
      <w:pPr>
        <w:pStyle w:val="3"/>
        <w:pageBreakBefore w:val="0"/>
        <w:kinsoku/>
        <w:wordWrap/>
        <w:overflowPunct/>
        <w:topLinePunct w:val="0"/>
        <w:autoSpaceDE/>
        <w:autoSpaceDN/>
        <w:bidi w:val="0"/>
        <w:adjustRightInd/>
        <w:snapToGrid/>
        <w:spacing w:line="360" w:lineRule="auto"/>
        <w:ind w:firstLine="420"/>
        <w:jc w:val="both"/>
        <w:textAlignment w:val="auto"/>
        <w:rPr>
          <w:rFonts w:ascii="Times New Roman" w:hAnsi="Times New Roman"/>
          <w:b w:val="0"/>
          <w:color w:val="auto"/>
          <w:sz w:val="21"/>
          <w:highlight w:val="none"/>
        </w:rPr>
      </w:pPr>
      <w:r>
        <w:rPr>
          <w:rFonts w:ascii="Times New Roman" w:hAnsi="Times New Roman"/>
          <w:b w:val="0"/>
          <w:color w:val="auto"/>
          <w:sz w:val="21"/>
          <w:highlight w:val="none"/>
        </w:rPr>
        <w:t>2.4服务：</w:t>
      </w:r>
      <w:r>
        <w:rPr>
          <w:rFonts w:ascii="Times New Roman" w:hAnsi="Times New Roman"/>
          <w:b w:val="0"/>
          <w:color w:val="auto"/>
          <w:kern w:val="0"/>
          <w:sz w:val="21"/>
          <w:highlight w:val="none"/>
        </w:rPr>
        <w:t>系指</w:t>
      </w:r>
      <w:r>
        <w:rPr>
          <w:rFonts w:ascii="Times New Roman" w:hAnsi="Times New Roman"/>
          <w:b w:val="0"/>
          <w:color w:val="auto"/>
          <w:sz w:val="21"/>
          <w:highlight w:val="none"/>
        </w:rPr>
        <w:t>招标文件规定投标人须承担的劳务及其它类似的服务。</w:t>
      </w:r>
    </w:p>
    <w:p>
      <w:pPr>
        <w:pStyle w:val="32"/>
        <w:pageBreakBefore w:val="0"/>
        <w:kinsoku/>
        <w:wordWrap/>
        <w:overflowPunct/>
        <w:topLinePunct w:val="0"/>
        <w:autoSpaceDE/>
        <w:autoSpaceDN/>
        <w:bidi w:val="0"/>
        <w:adjustRightInd/>
        <w:snapToGrid/>
        <w:spacing w:line="360" w:lineRule="auto"/>
        <w:ind w:firstLine="420"/>
        <w:textAlignment w:val="auto"/>
        <w:rPr>
          <w:rFonts w:ascii="Times New Roman" w:hAnsi="Times New Roman" w:eastAsia="宋体"/>
          <w:color w:val="auto"/>
          <w:sz w:val="21"/>
          <w:highlight w:val="none"/>
        </w:rPr>
      </w:pPr>
      <w:r>
        <w:rPr>
          <w:rFonts w:ascii="Times New Roman" w:hAnsi="Times New Roman" w:eastAsia="宋体"/>
          <w:color w:val="auto"/>
          <w:sz w:val="21"/>
          <w:highlight w:val="none"/>
        </w:rPr>
        <w:t>2.5货物：系指按招标文件规定投标人须向采购人提供的一切材料、设备、机械、仪器仪表、工具及其它有关技术资料和文字材料。</w:t>
      </w:r>
    </w:p>
    <w:p>
      <w:pPr>
        <w:pStyle w:val="3"/>
        <w:pageBreakBefore w:val="0"/>
        <w:kinsoku/>
        <w:wordWrap/>
        <w:overflowPunct/>
        <w:topLinePunct w:val="0"/>
        <w:autoSpaceDE/>
        <w:autoSpaceDN/>
        <w:bidi w:val="0"/>
        <w:adjustRightInd/>
        <w:snapToGrid/>
        <w:spacing w:line="360" w:lineRule="auto"/>
        <w:ind w:firstLine="420"/>
        <w:jc w:val="both"/>
        <w:textAlignment w:val="auto"/>
        <w:rPr>
          <w:rFonts w:ascii="Times New Roman" w:hAnsi="Times New Roman"/>
          <w:b w:val="0"/>
          <w:color w:val="auto"/>
          <w:sz w:val="21"/>
          <w:highlight w:val="none"/>
        </w:rPr>
      </w:pPr>
      <w:r>
        <w:rPr>
          <w:rFonts w:ascii="Times New Roman" w:hAnsi="Times New Roman"/>
          <w:b w:val="0"/>
          <w:color w:val="auto"/>
          <w:sz w:val="21"/>
          <w:highlight w:val="none"/>
        </w:rPr>
        <w:t>2.6甲方：即采购人，在招投标阶段称为采购人，在签订和执行合同阶段称为甲方。</w:t>
      </w:r>
    </w:p>
    <w:p>
      <w:pPr>
        <w:pStyle w:val="3"/>
        <w:pageBreakBefore w:val="0"/>
        <w:kinsoku/>
        <w:wordWrap/>
        <w:overflowPunct/>
        <w:topLinePunct w:val="0"/>
        <w:autoSpaceDE/>
        <w:autoSpaceDN/>
        <w:bidi w:val="0"/>
        <w:adjustRightInd/>
        <w:snapToGrid/>
        <w:spacing w:line="360" w:lineRule="auto"/>
        <w:ind w:firstLine="420"/>
        <w:jc w:val="both"/>
        <w:textAlignment w:val="auto"/>
        <w:rPr>
          <w:rFonts w:ascii="Times New Roman" w:hAnsi="Times New Roman"/>
          <w:color w:val="auto"/>
          <w:sz w:val="21"/>
          <w:highlight w:val="none"/>
        </w:rPr>
      </w:pPr>
      <w:r>
        <w:rPr>
          <w:rFonts w:ascii="Times New Roman" w:hAnsi="Times New Roman"/>
          <w:b w:val="0"/>
          <w:color w:val="auto"/>
          <w:sz w:val="21"/>
          <w:highlight w:val="none"/>
        </w:rPr>
        <w:t>2.7乙方：在招投标阶段称为投标人，中标后在签订和执行合同阶段称为乙方。</w:t>
      </w:r>
    </w:p>
    <w:p>
      <w:pPr>
        <w:pStyle w:val="32"/>
        <w:pageBreakBefore w:val="0"/>
        <w:kinsoku/>
        <w:wordWrap/>
        <w:overflowPunct/>
        <w:topLinePunct w:val="0"/>
        <w:autoSpaceDE/>
        <w:autoSpaceDN/>
        <w:bidi w:val="0"/>
        <w:adjustRightInd/>
        <w:snapToGrid/>
        <w:spacing w:line="360" w:lineRule="auto"/>
        <w:ind w:firstLine="420"/>
        <w:textAlignment w:val="auto"/>
        <w:rPr>
          <w:rFonts w:ascii="Times New Roman" w:hAnsi="Times New Roman" w:eastAsia="宋体"/>
          <w:color w:val="auto"/>
          <w:kern w:val="0"/>
          <w:sz w:val="21"/>
          <w:highlight w:val="none"/>
        </w:rPr>
      </w:pPr>
      <w:r>
        <w:rPr>
          <w:rFonts w:ascii="Times New Roman" w:hAnsi="Times New Roman" w:eastAsia="宋体"/>
          <w:color w:val="auto"/>
          <w:sz w:val="21"/>
          <w:highlight w:val="none"/>
        </w:rPr>
        <w:t>2.8“★”标记系指必须满足不能负偏离或必须应答的条款。</w:t>
      </w:r>
    </w:p>
    <w:p>
      <w:pPr>
        <w:pStyle w:val="3"/>
        <w:pageBreakBefore w:val="0"/>
        <w:kinsoku/>
        <w:wordWrap/>
        <w:overflowPunct/>
        <w:topLinePunct w:val="0"/>
        <w:autoSpaceDE/>
        <w:autoSpaceDN/>
        <w:bidi w:val="0"/>
        <w:adjustRightInd/>
        <w:snapToGrid/>
        <w:spacing w:line="360" w:lineRule="auto"/>
        <w:ind w:firstLine="422"/>
        <w:jc w:val="both"/>
        <w:textAlignment w:val="auto"/>
        <w:rPr>
          <w:rFonts w:ascii="Times New Roman" w:hAnsi="Times New Roman"/>
          <w:color w:val="auto"/>
          <w:sz w:val="21"/>
          <w:highlight w:val="none"/>
        </w:rPr>
      </w:pPr>
      <w:r>
        <w:rPr>
          <w:rFonts w:ascii="Times New Roman" w:hAnsi="Times New Roman"/>
          <w:color w:val="auto"/>
          <w:sz w:val="21"/>
          <w:highlight w:val="none"/>
        </w:rPr>
        <w:t>3、合格的投标人</w:t>
      </w:r>
    </w:p>
    <w:p>
      <w:pPr>
        <w:pStyle w:val="3"/>
        <w:pageBreakBefore w:val="0"/>
        <w:kinsoku/>
        <w:wordWrap/>
        <w:overflowPunct/>
        <w:topLinePunct w:val="0"/>
        <w:autoSpaceDE/>
        <w:autoSpaceDN/>
        <w:bidi w:val="0"/>
        <w:adjustRightInd/>
        <w:snapToGrid/>
        <w:spacing w:line="360" w:lineRule="auto"/>
        <w:ind w:firstLine="420"/>
        <w:jc w:val="both"/>
        <w:textAlignment w:val="auto"/>
        <w:rPr>
          <w:rFonts w:ascii="Times New Roman" w:hAnsi="Times New Roman"/>
          <w:color w:val="auto"/>
          <w:sz w:val="21"/>
          <w:szCs w:val="22"/>
          <w:highlight w:val="none"/>
        </w:rPr>
      </w:pPr>
      <w:r>
        <w:rPr>
          <w:rFonts w:ascii="Times New Roman" w:hAnsi="Times New Roman"/>
          <w:color w:val="auto"/>
          <w:sz w:val="21"/>
          <w:szCs w:val="22"/>
          <w:highlight w:val="none"/>
        </w:rPr>
        <w:t>3.1符合采购公告中要求的条件。</w:t>
      </w:r>
    </w:p>
    <w:p>
      <w:pPr>
        <w:pStyle w:val="3"/>
        <w:pageBreakBefore w:val="0"/>
        <w:kinsoku/>
        <w:wordWrap/>
        <w:overflowPunct/>
        <w:topLinePunct w:val="0"/>
        <w:autoSpaceDE/>
        <w:autoSpaceDN/>
        <w:bidi w:val="0"/>
        <w:adjustRightInd/>
        <w:snapToGrid/>
        <w:spacing w:line="360" w:lineRule="auto"/>
        <w:ind w:firstLine="420"/>
        <w:jc w:val="both"/>
        <w:textAlignment w:val="auto"/>
        <w:rPr>
          <w:rFonts w:ascii="Times New Roman" w:hAnsi="Times New Roman"/>
          <w:color w:val="auto"/>
          <w:sz w:val="21"/>
          <w:szCs w:val="22"/>
          <w:highlight w:val="none"/>
        </w:rPr>
      </w:pPr>
      <w:r>
        <w:rPr>
          <w:rFonts w:ascii="Times New Roman" w:hAnsi="Times New Roman"/>
          <w:color w:val="auto"/>
          <w:sz w:val="21"/>
          <w:szCs w:val="22"/>
          <w:highlight w:val="none"/>
        </w:rPr>
        <w:t>3.2获取招标文件的投标人，并不能被认定为投标人资格已合格。投标人的资格是否符合招标文件要求，以开标时审查结果为准。</w:t>
      </w:r>
    </w:p>
    <w:p>
      <w:pPr>
        <w:pStyle w:val="3"/>
        <w:pageBreakBefore w:val="0"/>
        <w:kinsoku/>
        <w:wordWrap/>
        <w:overflowPunct/>
        <w:topLinePunct w:val="0"/>
        <w:autoSpaceDE/>
        <w:autoSpaceDN/>
        <w:bidi w:val="0"/>
        <w:adjustRightInd/>
        <w:snapToGrid/>
        <w:spacing w:line="360" w:lineRule="auto"/>
        <w:ind w:firstLine="420"/>
        <w:jc w:val="both"/>
        <w:textAlignment w:val="auto"/>
        <w:rPr>
          <w:rFonts w:ascii="Times New Roman" w:hAnsi="Times New Roman"/>
          <w:color w:val="auto"/>
          <w:sz w:val="21"/>
          <w:szCs w:val="22"/>
          <w:highlight w:val="none"/>
        </w:rPr>
      </w:pPr>
      <w:r>
        <w:rPr>
          <w:rFonts w:ascii="Times New Roman" w:hAnsi="Times New Roman"/>
          <w:color w:val="auto"/>
          <w:sz w:val="21"/>
          <w:szCs w:val="22"/>
          <w:highlight w:val="none"/>
        </w:rPr>
        <w:t>3.3单位负责人为同一人或者存在直接控股、管理关系的不同供应商，不得参加同一合同项下的政府采购活动。</w:t>
      </w:r>
    </w:p>
    <w:p>
      <w:pPr>
        <w:pStyle w:val="3"/>
        <w:pageBreakBefore w:val="0"/>
        <w:kinsoku/>
        <w:wordWrap/>
        <w:overflowPunct/>
        <w:topLinePunct w:val="0"/>
        <w:autoSpaceDE/>
        <w:autoSpaceDN/>
        <w:bidi w:val="0"/>
        <w:adjustRightInd/>
        <w:snapToGrid/>
        <w:spacing w:line="360" w:lineRule="auto"/>
        <w:ind w:firstLine="420"/>
        <w:jc w:val="both"/>
        <w:textAlignment w:val="auto"/>
        <w:rPr>
          <w:rFonts w:ascii="Times New Roman" w:hAnsi="Times New Roman"/>
          <w:color w:val="auto"/>
          <w:sz w:val="21"/>
          <w:szCs w:val="22"/>
          <w:highlight w:val="none"/>
        </w:rPr>
      </w:pPr>
      <w:r>
        <w:rPr>
          <w:rFonts w:ascii="Times New Roman" w:hAnsi="Times New Roman"/>
          <w:color w:val="auto"/>
          <w:sz w:val="21"/>
          <w:szCs w:val="22"/>
          <w:highlight w:val="none"/>
        </w:rPr>
        <w:t>3.4除单一来源采购项目外，为本采购项目提供整体设计、规范编制或者项目管理、监理、检测等服务的投标人，不得参加本采购项目的采购活动。</w:t>
      </w:r>
    </w:p>
    <w:p>
      <w:pPr>
        <w:pStyle w:val="28"/>
        <w:pageBreakBefore w:val="0"/>
        <w:kinsoku/>
        <w:wordWrap/>
        <w:overflowPunct/>
        <w:topLinePunct w:val="0"/>
        <w:autoSpaceDE/>
        <w:autoSpaceDN/>
        <w:bidi w:val="0"/>
        <w:adjustRightInd/>
        <w:snapToGrid/>
        <w:spacing w:line="360" w:lineRule="auto"/>
        <w:ind w:firstLine="422"/>
        <w:textAlignment w:val="auto"/>
        <w:rPr>
          <w:rFonts w:ascii="Times New Roman" w:hAnsi="Times New Roman"/>
          <w:color w:val="auto"/>
          <w:highlight w:val="none"/>
        </w:rPr>
      </w:pPr>
      <w:r>
        <w:rPr>
          <w:rFonts w:ascii="Times New Roman" w:hAnsi="Times New Roman"/>
          <w:b/>
          <w:color w:val="auto"/>
          <w:highlight w:val="none"/>
        </w:rPr>
        <w:t>4、保证</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4.1</w:t>
      </w:r>
      <w:r>
        <w:rPr>
          <w:rFonts w:hint="eastAsia" w:ascii="Times New Roman" w:hAnsi="Times New Roman"/>
          <w:color w:val="auto"/>
          <w:highlight w:val="none"/>
        </w:rPr>
        <w:t>投标人</w:t>
      </w:r>
      <w:r>
        <w:rPr>
          <w:rFonts w:ascii="Times New Roman" w:hAnsi="Times New Roman"/>
          <w:color w:val="auto"/>
          <w:highlight w:val="none"/>
        </w:rPr>
        <w:t>应保证所提交给招标机构和采购人的资料和数据是真实的。</w:t>
      </w:r>
    </w:p>
    <w:p>
      <w:pPr>
        <w:pStyle w:val="28"/>
        <w:pageBreakBefore w:val="0"/>
        <w:kinsoku/>
        <w:wordWrap/>
        <w:overflowPunct/>
        <w:topLinePunct w:val="0"/>
        <w:autoSpaceDE/>
        <w:autoSpaceDN/>
        <w:bidi w:val="0"/>
        <w:adjustRightInd/>
        <w:snapToGrid/>
        <w:spacing w:line="360" w:lineRule="auto"/>
        <w:ind w:firstLine="422"/>
        <w:textAlignment w:val="auto"/>
        <w:rPr>
          <w:rFonts w:ascii="Times New Roman" w:hAnsi="Times New Roman"/>
          <w:b/>
          <w:color w:val="auto"/>
          <w:highlight w:val="none"/>
        </w:rPr>
      </w:pPr>
      <w:r>
        <w:rPr>
          <w:rFonts w:ascii="Times New Roman" w:hAnsi="Times New Roman"/>
          <w:b/>
          <w:color w:val="auto"/>
          <w:highlight w:val="none"/>
        </w:rPr>
        <w:t>5、招标投标费用</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5.1不论投标过程中的作法和结果如何，投标人应承担所有与投标有关的全部费用。采购人和采购代理机构在任何情况下均无义务和责任承担上述这些费用。</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5.2招标服务费</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sz w:val="18"/>
          <w:szCs w:val="18"/>
          <w:highlight w:val="none"/>
        </w:rPr>
      </w:pPr>
      <w:r>
        <w:rPr>
          <w:rFonts w:ascii="Times New Roman" w:hAnsi="Times New Roman"/>
          <w:color w:val="auto"/>
          <w:highlight w:val="none"/>
        </w:rPr>
        <w:t>5.2.1中标人须</w:t>
      </w:r>
      <w:r>
        <w:rPr>
          <w:rFonts w:hint="eastAsia" w:ascii="Times New Roman" w:hAnsi="Times New Roman"/>
          <w:color w:val="auto"/>
          <w:highlight w:val="none"/>
          <w:lang w:val="en-US" w:eastAsia="zh-CN"/>
        </w:rPr>
        <w:t>分别</w:t>
      </w:r>
      <w:r>
        <w:rPr>
          <w:rFonts w:ascii="Times New Roman" w:hAnsi="Times New Roman"/>
          <w:color w:val="auto"/>
          <w:highlight w:val="none"/>
        </w:rPr>
        <w:t xml:space="preserve">向招标代理机构交纳招标代理服务费，招标服务费于中标通知书发送前按下列计算方式向中标方收取。 </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1155"/>
        <w:gridCol w:w="6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907" w:type="dxa"/>
            <w:noWrap w:val="0"/>
            <w:vAlign w:val="center"/>
          </w:tcPr>
          <w:p>
            <w:pPr>
              <w:pStyle w:val="28"/>
              <w:pageBreakBefore w:val="0"/>
              <w:kinsoku/>
              <w:wordWrap/>
              <w:overflowPunct/>
              <w:topLinePunct w:val="0"/>
              <w:autoSpaceDE/>
              <w:autoSpaceDN/>
              <w:bidi w:val="0"/>
              <w:adjustRightInd/>
              <w:snapToGrid/>
              <w:spacing w:line="360" w:lineRule="auto"/>
              <w:textAlignment w:val="auto"/>
              <w:rPr>
                <w:rFonts w:ascii="Times New Roman" w:hAnsi="Times New Roman"/>
                <w:color w:val="auto"/>
                <w:highlight w:val="none"/>
              </w:rPr>
            </w:pPr>
            <w:r>
              <w:rPr>
                <w:rFonts w:ascii="Times New Roman" w:hAnsi="Times New Roman"/>
                <w:color w:val="auto"/>
                <w:highlight w:val="none"/>
              </w:rPr>
              <w:t>中标金额（万元）</w:t>
            </w:r>
          </w:p>
        </w:tc>
        <w:tc>
          <w:tcPr>
            <w:tcW w:w="1155" w:type="dxa"/>
            <w:noWrap w:val="0"/>
            <w:vAlign w:val="center"/>
          </w:tcPr>
          <w:p>
            <w:pPr>
              <w:pStyle w:val="28"/>
              <w:pageBreakBefore w:val="0"/>
              <w:kinsoku/>
              <w:wordWrap/>
              <w:overflowPunct/>
              <w:topLinePunct w:val="0"/>
              <w:autoSpaceDE/>
              <w:autoSpaceDN/>
              <w:bidi w:val="0"/>
              <w:adjustRightInd/>
              <w:snapToGrid/>
              <w:spacing w:line="360" w:lineRule="auto"/>
              <w:textAlignment w:val="auto"/>
              <w:rPr>
                <w:rFonts w:ascii="Times New Roman" w:hAnsi="Times New Roman"/>
                <w:color w:val="auto"/>
                <w:highlight w:val="none"/>
              </w:rPr>
            </w:pPr>
            <w:r>
              <w:rPr>
                <w:rFonts w:ascii="Times New Roman" w:hAnsi="Times New Roman"/>
                <w:color w:val="auto"/>
                <w:highlight w:val="none"/>
              </w:rPr>
              <w:t>收费标准</w:t>
            </w:r>
          </w:p>
        </w:tc>
        <w:tc>
          <w:tcPr>
            <w:tcW w:w="6397" w:type="dxa"/>
            <w:noWrap w:val="0"/>
            <w:vAlign w:val="center"/>
          </w:tcPr>
          <w:p>
            <w:pPr>
              <w:pStyle w:val="28"/>
              <w:pageBreakBefore w:val="0"/>
              <w:kinsoku/>
              <w:wordWrap/>
              <w:overflowPunct/>
              <w:topLinePunct w:val="0"/>
              <w:autoSpaceDE/>
              <w:autoSpaceDN/>
              <w:bidi w:val="0"/>
              <w:adjustRightInd/>
              <w:snapToGrid/>
              <w:spacing w:line="360" w:lineRule="auto"/>
              <w:textAlignment w:val="auto"/>
              <w:rPr>
                <w:rFonts w:ascii="Times New Roman" w:hAnsi="Times New Roman"/>
                <w:color w:val="auto"/>
                <w:highlight w:val="none"/>
              </w:rPr>
            </w:pPr>
            <w:r>
              <w:rPr>
                <w:rFonts w:ascii="Times New Roman" w:hAnsi="Times New Roman"/>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907" w:type="dxa"/>
            <w:noWrap w:val="0"/>
            <w:vAlign w:val="center"/>
          </w:tcPr>
          <w:p>
            <w:pPr>
              <w:pStyle w:val="28"/>
              <w:pageBreakBefore w:val="0"/>
              <w:kinsoku/>
              <w:wordWrap/>
              <w:overflowPunct/>
              <w:topLinePunct w:val="0"/>
              <w:autoSpaceDE/>
              <w:autoSpaceDN/>
              <w:bidi w:val="0"/>
              <w:adjustRightInd/>
              <w:snapToGrid/>
              <w:spacing w:line="360" w:lineRule="auto"/>
              <w:textAlignment w:val="auto"/>
              <w:rPr>
                <w:rFonts w:ascii="Times New Roman" w:hAnsi="Times New Roman"/>
                <w:color w:val="auto"/>
                <w:highlight w:val="none"/>
              </w:rPr>
            </w:pPr>
            <w:r>
              <w:rPr>
                <w:rFonts w:ascii="Times New Roman" w:hAnsi="Times New Roman"/>
                <w:color w:val="auto"/>
                <w:highlight w:val="none"/>
              </w:rPr>
              <w:t>100以下</w:t>
            </w:r>
          </w:p>
        </w:tc>
        <w:tc>
          <w:tcPr>
            <w:tcW w:w="1155" w:type="dxa"/>
            <w:noWrap w:val="0"/>
            <w:vAlign w:val="center"/>
          </w:tcPr>
          <w:p>
            <w:pPr>
              <w:pStyle w:val="28"/>
              <w:pageBreakBefore w:val="0"/>
              <w:kinsoku/>
              <w:wordWrap/>
              <w:overflowPunct/>
              <w:topLinePunct w:val="0"/>
              <w:autoSpaceDE/>
              <w:autoSpaceDN/>
              <w:bidi w:val="0"/>
              <w:adjustRightInd/>
              <w:snapToGrid/>
              <w:spacing w:line="360" w:lineRule="auto"/>
              <w:textAlignment w:val="auto"/>
              <w:rPr>
                <w:rFonts w:ascii="Times New Roman" w:hAnsi="Times New Roman"/>
                <w:color w:val="auto"/>
                <w:highlight w:val="none"/>
              </w:rPr>
            </w:pPr>
            <w:r>
              <w:rPr>
                <w:rFonts w:ascii="Times New Roman" w:hAnsi="Times New Roman"/>
                <w:color w:val="auto"/>
                <w:highlight w:val="none"/>
              </w:rPr>
              <w:t>1.5%</w:t>
            </w:r>
          </w:p>
        </w:tc>
        <w:tc>
          <w:tcPr>
            <w:tcW w:w="6397" w:type="dxa"/>
            <w:vMerge w:val="restart"/>
            <w:noWrap w:val="0"/>
            <w:vAlign w:val="center"/>
          </w:tcPr>
          <w:p>
            <w:pPr>
              <w:pStyle w:val="28"/>
              <w:pageBreakBefore w:val="0"/>
              <w:kinsoku/>
              <w:wordWrap/>
              <w:overflowPunct/>
              <w:topLinePunct w:val="0"/>
              <w:autoSpaceDE/>
              <w:autoSpaceDN/>
              <w:bidi w:val="0"/>
              <w:adjustRightInd/>
              <w:snapToGrid/>
              <w:spacing w:line="360" w:lineRule="auto"/>
              <w:textAlignment w:val="auto"/>
              <w:rPr>
                <w:rFonts w:hint="eastAsia" w:ascii="Times New Roman" w:hAnsi="Times New Roman"/>
                <w:color w:val="auto"/>
                <w:highlight w:val="none"/>
              </w:rPr>
            </w:pPr>
            <w:r>
              <w:rPr>
                <w:rFonts w:ascii="Times New Roman" w:hAnsi="Times New Roman"/>
                <w:highlight w:val="none"/>
              </w:rPr>
              <w:t>招标服务费采用差额定率累进法计算，向中标方单向收取。例：中标金额为500万。服务费=100万×1.5%+400万×</w:t>
            </w:r>
            <w:r>
              <w:rPr>
                <w:rFonts w:hint="eastAsia" w:ascii="Times New Roman" w:hAnsi="Times New Roman"/>
                <w:highlight w:val="none"/>
                <w:lang w:val="en-US" w:eastAsia="zh-CN"/>
              </w:rPr>
              <w:t>0.8</w:t>
            </w:r>
            <w:r>
              <w:rPr>
                <w:rFonts w:ascii="Times New Roman" w:hAnsi="Times New Roman"/>
                <w:highlight w:val="none"/>
              </w:rPr>
              <w:t>%=</w:t>
            </w:r>
            <w:r>
              <w:rPr>
                <w:rFonts w:hint="eastAsia" w:ascii="Times New Roman" w:hAnsi="Times New Roman"/>
                <w:highlight w:val="none"/>
                <w:lang w:val="en-US" w:eastAsia="zh-CN"/>
              </w:rPr>
              <w:t>4.7</w:t>
            </w:r>
            <w:r>
              <w:rPr>
                <w:rFonts w:ascii="Times New Roman" w:hAnsi="Times New Roman"/>
                <w:highlight w:val="none"/>
              </w:rPr>
              <w:t>万</w:t>
            </w:r>
            <w:r>
              <w:rPr>
                <w:rFonts w:hint="eastAsia" w:ascii="Times New Roman" w:hAnsi="Times New Roman"/>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1907" w:type="dxa"/>
            <w:noWrap w:val="0"/>
            <w:vAlign w:val="center"/>
          </w:tcPr>
          <w:p>
            <w:pPr>
              <w:pStyle w:val="28"/>
              <w:pageBreakBefore w:val="0"/>
              <w:kinsoku/>
              <w:wordWrap/>
              <w:overflowPunct/>
              <w:topLinePunct w:val="0"/>
              <w:autoSpaceDE/>
              <w:autoSpaceDN/>
              <w:bidi w:val="0"/>
              <w:adjustRightInd/>
              <w:snapToGrid/>
              <w:spacing w:line="360" w:lineRule="auto"/>
              <w:textAlignment w:val="auto"/>
              <w:rPr>
                <w:rFonts w:ascii="Times New Roman" w:hAnsi="Times New Roman"/>
                <w:color w:val="auto"/>
                <w:highlight w:val="none"/>
              </w:rPr>
            </w:pPr>
            <w:r>
              <w:rPr>
                <w:rFonts w:ascii="Times New Roman" w:hAnsi="Times New Roman"/>
                <w:color w:val="auto"/>
                <w:highlight w:val="none"/>
              </w:rPr>
              <w:t>100-500</w:t>
            </w:r>
          </w:p>
        </w:tc>
        <w:tc>
          <w:tcPr>
            <w:tcW w:w="1155" w:type="dxa"/>
            <w:noWrap w:val="0"/>
            <w:vAlign w:val="center"/>
          </w:tcPr>
          <w:p>
            <w:pPr>
              <w:pStyle w:val="28"/>
              <w:pageBreakBefore w:val="0"/>
              <w:kinsoku/>
              <w:wordWrap/>
              <w:overflowPunct/>
              <w:topLinePunct w:val="0"/>
              <w:autoSpaceDE/>
              <w:autoSpaceDN/>
              <w:bidi w:val="0"/>
              <w:adjustRightInd/>
              <w:snapToGrid/>
              <w:spacing w:line="360" w:lineRule="auto"/>
              <w:textAlignment w:val="auto"/>
              <w:rPr>
                <w:rFonts w:ascii="Times New Roman" w:hAnsi="Times New Roman"/>
                <w:color w:val="auto"/>
                <w:highlight w:val="none"/>
              </w:rPr>
            </w:pPr>
            <w:r>
              <w:rPr>
                <w:rFonts w:hint="eastAsia" w:ascii="Times New Roman" w:hAnsi="Times New Roman"/>
                <w:highlight w:val="none"/>
                <w:lang w:val="en-US" w:eastAsia="zh-CN"/>
              </w:rPr>
              <w:t>0.8</w:t>
            </w:r>
            <w:r>
              <w:rPr>
                <w:rFonts w:ascii="Times New Roman" w:hAnsi="Times New Roman"/>
                <w:highlight w:val="none"/>
              </w:rPr>
              <w:t>%</w:t>
            </w:r>
          </w:p>
        </w:tc>
        <w:tc>
          <w:tcPr>
            <w:tcW w:w="6397" w:type="dxa"/>
            <w:vMerge w:val="continue"/>
            <w:noWrap w:val="0"/>
            <w:vAlign w:val="center"/>
          </w:tcPr>
          <w:p>
            <w:pPr>
              <w:pStyle w:val="28"/>
              <w:pageBreakBefore w:val="0"/>
              <w:kinsoku/>
              <w:wordWrap/>
              <w:overflowPunct/>
              <w:topLinePunct w:val="0"/>
              <w:autoSpaceDE/>
              <w:autoSpaceDN/>
              <w:bidi w:val="0"/>
              <w:adjustRightInd/>
              <w:snapToGrid/>
              <w:spacing w:line="360" w:lineRule="auto"/>
              <w:textAlignment w:val="auto"/>
              <w:rPr>
                <w:rFonts w:ascii="Times New Roman" w:hAnsi="Times New Roman"/>
                <w:color w:val="auto"/>
                <w:highlight w:val="none"/>
              </w:rPr>
            </w:pPr>
          </w:p>
        </w:tc>
      </w:tr>
    </w:tbl>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b/>
          <w:color w:val="auto"/>
          <w:highlight w:val="none"/>
        </w:rPr>
      </w:pPr>
      <w:r>
        <w:rPr>
          <w:rFonts w:ascii="Times New Roman" w:hAnsi="Times New Roman"/>
          <w:color w:val="auto"/>
          <w:highlight w:val="none"/>
        </w:rPr>
        <w:t>5.2.2招标代理服务费在领取中标通知书时，向招标代理机构直接交纳，可用汇票、电汇、银行本票、现金等付款方式。</w:t>
      </w:r>
    </w:p>
    <w:p>
      <w:pPr>
        <w:pStyle w:val="28"/>
        <w:pageBreakBefore w:val="0"/>
        <w:kinsoku/>
        <w:wordWrap/>
        <w:overflowPunct/>
        <w:topLinePunct w:val="0"/>
        <w:autoSpaceDE/>
        <w:autoSpaceDN/>
        <w:bidi w:val="0"/>
        <w:adjustRightInd/>
        <w:snapToGrid/>
        <w:spacing w:line="360" w:lineRule="auto"/>
        <w:ind w:firstLine="480"/>
        <w:textAlignment w:val="auto"/>
        <w:rPr>
          <w:rFonts w:ascii="Times New Roman" w:hAnsi="Times New Roman"/>
          <w:b/>
          <w:color w:val="auto"/>
          <w:highlight w:val="none"/>
        </w:rPr>
      </w:pPr>
      <w:r>
        <w:rPr>
          <w:rFonts w:ascii="Times New Roman" w:hAnsi="Times New Roman"/>
          <w:b/>
          <w:color w:val="auto"/>
          <w:highlight w:val="none"/>
        </w:rPr>
        <w:t xml:space="preserve">6、现场勘察 </w:t>
      </w:r>
    </w:p>
    <w:p>
      <w:pPr>
        <w:pStyle w:val="28"/>
        <w:pageBreakBefore w:val="0"/>
        <w:kinsoku/>
        <w:wordWrap/>
        <w:overflowPunct/>
        <w:topLinePunct w:val="0"/>
        <w:autoSpaceDE/>
        <w:autoSpaceDN/>
        <w:bidi w:val="0"/>
        <w:adjustRightInd/>
        <w:snapToGrid/>
        <w:spacing w:line="360" w:lineRule="auto"/>
        <w:ind w:firstLine="480"/>
        <w:textAlignment w:val="auto"/>
        <w:rPr>
          <w:rFonts w:ascii="Times New Roman" w:hAnsi="Times New Roman"/>
          <w:color w:val="auto"/>
          <w:highlight w:val="none"/>
        </w:rPr>
      </w:pPr>
      <w:r>
        <w:rPr>
          <w:rFonts w:ascii="Times New Roman" w:hAnsi="Times New Roman"/>
          <w:color w:val="auto"/>
          <w:highlight w:val="none"/>
        </w:rPr>
        <w:t>6.1投标前，投标人须自行到项目所在地予以踏勘，对项目实施现场及周边环境等进行勘察，以获取编制投标文件和签署合同所需的所有资料，否则，由此所造成的一切后果由投标人自行承担。踏勘期间，采购人不得留下供应商名称、联系方式等信息。</w:t>
      </w:r>
    </w:p>
    <w:p>
      <w:pPr>
        <w:pStyle w:val="28"/>
        <w:pageBreakBefore w:val="0"/>
        <w:kinsoku/>
        <w:wordWrap/>
        <w:overflowPunct/>
        <w:topLinePunct w:val="0"/>
        <w:autoSpaceDE/>
        <w:autoSpaceDN/>
        <w:bidi w:val="0"/>
        <w:adjustRightInd/>
        <w:snapToGrid/>
        <w:spacing w:line="360" w:lineRule="auto"/>
        <w:ind w:firstLine="480"/>
        <w:textAlignment w:val="auto"/>
        <w:rPr>
          <w:rFonts w:ascii="Times New Roman" w:hAnsi="Times New Roman"/>
          <w:color w:val="auto"/>
          <w:highlight w:val="none"/>
        </w:rPr>
      </w:pPr>
      <w:r>
        <w:rPr>
          <w:rFonts w:ascii="Times New Roman" w:hAnsi="Times New Roman"/>
          <w:color w:val="auto"/>
          <w:highlight w:val="none"/>
        </w:rPr>
        <w:t>6.2</w:t>
      </w:r>
      <w:r>
        <w:rPr>
          <w:rFonts w:hint="eastAsia" w:ascii="Times New Roman" w:hAnsi="Times New Roman"/>
          <w:color w:val="auto"/>
          <w:highlight w:val="none"/>
        </w:rPr>
        <w:t>投标人</w:t>
      </w:r>
      <w:r>
        <w:rPr>
          <w:rFonts w:ascii="Times New Roman" w:hAnsi="Times New Roman"/>
          <w:color w:val="auto"/>
          <w:highlight w:val="none"/>
        </w:rPr>
        <w:t>在考察过程中发生的各类事件及所发生的各项费用，均由</w:t>
      </w:r>
      <w:r>
        <w:rPr>
          <w:rFonts w:hint="eastAsia" w:ascii="Times New Roman" w:hAnsi="Times New Roman"/>
          <w:color w:val="auto"/>
          <w:highlight w:val="none"/>
        </w:rPr>
        <w:t>投标人</w:t>
      </w:r>
      <w:r>
        <w:rPr>
          <w:rFonts w:ascii="Times New Roman" w:hAnsi="Times New Roman"/>
          <w:color w:val="auto"/>
          <w:highlight w:val="none"/>
        </w:rPr>
        <w:t>自行承担。采购人和代理机构概不负责。</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6.3采购人向</w:t>
      </w:r>
      <w:r>
        <w:rPr>
          <w:rFonts w:hint="eastAsia" w:ascii="Times New Roman" w:hAnsi="Times New Roman"/>
          <w:color w:val="auto"/>
          <w:highlight w:val="none"/>
        </w:rPr>
        <w:t>投标人</w:t>
      </w:r>
      <w:r>
        <w:rPr>
          <w:rFonts w:ascii="Times New Roman" w:hAnsi="Times New Roman"/>
          <w:color w:val="auto"/>
          <w:highlight w:val="none"/>
        </w:rPr>
        <w:t>提供的有关现场的数据和资料，是采购人现有的能被投标人利用的资料，采购人对投标人据此做出的任何推论、理解和结论不负责任。</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6.4现场踏勘完毕，将认为投标人己了解现场情况，并充分理解了为之所承担的风险、义务和责任。</w:t>
      </w:r>
    </w:p>
    <w:p>
      <w:pPr>
        <w:pageBreakBefore w:val="0"/>
        <w:kinsoku/>
        <w:wordWrap/>
        <w:overflowPunct/>
        <w:topLinePunct w:val="0"/>
        <w:autoSpaceDE/>
        <w:autoSpaceDN/>
        <w:bidi w:val="0"/>
        <w:adjustRightInd/>
        <w:snapToGrid/>
        <w:spacing w:line="360" w:lineRule="auto"/>
        <w:ind w:firstLine="422"/>
        <w:textAlignment w:val="auto"/>
        <w:rPr>
          <w:rFonts w:ascii="Times New Roman" w:hAnsi="Times New Roman"/>
          <w:b/>
          <w:color w:val="auto"/>
          <w:kern w:val="1"/>
          <w:highlight w:val="none"/>
        </w:rPr>
      </w:pPr>
      <w:r>
        <w:rPr>
          <w:rFonts w:ascii="Times New Roman" w:hAnsi="Times New Roman"/>
          <w:b/>
          <w:color w:val="auto"/>
          <w:kern w:val="1"/>
          <w:highlight w:val="none"/>
        </w:rPr>
        <w:t>7、联合体投标</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本项目不接受联合体投标。</w:t>
      </w:r>
    </w:p>
    <w:p>
      <w:pPr>
        <w:pStyle w:val="5"/>
        <w:pageBreakBefore w:val="0"/>
        <w:numPr>
          <w:ilvl w:val="1"/>
          <w:numId w:val="3"/>
        </w:numPr>
        <w:kinsoku/>
        <w:wordWrap/>
        <w:overflowPunct/>
        <w:topLinePunct w:val="0"/>
        <w:autoSpaceDE/>
        <w:autoSpaceDN/>
        <w:bidi w:val="0"/>
        <w:adjustRightInd/>
        <w:snapToGrid/>
        <w:spacing w:before="0" w:after="0" w:line="360" w:lineRule="auto"/>
        <w:textAlignment w:val="auto"/>
        <w:rPr>
          <w:rFonts w:ascii="Times New Roman" w:hAnsi="Times New Roman" w:eastAsia="宋体"/>
          <w:color w:val="auto"/>
          <w:sz w:val="21"/>
          <w:highlight w:val="none"/>
        </w:rPr>
      </w:pPr>
      <w:bookmarkStart w:id="8" w:name="_Toc362250688"/>
      <w:bookmarkEnd w:id="8"/>
      <w:bookmarkStart w:id="9" w:name="_Toc274303230"/>
      <w:bookmarkEnd w:id="9"/>
      <w:bookmarkStart w:id="10" w:name="_Toc34950002"/>
      <w:r>
        <w:rPr>
          <w:rFonts w:ascii="Times New Roman" w:hAnsi="Times New Roman" w:eastAsia="宋体"/>
          <w:color w:val="auto"/>
          <w:sz w:val="21"/>
          <w:highlight w:val="none"/>
        </w:rPr>
        <w:t>二、招标文件</w:t>
      </w:r>
      <w:bookmarkEnd w:id="10"/>
    </w:p>
    <w:p>
      <w:pPr>
        <w:pageBreakBefore w:val="0"/>
        <w:kinsoku/>
        <w:wordWrap/>
        <w:overflowPunct/>
        <w:topLinePunct w:val="0"/>
        <w:autoSpaceDE/>
        <w:autoSpaceDN/>
        <w:bidi w:val="0"/>
        <w:adjustRightInd/>
        <w:snapToGrid/>
        <w:spacing w:line="360" w:lineRule="auto"/>
        <w:ind w:firstLine="422"/>
        <w:textAlignment w:val="auto"/>
        <w:rPr>
          <w:rFonts w:ascii="Times New Roman" w:hAnsi="Times New Roman"/>
          <w:b/>
          <w:color w:val="auto"/>
          <w:kern w:val="1"/>
          <w:highlight w:val="none"/>
        </w:rPr>
      </w:pPr>
      <w:r>
        <w:rPr>
          <w:rFonts w:ascii="Times New Roman" w:hAnsi="Times New Roman"/>
          <w:b/>
          <w:color w:val="auto"/>
          <w:kern w:val="1"/>
          <w:highlight w:val="none"/>
        </w:rPr>
        <w:t>8、招标文件的组成</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8.1招标文件包括下列内容：</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第一章  采购公告</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第二章  投标须知和投标须知前附表</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第三章  招标项目要求</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第四章  开标、评标和定标</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第五章  投标文件的有效性</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第六章  评标办法</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第七章  合同主要条款</w:t>
      </w:r>
    </w:p>
    <w:p>
      <w:pPr>
        <w:pageBreakBefore w:val="0"/>
        <w:kinsoku/>
        <w:wordWrap/>
        <w:overflowPunct/>
        <w:topLinePunct w:val="0"/>
        <w:autoSpaceDE/>
        <w:autoSpaceDN/>
        <w:bidi w:val="0"/>
        <w:adjustRightInd/>
        <w:snapToGrid/>
        <w:spacing w:line="360" w:lineRule="auto"/>
        <w:textAlignment w:val="auto"/>
        <w:rPr>
          <w:rFonts w:ascii="Times New Roman" w:hAnsi="Times New Roman"/>
          <w:color w:val="auto"/>
          <w:kern w:val="1"/>
          <w:highlight w:val="none"/>
        </w:rPr>
      </w:pPr>
      <w:r>
        <w:rPr>
          <w:rFonts w:ascii="Times New Roman" w:hAnsi="Times New Roman"/>
          <w:color w:val="auto"/>
          <w:kern w:val="1"/>
          <w:highlight w:val="none"/>
        </w:rPr>
        <w:t xml:space="preserve">    第八章 投标文件部分格式</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8.2除8.1内容外，采购人在投标须知前附表规定时间前，以书面形式发出的对招标文件的澄清或修改内容，均为招标文件的组成部分，对采购人和投标人起约束作用。</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8.3上述所列8.1及8.2条内容均以书面文件为准，采购人（招标代理机构）的任何工作人员对投标人所作的任何口头解释、介绍、答复，对采购人和投标人无任何约束力。</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8.4</w:t>
      </w:r>
      <w:r>
        <w:rPr>
          <w:rFonts w:hint="eastAsia" w:ascii="Times New Roman" w:hAnsi="Times New Roman"/>
          <w:b/>
          <w:color w:val="auto"/>
          <w:kern w:val="1"/>
          <w:highlight w:val="none"/>
        </w:rPr>
        <w:t>投标人</w:t>
      </w:r>
      <w:r>
        <w:rPr>
          <w:rFonts w:ascii="Times New Roman" w:hAnsi="Times New Roman"/>
          <w:b/>
          <w:color w:val="auto"/>
          <w:kern w:val="1"/>
          <w:highlight w:val="none"/>
        </w:rPr>
        <w:t>应认真阅读投标须知、合同条件、规定格式、项目要求、报价要求等招标文件所有的内容。如果</w:t>
      </w:r>
      <w:r>
        <w:rPr>
          <w:rFonts w:hint="eastAsia" w:ascii="Times New Roman" w:hAnsi="Times New Roman"/>
          <w:b/>
          <w:color w:val="auto"/>
          <w:kern w:val="1"/>
          <w:highlight w:val="none"/>
        </w:rPr>
        <w:t>投标人</w:t>
      </w:r>
      <w:r>
        <w:rPr>
          <w:rFonts w:ascii="Times New Roman" w:hAnsi="Times New Roman"/>
          <w:b/>
          <w:color w:val="auto"/>
          <w:kern w:val="1"/>
          <w:highlight w:val="none"/>
        </w:rPr>
        <w:t>的投标文件不能符合招标文件的要求，责任由</w:t>
      </w:r>
      <w:r>
        <w:rPr>
          <w:rFonts w:hint="eastAsia" w:ascii="Times New Roman" w:hAnsi="Times New Roman"/>
          <w:b/>
          <w:color w:val="auto"/>
          <w:kern w:val="1"/>
          <w:highlight w:val="none"/>
        </w:rPr>
        <w:t>投标人</w:t>
      </w:r>
      <w:r>
        <w:rPr>
          <w:rFonts w:ascii="Times New Roman" w:hAnsi="Times New Roman"/>
          <w:b/>
          <w:color w:val="auto"/>
          <w:kern w:val="1"/>
          <w:highlight w:val="none"/>
        </w:rPr>
        <w:t>自负。实质上不响应招标文件要求的投标文件将被拒绝。</w:t>
      </w:r>
    </w:p>
    <w:p>
      <w:pPr>
        <w:pageBreakBefore w:val="0"/>
        <w:kinsoku/>
        <w:wordWrap/>
        <w:overflowPunct/>
        <w:topLinePunct w:val="0"/>
        <w:autoSpaceDE/>
        <w:autoSpaceDN/>
        <w:bidi w:val="0"/>
        <w:adjustRightInd/>
        <w:snapToGrid/>
        <w:spacing w:line="360" w:lineRule="auto"/>
        <w:ind w:firstLine="422"/>
        <w:textAlignment w:val="auto"/>
        <w:rPr>
          <w:rFonts w:ascii="Times New Roman" w:hAnsi="Times New Roman"/>
          <w:b/>
          <w:color w:val="auto"/>
          <w:kern w:val="1"/>
          <w:highlight w:val="none"/>
        </w:rPr>
      </w:pPr>
      <w:r>
        <w:rPr>
          <w:rFonts w:ascii="Times New Roman" w:hAnsi="Times New Roman"/>
          <w:b/>
          <w:color w:val="auto"/>
          <w:kern w:val="1"/>
          <w:highlight w:val="none"/>
        </w:rPr>
        <w:t>9、招标文件的澄清</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szCs w:val="21"/>
          <w:highlight w:val="none"/>
        </w:rPr>
      </w:pPr>
      <w:r>
        <w:rPr>
          <w:rFonts w:ascii="Times New Roman" w:hAnsi="Times New Roman"/>
          <w:color w:val="auto"/>
          <w:kern w:val="1"/>
          <w:szCs w:val="21"/>
          <w:highlight w:val="none"/>
        </w:rPr>
        <w:t>9.1投标人若对招标文件有任何疑问，应于前附表规定的时间以书面形式送（传真）向采购人和代理机构提出。</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szCs w:val="21"/>
          <w:highlight w:val="none"/>
        </w:rPr>
      </w:pPr>
      <w:r>
        <w:rPr>
          <w:rFonts w:ascii="Times New Roman" w:hAnsi="Times New Roman"/>
          <w:color w:val="auto"/>
          <w:kern w:val="1"/>
          <w:szCs w:val="21"/>
          <w:highlight w:val="none"/>
        </w:rPr>
        <w:t>9.2</w:t>
      </w:r>
      <w:r>
        <w:rPr>
          <w:rFonts w:ascii="宋体" w:hAnsi="宋体"/>
          <w:color w:val="auto"/>
          <w:highlight w:val="none"/>
        </w:rPr>
        <w:t>无论是招标方根据需要主动对招标文件进行必要澄清，或是根据投标人的要求对招标文件做出澄清，</w:t>
      </w:r>
      <w:r>
        <w:rPr>
          <w:rFonts w:hint="eastAsia"/>
          <w:b/>
          <w:color w:val="auto"/>
          <w:highlight w:val="none"/>
          <w:u w:val="single"/>
        </w:rPr>
        <w:t>招标方的</w:t>
      </w:r>
      <w:r>
        <w:rPr>
          <w:b/>
          <w:color w:val="auto"/>
          <w:highlight w:val="none"/>
          <w:u w:val="single"/>
        </w:rPr>
        <w:t>书面澄清</w:t>
      </w:r>
      <w:r>
        <w:rPr>
          <w:rFonts w:hint="eastAsia"/>
          <w:b/>
          <w:color w:val="auto"/>
          <w:highlight w:val="none"/>
          <w:u w:val="single"/>
        </w:rPr>
        <w:t>（更正）</w:t>
      </w:r>
      <w:r>
        <w:rPr>
          <w:b/>
          <w:color w:val="auto"/>
          <w:highlight w:val="none"/>
          <w:u w:val="single"/>
        </w:rPr>
        <w:t>文件</w:t>
      </w:r>
      <w:r>
        <w:rPr>
          <w:rFonts w:hint="eastAsia"/>
          <w:b/>
          <w:color w:val="auto"/>
          <w:highlight w:val="none"/>
          <w:u w:val="single"/>
        </w:rPr>
        <w:t>会在浙江省政府网上发布公告，</w:t>
      </w:r>
      <w:r>
        <w:rPr>
          <w:b/>
          <w:color w:val="auto"/>
          <w:highlight w:val="none"/>
          <w:u w:val="single"/>
        </w:rPr>
        <w:t>同时</w:t>
      </w:r>
      <w:r>
        <w:rPr>
          <w:rFonts w:hint="eastAsia"/>
          <w:b/>
          <w:color w:val="auto"/>
          <w:highlight w:val="none"/>
          <w:u w:val="single"/>
        </w:rPr>
        <w:t>政采云系统会</w:t>
      </w:r>
      <w:r>
        <w:rPr>
          <w:b/>
          <w:color w:val="auto"/>
          <w:highlight w:val="none"/>
          <w:u w:val="single"/>
        </w:rPr>
        <w:t>向所有</w:t>
      </w:r>
      <w:r>
        <w:rPr>
          <w:rFonts w:hint="eastAsia"/>
          <w:b/>
          <w:color w:val="auto"/>
          <w:highlight w:val="none"/>
          <w:u w:val="single"/>
        </w:rPr>
        <w:t>已按招标文件规定方式获取招标文件的潜在供应商</w:t>
      </w:r>
      <w:r>
        <w:rPr>
          <w:b/>
          <w:color w:val="auto"/>
          <w:highlight w:val="none"/>
          <w:u w:val="single"/>
        </w:rPr>
        <w:t>发送</w:t>
      </w:r>
      <w:r>
        <w:rPr>
          <w:rFonts w:hint="eastAsia"/>
          <w:b/>
          <w:color w:val="auto"/>
          <w:highlight w:val="none"/>
          <w:u w:val="single"/>
        </w:rPr>
        <w:t>更正提醒信息，潜在供应商请自行到浙江省政府采网上下载</w:t>
      </w:r>
      <w:r>
        <w:rPr>
          <w:b/>
          <w:color w:val="auto"/>
          <w:highlight w:val="none"/>
          <w:u w:val="single"/>
        </w:rPr>
        <w:t>澄清</w:t>
      </w:r>
      <w:r>
        <w:rPr>
          <w:rFonts w:hint="eastAsia"/>
          <w:b/>
          <w:color w:val="auto"/>
          <w:highlight w:val="none"/>
          <w:u w:val="single"/>
        </w:rPr>
        <w:t>（更正）</w:t>
      </w:r>
      <w:r>
        <w:rPr>
          <w:b/>
          <w:color w:val="auto"/>
          <w:highlight w:val="none"/>
          <w:u w:val="single"/>
        </w:rPr>
        <w:t>文件</w:t>
      </w:r>
      <w:r>
        <w:rPr>
          <w:rFonts w:hint="eastAsia"/>
          <w:b/>
          <w:color w:val="auto"/>
          <w:highlight w:val="none"/>
          <w:u w:val="single"/>
        </w:rPr>
        <w:t>，潜在供应商</w:t>
      </w:r>
      <w:r>
        <w:rPr>
          <w:b/>
          <w:color w:val="auto"/>
          <w:highlight w:val="none"/>
          <w:u w:val="single"/>
        </w:rPr>
        <w:t>在收到该澄清</w:t>
      </w:r>
      <w:r>
        <w:rPr>
          <w:rFonts w:hint="eastAsia"/>
          <w:b/>
          <w:color w:val="auto"/>
          <w:highlight w:val="none"/>
          <w:u w:val="single"/>
        </w:rPr>
        <w:t>（更正）</w:t>
      </w:r>
      <w:r>
        <w:rPr>
          <w:b/>
          <w:color w:val="auto"/>
          <w:highlight w:val="none"/>
          <w:u w:val="single"/>
        </w:rPr>
        <w:t>文件后应于1日内，以书面或传真形式（签署意见并加盖公章）向招标代理机构回函给予确认。过期未回复的，视为默认接受。供应商在投标截止时间前应充分关注该网上发布的信息，如因供应商未及时关注网上发布的信息而导致的一切投标后果由供应商自行承担。</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szCs w:val="21"/>
          <w:highlight w:val="none"/>
        </w:rPr>
      </w:pPr>
      <w:r>
        <w:rPr>
          <w:rFonts w:ascii="Times New Roman" w:hAnsi="Times New Roman"/>
          <w:color w:val="auto"/>
          <w:kern w:val="1"/>
          <w:szCs w:val="21"/>
          <w:highlight w:val="none"/>
        </w:rPr>
        <w:t>9.3投标人在前附表规定时间未提交疑问或质疑的，视作默认对本次招标过程中招标文件无异议，招标方对其提出的问题可以不予受理。</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szCs w:val="21"/>
          <w:highlight w:val="none"/>
        </w:rPr>
      </w:pPr>
      <w:r>
        <w:rPr>
          <w:rFonts w:ascii="Times New Roman" w:hAnsi="Times New Roman"/>
          <w:color w:val="auto"/>
          <w:kern w:val="1"/>
          <w:szCs w:val="21"/>
          <w:highlight w:val="none"/>
        </w:rPr>
        <w:t>9.4招标文件澄清、变更、补充等内容均以浙江政府采购网公示的内容为准。当招标文件、招标文件的澄清、变更、补充等在同一内容的表述上不一致时，以最后在浙江政府采购网发出的公示内容为准。</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szCs w:val="21"/>
          <w:highlight w:val="none"/>
        </w:rPr>
      </w:pPr>
      <w:r>
        <w:rPr>
          <w:rFonts w:ascii="Times New Roman" w:hAnsi="Times New Roman"/>
          <w:color w:val="auto"/>
          <w:kern w:val="1"/>
          <w:szCs w:val="21"/>
          <w:highlight w:val="none"/>
        </w:rPr>
        <w:t>9.5采购人及招标代理机构工作人员向投标人所作的任何口头答复或电话通知一律无效。</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szCs w:val="21"/>
          <w:highlight w:val="none"/>
        </w:rPr>
      </w:pPr>
      <w:r>
        <w:rPr>
          <w:rFonts w:ascii="Times New Roman" w:hAnsi="Times New Roman"/>
          <w:color w:val="auto"/>
          <w:kern w:val="1"/>
          <w:szCs w:val="21"/>
          <w:highlight w:val="none"/>
        </w:rPr>
        <w:t>9.6投标人应仔细阅读和检查招标文件的全部内容。如发现缺页或附件不全，应及时向招标方提出，以便补齐。如有疑问，应在投标人须知前附表规定的方式及时间前不署名书面或传真形式要求澄清问题的文件，要求招标方对招标文件予以澄清。否则，由此引起的损失由投标人自己承担。</w:t>
      </w:r>
    </w:p>
    <w:p>
      <w:pPr>
        <w:pStyle w:val="5"/>
        <w:pageBreakBefore w:val="0"/>
        <w:numPr>
          <w:ilvl w:val="1"/>
          <w:numId w:val="3"/>
        </w:numPr>
        <w:kinsoku/>
        <w:wordWrap/>
        <w:overflowPunct/>
        <w:topLinePunct w:val="0"/>
        <w:autoSpaceDE/>
        <w:autoSpaceDN/>
        <w:bidi w:val="0"/>
        <w:adjustRightInd/>
        <w:snapToGrid/>
        <w:spacing w:before="0" w:after="0" w:line="360" w:lineRule="auto"/>
        <w:textAlignment w:val="auto"/>
        <w:rPr>
          <w:rFonts w:ascii="Times New Roman" w:hAnsi="Times New Roman" w:eastAsia="宋体"/>
          <w:color w:val="auto"/>
          <w:sz w:val="21"/>
          <w:highlight w:val="none"/>
        </w:rPr>
      </w:pPr>
      <w:bookmarkStart w:id="11" w:name="_Toc274303231"/>
      <w:bookmarkEnd w:id="11"/>
      <w:bookmarkStart w:id="12" w:name="_Toc362250689"/>
      <w:bookmarkEnd w:id="12"/>
      <w:bookmarkStart w:id="13" w:name="_Toc34950003"/>
      <w:r>
        <w:rPr>
          <w:rFonts w:ascii="Times New Roman" w:hAnsi="Times New Roman" w:eastAsia="宋体"/>
          <w:color w:val="auto"/>
          <w:sz w:val="21"/>
          <w:highlight w:val="none"/>
        </w:rPr>
        <w:t>三、投标文件</w:t>
      </w:r>
      <w:bookmarkEnd w:id="13"/>
    </w:p>
    <w:p>
      <w:pPr>
        <w:pageBreakBefore w:val="0"/>
        <w:kinsoku/>
        <w:wordWrap/>
        <w:overflowPunct/>
        <w:topLinePunct w:val="0"/>
        <w:autoSpaceDE/>
        <w:autoSpaceDN/>
        <w:bidi w:val="0"/>
        <w:adjustRightInd/>
        <w:snapToGrid/>
        <w:spacing w:line="360" w:lineRule="auto"/>
        <w:ind w:firstLine="480"/>
        <w:textAlignment w:val="auto"/>
        <w:rPr>
          <w:rFonts w:ascii="Times New Roman" w:hAnsi="Times New Roman"/>
          <w:color w:val="auto"/>
          <w:kern w:val="1"/>
          <w:highlight w:val="none"/>
        </w:rPr>
      </w:pPr>
      <w:r>
        <w:rPr>
          <w:rFonts w:ascii="Times New Roman" w:hAnsi="Times New Roman"/>
          <w:b/>
          <w:color w:val="auto"/>
          <w:kern w:val="1"/>
          <w:highlight w:val="none"/>
        </w:rPr>
        <w:t>10、投标文件的语言及度量衡单位</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10.1投标文件和与投标有关的所有文件均应使用汉语。</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10.2除工程规范另有规定外，投标文件使用的度量衡单位，均采用中华人民共和国法定计量单位。</w:t>
      </w:r>
    </w:p>
    <w:p>
      <w:pPr>
        <w:pageBreakBefore w:val="0"/>
        <w:kinsoku/>
        <w:wordWrap/>
        <w:overflowPunct/>
        <w:topLinePunct w:val="0"/>
        <w:autoSpaceDE/>
        <w:autoSpaceDN/>
        <w:bidi w:val="0"/>
        <w:adjustRightInd/>
        <w:snapToGrid/>
        <w:spacing w:line="360" w:lineRule="auto"/>
        <w:ind w:firstLine="422"/>
        <w:textAlignment w:val="auto"/>
        <w:rPr>
          <w:rFonts w:ascii="Times New Roman" w:hAnsi="Times New Roman"/>
          <w:color w:val="auto"/>
          <w:highlight w:val="none"/>
        </w:rPr>
      </w:pPr>
      <w:r>
        <w:rPr>
          <w:rFonts w:ascii="Times New Roman" w:hAnsi="Times New Roman"/>
          <w:b/>
          <w:color w:val="auto"/>
          <w:kern w:val="1"/>
          <w:highlight w:val="none"/>
        </w:rPr>
        <w:t>11、对投标文件的要求</w:t>
      </w:r>
    </w:p>
    <w:p>
      <w:pPr>
        <w:pStyle w:val="47"/>
        <w:pageBreakBefore w:val="0"/>
        <w:kinsoku/>
        <w:wordWrap/>
        <w:overflowPunct/>
        <w:topLinePunct w:val="0"/>
        <w:autoSpaceDE/>
        <w:autoSpaceDN/>
        <w:bidi w:val="0"/>
        <w:adjustRightInd/>
        <w:snapToGrid/>
        <w:spacing w:line="360" w:lineRule="auto"/>
        <w:jc w:val="left"/>
        <w:textAlignment w:val="auto"/>
        <w:rPr>
          <w:rFonts w:ascii="Times New Roman" w:hAnsi="Times New Roman"/>
          <w:color w:val="auto"/>
          <w:kern w:val="0"/>
          <w:sz w:val="21"/>
          <w:highlight w:val="none"/>
        </w:rPr>
      </w:pPr>
      <w:r>
        <w:rPr>
          <w:rFonts w:ascii="Times New Roman" w:hAnsi="Times New Roman"/>
          <w:b/>
          <w:color w:val="auto"/>
          <w:kern w:val="0"/>
          <w:sz w:val="21"/>
          <w:highlight w:val="none"/>
        </w:rPr>
        <w:t xml:space="preserve">    </w:t>
      </w:r>
      <w:r>
        <w:rPr>
          <w:rFonts w:ascii="Times New Roman" w:hAnsi="Times New Roman"/>
          <w:color w:val="auto"/>
          <w:kern w:val="0"/>
          <w:sz w:val="21"/>
          <w:highlight w:val="none"/>
        </w:rPr>
        <w:t>11.1投标人应仔细阅读招标文件，了解招标文件的要求，在完全了解招标项目的技术要求和商务要求后，编制投标文件。</w:t>
      </w:r>
    </w:p>
    <w:p>
      <w:pPr>
        <w:pageBreakBefore w:val="0"/>
        <w:kinsoku/>
        <w:wordWrap/>
        <w:overflowPunct/>
        <w:topLinePunct w:val="0"/>
        <w:autoSpaceDE/>
        <w:autoSpaceDN/>
        <w:bidi w:val="0"/>
        <w:adjustRightInd/>
        <w:snapToGrid/>
        <w:spacing w:line="360" w:lineRule="auto"/>
        <w:ind w:firstLine="480"/>
        <w:textAlignment w:val="auto"/>
        <w:rPr>
          <w:rFonts w:ascii="Times New Roman" w:hAnsi="Times New Roman"/>
          <w:color w:val="auto"/>
          <w:kern w:val="1"/>
          <w:highlight w:val="none"/>
        </w:rPr>
      </w:pPr>
      <w:r>
        <w:rPr>
          <w:rFonts w:ascii="Times New Roman" w:hAnsi="Times New Roman"/>
          <w:color w:val="auto"/>
          <w:kern w:val="1"/>
          <w:highlight w:val="none"/>
        </w:rPr>
        <w:t>11.2 在招标文件对技术要求中，投标人必须充分应答和满足用户的强制性的需求，如“★”等，否则将导致废标。</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11.3编制的投标文件对招标文件中有关条款未提出异议的，均被视为接受和同意。</w:t>
      </w:r>
    </w:p>
    <w:p>
      <w:pPr>
        <w:pageBreakBefore w:val="0"/>
        <w:kinsoku/>
        <w:wordWrap/>
        <w:overflowPunct/>
        <w:topLinePunct w:val="0"/>
        <w:autoSpaceDE/>
        <w:autoSpaceDN/>
        <w:bidi w:val="0"/>
        <w:adjustRightInd/>
        <w:snapToGrid/>
        <w:spacing w:line="360" w:lineRule="auto"/>
        <w:ind w:firstLine="480"/>
        <w:textAlignment w:val="auto"/>
        <w:rPr>
          <w:rFonts w:ascii="Times New Roman" w:hAnsi="Times New Roman"/>
          <w:b/>
          <w:color w:val="auto"/>
          <w:kern w:val="1"/>
          <w:highlight w:val="none"/>
        </w:rPr>
      </w:pPr>
      <w:r>
        <w:rPr>
          <w:rFonts w:ascii="Times New Roman" w:hAnsi="Times New Roman"/>
          <w:b/>
          <w:color w:val="auto"/>
          <w:kern w:val="1"/>
          <w:highlight w:val="none"/>
        </w:rPr>
        <w:t>12、投标文件的组成</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12.1 招标文件“投标文件部分格式”所列的内容、格式及其投标人认为有必要提供的其他文件。</w:t>
      </w:r>
    </w:p>
    <w:p>
      <w:pPr>
        <w:pageBreakBefore w:val="0"/>
        <w:kinsoku/>
        <w:wordWrap/>
        <w:overflowPunct/>
        <w:topLinePunct w:val="0"/>
        <w:autoSpaceDE/>
        <w:autoSpaceDN/>
        <w:bidi w:val="0"/>
        <w:adjustRightInd/>
        <w:snapToGrid/>
        <w:spacing w:line="360" w:lineRule="auto"/>
        <w:ind w:firstLine="422"/>
        <w:textAlignment w:val="auto"/>
        <w:rPr>
          <w:rFonts w:ascii="Times New Roman" w:hAnsi="Times New Roman"/>
          <w:b/>
          <w:color w:val="auto"/>
          <w:kern w:val="1"/>
          <w:highlight w:val="none"/>
        </w:rPr>
      </w:pPr>
      <w:r>
        <w:rPr>
          <w:rFonts w:ascii="Times New Roman" w:hAnsi="Times New Roman"/>
          <w:b/>
          <w:color w:val="auto"/>
          <w:kern w:val="1"/>
          <w:highlight w:val="none"/>
        </w:rPr>
        <w:t xml:space="preserve">★12.2 </w:t>
      </w:r>
      <w:r>
        <w:rPr>
          <w:rFonts w:ascii="宋体" w:hAnsi="宋体"/>
          <w:b/>
          <w:color w:val="auto"/>
          <w:szCs w:val="21"/>
          <w:highlight w:val="none"/>
        </w:rPr>
        <w:t>投标文件由</w:t>
      </w:r>
      <w:r>
        <w:rPr>
          <w:rFonts w:hint="eastAsia" w:ascii="宋体" w:hAnsi="宋体"/>
          <w:b/>
          <w:color w:val="auto"/>
          <w:szCs w:val="21"/>
          <w:highlight w:val="none"/>
        </w:rPr>
        <w:t>资格响应文件、商务技术响应文件</w:t>
      </w:r>
      <w:r>
        <w:rPr>
          <w:rFonts w:ascii="宋体" w:hAnsi="宋体"/>
          <w:b/>
          <w:color w:val="auto"/>
          <w:szCs w:val="21"/>
          <w:highlight w:val="none"/>
        </w:rPr>
        <w:t>和</w:t>
      </w:r>
      <w:r>
        <w:rPr>
          <w:rFonts w:hint="eastAsia" w:ascii="宋体" w:hAnsi="宋体"/>
          <w:b/>
          <w:color w:val="auto"/>
          <w:szCs w:val="21"/>
          <w:highlight w:val="none"/>
        </w:rPr>
        <w:t>报价响应文件</w:t>
      </w:r>
      <w:r>
        <w:rPr>
          <w:rFonts w:ascii="宋体" w:hAnsi="宋体"/>
          <w:b/>
          <w:color w:val="auto"/>
          <w:szCs w:val="21"/>
          <w:highlight w:val="none"/>
        </w:rPr>
        <w:t>组成</w:t>
      </w:r>
      <w:r>
        <w:rPr>
          <w:rFonts w:ascii="Times New Roman" w:hAnsi="Times New Roman"/>
          <w:color w:val="auto"/>
          <w:kern w:val="1"/>
          <w:highlight w:val="none"/>
        </w:rPr>
        <w:t>。</w:t>
      </w:r>
      <w:r>
        <w:rPr>
          <w:rFonts w:hint="eastAsia" w:ascii="Times New Roman" w:hAnsi="Times New Roman"/>
          <w:b/>
          <w:color w:val="auto"/>
          <w:kern w:val="1"/>
          <w:highlight w:val="none"/>
        </w:rPr>
        <w:t>资格响应文件或商务技术响应文件不得包含商务报价，否则作无效标处理</w:t>
      </w:r>
      <w:r>
        <w:rPr>
          <w:rFonts w:ascii="Times New Roman" w:hAnsi="Times New Roman"/>
          <w:color w:val="auto"/>
          <w:kern w:val="1"/>
          <w:highlight w:val="none"/>
        </w:rPr>
        <w:t>。</w:t>
      </w:r>
      <w:r>
        <w:rPr>
          <w:b/>
          <w:color w:val="auto"/>
          <w:szCs w:val="21"/>
          <w:highlight w:val="none"/>
          <w:u w:val="single"/>
        </w:rPr>
        <w:t>存在有效期的文件应在有效期内（截止开标当日24：00时止），过期的文件无效</w:t>
      </w:r>
      <w:r>
        <w:rPr>
          <w:rFonts w:hint="eastAsia" w:ascii="Times New Roman" w:hAnsi="Times New Roman"/>
          <w:b/>
          <w:color w:val="auto"/>
          <w:highlight w:val="none"/>
        </w:rPr>
        <w:t>。</w:t>
      </w:r>
      <w:r>
        <w:rPr>
          <w:rFonts w:hint="eastAsia" w:ascii="宋体" w:hAnsi="宋体"/>
          <w:b/>
          <w:color w:val="auto"/>
          <w:szCs w:val="21"/>
          <w:highlight w:val="none"/>
          <w:u w:val="single"/>
        </w:rPr>
        <w:t>所有电子投标文件中所有内容均需进行CA签章。</w:t>
      </w:r>
    </w:p>
    <w:p>
      <w:pPr>
        <w:pStyle w:val="28"/>
        <w:pageBreakBefore w:val="0"/>
        <w:kinsoku/>
        <w:wordWrap/>
        <w:overflowPunct/>
        <w:topLinePunct w:val="0"/>
        <w:autoSpaceDE/>
        <w:autoSpaceDN/>
        <w:bidi w:val="0"/>
        <w:adjustRightInd/>
        <w:snapToGrid/>
        <w:spacing w:line="360" w:lineRule="auto"/>
        <w:ind w:firstLine="422"/>
        <w:textAlignment w:val="auto"/>
        <w:rPr>
          <w:rFonts w:ascii="Times New Roman" w:hAnsi="Times New Roman"/>
          <w:bCs/>
          <w:color w:val="auto"/>
          <w:highlight w:val="none"/>
        </w:rPr>
      </w:pPr>
      <w:r>
        <w:rPr>
          <w:rFonts w:ascii="Times New Roman" w:hAnsi="Times New Roman"/>
          <w:b/>
          <w:color w:val="auto"/>
          <w:highlight w:val="none"/>
        </w:rPr>
        <w:t>12.3</w:t>
      </w:r>
      <w:r>
        <w:rPr>
          <w:rFonts w:hint="eastAsia"/>
          <w:b/>
          <w:color w:val="auto"/>
          <w:szCs w:val="21"/>
          <w:highlight w:val="none"/>
        </w:rPr>
        <w:t>资格响应文件，</w:t>
      </w:r>
      <w:r>
        <w:rPr>
          <w:b/>
          <w:color w:val="auto"/>
          <w:szCs w:val="21"/>
          <w:highlight w:val="none"/>
        </w:rPr>
        <w:t>包</w:t>
      </w:r>
      <w:r>
        <w:rPr>
          <w:rFonts w:hint="eastAsia"/>
          <w:b/>
          <w:color w:val="auto"/>
          <w:szCs w:val="21"/>
          <w:highlight w:val="none"/>
        </w:rPr>
        <w:t>含但不限于</w:t>
      </w:r>
      <w:r>
        <w:rPr>
          <w:b/>
          <w:color w:val="auto"/>
          <w:szCs w:val="21"/>
          <w:highlight w:val="none"/>
        </w:rPr>
        <w:t>以下内容：</w:t>
      </w:r>
      <w:r>
        <w:rPr>
          <w:rFonts w:ascii="Times New Roman" w:hAnsi="Times New Roman"/>
          <w:b/>
          <w:color w:val="auto"/>
          <w:highlight w:val="none"/>
        </w:rPr>
        <w:t xml:space="preserve"> </w:t>
      </w:r>
    </w:p>
    <w:p>
      <w:pPr>
        <w:pStyle w:val="28"/>
        <w:pageBreakBefore w:val="0"/>
        <w:kinsoku/>
        <w:wordWrap/>
        <w:overflowPunct/>
        <w:topLinePunct w:val="0"/>
        <w:autoSpaceDE/>
        <w:autoSpaceDN/>
        <w:bidi w:val="0"/>
        <w:adjustRightInd/>
        <w:snapToGrid/>
        <w:spacing w:line="360" w:lineRule="auto"/>
        <w:ind w:firstLine="422"/>
        <w:textAlignment w:val="auto"/>
        <w:rPr>
          <w:rFonts w:ascii="Times New Roman" w:hAnsi="Times New Roman"/>
          <w:bCs/>
          <w:color w:val="auto"/>
          <w:highlight w:val="none"/>
        </w:rPr>
      </w:pPr>
      <w:r>
        <w:rPr>
          <w:rFonts w:hint="eastAsia" w:ascii="Times New Roman" w:hAnsi="Times New Roman"/>
          <w:bCs/>
          <w:color w:val="auto"/>
          <w:highlight w:val="none"/>
        </w:rPr>
        <w:t>（</w:t>
      </w:r>
      <w:r>
        <w:rPr>
          <w:rFonts w:hint="eastAsia" w:ascii="Times New Roman" w:hAnsi="Times New Roman"/>
          <w:bCs/>
          <w:color w:val="auto"/>
          <w:highlight w:val="none"/>
          <w:lang w:val="en-US" w:eastAsia="zh-CN"/>
        </w:rPr>
        <w:t>1</w:t>
      </w:r>
      <w:r>
        <w:rPr>
          <w:rFonts w:hint="eastAsia" w:ascii="Times New Roman" w:hAnsi="Times New Roman"/>
          <w:bCs/>
          <w:color w:val="auto"/>
          <w:highlight w:val="none"/>
        </w:rPr>
        <w:t>）</w:t>
      </w:r>
      <w:r>
        <w:rPr>
          <w:rFonts w:hint="eastAsia" w:ascii="Times New Roman" w:hAnsi="Times New Roman"/>
          <w:color w:val="auto"/>
          <w:kern w:val="1"/>
          <w:highlight w:val="none"/>
        </w:rPr>
        <w:t>有效的</w:t>
      </w:r>
      <w:r>
        <w:rPr>
          <w:rFonts w:ascii="Times New Roman" w:hAnsi="Times New Roman"/>
          <w:color w:val="auto"/>
          <w:kern w:val="1"/>
          <w:highlight w:val="none"/>
        </w:rPr>
        <w:t>单位营业执照</w:t>
      </w:r>
      <w:r>
        <w:rPr>
          <w:rFonts w:hint="eastAsia" w:ascii="Times New Roman" w:hAnsi="Times New Roman"/>
          <w:color w:val="auto"/>
          <w:kern w:val="1"/>
          <w:highlight w:val="none"/>
        </w:rPr>
        <w:t>副本扫描件或单位登记证书扫描件</w:t>
      </w:r>
      <w:r>
        <w:rPr>
          <w:rFonts w:hint="eastAsia" w:ascii="Times New Roman" w:hAnsi="Times New Roman"/>
          <w:color w:val="auto"/>
          <w:kern w:val="1"/>
          <w:highlight w:val="none"/>
          <w:lang w:val="en-US" w:eastAsia="zh-CN"/>
        </w:rPr>
        <w:t>或</w:t>
      </w:r>
      <w:r>
        <w:rPr>
          <w:rFonts w:ascii="Times New Roman" w:hAnsi="Times New Roman"/>
          <w:color w:val="auto"/>
          <w:highlight w:val="none"/>
        </w:rPr>
        <w:t>“国家企业信用信息公示系统”（http://gsxt.saic.gov.cn/）上的单位详细信息；</w:t>
      </w:r>
    </w:p>
    <w:p>
      <w:pPr>
        <w:pStyle w:val="28"/>
        <w:pageBreakBefore w:val="0"/>
        <w:kinsoku/>
        <w:wordWrap/>
        <w:overflowPunct/>
        <w:topLinePunct w:val="0"/>
        <w:autoSpaceDE/>
        <w:autoSpaceDN/>
        <w:bidi w:val="0"/>
        <w:adjustRightInd/>
        <w:snapToGrid/>
        <w:spacing w:line="360" w:lineRule="auto"/>
        <w:ind w:firstLine="422"/>
        <w:textAlignment w:val="auto"/>
        <w:rPr>
          <w:rFonts w:ascii="Times New Roman" w:hAnsi="Times New Roman"/>
          <w:bCs/>
          <w:color w:val="auto"/>
          <w:highlight w:val="none"/>
        </w:rPr>
      </w:pPr>
      <w:r>
        <w:rPr>
          <w:rFonts w:hint="eastAsia" w:ascii="Times New Roman" w:hAnsi="Times New Roman"/>
          <w:bCs/>
          <w:color w:val="auto"/>
          <w:highlight w:val="none"/>
        </w:rPr>
        <w:t>（</w:t>
      </w:r>
      <w:r>
        <w:rPr>
          <w:rFonts w:hint="eastAsia" w:ascii="Times New Roman" w:hAnsi="Times New Roman"/>
          <w:bCs/>
          <w:color w:val="auto"/>
          <w:highlight w:val="none"/>
          <w:lang w:val="en-US" w:eastAsia="zh-CN"/>
        </w:rPr>
        <w:t>2</w:t>
      </w:r>
      <w:r>
        <w:rPr>
          <w:rFonts w:hint="eastAsia" w:ascii="Times New Roman" w:hAnsi="Times New Roman"/>
          <w:bCs/>
          <w:color w:val="auto"/>
          <w:highlight w:val="none"/>
        </w:rPr>
        <w:t>）法定代表人资格声明书</w:t>
      </w:r>
      <w:r>
        <w:rPr>
          <w:rFonts w:hint="eastAsia" w:ascii="Times New Roman" w:hAnsi="Times New Roman"/>
          <w:bCs/>
          <w:color w:val="auto"/>
          <w:highlight w:val="none"/>
          <w:lang w:eastAsia="zh-CN"/>
        </w:rPr>
        <w:t>、</w:t>
      </w:r>
      <w:r>
        <w:rPr>
          <w:rFonts w:hint="eastAsia" w:ascii="Times New Roman" w:hAnsi="Times New Roman"/>
          <w:bCs/>
          <w:color w:val="auto"/>
          <w:highlight w:val="none"/>
        </w:rPr>
        <w:t>法</w:t>
      </w:r>
      <w:r>
        <w:rPr>
          <w:rFonts w:ascii="Times New Roman" w:hAnsi="Times New Roman"/>
          <w:color w:val="auto"/>
          <w:highlight w:val="none"/>
        </w:rPr>
        <w:t>定代表人身份证</w:t>
      </w:r>
      <w:r>
        <w:rPr>
          <w:rFonts w:hint="eastAsia" w:ascii="Times New Roman" w:hAnsi="Times New Roman"/>
          <w:color w:val="auto"/>
          <w:kern w:val="1"/>
          <w:highlight w:val="none"/>
        </w:rPr>
        <w:t>扫描件</w:t>
      </w:r>
      <w:r>
        <w:rPr>
          <w:rFonts w:ascii="Times New Roman" w:hAnsi="Times New Roman"/>
          <w:color w:val="auto"/>
          <w:highlight w:val="none"/>
        </w:rPr>
        <w:t>；</w:t>
      </w:r>
    </w:p>
    <w:p>
      <w:pPr>
        <w:pStyle w:val="28"/>
        <w:pageBreakBefore w:val="0"/>
        <w:kinsoku/>
        <w:wordWrap/>
        <w:overflowPunct/>
        <w:topLinePunct w:val="0"/>
        <w:autoSpaceDE/>
        <w:autoSpaceDN/>
        <w:bidi w:val="0"/>
        <w:adjustRightInd/>
        <w:snapToGrid/>
        <w:spacing w:line="360" w:lineRule="auto"/>
        <w:ind w:firstLine="422"/>
        <w:textAlignment w:val="auto"/>
        <w:rPr>
          <w:rFonts w:hint="eastAsia" w:ascii="Times New Roman" w:hAnsi="Times New Roman" w:eastAsia="宋体"/>
          <w:color w:val="auto"/>
          <w:highlight w:val="none"/>
          <w:lang w:val="en-US" w:eastAsia="zh-CN"/>
        </w:rPr>
      </w:pPr>
      <w:r>
        <w:rPr>
          <w:rFonts w:hint="eastAsia" w:ascii="Times New Roman" w:hAnsi="Times New Roman"/>
          <w:bCs/>
          <w:color w:val="auto"/>
          <w:highlight w:val="none"/>
        </w:rPr>
        <w:t>（</w:t>
      </w:r>
      <w:r>
        <w:rPr>
          <w:rFonts w:hint="eastAsia" w:ascii="Times New Roman" w:hAnsi="Times New Roman"/>
          <w:bCs/>
          <w:color w:val="auto"/>
          <w:highlight w:val="none"/>
          <w:lang w:val="en-US" w:eastAsia="zh-CN"/>
        </w:rPr>
        <w:t>3</w:t>
      </w:r>
      <w:r>
        <w:rPr>
          <w:rFonts w:hint="eastAsia" w:ascii="Times New Roman" w:hAnsi="Times New Roman"/>
          <w:bCs/>
          <w:color w:val="auto"/>
          <w:highlight w:val="none"/>
        </w:rPr>
        <w:t>）</w:t>
      </w:r>
      <w:r>
        <w:rPr>
          <w:rFonts w:hint="eastAsia" w:ascii="Times New Roman" w:hAnsi="Times New Roman"/>
          <w:color w:val="auto"/>
          <w:highlight w:val="none"/>
        </w:rPr>
        <w:t>法定代表人授权委托书、被授权代表身份证</w:t>
      </w:r>
      <w:r>
        <w:rPr>
          <w:rFonts w:hint="eastAsia" w:ascii="Times New Roman" w:hAnsi="Times New Roman"/>
          <w:color w:val="auto"/>
          <w:highlight w:val="none"/>
          <w:lang w:val="en-US" w:eastAsia="zh-CN"/>
        </w:rPr>
        <w:t>扫描件；（适用于授权代表参与投标会）</w:t>
      </w:r>
    </w:p>
    <w:p>
      <w:pPr>
        <w:pStyle w:val="28"/>
        <w:pageBreakBefore w:val="0"/>
        <w:kinsoku/>
        <w:wordWrap/>
        <w:overflowPunct/>
        <w:topLinePunct w:val="0"/>
        <w:autoSpaceDE/>
        <w:autoSpaceDN/>
        <w:bidi w:val="0"/>
        <w:adjustRightInd/>
        <w:snapToGrid/>
        <w:spacing w:line="360" w:lineRule="auto"/>
        <w:ind w:firstLine="422"/>
        <w:textAlignment w:val="auto"/>
        <w:rPr>
          <w:rFonts w:ascii="Times New Roman" w:hAnsi="Times New Roman"/>
          <w:b/>
          <w:color w:val="auto"/>
          <w:highlight w:val="none"/>
        </w:rPr>
      </w:pPr>
      <w:r>
        <w:rPr>
          <w:rFonts w:hint="eastAsia" w:ascii="Times New Roman" w:hAnsi="Times New Roman"/>
          <w:b/>
          <w:color w:val="auto"/>
          <w:highlight w:val="none"/>
        </w:rPr>
        <w:t>1</w:t>
      </w:r>
      <w:r>
        <w:rPr>
          <w:rFonts w:ascii="Times New Roman" w:hAnsi="Times New Roman"/>
          <w:b/>
          <w:color w:val="auto"/>
          <w:highlight w:val="none"/>
        </w:rPr>
        <w:t>2</w:t>
      </w:r>
      <w:r>
        <w:rPr>
          <w:rFonts w:hint="eastAsia" w:ascii="Times New Roman" w:hAnsi="Times New Roman"/>
          <w:b/>
          <w:color w:val="auto"/>
          <w:highlight w:val="none"/>
        </w:rPr>
        <w:t>.4</w:t>
      </w:r>
      <w:r>
        <w:rPr>
          <w:rFonts w:hint="eastAsia"/>
          <w:b/>
          <w:color w:val="auto"/>
          <w:szCs w:val="21"/>
          <w:highlight w:val="none"/>
        </w:rPr>
        <w:t>商务技术响应文件，</w:t>
      </w:r>
      <w:r>
        <w:rPr>
          <w:b/>
          <w:color w:val="auto"/>
          <w:szCs w:val="21"/>
          <w:highlight w:val="none"/>
        </w:rPr>
        <w:t>包</w:t>
      </w:r>
      <w:r>
        <w:rPr>
          <w:rFonts w:hint="eastAsia"/>
          <w:b/>
          <w:color w:val="auto"/>
          <w:szCs w:val="21"/>
          <w:highlight w:val="none"/>
        </w:rPr>
        <w:t>含但不限于</w:t>
      </w:r>
      <w:r>
        <w:rPr>
          <w:b/>
          <w:color w:val="auto"/>
          <w:szCs w:val="21"/>
          <w:highlight w:val="none"/>
        </w:rPr>
        <w:t>以下内容：</w:t>
      </w:r>
    </w:p>
    <w:p>
      <w:pPr>
        <w:pStyle w:val="28"/>
        <w:pageBreakBefore w:val="0"/>
        <w:numPr>
          <w:ilvl w:val="0"/>
          <w:numId w:val="4"/>
        </w:numPr>
        <w:kinsoku/>
        <w:wordWrap/>
        <w:overflowPunct/>
        <w:topLinePunct w:val="0"/>
        <w:autoSpaceDE/>
        <w:autoSpaceDN/>
        <w:bidi w:val="0"/>
        <w:adjustRightInd/>
        <w:snapToGrid/>
        <w:spacing w:line="360" w:lineRule="auto"/>
        <w:ind w:firstLine="420"/>
        <w:textAlignment w:val="auto"/>
        <w:rPr>
          <w:rFonts w:hint="eastAsia" w:ascii="Times New Roman" w:hAnsi="Times New Roman"/>
          <w:color w:val="auto"/>
          <w:highlight w:val="none"/>
        </w:rPr>
      </w:pPr>
      <w:r>
        <w:rPr>
          <w:rFonts w:hint="eastAsia" w:ascii="Times New Roman" w:hAnsi="Times New Roman"/>
          <w:color w:val="auto"/>
          <w:highlight w:val="none"/>
          <w:lang w:val="en-US" w:eastAsia="zh-CN"/>
        </w:rPr>
        <w:t>投标人情况简介</w:t>
      </w:r>
      <w:r>
        <w:rPr>
          <w:rFonts w:hint="eastAsia" w:ascii="Times New Roman" w:hAnsi="Times New Roman"/>
          <w:color w:val="auto"/>
          <w:highlight w:val="none"/>
        </w:rPr>
        <w:t>；</w:t>
      </w:r>
    </w:p>
    <w:p>
      <w:pPr>
        <w:pStyle w:val="28"/>
        <w:pageBreakBefore w:val="0"/>
        <w:numPr>
          <w:ilvl w:val="0"/>
          <w:numId w:val="4"/>
        </w:numPr>
        <w:kinsoku/>
        <w:wordWrap/>
        <w:overflowPunct/>
        <w:topLinePunct w:val="0"/>
        <w:autoSpaceDE/>
        <w:autoSpaceDN/>
        <w:bidi w:val="0"/>
        <w:adjustRightInd/>
        <w:snapToGrid/>
        <w:spacing w:line="360" w:lineRule="auto"/>
        <w:ind w:firstLine="420"/>
        <w:textAlignment w:val="auto"/>
        <w:rPr>
          <w:rFonts w:hint="eastAsia" w:ascii="Times New Roman" w:hAnsi="Times New Roman"/>
          <w:color w:val="auto"/>
          <w:highlight w:val="none"/>
        </w:rPr>
      </w:pPr>
      <w:r>
        <w:rPr>
          <w:rFonts w:hint="eastAsia" w:ascii="Times New Roman" w:hAnsi="Times New Roman"/>
          <w:color w:val="auto"/>
          <w:highlight w:val="none"/>
        </w:rPr>
        <w:t>项目案例业绩；</w:t>
      </w:r>
    </w:p>
    <w:p>
      <w:pPr>
        <w:pStyle w:val="28"/>
        <w:pageBreakBefore w:val="0"/>
        <w:numPr>
          <w:ilvl w:val="0"/>
          <w:numId w:val="4"/>
        </w:numPr>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hint="eastAsia" w:ascii="Times New Roman" w:hAnsi="Times New Roman"/>
          <w:color w:val="auto"/>
          <w:highlight w:val="none"/>
        </w:rPr>
        <w:t>项目负责人简历表</w:t>
      </w:r>
      <w:r>
        <w:rPr>
          <w:rFonts w:hint="eastAsia" w:ascii="Times New Roman" w:hAnsi="Times New Roman"/>
          <w:color w:val="auto"/>
          <w:highlight w:val="none"/>
          <w:lang w:eastAsia="zh-CN"/>
        </w:rPr>
        <w:t>；</w:t>
      </w:r>
    </w:p>
    <w:p>
      <w:pPr>
        <w:pStyle w:val="28"/>
        <w:pageBreakBefore w:val="0"/>
        <w:numPr>
          <w:ilvl w:val="0"/>
          <w:numId w:val="4"/>
        </w:numPr>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hint="eastAsia" w:ascii="Times New Roman" w:hAnsi="Times New Roman"/>
          <w:color w:val="auto"/>
          <w:highlight w:val="none"/>
        </w:rPr>
        <w:t>项目团队人员配置；</w:t>
      </w:r>
    </w:p>
    <w:p>
      <w:pPr>
        <w:pStyle w:val="28"/>
        <w:pageBreakBefore w:val="0"/>
        <w:numPr>
          <w:ilvl w:val="0"/>
          <w:numId w:val="4"/>
        </w:numPr>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hint="eastAsia" w:ascii="Times New Roman" w:hAnsi="Times New Roman"/>
          <w:color w:val="auto"/>
          <w:kern w:val="1"/>
          <w:highlight w:val="none"/>
          <w:lang w:val="en-US" w:eastAsia="zh-CN"/>
        </w:rPr>
        <w:t>项目实施方案；</w:t>
      </w:r>
    </w:p>
    <w:p>
      <w:pPr>
        <w:pStyle w:val="28"/>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ascii="Times New Roman" w:hAnsi="Times New Roman"/>
          <w:color w:val="auto"/>
          <w:kern w:val="1"/>
          <w:highlight w:val="none"/>
        </w:rPr>
      </w:pPr>
      <w:r>
        <w:rPr>
          <w:rFonts w:hint="eastAsia" w:ascii="Times New Roman" w:hAnsi="Times New Roman"/>
          <w:color w:val="auto"/>
          <w:kern w:val="1"/>
          <w:highlight w:val="none"/>
          <w:lang w:eastAsia="zh-CN"/>
        </w:rPr>
        <w:t>★（</w:t>
      </w:r>
      <w:r>
        <w:rPr>
          <w:rFonts w:hint="eastAsia" w:ascii="Times New Roman" w:hAnsi="Times New Roman"/>
          <w:color w:val="auto"/>
          <w:kern w:val="1"/>
          <w:highlight w:val="none"/>
          <w:lang w:val="en-US" w:eastAsia="zh-CN"/>
        </w:rPr>
        <w:t>6</w:t>
      </w:r>
      <w:r>
        <w:rPr>
          <w:rFonts w:hint="eastAsia" w:ascii="Times New Roman" w:hAnsi="Times New Roman"/>
          <w:color w:val="auto"/>
          <w:kern w:val="1"/>
          <w:highlight w:val="none"/>
          <w:lang w:eastAsia="zh-CN"/>
        </w:rPr>
        <w:t>）</w:t>
      </w:r>
      <w:r>
        <w:rPr>
          <w:rFonts w:ascii="Times New Roman" w:hAnsi="Times New Roman"/>
          <w:color w:val="auto"/>
          <w:kern w:val="1"/>
          <w:highlight w:val="none"/>
        </w:rPr>
        <w:t>义乌市政府采购承诺书</w:t>
      </w:r>
      <w:r>
        <w:rPr>
          <w:rFonts w:hint="eastAsia" w:ascii="Times New Roman" w:hAnsi="Times New Roman"/>
          <w:color w:val="auto"/>
          <w:kern w:val="1"/>
          <w:highlight w:val="none"/>
        </w:rPr>
        <w:t>；</w:t>
      </w:r>
    </w:p>
    <w:p>
      <w:pPr>
        <w:pStyle w:val="28"/>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ascii="Times New Roman" w:hAnsi="Times New Roman"/>
          <w:color w:val="auto"/>
          <w:kern w:val="1"/>
          <w:highlight w:val="none"/>
        </w:rPr>
      </w:pPr>
      <w:r>
        <w:rPr>
          <w:rFonts w:hint="eastAsia" w:ascii="Times New Roman" w:hAnsi="Times New Roman"/>
          <w:color w:val="auto"/>
          <w:kern w:val="1"/>
          <w:highlight w:val="none"/>
          <w:lang w:eastAsia="zh-CN"/>
        </w:rPr>
        <w:t>（</w:t>
      </w:r>
      <w:r>
        <w:rPr>
          <w:rFonts w:hint="eastAsia" w:ascii="Times New Roman" w:hAnsi="Times New Roman"/>
          <w:color w:val="auto"/>
          <w:kern w:val="1"/>
          <w:highlight w:val="none"/>
          <w:lang w:val="en-US" w:eastAsia="zh-CN"/>
        </w:rPr>
        <w:t>7</w:t>
      </w:r>
      <w:r>
        <w:rPr>
          <w:rFonts w:hint="eastAsia" w:ascii="Times New Roman" w:hAnsi="Times New Roman"/>
          <w:color w:val="auto"/>
          <w:kern w:val="1"/>
          <w:highlight w:val="none"/>
          <w:lang w:eastAsia="zh-CN"/>
        </w:rPr>
        <w:t>）</w:t>
      </w:r>
      <w:r>
        <w:rPr>
          <w:rFonts w:ascii="Times New Roman" w:hAnsi="Times New Roman"/>
          <w:color w:val="auto"/>
          <w:kern w:val="1"/>
          <w:highlight w:val="none"/>
        </w:rPr>
        <w:t>根据招标文件技术需求及评分规则要求提供的有关材料；</w:t>
      </w:r>
    </w:p>
    <w:p>
      <w:pPr>
        <w:pStyle w:val="28"/>
        <w:pageBreakBefore w:val="0"/>
        <w:numPr>
          <w:ilvl w:val="0"/>
          <w:numId w:val="0"/>
        </w:numPr>
        <w:kinsoku/>
        <w:wordWrap/>
        <w:overflowPunct/>
        <w:topLinePunct w:val="0"/>
        <w:autoSpaceDE/>
        <w:autoSpaceDN/>
        <w:bidi w:val="0"/>
        <w:adjustRightInd/>
        <w:snapToGrid/>
        <w:spacing w:line="360" w:lineRule="auto"/>
        <w:ind w:firstLine="420" w:firstLineChars="200"/>
        <w:textAlignment w:val="auto"/>
        <w:rPr>
          <w:rFonts w:ascii="Times New Roman" w:hAnsi="Times New Roman"/>
          <w:color w:val="auto"/>
          <w:kern w:val="1"/>
          <w:highlight w:val="none"/>
        </w:rPr>
      </w:pPr>
      <w:r>
        <w:rPr>
          <w:rFonts w:hint="eastAsia" w:ascii="Times New Roman" w:hAnsi="Times New Roman"/>
          <w:color w:val="auto"/>
          <w:kern w:val="1"/>
          <w:highlight w:val="none"/>
          <w:lang w:eastAsia="zh-CN"/>
        </w:rPr>
        <w:t>（</w:t>
      </w:r>
      <w:r>
        <w:rPr>
          <w:rFonts w:hint="eastAsia" w:ascii="Times New Roman" w:hAnsi="Times New Roman"/>
          <w:color w:val="auto"/>
          <w:kern w:val="1"/>
          <w:highlight w:val="none"/>
          <w:lang w:val="en-US" w:eastAsia="zh-CN"/>
        </w:rPr>
        <w:t>8</w:t>
      </w:r>
      <w:r>
        <w:rPr>
          <w:rFonts w:hint="eastAsia" w:ascii="Times New Roman" w:hAnsi="Times New Roman"/>
          <w:color w:val="auto"/>
          <w:kern w:val="1"/>
          <w:highlight w:val="none"/>
          <w:lang w:eastAsia="zh-CN"/>
        </w:rPr>
        <w:t>）</w:t>
      </w:r>
      <w:r>
        <w:rPr>
          <w:rFonts w:ascii="Times New Roman" w:hAnsi="Times New Roman"/>
          <w:color w:val="auto"/>
          <w:kern w:val="1"/>
          <w:highlight w:val="none"/>
        </w:rPr>
        <w:t>供应商认为可能需要的其它文件（格式自拟）。</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注：招标文件中打★号的条款为要求供应商作实质性响应的条款，供应商提交的“</w:t>
      </w:r>
      <w:r>
        <w:rPr>
          <w:rFonts w:hint="eastAsia" w:ascii="Times New Roman" w:hAnsi="Times New Roman"/>
          <w:color w:val="auto"/>
          <w:highlight w:val="none"/>
        </w:rPr>
        <w:t>商务</w:t>
      </w:r>
      <w:r>
        <w:rPr>
          <w:rFonts w:ascii="Times New Roman" w:hAnsi="Times New Roman"/>
          <w:color w:val="auto"/>
          <w:highlight w:val="none"/>
        </w:rPr>
        <w:t>技术文件”中应对打★号的技术条款作实质性响应，否则其投标无效。</w:t>
      </w:r>
    </w:p>
    <w:p>
      <w:pPr>
        <w:pStyle w:val="28"/>
        <w:pageBreakBefore w:val="0"/>
        <w:kinsoku/>
        <w:wordWrap/>
        <w:overflowPunct/>
        <w:topLinePunct w:val="0"/>
        <w:autoSpaceDE/>
        <w:autoSpaceDN/>
        <w:bidi w:val="0"/>
        <w:adjustRightInd/>
        <w:snapToGrid/>
        <w:spacing w:line="360" w:lineRule="auto"/>
        <w:ind w:firstLine="422"/>
        <w:textAlignment w:val="auto"/>
        <w:rPr>
          <w:rFonts w:hint="eastAsia" w:ascii="Times New Roman" w:hAnsi="Times New Roman"/>
          <w:b/>
          <w:color w:val="auto"/>
          <w:highlight w:val="none"/>
        </w:rPr>
      </w:pPr>
      <w:r>
        <w:rPr>
          <w:rFonts w:ascii="Times New Roman" w:hAnsi="Times New Roman"/>
          <w:b/>
          <w:color w:val="auto"/>
          <w:highlight w:val="none"/>
        </w:rPr>
        <w:t>12.5</w:t>
      </w:r>
      <w:r>
        <w:rPr>
          <w:rFonts w:hint="eastAsia" w:ascii="Times New Roman" w:hAnsi="Times New Roman"/>
          <w:b/>
          <w:color w:val="auto"/>
          <w:highlight w:val="none"/>
        </w:rPr>
        <w:t>报价响应文件，</w:t>
      </w:r>
      <w:r>
        <w:rPr>
          <w:b/>
          <w:color w:val="auto"/>
          <w:szCs w:val="21"/>
          <w:highlight w:val="none"/>
        </w:rPr>
        <w:t>包</w:t>
      </w:r>
      <w:r>
        <w:rPr>
          <w:rFonts w:hint="eastAsia"/>
          <w:b/>
          <w:color w:val="auto"/>
          <w:szCs w:val="21"/>
          <w:highlight w:val="none"/>
        </w:rPr>
        <w:t>含但不限于</w:t>
      </w:r>
      <w:r>
        <w:rPr>
          <w:b/>
          <w:color w:val="auto"/>
          <w:szCs w:val="21"/>
          <w:highlight w:val="none"/>
        </w:rPr>
        <w:t>以下内容：</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（1）投标函；</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（2）报价一览表</w:t>
      </w:r>
      <w:r>
        <w:rPr>
          <w:rFonts w:ascii="Times New Roman" w:hAnsi="Times New Roman"/>
          <w:color w:val="auto"/>
          <w:highlight w:val="none"/>
        </w:rPr>
        <w:t>；</w:t>
      </w:r>
    </w:p>
    <w:p>
      <w:pPr>
        <w:pStyle w:val="28"/>
        <w:pageBreakBefore w:val="0"/>
        <w:kinsoku/>
        <w:wordWrap/>
        <w:overflowPunct/>
        <w:topLinePunct w:val="0"/>
        <w:autoSpaceDE/>
        <w:autoSpaceDN/>
        <w:bidi w:val="0"/>
        <w:adjustRightInd/>
        <w:snapToGrid/>
        <w:spacing w:line="360" w:lineRule="auto"/>
        <w:ind w:firstLine="420"/>
        <w:textAlignment w:val="auto"/>
        <w:rPr>
          <w:rFonts w:hint="eastAsia" w:ascii="Times New Roman" w:hAnsi="Times New Roman" w:eastAsia="宋体"/>
          <w:color w:val="auto"/>
          <w:highlight w:val="none"/>
          <w:lang w:eastAsia="zh-CN"/>
        </w:rPr>
      </w:pPr>
      <w:r>
        <w:rPr>
          <w:rFonts w:ascii="Times New Roman" w:hAnsi="Times New Roman"/>
          <w:color w:val="auto"/>
          <w:highlight w:val="none"/>
        </w:rPr>
        <w:t>（3）</w:t>
      </w:r>
      <w:r>
        <w:rPr>
          <w:rFonts w:ascii="Times New Roman" w:hAnsi="Times New Roman"/>
          <w:color w:val="auto"/>
          <w:highlight w:val="none"/>
        </w:rPr>
        <w:t>中小企业声明函</w:t>
      </w:r>
      <w:r>
        <w:rPr>
          <w:rFonts w:hint="eastAsia" w:ascii="Times New Roman" w:hAnsi="Times New Roman"/>
          <w:color w:val="auto"/>
          <w:highlight w:val="none"/>
        </w:rPr>
        <w:t>（符合中小微企业有关政策的投标人需提供本项材料。投标人应根据《工业和信息化部、国家统计局、国家发展和改革委员会、财政部关于印发中小企业划型标准规定的通知》（工信部联企业〔2011〕300号）规定的划分标准,填报企业规模类型。投标人也可在国务院客户端或工业和信息化部网站上，使用中小企业规模类型自测小程序识别企业规模类型）</w:t>
      </w:r>
      <w:r>
        <w:rPr>
          <w:rFonts w:hint="eastAsia" w:ascii="Times New Roman" w:hAnsi="Times New Roman"/>
          <w:color w:val="auto"/>
          <w:highlight w:val="none"/>
          <w:lang w:eastAsia="zh-CN"/>
        </w:rPr>
        <w:t>；</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（4）</w:t>
      </w:r>
      <w:r>
        <w:rPr>
          <w:rFonts w:hint="eastAsia" w:ascii="Times New Roman" w:hAnsi="Times New Roman"/>
          <w:szCs w:val="22"/>
          <w:highlight w:val="none"/>
        </w:rPr>
        <w:t>残疾人福利性单位声明函（见格式）（符合残疾人福利性单位有关政策的投标人需提供本项材料）</w:t>
      </w:r>
      <w:r>
        <w:rPr>
          <w:rFonts w:ascii="Times New Roman" w:hAnsi="Times New Roman"/>
          <w:color w:val="auto"/>
          <w:highlight w:val="none"/>
        </w:rPr>
        <w:t>；</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（5）</w:t>
      </w:r>
      <w:r>
        <w:rPr>
          <w:rFonts w:hint="eastAsia" w:ascii="Times New Roman" w:hAnsi="Times New Roman"/>
          <w:highlight w:val="none"/>
        </w:rPr>
        <w:t>省级及以上监狱管理局、戒毒管理局（含新疆生产建设兵团）出具的属于监狱企业的文件复印件加盖电子签章（符合监狱企业有关政策的投标人需提供本项材料）</w:t>
      </w:r>
      <w:r>
        <w:rPr>
          <w:rFonts w:ascii="Times New Roman" w:hAnsi="Times New Roman"/>
          <w:highlight w:val="none"/>
        </w:rPr>
        <w:t>；</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（6）其他投标人认为须提供的资料。</w:t>
      </w:r>
    </w:p>
    <w:p>
      <w:pPr>
        <w:pStyle w:val="3"/>
        <w:pageBreakBefore w:val="0"/>
        <w:kinsoku/>
        <w:wordWrap/>
        <w:overflowPunct/>
        <w:topLinePunct w:val="0"/>
        <w:autoSpaceDE/>
        <w:autoSpaceDN/>
        <w:bidi w:val="0"/>
        <w:adjustRightInd/>
        <w:snapToGrid/>
        <w:spacing w:line="360" w:lineRule="auto"/>
        <w:ind w:firstLine="422"/>
        <w:jc w:val="both"/>
        <w:textAlignment w:val="auto"/>
        <w:rPr>
          <w:rFonts w:ascii="Times New Roman" w:hAnsi="Times New Roman"/>
          <w:b w:val="0"/>
          <w:color w:val="auto"/>
          <w:sz w:val="21"/>
          <w:highlight w:val="none"/>
        </w:rPr>
      </w:pPr>
      <w:r>
        <w:rPr>
          <w:rFonts w:ascii="Times New Roman" w:hAnsi="Times New Roman"/>
          <w:color w:val="auto"/>
          <w:sz w:val="21"/>
          <w:highlight w:val="none"/>
        </w:rPr>
        <w:t>13、投标人资格的有关资料</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13.1投标人应提交体现其有资格参加投标和中标后有能力履行合同的文件，并作为其投标文件的一部分。</w:t>
      </w:r>
    </w:p>
    <w:p>
      <w:pPr>
        <w:pStyle w:val="28"/>
        <w:pageBreakBefore w:val="0"/>
        <w:kinsoku/>
        <w:wordWrap/>
        <w:overflowPunct/>
        <w:topLinePunct w:val="0"/>
        <w:autoSpaceDE/>
        <w:autoSpaceDN/>
        <w:bidi w:val="0"/>
        <w:adjustRightInd/>
        <w:snapToGrid/>
        <w:spacing w:line="360" w:lineRule="auto"/>
        <w:ind w:firstLine="413"/>
        <w:textAlignment w:val="auto"/>
        <w:rPr>
          <w:rFonts w:ascii="Times New Roman" w:hAnsi="Times New Roman"/>
          <w:b/>
          <w:color w:val="auto"/>
          <w:highlight w:val="none"/>
        </w:rPr>
      </w:pPr>
      <w:r>
        <w:rPr>
          <w:rFonts w:ascii="Times New Roman" w:hAnsi="Times New Roman"/>
          <w:b/>
          <w:color w:val="auto"/>
          <w:highlight w:val="none"/>
        </w:rPr>
        <w:t>14、投标报价</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b/>
          <w:color w:val="auto"/>
          <w:highlight w:val="none"/>
        </w:rPr>
      </w:pPr>
      <w:r>
        <w:rPr>
          <w:rFonts w:ascii="Times New Roman" w:hAnsi="Times New Roman"/>
          <w:b/>
          <w:color w:val="auto"/>
          <w:highlight w:val="none"/>
        </w:rPr>
        <w:t>14.1供应商应根据国家的有关规定和招标文件要求并结合企业的实际情况进行自主报价。投标报价以人民币为结算货币。投标报价是完成本招标文件规定的全部工作内容和要求的总费用包括</w:t>
      </w:r>
      <w:r>
        <w:rPr>
          <w:rFonts w:hint="eastAsia" w:ascii="Times New Roman" w:hAnsi="Times New Roman"/>
          <w:b/>
          <w:color w:val="auto"/>
          <w:highlight w:val="none"/>
        </w:rPr>
        <w:t>赛事策划、组织、宣传、后勤保障、补给物资、交通费、安保、医疗、人员费用、管理费用、项目执行费用、利润、税金</w:t>
      </w:r>
      <w:r>
        <w:rPr>
          <w:rFonts w:hint="eastAsia" w:ascii="Times New Roman" w:hAnsi="Times New Roman"/>
          <w:b/>
          <w:color w:val="auto"/>
          <w:highlight w:val="none"/>
          <w:lang w:eastAsia="zh-CN"/>
        </w:rPr>
        <w:t>、完成本项目的其它费用</w:t>
      </w:r>
      <w:r>
        <w:rPr>
          <w:rFonts w:ascii="Times New Roman" w:hAnsi="Times New Roman"/>
          <w:b/>
          <w:color w:val="auto"/>
          <w:highlight w:val="none"/>
        </w:rPr>
        <w:t>和政策性文件规定及合同包含的所有风险、责任等各项应有费用，如有漏项，视同已包含在其总项目中，合同总价不予调整。</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14.2 供应商应在投标书的《报价一览表》上写明投标报价项目的单价和总价，</w:t>
      </w:r>
      <w:r>
        <w:rPr>
          <w:rFonts w:hint="eastAsia" w:ascii="Times New Roman" w:hAnsi="Times New Roman"/>
          <w:color w:val="auto"/>
          <w:highlight w:val="none"/>
        </w:rPr>
        <w:t>投标文件中开标一览表（报价表）内容与投标文件中相应内容不一致的，以开标一览表（报价表）为准；大写金额和小写金额不一致的，以大写金额为准；单价金额小数点或者百分比有明显错位的，以开标一览表的总价为准，并修改单价；总价金额与按单价汇总金额不一致的，以单价金额计算结果为准。</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szCs w:val="22"/>
          <w:highlight w:val="none"/>
        </w:rPr>
      </w:pPr>
      <w:r>
        <w:rPr>
          <w:rFonts w:ascii="Times New Roman" w:hAnsi="Times New Roman"/>
          <w:color w:val="auto"/>
          <w:szCs w:val="22"/>
          <w:highlight w:val="none"/>
        </w:rPr>
        <w:t>14.3中标后，</w:t>
      </w:r>
      <w:r>
        <w:rPr>
          <w:rFonts w:ascii="Times New Roman" w:hAnsi="Times New Roman"/>
          <w:b/>
          <w:bCs/>
          <w:color w:val="auto"/>
          <w:szCs w:val="22"/>
          <w:highlight w:val="none"/>
        </w:rPr>
        <w:t>中标人所填写的报价在合同实施期间不因市场变化因素而变动</w:t>
      </w:r>
      <w:r>
        <w:rPr>
          <w:rFonts w:ascii="Times New Roman" w:hAnsi="Times New Roman"/>
          <w:color w:val="auto"/>
          <w:szCs w:val="22"/>
          <w:highlight w:val="none"/>
        </w:rPr>
        <w:t>；投标人在计算报价时应考虑一定的风险系数。</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14.4供应商应按招标文件规定的报价格式进行投标报价。供应商对每种服务只允许有一个报价，采购人不接受任何有选择性的报价。</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14.5采购人不接受低于成本的投标报价，也不接受招标项目范围内的捐赠。</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14.6供应商按照上述要求编制投标报价，一旦确认某一投标人中标，除合同规定的可调整内容外，中标人不得要求追加任何费用。</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14.7须由中标单位开具正式发票。</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14.8招标文件中规定由供应商承担并支付的相关费用（如中标服务费等）在投标报价时应一并考虑。</w:t>
      </w:r>
    </w:p>
    <w:p>
      <w:pPr>
        <w:pageBreakBefore w:val="0"/>
        <w:kinsoku/>
        <w:wordWrap/>
        <w:overflowPunct/>
        <w:topLinePunct w:val="0"/>
        <w:autoSpaceDE/>
        <w:autoSpaceDN/>
        <w:bidi w:val="0"/>
        <w:adjustRightInd/>
        <w:snapToGrid/>
        <w:spacing w:line="360" w:lineRule="auto"/>
        <w:ind w:firstLine="422"/>
        <w:textAlignment w:val="auto"/>
        <w:rPr>
          <w:rFonts w:ascii="Times New Roman" w:hAnsi="Times New Roman"/>
          <w:b/>
          <w:color w:val="auto"/>
          <w:kern w:val="1"/>
          <w:highlight w:val="none"/>
        </w:rPr>
      </w:pPr>
      <w:r>
        <w:rPr>
          <w:rFonts w:ascii="Times New Roman" w:hAnsi="Times New Roman"/>
          <w:b/>
          <w:color w:val="auto"/>
          <w:kern w:val="1"/>
          <w:highlight w:val="none"/>
        </w:rPr>
        <w:t>15、投标文件格式</w:t>
      </w:r>
    </w:p>
    <w:p>
      <w:pPr>
        <w:pageBreakBefore w:val="0"/>
        <w:kinsoku/>
        <w:wordWrap/>
        <w:overflowPunct/>
        <w:topLinePunct w:val="0"/>
        <w:autoSpaceDE/>
        <w:autoSpaceDN/>
        <w:bidi w:val="0"/>
        <w:adjustRightInd/>
        <w:snapToGrid/>
        <w:spacing w:line="360" w:lineRule="auto"/>
        <w:ind w:firstLine="422"/>
        <w:textAlignment w:val="auto"/>
        <w:rPr>
          <w:rFonts w:ascii="Times New Roman" w:hAnsi="Times New Roman"/>
          <w:b/>
          <w:color w:val="auto"/>
          <w:kern w:val="1"/>
          <w:highlight w:val="none"/>
        </w:rPr>
      </w:pPr>
      <w:r>
        <w:rPr>
          <w:rFonts w:ascii="Times New Roman" w:hAnsi="Times New Roman"/>
          <w:b/>
          <w:color w:val="auto"/>
          <w:kern w:val="1"/>
          <w:highlight w:val="none"/>
        </w:rPr>
        <w:t>15.1投标文件须包括本须知第12条中规定的全部内容，投标人不按招标文件的要求提供的投标文件和资料将视为没有对招标文件作实质性响应，其投标将被拒绝，其风险由投标人自行承担。</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15.2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28"/>
        <w:pageBreakBefore w:val="0"/>
        <w:kinsoku/>
        <w:wordWrap/>
        <w:overflowPunct/>
        <w:topLinePunct w:val="0"/>
        <w:autoSpaceDE/>
        <w:autoSpaceDN/>
        <w:bidi w:val="0"/>
        <w:adjustRightInd/>
        <w:snapToGrid/>
        <w:spacing w:line="360" w:lineRule="auto"/>
        <w:ind w:firstLine="422"/>
        <w:textAlignment w:val="auto"/>
        <w:rPr>
          <w:rFonts w:ascii="Times New Roman" w:hAnsi="Times New Roman"/>
          <w:b/>
          <w:color w:val="auto"/>
          <w:highlight w:val="none"/>
        </w:rPr>
      </w:pPr>
      <w:r>
        <w:rPr>
          <w:rFonts w:ascii="Times New Roman" w:hAnsi="Times New Roman"/>
          <w:b/>
          <w:color w:val="auto"/>
          <w:highlight w:val="none"/>
        </w:rPr>
        <w:t>16、投标文件编制要求</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 xml:space="preserve">16.1 </w:t>
      </w:r>
      <w:r>
        <w:rPr>
          <w:rFonts w:ascii="Times New Roman" w:hAnsi="Times New Roman"/>
          <w:color w:val="auto"/>
          <w:szCs w:val="21"/>
          <w:highlight w:val="none"/>
        </w:rPr>
        <w:t>投标文件制作：投标人通过“政采云”平台电子投标工具制作投标文件，电子投标工具请供应商自行前往http://www.zjzfcg.gov.cn/download/index.html?_=1571296580459&amp;tdsourcetag=s_pcqq_aiomsg下载并安装，投标文件制作具体流程详见“</w:t>
      </w:r>
      <w:r>
        <w:rPr>
          <w:rFonts w:ascii="Times New Roman" w:hAnsi="Times New Roman"/>
          <w:color w:val="auto"/>
          <w:szCs w:val="21"/>
          <w:highlight w:val="none"/>
        </w:rPr>
        <w:fldChar w:fldCharType="begin"/>
      </w:r>
      <w:r>
        <w:rPr>
          <w:rFonts w:ascii="Times New Roman" w:hAnsi="Times New Roman"/>
          <w:color w:val="auto"/>
          <w:szCs w:val="21"/>
          <w:highlight w:val="none"/>
        </w:rPr>
        <w:instrText xml:space="preserve"> HYPERLINK "电子化投标操作指南.pdf" </w:instrText>
      </w:r>
      <w:r>
        <w:rPr>
          <w:rFonts w:ascii="Times New Roman" w:hAnsi="Times New Roman"/>
          <w:color w:val="auto"/>
          <w:szCs w:val="21"/>
          <w:highlight w:val="none"/>
        </w:rPr>
        <w:fldChar w:fldCharType="separate"/>
      </w:r>
      <w:r>
        <w:rPr>
          <w:rFonts w:ascii="Times New Roman" w:hAnsi="Times New Roman"/>
          <w:color w:val="auto"/>
          <w:szCs w:val="21"/>
          <w:highlight w:val="none"/>
        </w:rPr>
        <w:t>政采云供应商项目采购-电子招投标操作指南</w:t>
      </w:r>
      <w:r>
        <w:rPr>
          <w:rFonts w:ascii="Times New Roman" w:hAnsi="Times New Roman"/>
          <w:color w:val="auto"/>
          <w:szCs w:val="21"/>
          <w:highlight w:val="none"/>
        </w:rPr>
        <w:fldChar w:fldCharType="end"/>
      </w:r>
      <w:r>
        <w:rPr>
          <w:rFonts w:ascii="Times New Roman" w:hAnsi="Times New Roman"/>
          <w:color w:val="auto"/>
          <w:szCs w:val="21"/>
          <w:highlight w:val="none"/>
        </w:rPr>
        <w:t>”（请投标供应商</w:t>
      </w:r>
      <w:r>
        <w:rPr>
          <w:rFonts w:hint="eastAsia" w:ascii="Times New Roman" w:hAnsi="Times New Roman"/>
          <w:color w:val="auto"/>
          <w:szCs w:val="21"/>
          <w:highlight w:val="none"/>
          <w:lang w:eastAsia="zh-CN"/>
        </w:rPr>
        <w:t>登录</w:t>
      </w:r>
      <w:r>
        <w:rPr>
          <w:rFonts w:ascii="Times New Roman" w:hAnsi="Times New Roman"/>
          <w:color w:val="auto"/>
          <w:szCs w:val="21"/>
          <w:highlight w:val="none"/>
        </w:rPr>
        <w:t>政采云平台https://service.zcygov.cn/#/knowledges/CW1EtGwBFdiHxlNd6I3m/6IMVAG0BFdiHxlNdQ8Na以获取最新操作指南）。</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16.2</w:t>
      </w:r>
      <w:r>
        <w:rPr>
          <w:rFonts w:hint="eastAsia" w:ascii="Times New Roman" w:hAnsi="Times New Roman"/>
          <w:color w:val="auto"/>
          <w:kern w:val="1"/>
          <w:highlight w:val="none"/>
        </w:rPr>
        <w:t xml:space="preserve"> </w:t>
      </w:r>
      <w:r>
        <w:rPr>
          <w:rFonts w:hint="eastAsia" w:ascii="Times New Roman" w:hAnsi="Times New Roman"/>
          <w:b/>
          <w:bCs/>
          <w:color w:val="auto"/>
          <w:kern w:val="1"/>
          <w:highlight w:val="none"/>
          <w:u w:val="single"/>
        </w:rPr>
        <w:t>投标人应根据电子投标操作指南按本招标文件规定的格式和顺序编制电子投标文件并进行关联定位。</w:t>
      </w:r>
    </w:p>
    <w:p>
      <w:pPr>
        <w:pageBreakBefore w:val="0"/>
        <w:kinsoku/>
        <w:wordWrap/>
        <w:overflowPunct/>
        <w:topLinePunct w:val="0"/>
        <w:autoSpaceDE/>
        <w:autoSpaceDN/>
        <w:bidi w:val="0"/>
        <w:adjustRightInd/>
        <w:snapToGrid/>
        <w:spacing w:line="360" w:lineRule="auto"/>
        <w:ind w:firstLine="420"/>
        <w:textAlignment w:val="auto"/>
        <w:rPr>
          <w:rFonts w:hint="eastAsia" w:ascii="Times New Roman" w:hAnsi="Times New Roman"/>
          <w:color w:val="auto"/>
          <w:kern w:val="1"/>
          <w:highlight w:val="none"/>
        </w:rPr>
      </w:pPr>
      <w:r>
        <w:rPr>
          <w:rFonts w:ascii="Times New Roman" w:hAnsi="Times New Roman"/>
          <w:color w:val="auto"/>
          <w:kern w:val="1"/>
          <w:highlight w:val="none"/>
        </w:rPr>
        <w:t>16.3由于</w:t>
      </w:r>
      <w:r>
        <w:rPr>
          <w:rFonts w:hint="eastAsia" w:ascii="Times New Roman" w:hAnsi="Times New Roman"/>
          <w:color w:val="auto"/>
          <w:kern w:val="1"/>
          <w:highlight w:val="none"/>
        </w:rPr>
        <w:t>投标人</w:t>
      </w:r>
      <w:r>
        <w:rPr>
          <w:rFonts w:ascii="Times New Roman" w:hAnsi="Times New Roman"/>
          <w:color w:val="auto"/>
          <w:kern w:val="1"/>
          <w:highlight w:val="none"/>
        </w:rPr>
        <w:t>未按招标文件的规定要求编制投标文件，导致评审小组作出的对投标方的误判，责任由投标方自己承担。</w:t>
      </w:r>
    </w:p>
    <w:p>
      <w:pPr>
        <w:pStyle w:val="28"/>
        <w:pageBreakBefore w:val="0"/>
        <w:kinsoku/>
        <w:wordWrap/>
        <w:overflowPunct/>
        <w:topLinePunct w:val="0"/>
        <w:autoSpaceDE/>
        <w:autoSpaceDN/>
        <w:bidi w:val="0"/>
        <w:adjustRightInd/>
        <w:snapToGrid/>
        <w:spacing w:line="360" w:lineRule="auto"/>
        <w:ind w:firstLine="422"/>
        <w:textAlignment w:val="auto"/>
        <w:rPr>
          <w:rFonts w:ascii="Times New Roman" w:hAnsi="Times New Roman"/>
          <w:b/>
          <w:color w:val="auto"/>
          <w:highlight w:val="none"/>
        </w:rPr>
      </w:pPr>
      <w:r>
        <w:rPr>
          <w:rFonts w:ascii="Times New Roman" w:hAnsi="Times New Roman"/>
          <w:b/>
          <w:color w:val="auto"/>
          <w:highlight w:val="none"/>
        </w:rPr>
        <w:t>17、投标保证金</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本项目免收投标保证金。</w:t>
      </w:r>
    </w:p>
    <w:p>
      <w:pPr>
        <w:pageBreakBefore w:val="0"/>
        <w:kinsoku/>
        <w:wordWrap/>
        <w:overflowPunct/>
        <w:topLinePunct w:val="0"/>
        <w:autoSpaceDE/>
        <w:autoSpaceDN/>
        <w:bidi w:val="0"/>
        <w:adjustRightInd/>
        <w:snapToGrid/>
        <w:spacing w:line="360" w:lineRule="auto"/>
        <w:ind w:firstLine="422"/>
        <w:textAlignment w:val="auto"/>
        <w:rPr>
          <w:rFonts w:ascii="Times New Roman" w:hAnsi="Times New Roman"/>
          <w:b/>
          <w:color w:val="auto"/>
          <w:kern w:val="1"/>
          <w:highlight w:val="none"/>
        </w:rPr>
      </w:pPr>
      <w:r>
        <w:rPr>
          <w:rFonts w:ascii="Times New Roman" w:hAnsi="Times New Roman"/>
          <w:b/>
          <w:color w:val="auto"/>
          <w:kern w:val="1"/>
          <w:highlight w:val="none"/>
        </w:rPr>
        <w:t>18、投标有效期</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b/>
          <w:color w:val="auto"/>
          <w:kern w:val="1"/>
          <w:highlight w:val="none"/>
        </w:rPr>
      </w:pPr>
      <w:r>
        <w:rPr>
          <w:rFonts w:ascii="Times New Roman" w:hAnsi="Times New Roman"/>
          <w:color w:val="auto"/>
          <w:kern w:val="1"/>
          <w:highlight w:val="none"/>
        </w:rPr>
        <w:t>18.1 投标文件从开标之日起，投标有效期为60天。</w:t>
      </w:r>
    </w:p>
    <w:p>
      <w:pPr>
        <w:pStyle w:val="28"/>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highlight w:val="none"/>
        </w:rPr>
      </w:pPr>
      <w:r>
        <w:rPr>
          <w:rFonts w:ascii="Times New Roman" w:hAnsi="Times New Roman"/>
          <w:color w:val="auto"/>
          <w:highlight w:val="none"/>
        </w:rPr>
        <w:t>18.2 特殊情况下，在原投标有效期截止之前，采购人可要求投标人同意延长有效期，这种要求与答复均应以书面形式提交。接受延长投标有效期的投标人将不会被要求和允许修正其投标。</w:t>
      </w:r>
    </w:p>
    <w:p>
      <w:pPr>
        <w:pStyle w:val="5"/>
        <w:pageBreakBefore w:val="0"/>
        <w:numPr>
          <w:ilvl w:val="1"/>
          <w:numId w:val="3"/>
        </w:numPr>
        <w:kinsoku/>
        <w:wordWrap/>
        <w:overflowPunct/>
        <w:topLinePunct w:val="0"/>
        <w:autoSpaceDE/>
        <w:autoSpaceDN/>
        <w:bidi w:val="0"/>
        <w:adjustRightInd/>
        <w:snapToGrid/>
        <w:spacing w:before="0" w:after="0" w:line="360" w:lineRule="auto"/>
        <w:textAlignment w:val="auto"/>
        <w:rPr>
          <w:rFonts w:ascii="Times New Roman" w:hAnsi="Times New Roman" w:eastAsia="宋体"/>
          <w:color w:val="auto"/>
          <w:sz w:val="21"/>
          <w:highlight w:val="none"/>
        </w:rPr>
      </w:pPr>
      <w:bookmarkStart w:id="14" w:name="_Toc274303232"/>
      <w:bookmarkEnd w:id="14"/>
      <w:bookmarkStart w:id="15" w:name="_Toc362250690"/>
      <w:bookmarkEnd w:id="15"/>
      <w:bookmarkStart w:id="16" w:name="_Toc34950004"/>
      <w:r>
        <w:rPr>
          <w:rFonts w:ascii="Times New Roman" w:hAnsi="Times New Roman" w:eastAsia="宋体"/>
          <w:color w:val="auto"/>
          <w:sz w:val="21"/>
          <w:highlight w:val="none"/>
        </w:rPr>
        <w:t>四、投标文件的递交</w:t>
      </w:r>
      <w:bookmarkEnd w:id="16"/>
    </w:p>
    <w:p>
      <w:pPr>
        <w:pageBreakBefore w:val="0"/>
        <w:kinsoku/>
        <w:wordWrap/>
        <w:overflowPunct/>
        <w:topLinePunct w:val="0"/>
        <w:autoSpaceDE/>
        <w:autoSpaceDN/>
        <w:bidi w:val="0"/>
        <w:adjustRightInd/>
        <w:snapToGrid/>
        <w:spacing w:line="360" w:lineRule="auto"/>
        <w:ind w:firstLine="420"/>
        <w:textAlignment w:val="auto"/>
        <w:rPr>
          <w:rFonts w:hint="eastAsia" w:ascii="Times New Roman" w:hAnsi="Times New Roman"/>
          <w:color w:val="auto"/>
          <w:kern w:val="1"/>
          <w:highlight w:val="none"/>
        </w:rPr>
      </w:pPr>
      <w:bookmarkStart w:id="17" w:name="_Toc362250691"/>
      <w:bookmarkEnd w:id="17"/>
      <w:bookmarkStart w:id="18" w:name="_Toc274303233"/>
      <w:bookmarkEnd w:id="18"/>
      <w:r>
        <w:rPr>
          <w:rFonts w:hint="eastAsia" w:ascii="Times New Roman" w:hAnsi="Times New Roman"/>
          <w:color w:val="auto"/>
          <w:kern w:val="1"/>
          <w:highlight w:val="none"/>
        </w:rPr>
        <w:t>19、电子投标文件上传的地点和截止时间</w:t>
      </w:r>
    </w:p>
    <w:p>
      <w:pPr>
        <w:pageBreakBefore w:val="0"/>
        <w:kinsoku/>
        <w:wordWrap/>
        <w:overflowPunct/>
        <w:topLinePunct w:val="0"/>
        <w:autoSpaceDE/>
        <w:autoSpaceDN/>
        <w:bidi w:val="0"/>
        <w:adjustRightInd/>
        <w:snapToGrid/>
        <w:spacing w:line="360" w:lineRule="auto"/>
        <w:ind w:firstLine="420"/>
        <w:textAlignment w:val="auto"/>
        <w:rPr>
          <w:rFonts w:hint="eastAsia" w:ascii="Times New Roman" w:hAnsi="Times New Roman"/>
          <w:color w:val="auto"/>
          <w:kern w:val="1"/>
          <w:highlight w:val="none"/>
        </w:rPr>
      </w:pPr>
      <w:r>
        <w:rPr>
          <w:rFonts w:hint="eastAsia" w:ascii="Times New Roman" w:hAnsi="Times New Roman"/>
          <w:color w:val="auto"/>
          <w:kern w:val="1"/>
          <w:highlight w:val="none"/>
        </w:rPr>
        <w:t>供应商应于</w:t>
      </w:r>
      <w:r>
        <w:rPr>
          <w:rFonts w:hint="eastAsia" w:ascii="Times New Roman" w:hAnsi="Times New Roman"/>
          <w:color w:val="auto"/>
          <w:kern w:val="1"/>
          <w:highlight w:val="none"/>
          <w:lang w:eastAsia="zh-CN"/>
        </w:rPr>
        <w:t>2022年06月02日上午</w:t>
      </w:r>
      <w:r>
        <w:rPr>
          <w:rFonts w:hint="eastAsia" w:ascii="Times New Roman" w:hAnsi="Times New Roman"/>
          <w:color w:val="auto"/>
          <w:kern w:val="1"/>
          <w:highlight w:val="none"/>
          <w:lang w:val="en-US" w:eastAsia="zh-CN"/>
        </w:rPr>
        <w:t>14:00</w:t>
      </w:r>
      <w:r>
        <w:rPr>
          <w:rFonts w:hint="eastAsia" w:ascii="Times New Roman" w:hAnsi="Times New Roman"/>
          <w:color w:val="auto"/>
          <w:kern w:val="1"/>
          <w:highlight w:val="none"/>
        </w:rPr>
        <w:t>前在“政采云”上自行加密上传电子投标文件，</w:t>
      </w:r>
      <w:r>
        <w:rPr>
          <w:rFonts w:ascii="Times New Roman" w:hAnsi="Times New Roman"/>
          <w:color w:val="auto"/>
          <w:kern w:val="1"/>
          <w:highlight w:val="none"/>
        </w:rPr>
        <w:t>逾期</w:t>
      </w:r>
      <w:r>
        <w:rPr>
          <w:rFonts w:hint="eastAsia" w:ascii="Times New Roman" w:hAnsi="Times New Roman"/>
          <w:color w:val="auto"/>
          <w:kern w:val="1"/>
          <w:highlight w:val="none"/>
        </w:rPr>
        <w:t>上传</w:t>
      </w:r>
      <w:r>
        <w:rPr>
          <w:rFonts w:ascii="Times New Roman" w:hAnsi="Times New Roman"/>
          <w:color w:val="auto"/>
          <w:kern w:val="1"/>
          <w:highlight w:val="none"/>
        </w:rPr>
        <w:t>或未按要求</w:t>
      </w:r>
      <w:r>
        <w:rPr>
          <w:rFonts w:hint="eastAsia" w:ascii="Times New Roman" w:hAnsi="Times New Roman"/>
          <w:color w:val="auto"/>
          <w:kern w:val="1"/>
          <w:highlight w:val="none"/>
        </w:rPr>
        <w:t>上传</w:t>
      </w:r>
      <w:r>
        <w:rPr>
          <w:rFonts w:ascii="Times New Roman" w:hAnsi="Times New Roman"/>
          <w:color w:val="auto"/>
          <w:kern w:val="1"/>
          <w:highlight w:val="none"/>
        </w:rPr>
        <w:t>的投标文件将予以拒收。</w:t>
      </w:r>
    </w:p>
    <w:p>
      <w:pPr>
        <w:pageBreakBefore w:val="0"/>
        <w:kinsoku/>
        <w:wordWrap/>
        <w:overflowPunct/>
        <w:topLinePunct w:val="0"/>
        <w:autoSpaceDE/>
        <w:autoSpaceDN/>
        <w:bidi w:val="0"/>
        <w:adjustRightInd/>
        <w:snapToGrid/>
        <w:spacing w:line="360" w:lineRule="auto"/>
        <w:ind w:firstLine="420"/>
        <w:textAlignment w:val="auto"/>
        <w:rPr>
          <w:rFonts w:hint="eastAsia" w:ascii="Times New Roman" w:hAnsi="Times New Roman"/>
          <w:color w:val="auto"/>
          <w:kern w:val="1"/>
          <w:highlight w:val="none"/>
        </w:rPr>
      </w:pPr>
      <w:r>
        <w:rPr>
          <w:rFonts w:hint="eastAsia" w:ascii="Times New Roman" w:hAnsi="Times New Roman"/>
          <w:color w:val="auto"/>
          <w:kern w:val="1"/>
          <w:highlight w:val="none"/>
        </w:rPr>
        <w:t>20、投标文件解密</w:t>
      </w:r>
    </w:p>
    <w:p>
      <w:pPr>
        <w:pageBreakBefore w:val="0"/>
        <w:kinsoku/>
        <w:wordWrap/>
        <w:overflowPunct/>
        <w:topLinePunct w:val="0"/>
        <w:autoSpaceDE/>
        <w:autoSpaceDN/>
        <w:bidi w:val="0"/>
        <w:adjustRightInd/>
        <w:snapToGrid/>
        <w:spacing w:line="360" w:lineRule="auto"/>
        <w:ind w:firstLine="420"/>
        <w:textAlignment w:val="auto"/>
        <w:rPr>
          <w:rFonts w:hint="eastAsia" w:ascii="Times New Roman" w:hAnsi="Times New Roman"/>
          <w:color w:val="auto"/>
          <w:kern w:val="1"/>
          <w:highlight w:val="none"/>
        </w:rPr>
      </w:pPr>
      <w:r>
        <w:rPr>
          <w:rFonts w:hint="eastAsia" w:ascii="Times New Roman" w:hAnsi="Times New Roman"/>
          <w:color w:val="auto"/>
          <w:kern w:val="1"/>
          <w:highlight w:val="none"/>
        </w:rPr>
        <w:t>开标时间后1小时内（</w:t>
      </w:r>
      <w:r>
        <w:rPr>
          <w:rFonts w:hint="eastAsia" w:ascii="Times New Roman" w:hAnsi="Times New Roman"/>
          <w:color w:val="auto"/>
          <w:kern w:val="1"/>
          <w:highlight w:val="none"/>
          <w:lang w:eastAsia="zh-CN"/>
        </w:rPr>
        <w:t>2022年06月02日上午15:00</w:t>
      </w:r>
      <w:r>
        <w:rPr>
          <w:rFonts w:ascii="Times New Roman" w:hAnsi="Times New Roman"/>
          <w:color w:val="auto"/>
          <w:kern w:val="1"/>
          <w:highlight w:val="none"/>
        </w:rPr>
        <w:t>前</w:t>
      </w:r>
      <w:r>
        <w:rPr>
          <w:rFonts w:hint="eastAsia" w:ascii="Times New Roman" w:hAnsi="Times New Roman"/>
          <w:color w:val="auto"/>
          <w:kern w:val="1"/>
          <w:highlight w:val="none"/>
        </w:rPr>
        <w:t>）</w:t>
      </w:r>
      <w:r>
        <w:rPr>
          <w:rFonts w:ascii="Times New Roman" w:hAnsi="Times New Roman"/>
          <w:color w:val="auto"/>
          <w:kern w:val="1"/>
          <w:highlight w:val="none"/>
        </w:rPr>
        <w:t>供应商可以登录“</w:t>
      </w:r>
      <w:r>
        <w:rPr>
          <w:rFonts w:hint="eastAsia" w:ascii="Times New Roman" w:hAnsi="Times New Roman"/>
          <w:color w:val="auto"/>
          <w:kern w:val="1"/>
          <w:highlight w:val="none"/>
        </w:rPr>
        <w:t>政采云</w:t>
      </w:r>
      <w:r>
        <w:rPr>
          <w:rFonts w:ascii="Times New Roman" w:hAnsi="Times New Roman"/>
          <w:color w:val="auto"/>
          <w:kern w:val="1"/>
          <w:highlight w:val="none"/>
        </w:rPr>
        <w:t>”</w:t>
      </w:r>
      <w:r>
        <w:rPr>
          <w:rFonts w:hint="eastAsia" w:ascii="Times New Roman" w:hAnsi="Times New Roman"/>
          <w:color w:val="auto"/>
          <w:kern w:val="1"/>
          <w:highlight w:val="none"/>
        </w:rPr>
        <w:t>平台</w:t>
      </w:r>
      <w:r>
        <w:rPr>
          <w:rFonts w:ascii="Times New Roman" w:hAnsi="Times New Roman"/>
          <w:color w:val="auto"/>
          <w:kern w:val="1"/>
          <w:highlight w:val="none"/>
        </w:rPr>
        <w:t>，用“</w:t>
      </w:r>
      <w:r>
        <w:rPr>
          <w:rFonts w:hint="eastAsia" w:ascii="Times New Roman" w:hAnsi="Times New Roman"/>
          <w:color w:val="auto"/>
          <w:kern w:val="1"/>
          <w:highlight w:val="none"/>
        </w:rPr>
        <w:t>项目采购-开标评标</w:t>
      </w:r>
      <w:r>
        <w:rPr>
          <w:rFonts w:ascii="Times New Roman" w:hAnsi="Times New Roman"/>
          <w:color w:val="auto"/>
          <w:kern w:val="1"/>
          <w:highlight w:val="none"/>
        </w:rPr>
        <w:t>”功能</w:t>
      </w:r>
      <w:r>
        <w:rPr>
          <w:rFonts w:hint="eastAsia" w:ascii="Times New Roman" w:hAnsi="Times New Roman"/>
          <w:color w:val="auto"/>
          <w:kern w:val="1"/>
          <w:highlight w:val="none"/>
        </w:rPr>
        <w:t>进行解密投标文件</w:t>
      </w:r>
      <w:r>
        <w:rPr>
          <w:rFonts w:ascii="Times New Roman" w:hAnsi="Times New Roman"/>
          <w:color w:val="auto"/>
          <w:kern w:val="1"/>
          <w:highlight w:val="none"/>
        </w:rPr>
        <w:t>。</w:t>
      </w:r>
      <w:r>
        <w:rPr>
          <w:rFonts w:hint="eastAsia" w:ascii="Times New Roman" w:hAnsi="Times New Roman"/>
          <w:color w:val="auto"/>
          <w:kern w:val="1"/>
          <w:highlight w:val="none"/>
        </w:rPr>
        <w:t>若供应商在规定时间内无法解密或解密失败，将导致投标无效或失败。</w:t>
      </w:r>
    </w:p>
    <w:p>
      <w:pPr>
        <w:pageBreakBefore w:val="0"/>
        <w:kinsoku/>
        <w:wordWrap/>
        <w:overflowPunct/>
        <w:topLinePunct w:val="0"/>
        <w:autoSpaceDE/>
        <w:autoSpaceDN/>
        <w:bidi w:val="0"/>
        <w:adjustRightInd/>
        <w:snapToGrid/>
        <w:spacing w:line="360" w:lineRule="auto"/>
        <w:ind w:firstLine="420"/>
        <w:textAlignment w:val="auto"/>
        <w:rPr>
          <w:rFonts w:hint="eastAsia" w:ascii="Times New Roman" w:hAnsi="Times New Roman"/>
          <w:color w:val="auto"/>
          <w:kern w:val="1"/>
          <w:highlight w:val="none"/>
        </w:rPr>
      </w:pPr>
      <w:r>
        <w:rPr>
          <w:rFonts w:hint="eastAsia" w:ascii="Times New Roman" w:hAnsi="Times New Roman"/>
          <w:color w:val="auto"/>
          <w:kern w:val="1"/>
          <w:highlight w:val="none"/>
        </w:rPr>
        <w:t>备注：</w:t>
      </w:r>
      <w:r>
        <w:rPr>
          <w:rFonts w:ascii="Times New Roman" w:hAnsi="Times New Roman"/>
          <w:color w:val="auto"/>
          <w:szCs w:val="21"/>
          <w:highlight w:val="none"/>
          <w:u w:val="single"/>
        </w:rPr>
        <w:t>为确保采购项目顺利实施，避免因政采云上电子投标文件解密失败导致投标方投标无效，投标方可在</w:t>
      </w:r>
      <w:r>
        <w:rPr>
          <w:rFonts w:hint="eastAsia" w:ascii="Times New Roman" w:hAnsi="Times New Roman"/>
          <w:color w:val="auto"/>
          <w:szCs w:val="21"/>
          <w:highlight w:val="none"/>
          <w:u w:val="single"/>
          <w:lang w:eastAsia="zh-CN"/>
        </w:rPr>
        <w:t>2022年06月02日上午14:00</w:t>
      </w:r>
      <w:r>
        <w:rPr>
          <w:rFonts w:ascii="Times New Roman" w:hAnsi="Times New Roman"/>
          <w:color w:val="auto"/>
          <w:szCs w:val="21"/>
          <w:highlight w:val="none"/>
          <w:u w:val="single"/>
        </w:rPr>
        <w:t>前将在政采云平台上最后生成的具备电子签章的备份加密投标文件（文件名后缀为备份文件四字的首字母）以电子邮件方式传送至浙江省成套招标代理有限公司指定邮箱（</w:t>
      </w:r>
      <w:r>
        <w:rPr>
          <w:rFonts w:hint="eastAsia" w:ascii="Times New Roman" w:hAnsi="Times New Roman"/>
          <w:color w:val="auto"/>
          <w:szCs w:val="21"/>
          <w:highlight w:val="none"/>
          <w:u w:val="single"/>
          <w:lang w:eastAsia="zh-CN"/>
        </w:rPr>
        <w:t>626736@qq.com</w:t>
      </w:r>
      <w:r>
        <w:rPr>
          <w:rFonts w:ascii="Times New Roman" w:hAnsi="Times New Roman"/>
          <w:color w:val="auto"/>
          <w:szCs w:val="21"/>
          <w:highlight w:val="none"/>
          <w:u w:val="single"/>
        </w:rPr>
        <w:t>），传送的备份电子投标文件需打包压缩并加密，加密密码由投标方自行保管，如政采云上电子投标文件出现解密失败情况（开标当日</w:t>
      </w:r>
      <w:r>
        <w:rPr>
          <w:rFonts w:hint="eastAsia" w:ascii="Times New Roman" w:hAnsi="Times New Roman"/>
          <w:color w:val="auto"/>
          <w:szCs w:val="21"/>
          <w:highlight w:val="none"/>
          <w:u w:val="single"/>
          <w:lang w:eastAsia="zh-CN"/>
        </w:rPr>
        <w:t>14:00</w:t>
      </w:r>
      <w:r>
        <w:rPr>
          <w:rFonts w:ascii="Times New Roman" w:hAnsi="Times New Roman"/>
          <w:color w:val="auto"/>
          <w:szCs w:val="21"/>
          <w:highlight w:val="none"/>
          <w:u w:val="single"/>
        </w:rPr>
        <w:t>-</w:t>
      </w:r>
      <w:r>
        <w:rPr>
          <w:rFonts w:hint="eastAsia" w:ascii="Times New Roman" w:hAnsi="Times New Roman"/>
          <w:color w:val="auto"/>
          <w:szCs w:val="21"/>
          <w:highlight w:val="none"/>
          <w:u w:val="single"/>
          <w:lang w:eastAsia="zh-CN"/>
        </w:rPr>
        <w:t>15:00</w:t>
      </w:r>
      <w:r>
        <w:rPr>
          <w:rFonts w:ascii="Times New Roman" w:hAnsi="Times New Roman"/>
          <w:color w:val="auto"/>
          <w:szCs w:val="21"/>
          <w:highlight w:val="none"/>
          <w:u w:val="single"/>
        </w:rPr>
        <w:t>期间进行解密），投标方可按照自身意愿确认是否同意提供加密密码解密传送至浙江省成套招标代理有限公司指定邮箱（</w:t>
      </w:r>
      <w:r>
        <w:rPr>
          <w:rFonts w:hint="eastAsia" w:ascii="Times New Roman" w:hAnsi="Times New Roman"/>
          <w:color w:val="auto"/>
          <w:szCs w:val="21"/>
          <w:highlight w:val="none"/>
          <w:u w:val="single"/>
          <w:lang w:eastAsia="zh-CN"/>
        </w:rPr>
        <w:t>626736@qq.com</w:t>
      </w:r>
      <w:r>
        <w:rPr>
          <w:rFonts w:ascii="Times New Roman" w:hAnsi="Times New Roman"/>
          <w:color w:val="auto"/>
          <w:szCs w:val="21"/>
          <w:highlight w:val="none"/>
          <w:u w:val="single"/>
        </w:rPr>
        <w:t>）的备份文件，并以备份文件作为替代电子投标文件，如投标方未按照规定时间</w:t>
      </w:r>
      <w:r>
        <w:rPr>
          <w:rFonts w:hint="eastAsia" w:ascii="Times New Roman" w:hAnsi="Times New Roman"/>
          <w:color w:val="auto"/>
          <w:szCs w:val="21"/>
          <w:highlight w:val="none"/>
          <w:u w:val="single"/>
        </w:rPr>
        <w:t>（</w:t>
      </w:r>
      <w:r>
        <w:rPr>
          <w:rFonts w:hint="eastAsia" w:ascii="Times New Roman" w:hAnsi="Times New Roman"/>
          <w:color w:val="auto"/>
          <w:szCs w:val="21"/>
          <w:highlight w:val="none"/>
          <w:u w:val="single"/>
          <w:lang w:eastAsia="zh-CN"/>
        </w:rPr>
        <w:t>2022年06月02日上午14:00</w:t>
      </w:r>
      <w:r>
        <w:rPr>
          <w:rFonts w:hint="eastAsia" w:ascii="Times New Roman" w:hAnsi="Times New Roman"/>
          <w:color w:val="auto"/>
          <w:szCs w:val="21"/>
          <w:highlight w:val="none"/>
          <w:u w:val="single"/>
        </w:rPr>
        <w:t>前）</w:t>
      </w:r>
      <w:r>
        <w:rPr>
          <w:rFonts w:ascii="Times New Roman" w:hAnsi="Times New Roman"/>
          <w:color w:val="auto"/>
          <w:szCs w:val="21"/>
          <w:highlight w:val="none"/>
          <w:u w:val="single"/>
        </w:rPr>
        <w:t>及要求提供有效备份文件，同时政采云上投标文件解密失败的，将导致投标无效。</w:t>
      </w:r>
    </w:p>
    <w:p>
      <w:pPr>
        <w:pageBreakBefore w:val="0"/>
        <w:kinsoku/>
        <w:wordWrap/>
        <w:overflowPunct/>
        <w:topLinePunct w:val="0"/>
        <w:autoSpaceDE/>
        <w:autoSpaceDN/>
        <w:bidi w:val="0"/>
        <w:adjustRightInd/>
        <w:snapToGrid/>
        <w:spacing w:line="360" w:lineRule="auto"/>
        <w:ind w:firstLine="420"/>
        <w:textAlignment w:val="auto"/>
        <w:rPr>
          <w:rFonts w:hint="eastAsia" w:ascii="Times New Roman" w:hAnsi="Times New Roman"/>
          <w:color w:val="auto"/>
          <w:kern w:val="1"/>
          <w:highlight w:val="none"/>
        </w:rPr>
      </w:pPr>
      <w:r>
        <w:rPr>
          <w:rFonts w:hint="eastAsia" w:ascii="Times New Roman" w:hAnsi="Times New Roman"/>
          <w:color w:val="auto"/>
          <w:kern w:val="1"/>
          <w:highlight w:val="none"/>
        </w:rPr>
        <w:t>22、投标文件的补充、修改与撤回</w:t>
      </w:r>
    </w:p>
    <w:p>
      <w:pPr>
        <w:pageBreakBefore w:val="0"/>
        <w:kinsoku/>
        <w:wordWrap/>
        <w:overflowPunct/>
        <w:topLinePunct w:val="0"/>
        <w:autoSpaceDE/>
        <w:autoSpaceDN/>
        <w:bidi w:val="0"/>
        <w:adjustRightInd/>
        <w:snapToGrid/>
        <w:spacing w:line="360" w:lineRule="auto"/>
        <w:ind w:firstLine="420"/>
        <w:textAlignment w:val="auto"/>
        <w:rPr>
          <w:rFonts w:hint="eastAsia" w:ascii="Times New Roman" w:hAnsi="Times New Roman"/>
          <w:color w:val="auto"/>
          <w:kern w:val="1"/>
          <w:highlight w:val="none"/>
        </w:rPr>
      </w:pPr>
      <w:r>
        <w:rPr>
          <w:rFonts w:hint="eastAsia" w:ascii="Times New Roman" w:hAnsi="Times New Roman"/>
          <w:color w:val="auto"/>
          <w:kern w:val="1"/>
          <w:highlight w:val="none"/>
        </w:rPr>
        <w:t>22.1投标人在提交投标文件以后，在规定的投标截止时间之前，可以以重新补充修改或撤回已上传的投标文件，补充、修改的内容为投标文件的组成部分。</w:t>
      </w:r>
    </w:p>
    <w:p>
      <w:pPr>
        <w:pageBreakBefore w:val="0"/>
        <w:kinsoku/>
        <w:wordWrap/>
        <w:overflowPunct/>
        <w:topLinePunct w:val="0"/>
        <w:autoSpaceDE/>
        <w:autoSpaceDN/>
        <w:bidi w:val="0"/>
        <w:adjustRightInd/>
        <w:snapToGrid/>
        <w:spacing w:line="360" w:lineRule="auto"/>
        <w:ind w:firstLine="420"/>
        <w:textAlignment w:val="auto"/>
        <w:rPr>
          <w:rFonts w:hint="eastAsia" w:ascii="Times New Roman" w:hAnsi="Times New Roman"/>
          <w:color w:val="auto"/>
          <w:kern w:val="1"/>
          <w:highlight w:val="none"/>
        </w:rPr>
      </w:pPr>
      <w:r>
        <w:rPr>
          <w:rFonts w:hint="eastAsia" w:ascii="Times New Roman" w:hAnsi="Times New Roman"/>
          <w:color w:val="auto"/>
          <w:kern w:val="1"/>
          <w:highlight w:val="none"/>
        </w:rPr>
        <w:t>22.2在投标截止时间之后，投标人不得对其投标做任何修改。</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hint="eastAsia" w:ascii="Times New Roman" w:hAnsi="Times New Roman"/>
          <w:color w:val="auto"/>
          <w:kern w:val="1"/>
          <w:highlight w:val="none"/>
        </w:rPr>
        <w:t>22.3从投标截止时间至投标人在投标书格式中确定的投标有效期期满这段时间内，投标人不得撤回其投标。</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五、其它</w:t>
      </w:r>
    </w:p>
    <w:p>
      <w:pPr>
        <w:pageBreakBefore w:val="0"/>
        <w:kinsoku/>
        <w:wordWrap/>
        <w:overflowPunct/>
        <w:topLinePunct w:val="0"/>
        <w:autoSpaceDE/>
        <w:autoSpaceDN/>
        <w:bidi w:val="0"/>
        <w:adjustRightInd/>
        <w:snapToGrid/>
        <w:spacing w:line="360" w:lineRule="auto"/>
        <w:ind w:firstLine="420"/>
        <w:textAlignment w:val="auto"/>
        <w:rPr>
          <w:rFonts w:ascii="Times New Roman" w:hAnsi="Times New Roman"/>
          <w:color w:val="auto"/>
          <w:kern w:val="1"/>
          <w:highlight w:val="none"/>
        </w:rPr>
      </w:pPr>
      <w:r>
        <w:rPr>
          <w:rFonts w:ascii="Times New Roman" w:hAnsi="Times New Roman"/>
          <w:color w:val="auto"/>
          <w:kern w:val="1"/>
          <w:highlight w:val="none"/>
        </w:rPr>
        <w:t>23、本招标文件解释权归采购人。</w:t>
      </w:r>
    </w:p>
    <w:p>
      <w:pPr>
        <w:pStyle w:val="4"/>
        <w:numPr>
          <w:ilvl w:val="0"/>
          <w:numId w:val="0"/>
        </w:numPr>
        <w:spacing w:before="0" w:after="0" w:line="360" w:lineRule="auto"/>
        <w:jc w:val="center"/>
        <w:rPr>
          <w:rFonts w:hint="eastAsia" w:ascii="Times New Roman" w:hAnsi="Times New Roman"/>
          <w:color w:val="auto"/>
          <w:sz w:val="32"/>
          <w:highlight w:val="none"/>
          <w:lang w:val="en-US" w:eastAsia="zh-CN"/>
        </w:rPr>
      </w:pPr>
      <w:bookmarkStart w:id="19" w:name="_Toc274303234"/>
      <w:bookmarkEnd w:id="19"/>
      <w:bookmarkStart w:id="20" w:name="_Toc34950005"/>
    </w:p>
    <w:p>
      <w:pPr>
        <w:pStyle w:val="4"/>
        <w:numPr>
          <w:ilvl w:val="0"/>
          <w:numId w:val="0"/>
        </w:numPr>
        <w:spacing w:before="0" w:after="0" w:line="360" w:lineRule="auto"/>
        <w:jc w:val="center"/>
        <w:rPr>
          <w:rFonts w:hint="eastAsia" w:ascii="Times New Roman" w:hAnsi="Times New Roman"/>
          <w:color w:val="auto"/>
          <w:sz w:val="32"/>
          <w:highlight w:val="none"/>
          <w:lang w:val="en-US" w:eastAsia="zh-CN"/>
        </w:rPr>
      </w:pPr>
    </w:p>
    <w:p>
      <w:pPr>
        <w:pStyle w:val="4"/>
        <w:numPr>
          <w:ilvl w:val="0"/>
          <w:numId w:val="0"/>
        </w:numPr>
        <w:spacing w:before="0" w:after="0" w:line="360" w:lineRule="auto"/>
        <w:jc w:val="center"/>
        <w:rPr>
          <w:rFonts w:hint="eastAsia" w:ascii="Times New Roman" w:hAnsi="Times New Roman"/>
          <w:color w:val="auto"/>
          <w:sz w:val="32"/>
          <w:highlight w:val="none"/>
          <w:lang w:val="en-US" w:eastAsia="zh-CN"/>
        </w:rPr>
      </w:pPr>
    </w:p>
    <w:p>
      <w:pPr>
        <w:bidi w:val="0"/>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pStyle w:val="2"/>
        <w:rPr>
          <w:rFonts w:hint="eastAsia"/>
          <w:highlight w:val="none"/>
          <w:lang w:val="en-US" w:eastAsia="zh-CN"/>
        </w:rPr>
      </w:pPr>
    </w:p>
    <w:p>
      <w:pPr>
        <w:bidi w:val="0"/>
        <w:rPr>
          <w:rFonts w:hint="eastAsia"/>
          <w:highlight w:val="none"/>
          <w:lang w:val="en-US" w:eastAsia="zh-CN"/>
        </w:rPr>
      </w:pPr>
    </w:p>
    <w:p>
      <w:pPr>
        <w:pStyle w:val="51"/>
        <w:ind w:left="0" w:leftChars="0" w:firstLine="0" w:firstLineChars="0"/>
        <w:rPr>
          <w:rFonts w:hint="eastAsia"/>
          <w:highlight w:val="none"/>
          <w:lang w:val="en-US" w:eastAsia="zh-CN"/>
        </w:rPr>
      </w:pPr>
    </w:p>
    <w:p>
      <w:pPr>
        <w:pStyle w:val="4"/>
        <w:numPr>
          <w:ilvl w:val="0"/>
          <w:numId w:val="0"/>
        </w:numPr>
        <w:spacing w:before="0" w:after="0" w:line="360" w:lineRule="auto"/>
        <w:jc w:val="center"/>
        <w:rPr>
          <w:rFonts w:ascii="Times New Roman" w:hAnsi="Times New Roman"/>
          <w:color w:val="auto"/>
          <w:sz w:val="32"/>
          <w:highlight w:val="none"/>
        </w:rPr>
      </w:pPr>
      <w:r>
        <w:rPr>
          <w:rFonts w:hint="eastAsia" w:ascii="Times New Roman" w:hAnsi="Times New Roman"/>
          <w:color w:val="auto"/>
          <w:sz w:val="32"/>
          <w:highlight w:val="none"/>
          <w:lang w:val="en-US" w:eastAsia="zh-CN"/>
        </w:rPr>
        <w:t xml:space="preserve">第三章  </w:t>
      </w:r>
      <w:r>
        <w:rPr>
          <w:rFonts w:ascii="Times New Roman" w:hAnsi="Times New Roman"/>
          <w:color w:val="auto"/>
          <w:sz w:val="32"/>
          <w:highlight w:val="none"/>
        </w:rPr>
        <w:t>招标项目要求</w:t>
      </w:r>
      <w:bookmarkEnd w:id="20"/>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sz w:val="24"/>
          <w:szCs w:val="24"/>
          <w:highlight w:val="none"/>
        </w:rPr>
      </w:pPr>
      <w:bookmarkStart w:id="21" w:name="_Toc31652"/>
      <w:bookmarkStart w:id="22" w:name="_Toc22957"/>
      <w:bookmarkStart w:id="23" w:name="_Toc494185904"/>
      <w:bookmarkStart w:id="24" w:name="_Toc43193073"/>
      <w:r>
        <w:rPr>
          <w:rFonts w:hint="eastAsia" w:ascii="宋体" w:hAnsi="宋体" w:eastAsia="宋体" w:cs="宋体"/>
          <w:b/>
          <w:bCs/>
          <w:color w:val="000000"/>
          <w:sz w:val="24"/>
          <w:szCs w:val="24"/>
          <w:highlight w:val="none"/>
        </w:rPr>
        <w:t>一、项目概况</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2022年</w:t>
      </w:r>
      <w:r>
        <w:rPr>
          <w:rFonts w:hint="eastAsia" w:ascii="宋体" w:hAnsi="宋体" w:eastAsia="宋体" w:cs="宋体"/>
          <w:color w:val="000000"/>
          <w:sz w:val="24"/>
          <w:szCs w:val="24"/>
          <w:highlight w:val="none"/>
        </w:rPr>
        <w:t>义乌国际电子竞技大赛暨数字娱乐嘉年华(以下称IET)，自2014年第一届IET开赛至今，全国上下由县级城市主办的第三方国际级赛事，仅义乌IET一家。义乌倾力打造的IET这一品牌，在全国电竞爱好者心目中，仍留有一席之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2022年</w:t>
      </w:r>
      <w:r>
        <w:rPr>
          <w:rFonts w:hint="eastAsia" w:ascii="宋体" w:hAnsi="宋体" w:eastAsia="宋体" w:cs="宋体"/>
          <w:color w:val="000000"/>
          <w:sz w:val="24"/>
          <w:szCs w:val="24"/>
          <w:highlight w:val="none"/>
        </w:rPr>
        <w:t>义乌国际电子竞技大赛暨数字娱乐嘉年华由浙江省体育局</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义乌市人民政府主办</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rPr>
        <w:t>义乌市文化和广电旅游体育局</w:t>
      </w:r>
      <w:r>
        <w:rPr>
          <w:rFonts w:hint="eastAsia" w:ascii="宋体" w:hAnsi="宋体" w:eastAsia="宋体" w:cs="宋体"/>
          <w:color w:val="000000"/>
          <w:sz w:val="24"/>
          <w:szCs w:val="24"/>
          <w:highlight w:val="none"/>
        </w:rPr>
        <w:t>主办</w:t>
      </w:r>
      <w:r>
        <w:rPr>
          <w:rFonts w:hint="eastAsia" w:ascii="宋体" w:hAnsi="宋体" w:eastAsia="宋体" w:cs="宋体"/>
          <w:color w:val="000000"/>
          <w:sz w:val="24"/>
          <w:szCs w:val="24"/>
          <w:highlight w:val="none"/>
        </w:rPr>
        <w:t>。大赛宗旨为：打造草根电竞平台，倡导全民电竞，体验数字体育虚拟运动的空间和舞台，以高新技术手段实现传统体育项目与数字娱乐的对接，更好地诠释“数字体育”的广博内涵；为进一步将体育赛事和文化产业结合进行深入探索，借助现代新型的电子对抗比赛形式，借助“文交会”升级提升的机遇，串联起IT 硬件开发、动漫创意、游戏创作等相关行业的产业链条，引导地区的产业整体联运发展。</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sz w:val="24"/>
          <w:szCs w:val="24"/>
          <w:highlight w:val="none"/>
          <w:lang w:val="en-US"/>
        </w:rPr>
      </w:pPr>
      <w:r>
        <w:rPr>
          <w:rFonts w:hint="eastAsia" w:ascii="宋体" w:hAnsi="宋体" w:eastAsia="宋体" w:cs="宋体"/>
          <w:b/>
          <w:bCs/>
          <w:color w:val="000000"/>
          <w:sz w:val="24"/>
          <w:szCs w:val="24"/>
          <w:highlight w:val="none"/>
        </w:rPr>
        <w:t>二、</w:t>
      </w:r>
      <w:r>
        <w:rPr>
          <w:rFonts w:hint="eastAsia" w:ascii="宋体" w:hAnsi="宋体" w:eastAsia="宋体" w:cs="宋体"/>
          <w:b/>
          <w:bCs/>
          <w:color w:val="000000"/>
          <w:sz w:val="24"/>
          <w:szCs w:val="24"/>
          <w:highlight w:val="none"/>
          <w:lang w:val="en-US" w:eastAsia="zh-CN"/>
        </w:rPr>
        <w:t>项目方案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1、本着公开、公平、透明的原则择优选择电竞项目，推荐3-4款电竞项目，最后由赛事组织者确定电竞项目及邀请战队、个人名单，报市文旅体局备案。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2、所有参赛项目负责人要与赛事组织者签订工作合同（期限到赛事结束），方可执行负责比赛。</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3、所有参赛运动员、教练员、工作人员在比赛期间必须服从赛事组织者的管理。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4、赛事流程分为开幕式、比赛环节、闭幕式。</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5、赛事内容包含并不限于电竞类的赛事，动漫二次元的活动与电竞相关品牌的厂家、商家如直播机构、直播平台、动漫大赛等主体均可以深度参与整个赛事的运作。</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sz w:val="24"/>
          <w:szCs w:val="24"/>
          <w:highlight w:val="none"/>
          <w:lang w:val="en-US"/>
        </w:rPr>
      </w:pPr>
      <w:r>
        <w:rPr>
          <w:rFonts w:hint="eastAsia" w:ascii="宋体" w:hAnsi="宋体" w:eastAsia="宋体" w:cs="宋体"/>
          <w:b/>
          <w:bCs/>
          <w:color w:val="000000"/>
          <w:sz w:val="24"/>
          <w:szCs w:val="24"/>
          <w:highlight w:val="none"/>
          <w:lang w:val="en-US" w:eastAsia="zh-CN"/>
        </w:rPr>
        <w:t>三</w:t>
      </w:r>
      <w:r>
        <w:rPr>
          <w:rFonts w:hint="eastAsia" w:ascii="宋体" w:hAnsi="宋体" w:eastAsia="宋体" w:cs="宋体"/>
          <w:b/>
          <w:bCs/>
          <w:color w:val="000000"/>
          <w:sz w:val="24"/>
          <w:szCs w:val="24"/>
          <w:highlight w:val="none"/>
        </w:rPr>
        <w:t>、</w:t>
      </w:r>
      <w:r>
        <w:rPr>
          <w:rFonts w:hint="eastAsia" w:ascii="宋体" w:hAnsi="宋体" w:eastAsia="宋体" w:cs="宋体"/>
          <w:b/>
          <w:bCs/>
          <w:color w:val="000000"/>
          <w:sz w:val="24"/>
          <w:szCs w:val="24"/>
          <w:highlight w:val="none"/>
          <w:lang w:eastAsia="zh-CN"/>
        </w:rPr>
        <w:t>承办内容及要</w:t>
      </w:r>
      <w:r>
        <w:rPr>
          <w:rFonts w:hint="eastAsia" w:ascii="宋体" w:hAnsi="宋体" w:eastAsia="宋体" w:cs="宋体"/>
          <w:b/>
          <w:bCs/>
          <w:color w:val="000000"/>
          <w:sz w:val="24"/>
          <w:szCs w:val="24"/>
          <w:highlight w:val="none"/>
          <w:lang w:val="en-US" w:eastAsia="zh-CN"/>
        </w:rPr>
        <w:t>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（一）负责赛事策划。</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（二）负责提供竞赛和器材保障。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（三）负责赛事志愿者招募、用餐、交通、服装，根据裁判组的要求做好志愿者的培训、岗位分配。</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（四）负责媒体宣传推广。利用各类媒体做好宣传，充分展示此次赛事的知名度与影响力。</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（五）后勤保障。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（六）赛场布置。要按照满足大赛的要求进行布置。</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（七）做好安保和医疗救护工作。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（八）做好赛事商业运作和市场开发，扩大赛事品牌知名度。</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（九）完成其他主办方交代的相关业务工作。</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四、比赛场地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1、比赛场地设在义乌梅湖会展中心。</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2、场地为室内标准电竞舞台、竞赛区、休息区等配套。</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3、比赛场地交通便利。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4、按照工作手册标准要求落实场地会标板、广告板及横幅的设置，监督席、安保指挥席、文字记者席、主席台及贵宾席等。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5、比赛场地及设施必须严格按照前几届电竞大赛标准，不得低于同级别参数，必须符合电竞大赛比赛及直播要求。</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firstLine="482" w:firstLineChars="200"/>
        <w:textAlignment w:val="baseline"/>
        <w:rPr>
          <w:rFonts w:hint="eastAsia" w:hAnsi="宋体"/>
          <w:b/>
          <w:bCs/>
          <w:color w:val="auto"/>
          <w:sz w:val="24"/>
          <w:szCs w:val="24"/>
          <w:highlight w:val="none"/>
          <w:lang w:val="en-US" w:eastAsia="zh-CN"/>
        </w:rPr>
      </w:pPr>
      <w:r>
        <w:rPr>
          <w:rFonts w:hint="eastAsia" w:hAnsi="宋体"/>
          <w:b/>
          <w:bCs/>
          <w:color w:val="auto"/>
          <w:sz w:val="24"/>
          <w:szCs w:val="24"/>
          <w:highlight w:val="none"/>
          <w:lang w:val="en-US" w:eastAsia="zh-CN"/>
        </w:rPr>
        <w:t>五、后勤服务内容</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firstLine="480" w:firstLineChars="200"/>
        <w:textAlignment w:val="baseline"/>
        <w:rPr>
          <w:rFonts w:hint="eastAsia" w:hAnsi="宋体"/>
          <w:b w:val="0"/>
          <w:bCs w:val="0"/>
          <w:color w:val="auto"/>
          <w:sz w:val="24"/>
          <w:szCs w:val="24"/>
          <w:highlight w:val="none"/>
          <w:lang w:val="en-US" w:eastAsia="zh-CN"/>
        </w:rPr>
      </w:pPr>
      <w:r>
        <w:rPr>
          <w:rFonts w:hint="eastAsia" w:hAnsi="宋体"/>
          <w:b w:val="0"/>
          <w:bCs w:val="0"/>
          <w:color w:val="auto"/>
          <w:sz w:val="24"/>
          <w:szCs w:val="24"/>
          <w:highlight w:val="none"/>
          <w:lang w:val="en-US" w:eastAsia="zh-CN"/>
        </w:rPr>
        <w:t>1、中标供应商为2022年义乌国际电子竞技大赛服务采购项目提供后勤服务，服务内容包括参赛代表队人员、裁判员及技术官员的住宿酒店的安排，赛事期间餐饮安排，赛场、会场与酒店之间通勤车辆、裁判员及领队会议、往返车费、后勤工作人员劳务费等。</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firstLine="480" w:firstLineChars="200"/>
        <w:textAlignment w:val="baseline"/>
        <w:rPr>
          <w:rFonts w:hint="eastAsia" w:hAnsi="宋体"/>
          <w:b w:val="0"/>
          <w:bCs w:val="0"/>
          <w:color w:val="auto"/>
          <w:sz w:val="24"/>
          <w:szCs w:val="24"/>
          <w:highlight w:val="none"/>
          <w:lang w:val="en-US" w:eastAsia="zh-CN"/>
        </w:rPr>
      </w:pPr>
      <w:r>
        <w:rPr>
          <w:rFonts w:hint="eastAsia" w:hAnsi="宋体"/>
          <w:b w:val="0"/>
          <w:bCs w:val="0"/>
          <w:color w:val="auto"/>
          <w:sz w:val="24"/>
          <w:szCs w:val="24"/>
          <w:highlight w:val="none"/>
          <w:lang w:val="en-US" w:eastAsia="zh-CN"/>
        </w:rPr>
        <w:t>2、后勤服务要求</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firstLine="480" w:firstLineChars="200"/>
        <w:textAlignment w:val="baseline"/>
        <w:rPr>
          <w:rFonts w:hint="eastAsia" w:hAnsi="宋体"/>
          <w:b w:val="0"/>
          <w:bCs w:val="0"/>
          <w:color w:val="auto"/>
          <w:sz w:val="24"/>
          <w:szCs w:val="24"/>
          <w:highlight w:val="none"/>
          <w:lang w:val="en-US" w:eastAsia="zh-CN"/>
        </w:rPr>
      </w:pPr>
      <w:r>
        <w:rPr>
          <w:rFonts w:hint="eastAsia" w:hAnsi="宋体"/>
          <w:b w:val="0"/>
          <w:bCs w:val="0"/>
          <w:color w:val="auto"/>
          <w:sz w:val="24"/>
          <w:szCs w:val="24"/>
          <w:highlight w:val="none"/>
          <w:lang w:val="en-US" w:eastAsia="zh-CN"/>
        </w:rPr>
        <w:t>（1）做好服务总体思路策划。要求后勤保障组织方案科学、合理、细致；总体思路策划及各方案经采购人确认后由中标单位组织实施。服务期前五天出具人员住宿、餐饮的详细方案。</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firstLine="480" w:firstLineChars="200"/>
        <w:textAlignment w:val="baseline"/>
        <w:rPr>
          <w:rFonts w:hint="eastAsia" w:hAnsi="宋体"/>
          <w:b w:val="0"/>
          <w:bCs w:val="0"/>
          <w:color w:val="auto"/>
          <w:sz w:val="24"/>
          <w:szCs w:val="24"/>
          <w:highlight w:val="none"/>
          <w:lang w:val="en-US" w:eastAsia="zh-CN"/>
        </w:rPr>
      </w:pPr>
      <w:r>
        <w:rPr>
          <w:rFonts w:hint="eastAsia" w:hAnsi="宋体"/>
          <w:b w:val="0"/>
          <w:bCs w:val="0"/>
          <w:color w:val="auto"/>
          <w:sz w:val="24"/>
          <w:szCs w:val="24"/>
          <w:highlight w:val="none"/>
          <w:lang w:val="en-US" w:eastAsia="zh-CN"/>
        </w:rPr>
        <w:t>（2）项目的服务定位、服务方案、服务保障措施：从服务好赛事人员角度出发，对项目的整体统筹规划，认识深刻，定位合理；服务方案中服务流程合理、管理措施完备，管理科学、服务制度完善；服务团队齐备、组织机构健全，保密措施严格，建立完善的工作信息收集、反馈等保障措施。</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firstLine="480" w:firstLineChars="200"/>
        <w:textAlignment w:val="baseline"/>
        <w:rPr>
          <w:rFonts w:hint="eastAsia" w:hAnsi="宋体"/>
          <w:b w:val="0"/>
          <w:bCs w:val="0"/>
          <w:color w:val="auto"/>
          <w:sz w:val="24"/>
          <w:szCs w:val="24"/>
          <w:highlight w:val="none"/>
        </w:rPr>
      </w:pPr>
      <w:r>
        <w:rPr>
          <w:rFonts w:hint="eastAsia" w:hAnsi="宋体"/>
          <w:b w:val="0"/>
          <w:bCs w:val="0"/>
          <w:color w:val="auto"/>
          <w:sz w:val="24"/>
          <w:szCs w:val="24"/>
          <w:highlight w:val="none"/>
          <w:lang w:val="en-US" w:eastAsia="zh-CN"/>
        </w:rPr>
        <w:t>（3）供应商服务团队总人数不得少于5人，其中每个酒店和每辆大巴车须配备不少于1人的服务专员全程陪同，且中途不得随意更换，服务专员的食宿由供应商自行承担。</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hAnsi="宋体" w:cs="Times New Roman"/>
          <w:b w:val="0"/>
          <w:bCs w:val="0"/>
          <w:color w:val="auto"/>
          <w:sz w:val="24"/>
          <w:szCs w:val="24"/>
          <w:highlight w:val="none"/>
          <w:lang w:val="en-US" w:eastAsia="zh-CN"/>
        </w:rPr>
      </w:pPr>
      <w:r>
        <w:rPr>
          <w:rFonts w:hint="eastAsia" w:hAnsi="宋体" w:cs="Times New Roman"/>
          <w:b w:val="0"/>
          <w:bCs w:val="0"/>
          <w:color w:val="auto"/>
          <w:sz w:val="24"/>
          <w:szCs w:val="24"/>
          <w:highlight w:val="none"/>
          <w:lang w:val="en-US" w:eastAsia="zh-CN"/>
        </w:rPr>
        <w:t>（4）中标供应商须协助采购人完成其他后勤接待和保障工作。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hAnsi="宋体" w:cs="Times New Roman"/>
          <w:b w:val="0"/>
          <w:bCs w:val="0"/>
          <w:color w:val="auto"/>
          <w:sz w:val="24"/>
          <w:szCs w:val="24"/>
          <w:highlight w:val="none"/>
          <w:lang w:val="en-US" w:eastAsia="zh-CN"/>
        </w:rPr>
      </w:pPr>
      <w:r>
        <w:rPr>
          <w:rFonts w:hint="eastAsia" w:hAnsi="宋体" w:cs="Times New Roman"/>
          <w:b w:val="0"/>
          <w:bCs w:val="0"/>
          <w:color w:val="auto"/>
          <w:sz w:val="24"/>
          <w:szCs w:val="24"/>
          <w:highlight w:val="none"/>
          <w:lang w:val="en-US" w:eastAsia="zh-CN"/>
        </w:rPr>
        <w:t>（5）在赛事结束当日，供应商须与住宿酒店协调延迟各代表队的退房时间，保证赛事人员充分准备有序返程。</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hAnsi="宋体" w:cs="Times New Roman"/>
          <w:b w:val="0"/>
          <w:bCs w:val="0"/>
          <w:color w:val="auto"/>
          <w:sz w:val="24"/>
          <w:szCs w:val="24"/>
          <w:highlight w:val="none"/>
          <w:lang w:val="en-US" w:eastAsia="zh-CN"/>
        </w:rPr>
      </w:pPr>
      <w:r>
        <w:rPr>
          <w:rFonts w:hint="eastAsia" w:hAnsi="宋体" w:cs="Times New Roman"/>
          <w:b w:val="0"/>
          <w:bCs w:val="0"/>
          <w:color w:val="auto"/>
          <w:sz w:val="24"/>
          <w:szCs w:val="24"/>
          <w:highlight w:val="none"/>
          <w:lang w:val="en-US" w:eastAsia="zh-CN"/>
        </w:rPr>
        <w:t>3、酒店住宿、餐饮要求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hAnsi="宋体" w:cs="Times New Roman"/>
          <w:b w:val="0"/>
          <w:bCs w:val="0"/>
          <w:color w:val="auto"/>
          <w:sz w:val="24"/>
          <w:szCs w:val="24"/>
          <w:highlight w:val="none"/>
          <w:lang w:val="en-US" w:eastAsia="zh-CN"/>
        </w:rPr>
      </w:pPr>
      <w:r>
        <w:rPr>
          <w:rFonts w:hint="eastAsia" w:hAnsi="宋体" w:cs="Times New Roman"/>
          <w:b w:val="0"/>
          <w:bCs w:val="0"/>
          <w:color w:val="auto"/>
          <w:sz w:val="24"/>
          <w:szCs w:val="24"/>
          <w:highlight w:val="none"/>
          <w:lang w:val="en-US" w:eastAsia="zh-CN"/>
        </w:rPr>
        <w:t>（1）住宿酒店必须满足干净、整洁、卫生的要求，位置须在义乌市区范围。</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hAnsi="宋体" w:cs="Times New Roman"/>
          <w:b w:val="0"/>
          <w:bCs w:val="0"/>
          <w:color w:val="auto"/>
          <w:sz w:val="24"/>
          <w:szCs w:val="24"/>
          <w:highlight w:val="none"/>
          <w:lang w:val="en-US" w:eastAsia="zh-CN"/>
        </w:rPr>
      </w:pPr>
      <w:r>
        <w:rPr>
          <w:rFonts w:hint="eastAsia" w:hAnsi="宋体" w:cs="Times New Roman"/>
          <w:b w:val="0"/>
          <w:bCs w:val="0"/>
          <w:color w:val="auto"/>
          <w:sz w:val="24"/>
          <w:szCs w:val="24"/>
          <w:highlight w:val="none"/>
          <w:lang w:val="en-US" w:eastAsia="zh-CN"/>
        </w:rPr>
        <w:t>（2）酒店房间必须配备标准间或1.8m以上的大床房（裁判员须安排双床房间），含双早。</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hAnsi="宋体" w:cs="Times New Roman"/>
          <w:b w:val="0"/>
          <w:bCs w:val="0"/>
          <w:color w:val="auto"/>
          <w:sz w:val="24"/>
          <w:szCs w:val="24"/>
          <w:highlight w:val="none"/>
          <w:lang w:val="en-US" w:eastAsia="zh-CN"/>
        </w:rPr>
      </w:pPr>
      <w:r>
        <w:rPr>
          <w:rFonts w:hint="eastAsia" w:hAnsi="宋体" w:cs="Times New Roman"/>
          <w:b w:val="0"/>
          <w:bCs w:val="0"/>
          <w:color w:val="auto"/>
          <w:sz w:val="24"/>
          <w:szCs w:val="24"/>
          <w:highlight w:val="none"/>
          <w:lang w:val="en-US" w:eastAsia="zh-CN"/>
        </w:rPr>
        <w:t>（3）客房安排须满足以团队报名的队伍入驻同一酒店，且标准间须平均分配同一队伍的原则要求，所有裁判员须安排住在同一家酒店。（裁判员与运动员不得安排在同一家酒店内）</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hAnsi="宋体" w:cs="Times New Roman"/>
          <w:b w:val="0"/>
          <w:bCs w:val="0"/>
          <w:color w:val="auto"/>
          <w:sz w:val="24"/>
          <w:szCs w:val="24"/>
          <w:highlight w:val="none"/>
          <w:lang w:val="en-US" w:eastAsia="zh-CN"/>
        </w:rPr>
      </w:pPr>
      <w:r>
        <w:rPr>
          <w:rFonts w:hint="eastAsia" w:hAnsi="宋体" w:cs="Times New Roman"/>
          <w:b w:val="0"/>
          <w:bCs w:val="0"/>
          <w:color w:val="auto"/>
          <w:sz w:val="24"/>
          <w:szCs w:val="24"/>
          <w:highlight w:val="none"/>
          <w:lang w:val="en-US" w:eastAsia="zh-CN"/>
        </w:rPr>
        <w:t>4、通勤车辆安排要求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hAnsi="宋体" w:cs="Times New Roman"/>
          <w:b w:val="0"/>
          <w:bCs w:val="0"/>
          <w:color w:val="auto"/>
          <w:sz w:val="24"/>
          <w:szCs w:val="24"/>
          <w:highlight w:val="none"/>
          <w:lang w:val="en-US" w:eastAsia="zh-CN"/>
        </w:rPr>
      </w:pPr>
      <w:r>
        <w:rPr>
          <w:rFonts w:hint="eastAsia" w:hAnsi="宋体" w:cs="Times New Roman"/>
          <w:b w:val="0"/>
          <w:bCs w:val="0"/>
          <w:color w:val="auto"/>
          <w:sz w:val="24"/>
          <w:szCs w:val="24"/>
          <w:highlight w:val="none"/>
          <w:lang w:val="en-US" w:eastAsia="zh-CN"/>
        </w:rPr>
        <w:t>（1）赛事期间须配备赛事服务大巴车（作为摆渡车），同时服务期间另外需配备1辆50座大巴车作为备用车，大巴车必须有符合国家规定的运营资质。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hAnsi="宋体" w:cs="Times New Roman"/>
          <w:b w:val="0"/>
          <w:bCs w:val="0"/>
          <w:color w:val="auto"/>
          <w:sz w:val="24"/>
          <w:szCs w:val="24"/>
          <w:highlight w:val="none"/>
          <w:lang w:val="en-US" w:eastAsia="zh-CN"/>
        </w:rPr>
      </w:pPr>
      <w:r>
        <w:rPr>
          <w:rFonts w:hint="eastAsia" w:hAnsi="宋体" w:cs="Times New Roman"/>
          <w:b w:val="0"/>
          <w:bCs w:val="0"/>
          <w:color w:val="auto"/>
          <w:sz w:val="24"/>
          <w:szCs w:val="24"/>
          <w:highlight w:val="none"/>
          <w:lang w:val="en-US" w:eastAsia="zh-CN"/>
        </w:rPr>
        <w:t>（2）当天比赛的运动员及随行人员，供应商须保证提前一个小时送到比赛场地。</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六、电竞大赛安保工作及应急预案</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依据《大型群众性活动安全管理条例》，坚持“承办者负责，政府监管”的原则，制定电竞大赛安保方案，成立赛区安保应急处理小组，在当地***备案，由委派具有安保资质的服务公司负责实施。</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b/>
          <w:bCs/>
          <w:color w:val="000000"/>
          <w:sz w:val="24"/>
          <w:szCs w:val="24"/>
          <w:highlight w:val="none"/>
          <w:lang w:val="en-US" w:eastAsia="zh-CN"/>
        </w:rPr>
        <w:t>七</w:t>
      </w:r>
      <w:r>
        <w:rPr>
          <w:rFonts w:hint="eastAsia" w:ascii="宋体" w:hAnsi="宋体" w:eastAsia="宋体" w:cs="宋体"/>
          <w:b/>
          <w:bCs/>
          <w:color w:val="000000"/>
          <w:sz w:val="24"/>
          <w:szCs w:val="24"/>
          <w:highlight w:val="none"/>
        </w:rPr>
        <w:t>、</w:t>
      </w:r>
      <w:r>
        <w:rPr>
          <w:rFonts w:hint="eastAsia" w:ascii="宋体" w:hAnsi="宋体" w:eastAsia="宋体" w:cs="宋体"/>
          <w:b/>
          <w:bCs/>
          <w:color w:val="000000"/>
          <w:sz w:val="24"/>
          <w:szCs w:val="24"/>
          <w:highlight w:val="none"/>
          <w:lang w:eastAsia="zh-CN"/>
        </w:rPr>
        <w:t>赛事经费使用要求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1、经费使用严格遵照相关财务制度、赛事规程、政府采购招标内容、要求及标准执行。</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color w:val="000000"/>
          <w:sz w:val="24"/>
          <w:szCs w:val="24"/>
          <w:highlight w:val="none"/>
        </w:rPr>
      </w:pPr>
      <w:r>
        <w:rPr>
          <w:rFonts w:hint="eastAsia" w:ascii="宋体" w:hAnsi="宋体" w:eastAsia="宋体" w:cs="宋体"/>
          <w:color w:val="000000"/>
          <w:sz w:val="24"/>
          <w:szCs w:val="24"/>
          <w:highlight w:val="none"/>
          <w:lang w:val="en-US" w:eastAsia="zh-CN"/>
        </w:rPr>
        <w:t>2、经费使用要严格执行赛事组负责人签字制度和财务报销制度。</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firstLine="482" w:firstLineChars="200"/>
        <w:textAlignment w:val="baseline"/>
        <w:rPr>
          <w:rFonts w:hint="eastAsia" w:hAnsi="宋体" w:cs="宋体"/>
          <w:b/>
          <w:bCs w:val="0"/>
          <w:color w:val="auto"/>
          <w:sz w:val="24"/>
          <w:szCs w:val="24"/>
          <w:highlight w:val="none"/>
          <w:lang w:val="en-US" w:eastAsia="zh-CN"/>
        </w:rPr>
      </w:pPr>
      <w:r>
        <w:rPr>
          <w:rFonts w:hint="eastAsia" w:hAnsi="宋体" w:cs="宋体"/>
          <w:b/>
          <w:bCs w:val="0"/>
          <w:color w:val="auto"/>
          <w:sz w:val="24"/>
          <w:szCs w:val="24"/>
          <w:highlight w:val="none"/>
          <w:lang w:val="en-US" w:eastAsia="zh-CN"/>
        </w:rPr>
        <w:t>八、项目投标报价要求</w:t>
      </w:r>
    </w:p>
    <w:p>
      <w:pPr>
        <w:keepNext w:val="0"/>
        <w:keepLines w:val="0"/>
        <w:pageBreakBefore w:val="0"/>
        <w:widowControl w:val="0"/>
        <w:tabs>
          <w:tab w:val="left" w:pos="540"/>
        </w:tabs>
        <w:kinsoku/>
        <w:wordWrap/>
        <w:overflowPunct/>
        <w:topLinePunct w:val="0"/>
        <w:autoSpaceDE w:val="0"/>
        <w:autoSpaceDN w:val="0"/>
        <w:bidi w:val="0"/>
        <w:adjustRightInd w:val="0"/>
        <w:snapToGrid/>
        <w:spacing w:line="360" w:lineRule="auto"/>
        <w:ind w:firstLine="480" w:firstLineChars="200"/>
        <w:textAlignment w:val="baseline"/>
        <w:rPr>
          <w:rFonts w:hint="eastAsia" w:hAnsi="宋体" w:cs="Times New Roman"/>
          <w:b w:val="0"/>
          <w:bCs w:val="0"/>
          <w:color w:val="auto"/>
          <w:sz w:val="24"/>
          <w:szCs w:val="24"/>
          <w:highlight w:val="none"/>
          <w:lang w:val="en-US" w:eastAsia="zh-CN"/>
        </w:rPr>
      </w:pPr>
      <w:r>
        <w:rPr>
          <w:rFonts w:hint="eastAsia" w:hAnsi="宋体" w:cs="宋体"/>
          <w:b w:val="0"/>
          <w:bCs/>
          <w:color w:val="auto"/>
          <w:sz w:val="24"/>
          <w:szCs w:val="24"/>
          <w:highlight w:val="none"/>
          <w:lang w:val="en-US" w:eastAsia="zh-CN"/>
        </w:rPr>
        <w:t>本项目为交钥匙工程，项目费用包括</w:t>
      </w:r>
      <w:r>
        <w:rPr>
          <w:rFonts w:hint="eastAsia" w:ascii="Arial" w:hAnsi="Arial"/>
          <w:color w:val="auto"/>
          <w:sz w:val="24"/>
          <w:szCs w:val="24"/>
          <w:highlight w:val="none"/>
        </w:rPr>
        <w:t>赛事策划、组织、宣传、后勤保障、补给物资、交通费、安保、医疗、人员费用、管理费用、项目执行费用，</w:t>
      </w:r>
      <w:r>
        <w:rPr>
          <w:rFonts w:hint="eastAsia" w:hAnsi="宋体" w:cs="宋体"/>
          <w:b w:val="0"/>
          <w:bCs/>
          <w:color w:val="auto"/>
          <w:sz w:val="24"/>
          <w:szCs w:val="24"/>
          <w:highlight w:val="none"/>
          <w:lang w:val="en-US" w:eastAsia="zh-CN"/>
        </w:rPr>
        <w:t>以及包括完成这些工作所必需的其他费用、利润、税金、政策性文件规定及合同包含的所有风险及责任等各项应有费用外，项目实施过程中产生的任何费用，均由中标人承担，中标人所投报的价格在合同实施期间不做调整。</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baseline"/>
        <w:rPr>
          <w:rFonts w:hint="eastAsia" w:hAnsi="宋体" w:cs="Times New Roman"/>
          <w:b/>
          <w:bCs/>
          <w:color w:val="auto"/>
          <w:sz w:val="24"/>
          <w:szCs w:val="24"/>
          <w:highlight w:val="none"/>
          <w:lang w:val="en-US" w:eastAsia="zh-CN"/>
        </w:rPr>
      </w:pPr>
      <w:r>
        <w:rPr>
          <w:rFonts w:hint="eastAsia" w:hAnsi="宋体" w:cs="Times New Roman"/>
          <w:b/>
          <w:bCs/>
          <w:color w:val="auto"/>
          <w:sz w:val="24"/>
          <w:szCs w:val="24"/>
          <w:highlight w:val="none"/>
          <w:lang w:val="en-US" w:eastAsia="zh-CN"/>
        </w:rPr>
        <w:t>九、服务期</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hAnsi="宋体" w:cs="Times New Roman"/>
          <w:b w:val="0"/>
          <w:bCs w:val="0"/>
          <w:color w:val="auto"/>
          <w:sz w:val="24"/>
          <w:szCs w:val="24"/>
          <w:highlight w:val="none"/>
          <w:lang w:val="en-US" w:eastAsia="zh-CN"/>
        </w:rPr>
      </w:pPr>
      <w:r>
        <w:rPr>
          <w:rFonts w:hint="eastAsia" w:hAnsi="宋体" w:cs="Times New Roman"/>
          <w:b w:val="0"/>
          <w:bCs w:val="0"/>
          <w:color w:val="auto"/>
          <w:sz w:val="24"/>
          <w:szCs w:val="24"/>
          <w:highlight w:val="none"/>
          <w:lang w:val="en-US" w:eastAsia="zh-CN"/>
        </w:rPr>
        <w:t>自合同签订起至赛事承办全部工作结束止。</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2" w:firstLineChars="200"/>
        <w:textAlignment w:val="baseline"/>
        <w:rPr>
          <w:rFonts w:hint="eastAsia" w:ascii="Times New Roman" w:hAnsi="宋体" w:eastAsia="宋体" w:cs="Times New Roman"/>
          <w:b/>
          <w:bCs/>
          <w:color w:val="auto"/>
          <w:sz w:val="24"/>
          <w:szCs w:val="24"/>
          <w:highlight w:val="none"/>
          <w:lang w:val="en-US" w:eastAsia="zh-CN"/>
        </w:rPr>
      </w:pPr>
      <w:r>
        <w:rPr>
          <w:rFonts w:hint="eastAsia" w:ascii="Times New Roman" w:hAnsi="宋体" w:eastAsia="宋体" w:cs="Times New Roman"/>
          <w:b/>
          <w:bCs/>
          <w:color w:val="auto"/>
          <w:sz w:val="24"/>
          <w:szCs w:val="24"/>
          <w:highlight w:val="none"/>
          <w:lang w:val="en-US" w:eastAsia="zh-CN"/>
        </w:rPr>
        <w:t>十、商务要求</w:t>
      </w:r>
      <w:bookmarkEnd w:id="21"/>
      <w:bookmarkEnd w:id="22"/>
    </w:p>
    <w:p>
      <w:pPr>
        <w:keepNext w:val="0"/>
        <w:keepLines w:val="0"/>
        <w:pageBreakBefore w:val="0"/>
        <w:widowControl w:val="0"/>
        <w:kinsoku/>
        <w:wordWrap/>
        <w:overflowPunct/>
        <w:topLinePunct w:val="0"/>
        <w:bidi w:val="0"/>
        <w:snapToGrid w:val="0"/>
        <w:spacing w:line="360" w:lineRule="auto"/>
        <w:ind w:firstLine="480" w:firstLineChars="200"/>
        <w:rPr>
          <w:rFonts w:hint="eastAsia" w:ascii="新宋体" w:hAnsi="新宋体" w:eastAsia="新宋体" w:cs="Times New Roman"/>
          <w:color w:val="auto"/>
          <w:sz w:val="24"/>
          <w:szCs w:val="24"/>
          <w:highlight w:val="none"/>
        </w:rPr>
      </w:pPr>
      <w:r>
        <w:rPr>
          <w:rFonts w:hint="eastAsia" w:ascii="新宋体" w:hAnsi="新宋体" w:eastAsia="新宋体" w:cs="Times New Roman"/>
          <w:color w:val="auto"/>
          <w:sz w:val="24"/>
          <w:szCs w:val="24"/>
          <w:highlight w:val="none"/>
        </w:rPr>
        <w:t>（一）验收办法及其标准</w:t>
      </w:r>
    </w:p>
    <w:p>
      <w:pPr>
        <w:keepNext w:val="0"/>
        <w:keepLines w:val="0"/>
        <w:pageBreakBefore w:val="0"/>
        <w:widowControl w:val="0"/>
        <w:kinsoku/>
        <w:wordWrap/>
        <w:overflowPunct/>
        <w:topLinePunct w:val="0"/>
        <w:bidi w:val="0"/>
        <w:snapToGrid w:val="0"/>
        <w:spacing w:line="360" w:lineRule="auto"/>
        <w:ind w:firstLine="480" w:firstLineChars="200"/>
        <w:rPr>
          <w:rFonts w:hint="eastAsia" w:ascii="新宋体" w:hAnsi="新宋体" w:eastAsia="新宋体" w:cs="Times New Roman"/>
          <w:color w:val="auto"/>
          <w:sz w:val="24"/>
          <w:szCs w:val="24"/>
          <w:highlight w:val="none"/>
        </w:rPr>
      </w:pPr>
      <w:r>
        <w:rPr>
          <w:rFonts w:hint="eastAsia" w:ascii="新宋体" w:hAnsi="新宋体" w:eastAsia="新宋体" w:cs="Times New Roman"/>
          <w:color w:val="auto"/>
          <w:sz w:val="24"/>
          <w:szCs w:val="24"/>
          <w:highlight w:val="none"/>
        </w:rPr>
        <w:t>根据中华人民共和国现行技术标准，按</w:t>
      </w:r>
      <w:r>
        <w:rPr>
          <w:rFonts w:hint="eastAsia" w:ascii="新宋体" w:hAnsi="新宋体" w:eastAsia="新宋体" w:cs="Times New Roman"/>
          <w:color w:val="auto"/>
          <w:sz w:val="24"/>
          <w:szCs w:val="24"/>
          <w:highlight w:val="none"/>
          <w:lang w:eastAsia="zh-CN"/>
        </w:rPr>
        <w:t>采购文件</w:t>
      </w:r>
      <w:r>
        <w:rPr>
          <w:rFonts w:hint="eastAsia" w:ascii="新宋体" w:hAnsi="新宋体" w:eastAsia="新宋体" w:cs="Times New Roman"/>
          <w:color w:val="auto"/>
          <w:sz w:val="24"/>
          <w:szCs w:val="24"/>
          <w:highlight w:val="none"/>
        </w:rPr>
        <w:t>以及合同规定的验收</w:t>
      </w:r>
      <w:r>
        <w:rPr>
          <w:rFonts w:hint="eastAsia" w:ascii="新宋体" w:hAnsi="新宋体" w:eastAsia="新宋体" w:cs="Times New Roman"/>
          <w:color w:val="auto"/>
          <w:sz w:val="24"/>
          <w:szCs w:val="24"/>
          <w:highlight w:val="none"/>
          <w:lang w:val="en-US" w:eastAsia="zh-CN"/>
        </w:rPr>
        <w:t>判定标准</w:t>
      </w:r>
      <w:r>
        <w:rPr>
          <w:rFonts w:hint="eastAsia" w:ascii="新宋体" w:hAnsi="新宋体" w:eastAsia="新宋体" w:cs="Times New Roman"/>
          <w:color w:val="auto"/>
          <w:sz w:val="24"/>
          <w:szCs w:val="24"/>
          <w:highlight w:val="none"/>
        </w:rPr>
        <w:t>等规范，</w:t>
      </w:r>
      <w:r>
        <w:rPr>
          <w:rFonts w:hint="eastAsia" w:ascii="新宋体" w:hAnsi="新宋体" w:eastAsia="新宋体"/>
          <w:color w:val="auto"/>
          <w:sz w:val="24"/>
          <w:szCs w:val="24"/>
          <w:highlight w:val="none"/>
        </w:rPr>
        <w:t>由采购人根据《政府采购合同履约和验收管理办法（暂行）》（义招管办【2008】32号）文件要求和《</w:t>
      </w:r>
      <w:r>
        <w:rPr>
          <w:rFonts w:ascii="新宋体" w:hAnsi="新宋体" w:eastAsia="新宋体"/>
          <w:color w:val="auto"/>
          <w:sz w:val="24"/>
          <w:szCs w:val="24"/>
          <w:highlight w:val="none"/>
        </w:rPr>
        <w:t>义乌市</w:t>
      </w:r>
      <w:r>
        <w:rPr>
          <w:rFonts w:hint="eastAsia" w:ascii="新宋体" w:hAnsi="新宋体" w:eastAsia="新宋体"/>
          <w:color w:val="auto"/>
          <w:sz w:val="24"/>
          <w:szCs w:val="24"/>
          <w:highlight w:val="none"/>
        </w:rPr>
        <w:t>关于规范</w:t>
      </w:r>
      <w:r>
        <w:rPr>
          <w:rFonts w:ascii="新宋体" w:hAnsi="新宋体" w:eastAsia="新宋体"/>
          <w:color w:val="auto"/>
          <w:sz w:val="24"/>
          <w:szCs w:val="24"/>
          <w:highlight w:val="none"/>
        </w:rPr>
        <w:t>政府采购</w:t>
      </w:r>
      <w:r>
        <w:rPr>
          <w:rFonts w:hint="eastAsia" w:ascii="新宋体" w:hAnsi="新宋体" w:eastAsia="新宋体"/>
          <w:color w:val="auto"/>
          <w:sz w:val="24"/>
          <w:szCs w:val="24"/>
          <w:highlight w:val="none"/>
        </w:rPr>
        <w:t>管理</w:t>
      </w:r>
      <w:r>
        <w:rPr>
          <w:rFonts w:ascii="新宋体" w:hAnsi="新宋体" w:eastAsia="新宋体"/>
          <w:color w:val="auto"/>
          <w:sz w:val="24"/>
          <w:szCs w:val="24"/>
          <w:highlight w:val="none"/>
        </w:rPr>
        <w:t>的若干</w:t>
      </w:r>
      <w:r>
        <w:rPr>
          <w:rFonts w:hint="eastAsia" w:ascii="新宋体" w:hAnsi="新宋体" w:eastAsia="新宋体"/>
          <w:color w:val="auto"/>
          <w:sz w:val="24"/>
          <w:szCs w:val="24"/>
          <w:highlight w:val="none"/>
        </w:rPr>
        <w:t>意见》（义政办发【2017】102号</w:t>
      </w:r>
      <w:r>
        <w:rPr>
          <w:rFonts w:ascii="新宋体" w:hAnsi="新宋体" w:eastAsia="新宋体"/>
          <w:color w:val="auto"/>
          <w:sz w:val="24"/>
          <w:szCs w:val="24"/>
          <w:highlight w:val="none"/>
        </w:rPr>
        <w:t>）</w:t>
      </w:r>
      <w:r>
        <w:rPr>
          <w:rFonts w:hint="eastAsia" w:ascii="新宋体" w:hAnsi="新宋体" w:eastAsia="新宋体"/>
          <w:color w:val="auto"/>
          <w:sz w:val="24"/>
          <w:szCs w:val="24"/>
          <w:highlight w:val="none"/>
        </w:rPr>
        <w:t>要求组织验收</w:t>
      </w:r>
      <w:r>
        <w:rPr>
          <w:rFonts w:hint="eastAsia" w:ascii="新宋体" w:hAnsi="新宋体" w:eastAsia="新宋体" w:cs="Times New Roman"/>
          <w:color w:val="auto"/>
          <w:sz w:val="24"/>
          <w:szCs w:val="24"/>
          <w:highlight w:val="none"/>
          <w:lang w:val="en-US"/>
        </w:rPr>
        <w:t>。</w:t>
      </w:r>
    </w:p>
    <w:p>
      <w:pPr>
        <w:keepNext w:val="0"/>
        <w:keepLines w:val="0"/>
        <w:pageBreakBefore w:val="0"/>
        <w:widowControl w:val="0"/>
        <w:kinsoku/>
        <w:wordWrap/>
        <w:overflowPunct/>
        <w:topLinePunct w:val="0"/>
        <w:bidi w:val="0"/>
        <w:snapToGrid w:val="0"/>
        <w:spacing w:line="360" w:lineRule="auto"/>
        <w:ind w:firstLine="480" w:firstLineChars="200"/>
        <w:rPr>
          <w:rFonts w:hint="eastAsia" w:ascii="新宋体" w:hAnsi="新宋体" w:eastAsia="新宋体" w:cs="Times New Roman"/>
          <w:color w:val="auto"/>
          <w:sz w:val="24"/>
          <w:szCs w:val="24"/>
          <w:highlight w:val="none"/>
        </w:rPr>
      </w:pPr>
      <w:r>
        <w:rPr>
          <w:rFonts w:hint="eastAsia" w:ascii="新宋体" w:hAnsi="新宋体" w:eastAsia="新宋体" w:cs="Times New Roman"/>
          <w:color w:val="auto"/>
          <w:sz w:val="24"/>
          <w:szCs w:val="24"/>
          <w:highlight w:val="none"/>
        </w:rPr>
        <w:t>（</w:t>
      </w:r>
      <w:r>
        <w:rPr>
          <w:rFonts w:hint="eastAsia" w:ascii="新宋体" w:hAnsi="新宋体" w:eastAsia="新宋体" w:cs="Times New Roman"/>
          <w:color w:val="auto"/>
          <w:sz w:val="24"/>
          <w:szCs w:val="24"/>
          <w:highlight w:val="none"/>
          <w:lang w:val="en-US" w:eastAsia="zh-CN"/>
        </w:rPr>
        <w:t>二</w:t>
      </w:r>
      <w:r>
        <w:rPr>
          <w:rFonts w:hint="eastAsia" w:ascii="新宋体" w:hAnsi="新宋体" w:eastAsia="新宋体" w:cs="Times New Roman"/>
          <w:color w:val="auto"/>
          <w:sz w:val="24"/>
          <w:szCs w:val="24"/>
          <w:highlight w:val="none"/>
        </w:rPr>
        <w:t>）付款方式</w:t>
      </w:r>
    </w:p>
    <w:p>
      <w:pPr>
        <w:keepNext w:val="0"/>
        <w:keepLines w:val="0"/>
        <w:pageBreakBefore w:val="0"/>
        <w:widowControl w:val="0"/>
        <w:kinsoku/>
        <w:wordWrap/>
        <w:overflowPunct/>
        <w:topLinePunct w:val="0"/>
        <w:bidi w:val="0"/>
        <w:snapToGrid w:val="0"/>
        <w:spacing w:line="360" w:lineRule="auto"/>
        <w:ind w:firstLine="480" w:firstLineChars="200"/>
        <w:rPr>
          <w:rFonts w:hint="eastAsia" w:ascii="新宋体" w:hAnsi="新宋体" w:eastAsia="新宋体" w:cs="Times New Roman"/>
          <w:color w:val="auto"/>
          <w:sz w:val="24"/>
          <w:szCs w:val="24"/>
          <w:highlight w:val="none"/>
          <w:lang w:val="en-US" w:eastAsia="zh-CN"/>
        </w:rPr>
      </w:pPr>
      <w:r>
        <w:rPr>
          <w:rFonts w:hint="eastAsia" w:ascii="新宋体" w:hAnsi="新宋体" w:eastAsia="新宋体" w:cs="Times New Roman"/>
          <w:color w:val="auto"/>
          <w:sz w:val="24"/>
          <w:szCs w:val="24"/>
          <w:highlight w:val="none"/>
        </w:rPr>
        <w:t>合同签订生效后支付合同价款的</w:t>
      </w:r>
      <w:r>
        <w:rPr>
          <w:rFonts w:hint="eastAsia" w:ascii="新宋体" w:hAnsi="新宋体" w:eastAsia="新宋体" w:cs="Times New Roman"/>
          <w:color w:val="auto"/>
          <w:sz w:val="24"/>
          <w:szCs w:val="24"/>
          <w:highlight w:val="none"/>
          <w:lang w:val="en-US" w:eastAsia="zh-CN"/>
        </w:rPr>
        <w:t>40%，赛事开始举办后支付至</w:t>
      </w:r>
      <w:r>
        <w:rPr>
          <w:rFonts w:hint="eastAsia" w:ascii="新宋体" w:hAnsi="新宋体" w:eastAsia="新宋体" w:cs="Times New Roman"/>
          <w:color w:val="auto"/>
          <w:sz w:val="24"/>
          <w:szCs w:val="24"/>
          <w:highlight w:val="none"/>
        </w:rPr>
        <w:t>合同价款的</w:t>
      </w:r>
      <w:r>
        <w:rPr>
          <w:rFonts w:hint="eastAsia" w:ascii="新宋体" w:hAnsi="新宋体" w:eastAsia="新宋体" w:cs="Times New Roman"/>
          <w:color w:val="auto"/>
          <w:sz w:val="24"/>
          <w:szCs w:val="24"/>
          <w:highlight w:val="none"/>
          <w:lang w:val="en-US" w:eastAsia="zh-CN"/>
        </w:rPr>
        <w:t>80%，</w:t>
      </w:r>
      <w:r>
        <w:rPr>
          <w:rFonts w:hint="eastAsia" w:ascii="新宋体" w:hAnsi="新宋体" w:eastAsia="新宋体" w:cs="Times New Roman"/>
          <w:color w:val="auto"/>
          <w:sz w:val="24"/>
          <w:szCs w:val="24"/>
          <w:highlight w:val="none"/>
        </w:rPr>
        <w:t>待赛事结束，所有工作均已完成后，在收到中标人出具的正式票据后，采购人向中标人支付剩余合同价款。</w:t>
      </w:r>
    </w:p>
    <w:p>
      <w:pPr>
        <w:keepNext w:val="0"/>
        <w:keepLines w:val="0"/>
        <w:pageBreakBefore w:val="0"/>
        <w:widowControl w:val="0"/>
        <w:kinsoku/>
        <w:wordWrap/>
        <w:overflowPunct/>
        <w:topLinePunct w:val="0"/>
        <w:bidi w:val="0"/>
        <w:snapToGrid w:val="0"/>
        <w:spacing w:line="360" w:lineRule="auto"/>
        <w:ind w:firstLine="480" w:firstLineChars="200"/>
        <w:rPr>
          <w:rFonts w:hint="eastAsia" w:ascii="新宋体" w:hAnsi="新宋体" w:eastAsia="新宋体" w:cs="Times New Roman"/>
          <w:color w:val="auto"/>
          <w:sz w:val="24"/>
          <w:szCs w:val="24"/>
          <w:highlight w:val="none"/>
          <w:lang w:val="en-US"/>
        </w:rPr>
      </w:pPr>
      <w:r>
        <w:rPr>
          <w:rFonts w:hint="eastAsia" w:ascii="新宋体" w:hAnsi="新宋体" w:eastAsia="新宋体" w:cs="Times New Roman"/>
          <w:color w:val="auto"/>
          <w:sz w:val="24"/>
          <w:szCs w:val="24"/>
          <w:highlight w:val="none"/>
          <w:lang w:val="en-US"/>
        </w:rPr>
        <w:t>（</w:t>
      </w:r>
      <w:r>
        <w:rPr>
          <w:rFonts w:hint="eastAsia" w:ascii="新宋体" w:hAnsi="新宋体" w:eastAsia="新宋体" w:cs="Times New Roman"/>
          <w:color w:val="auto"/>
          <w:sz w:val="24"/>
          <w:szCs w:val="24"/>
          <w:highlight w:val="none"/>
          <w:lang w:val="en-US" w:eastAsia="zh-CN"/>
        </w:rPr>
        <w:t>三</w:t>
      </w:r>
      <w:r>
        <w:rPr>
          <w:rFonts w:hint="eastAsia" w:ascii="新宋体" w:hAnsi="新宋体" w:eastAsia="新宋体" w:cs="Times New Roman"/>
          <w:color w:val="auto"/>
          <w:sz w:val="24"/>
          <w:szCs w:val="24"/>
          <w:highlight w:val="none"/>
          <w:lang w:val="en-US"/>
        </w:rPr>
        <w:t>）其他</w:t>
      </w:r>
    </w:p>
    <w:p>
      <w:pPr>
        <w:keepNext w:val="0"/>
        <w:keepLines w:val="0"/>
        <w:pageBreakBefore w:val="0"/>
        <w:widowControl w:val="0"/>
        <w:kinsoku/>
        <w:wordWrap/>
        <w:overflowPunct/>
        <w:topLinePunct w:val="0"/>
        <w:bidi w:val="0"/>
        <w:snapToGrid w:val="0"/>
        <w:spacing w:line="360" w:lineRule="auto"/>
        <w:ind w:firstLine="480" w:firstLineChars="200"/>
        <w:rPr>
          <w:rFonts w:hint="eastAsia" w:ascii="新宋体" w:hAnsi="新宋体" w:eastAsia="新宋体" w:cs="Times New Roman"/>
          <w:color w:val="auto"/>
          <w:sz w:val="24"/>
          <w:szCs w:val="24"/>
          <w:highlight w:val="none"/>
        </w:rPr>
      </w:pPr>
      <w:r>
        <w:rPr>
          <w:rFonts w:hint="eastAsia" w:ascii="新宋体" w:hAnsi="新宋体" w:eastAsia="新宋体" w:cs="Times New Roman"/>
          <w:color w:val="auto"/>
          <w:sz w:val="24"/>
          <w:szCs w:val="24"/>
          <w:highlight w:val="none"/>
        </w:rPr>
        <w:t>1.本项目的产品或服务不允许拆分</w:t>
      </w:r>
      <w:r>
        <w:rPr>
          <w:rFonts w:hint="eastAsia" w:ascii="新宋体" w:hAnsi="新宋体" w:eastAsia="新宋体" w:cs="Times New Roman"/>
          <w:color w:val="auto"/>
          <w:sz w:val="24"/>
          <w:szCs w:val="24"/>
          <w:highlight w:val="none"/>
          <w:lang w:val="en-US" w:eastAsia="zh-CN"/>
        </w:rPr>
        <w:t>参投</w:t>
      </w:r>
      <w:r>
        <w:rPr>
          <w:rFonts w:hint="eastAsia" w:ascii="新宋体" w:hAnsi="新宋体" w:eastAsia="新宋体" w:cs="Times New Roman"/>
          <w:color w:val="auto"/>
          <w:sz w:val="24"/>
          <w:szCs w:val="24"/>
          <w:highlight w:val="none"/>
        </w:rPr>
        <w:t>，否则其</w:t>
      </w:r>
      <w:r>
        <w:rPr>
          <w:rFonts w:hint="eastAsia" w:ascii="新宋体" w:hAnsi="新宋体" w:eastAsia="新宋体" w:cs="Times New Roman"/>
          <w:color w:val="auto"/>
          <w:sz w:val="24"/>
          <w:szCs w:val="24"/>
          <w:highlight w:val="none"/>
          <w:lang w:val="en-US" w:eastAsia="zh-CN"/>
        </w:rPr>
        <w:t>投标</w:t>
      </w:r>
      <w:r>
        <w:rPr>
          <w:rFonts w:hint="eastAsia" w:ascii="新宋体" w:hAnsi="新宋体" w:eastAsia="新宋体" w:cs="Times New Roman"/>
          <w:color w:val="auto"/>
          <w:sz w:val="24"/>
          <w:szCs w:val="24"/>
          <w:highlight w:val="none"/>
        </w:rPr>
        <w:t>无效。</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hAnsi="宋体"/>
          <w:bCs/>
          <w:color w:val="auto"/>
          <w:sz w:val="24"/>
          <w:szCs w:val="24"/>
          <w:highlight w:val="none"/>
          <w:lang w:val="en-US" w:eastAsia="zh-CN"/>
        </w:rPr>
      </w:pPr>
      <w:r>
        <w:rPr>
          <w:rFonts w:hint="eastAsia" w:ascii="新宋体" w:hAnsi="新宋体" w:eastAsia="新宋体" w:cs="Times New Roman"/>
          <w:color w:val="auto"/>
          <w:sz w:val="24"/>
          <w:szCs w:val="24"/>
          <w:highlight w:val="none"/>
        </w:rPr>
        <w:t>2.</w:t>
      </w:r>
      <w:r>
        <w:rPr>
          <w:rFonts w:hint="eastAsia" w:ascii="新宋体" w:hAnsi="新宋体" w:eastAsia="新宋体" w:cs="Times New Roman"/>
          <w:color w:val="auto"/>
          <w:sz w:val="24"/>
          <w:szCs w:val="24"/>
          <w:highlight w:val="none"/>
          <w:lang w:val="en-US" w:eastAsia="zh-CN"/>
        </w:rPr>
        <w:t>中标</w:t>
      </w:r>
      <w:r>
        <w:rPr>
          <w:rFonts w:hint="eastAsia" w:ascii="新宋体" w:hAnsi="新宋体" w:eastAsia="新宋体" w:cs="Times New Roman"/>
          <w:color w:val="auto"/>
          <w:sz w:val="24"/>
          <w:szCs w:val="24"/>
          <w:highlight w:val="none"/>
        </w:rPr>
        <w:t>之后，如发现</w:t>
      </w:r>
      <w:r>
        <w:rPr>
          <w:rFonts w:hint="eastAsia" w:ascii="新宋体" w:hAnsi="新宋体" w:eastAsia="新宋体" w:cs="Times New Roman"/>
          <w:color w:val="auto"/>
          <w:sz w:val="24"/>
          <w:szCs w:val="24"/>
          <w:highlight w:val="none"/>
          <w:lang w:val="en-US" w:eastAsia="zh-CN"/>
        </w:rPr>
        <w:t>供应商</w:t>
      </w:r>
      <w:r>
        <w:rPr>
          <w:rFonts w:hint="eastAsia" w:ascii="新宋体" w:hAnsi="新宋体" w:eastAsia="新宋体" w:cs="Times New Roman"/>
          <w:color w:val="auto"/>
          <w:sz w:val="24"/>
          <w:szCs w:val="24"/>
          <w:highlight w:val="none"/>
        </w:rPr>
        <w:t>的</w:t>
      </w:r>
      <w:r>
        <w:rPr>
          <w:rFonts w:hint="eastAsia" w:ascii="新宋体" w:hAnsi="新宋体" w:eastAsia="新宋体" w:cs="Times New Roman"/>
          <w:color w:val="auto"/>
          <w:sz w:val="24"/>
          <w:szCs w:val="24"/>
          <w:highlight w:val="none"/>
          <w:lang w:val="en-US" w:eastAsia="zh-CN"/>
        </w:rPr>
        <w:t>投标文件内容</w:t>
      </w:r>
      <w:r>
        <w:rPr>
          <w:rFonts w:hint="eastAsia" w:ascii="新宋体" w:hAnsi="新宋体" w:eastAsia="新宋体" w:cs="Times New Roman"/>
          <w:color w:val="auto"/>
          <w:sz w:val="24"/>
          <w:szCs w:val="24"/>
          <w:highlight w:val="none"/>
        </w:rPr>
        <w:t>有不一致的，以有利于采购人</w:t>
      </w:r>
      <w:r>
        <w:rPr>
          <w:rFonts w:hint="eastAsia" w:ascii="新宋体" w:hAnsi="新宋体" w:eastAsia="新宋体" w:cs="Times New Roman"/>
          <w:color w:val="auto"/>
          <w:sz w:val="24"/>
          <w:szCs w:val="24"/>
          <w:highlight w:val="none"/>
          <w:lang w:val="en-US" w:eastAsia="zh-CN"/>
        </w:rPr>
        <w:t>的</w:t>
      </w:r>
      <w:r>
        <w:rPr>
          <w:rFonts w:hint="eastAsia" w:ascii="新宋体" w:hAnsi="新宋体" w:eastAsia="新宋体" w:cs="Times New Roman"/>
          <w:color w:val="auto"/>
          <w:sz w:val="24"/>
          <w:szCs w:val="24"/>
          <w:highlight w:val="none"/>
        </w:rPr>
        <w:t>原则执行。</w:t>
      </w:r>
    </w:p>
    <w:bookmarkEnd w:id="23"/>
    <w:bookmarkEnd w:id="24"/>
    <w:p>
      <w:pPr>
        <w:pStyle w:val="130"/>
        <w:rPr>
          <w:rFonts w:hint="eastAsia" w:ascii="宋体" w:hAnsi="宋体" w:cs="Arial"/>
          <w:b/>
          <w:sz w:val="21"/>
          <w:szCs w:val="21"/>
          <w:highlight w:val="none"/>
        </w:rPr>
      </w:pPr>
    </w:p>
    <w:p>
      <w:pPr>
        <w:pStyle w:val="130"/>
        <w:rPr>
          <w:rFonts w:hint="eastAsia" w:ascii="宋体" w:hAnsi="宋体" w:cs="Arial"/>
          <w:b/>
          <w:sz w:val="21"/>
          <w:szCs w:val="21"/>
          <w:highlight w:val="none"/>
        </w:rPr>
      </w:pPr>
    </w:p>
    <w:p>
      <w:pPr>
        <w:pStyle w:val="130"/>
        <w:rPr>
          <w:rFonts w:hint="eastAsia" w:ascii="宋体" w:hAnsi="宋体" w:cs="Arial"/>
          <w:b/>
          <w:sz w:val="21"/>
          <w:szCs w:val="21"/>
          <w:highlight w:val="none"/>
        </w:rPr>
      </w:pPr>
    </w:p>
    <w:p>
      <w:pPr>
        <w:pStyle w:val="130"/>
        <w:rPr>
          <w:rFonts w:hint="eastAsia" w:ascii="宋体" w:hAnsi="宋体" w:cs="Arial"/>
          <w:b/>
          <w:sz w:val="21"/>
          <w:szCs w:val="21"/>
          <w:highlight w:val="none"/>
        </w:rPr>
      </w:pPr>
    </w:p>
    <w:p>
      <w:pPr>
        <w:pStyle w:val="130"/>
        <w:rPr>
          <w:rFonts w:hint="eastAsia" w:ascii="宋体" w:hAnsi="宋体" w:cs="Arial"/>
          <w:b/>
          <w:sz w:val="21"/>
          <w:szCs w:val="21"/>
          <w:highlight w:val="none"/>
        </w:rPr>
      </w:pPr>
    </w:p>
    <w:p>
      <w:pPr>
        <w:pStyle w:val="130"/>
        <w:rPr>
          <w:rFonts w:hint="eastAsia" w:ascii="宋体" w:hAnsi="宋体" w:cs="Arial"/>
          <w:b/>
          <w:sz w:val="21"/>
          <w:szCs w:val="21"/>
          <w:highlight w:val="none"/>
        </w:rPr>
      </w:pPr>
    </w:p>
    <w:p>
      <w:pPr>
        <w:rPr>
          <w:rFonts w:ascii="Times New Roman" w:hAnsi="Times New Roman"/>
          <w:color w:val="auto"/>
          <w:kern w:val="1"/>
          <w:highlight w:val="none"/>
        </w:rPr>
      </w:pPr>
    </w:p>
    <w:p>
      <w:pPr>
        <w:pStyle w:val="51"/>
        <w:rPr>
          <w:rFonts w:ascii="Times New Roman" w:hAnsi="Times New Roman"/>
          <w:color w:val="auto"/>
          <w:kern w:val="1"/>
          <w:highlight w:val="none"/>
        </w:rPr>
      </w:pPr>
    </w:p>
    <w:p>
      <w:pPr>
        <w:pStyle w:val="51"/>
        <w:rPr>
          <w:rFonts w:ascii="Times New Roman" w:hAnsi="Times New Roman"/>
          <w:color w:val="auto"/>
          <w:kern w:val="1"/>
          <w:highlight w:val="none"/>
        </w:rPr>
      </w:pPr>
    </w:p>
    <w:p>
      <w:pPr>
        <w:pStyle w:val="51"/>
        <w:rPr>
          <w:rFonts w:ascii="Times New Roman" w:hAnsi="Times New Roman"/>
          <w:color w:val="auto"/>
          <w:kern w:val="1"/>
          <w:highlight w:val="none"/>
        </w:rPr>
      </w:pPr>
    </w:p>
    <w:p>
      <w:pPr>
        <w:pStyle w:val="51"/>
        <w:rPr>
          <w:rFonts w:ascii="Times New Roman" w:hAnsi="Times New Roman"/>
          <w:color w:val="auto"/>
          <w:kern w:val="1"/>
          <w:highlight w:val="none"/>
        </w:rPr>
      </w:pPr>
    </w:p>
    <w:p>
      <w:pPr>
        <w:pStyle w:val="52"/>
        <w:rPr>
          <w:rFonts w:ascii="Times New Roman" w:hAnsi="Times New Roman"/>
          <w:color w:val="auto"/>
          <w:kern w:val="1"/>
          <w:highlight w:val="none"/>
        </w:rPr>
      </w:pPr>
    </w:p>
    <w:p>
      <w:pPr>
        <w:rPr>
          <w:rFonts w:ascii="Times New Roman" w:hAnsi="Times New Roman"/>
          <w:color w:val="auto"/>
          <w:kern w:val="1"/>
          <w:highlight w:val="none"/>
        </w:rPr>
      </w:pPr>
    </w:p>
    <w:p>
      <w:pPr>
        <w:pStyle w:val="2"/>
        <w:rPr>
          <w:rFonts w:ascii="Times New Roman" w:hAnsi="Times New Roman"/>
          <w:color w:val="auto"/>
          <w:kern w:val="1"/>
          <w:highlight w:val="none"/>
        </w:rPr>
      </w:pPr>
    </w:p>
    <w:p>
      <w:pPr>
        <w:rPr>
          <w:rFonts w:ascii="Times New Roman" w:hAnsi="Times New Roman"/>
          <w:color w:val="auto"/>
          <w:kern w:val="1"/>
          <w:highlight w:val="none"/>
        </w:rPr>
      </w:pPr>
    </w:p>
    <w:p>
      <w:pPr>
        <w:pStyle w:val="2"/>
        <w:rPr>
          <w:rFonts w:ascii="Times New Roman" w:hAnsi="Times New Roman"/>
          <w:color w:val="auto"/>
          <w:kern w:val="1"/>
          <w:highlight w:val="none"/>
        </w:rPr>
      </w:pPr>
    </w:p>
    <w:p>
      <w:pPr>
        <w:rPr>
          <w:rFonts w:ascii="Times New Roman" w:hAnsi="Times New Roman"/>
          <w:color w:val="auto"/>
          <w:kern w:val="1"/>
          <w:highlight w:val="none"/>
        </w:rPr>
      </w:pPr>
    </w:p>
    <w:p>
      <w:pPr>
        <w:pStyle w:val="2"/>
        <w:rPr>
          <w:rFonts w:ascii="Times New Roman" w:hAnsi="Times New Roman"/>
          <w:color w:val="auto"/>
          <w:kern w:val="1"/>
          <w:highlight w:val="none"/>
        </w:rPr>
      </w:pPr>
    </w:p>
    <w:p>
      <w:pPr>
        <w:rPr>
          <w:rFonts w:ascii="Times New Roman" w:hAnsi="Times New Roman"/>
          <w:color w:val="auto"/>
          <w:kern w:val="1"/>
          <w:highlight w:val="none"/>
        </w:rPr>
      </w:pPr>
    </w:p>
    <w:p>
      <w:pPr>
        <w:pStyle w:val="2"/>
        <w:rPr>
          <w:rFonts w:ascii="Times New Roman" w:hAnsi="Times New Roman"/>
          <w:color w:val="auto"/>
          <w:kern w:val="1"/>
          <w:highlight w:val="none"/>
        </w:rPr>
      </w:pPr>
    </w:p>
    <w:p>
      <w:pPr>
        <w:rPr>
          <w:rFonts w:ascii="Times New Roman" w:hAnsi="Times New Roman"/>
          <w:color w:val="auto"/>
          <w:kern w:val="1"/>
          <w:highlight w:val="none"/>
        </w:rPr>
      </w:pPr>
    </w:p>
    <w:p>
      <w:pPr>
        <w:pStyle w:val="2"/>
        <w:rPr>
          <w:rFonts w:ascii="Times New Roman" w:hAnsi="Times New Roman"/>
          <w:color w:val="auto"/>
          <w:kern w:val="1"/>
          <w:highlight w:val="none"/>
        </w:rPr>
      </w:pPr>
    </w:p>
    <w:p>
      <w:pPr>
        <w:rPr>
          <w:rFonts w:ascii="Times New Roman" w:hAnsi="Times New Roman"/>
          <w:color w:val="auto"/>
          <w:kern w:val="1"/>
          <w:highlight w:val="none"/>
        </w:rPr>
      </w:pPr>
    </w:p>
    <w:p>
      <w:pPr>
        <w:pStyle w:val="2"/>
        <w:rPr>
          <w:rFonts w:ascii="Times New Roman" w:hAnsi="Times New Roman"/>
          <w:color w:val="auto"/>
          <w:kern w:val="1"/>
          <w:highlight w:val="none"/>
        </w:rPr>
      </w:pPr>
    </w:p>
    <w:p>
      <w:pPr>
        <w:rPr>
          <w:rFonts w:ascii="Times New Roman" w:hAnsi="Times New Roman"/>
          <w:color w:val="auto"/>
          <w:kern w:val="1"/>
          <w:highlight w:val="none"/>
        </w:rPr>
      </w:pPr>
    </w:p>
    <w:p>
      <w:pPr>
        <w:pStyle w:val="2"/>
        <w:rPr>
          <w:rFonts w:ascii="Times New Roman" w:hAnsi="Times New Roman"/>
          <w:color w:val="auto"/>
          <w:kern w:val="1"/>
          <w:highlight w:val="none"/>
        </w:rPr>
      </w:pPr>
    </w:p>
    <w:p>
      <w:pPr>
        <w:rPr>
          <w:rFonts w:ascii="Times New Roman" w:hAnsi="Times New Roman"/>
          <w:color w:val="auto"/>
          <w:kern w:val="1"/>
          <w:highlight w:val="none"/>
        </w:rPr>
      </w:pPr>
    </w:p>
    <w:p>
      <w:pPr>
        <w:pStyle w:val="2"/>
        <w:rPr>
          <w:rFonts w:ascii="Times New Roman" w:hAnsi="Times New Roman"/>
          <w:color w:val="auto"/>
          <w:kern w:val="1"/>
          <w:highlight w:val="none"/>
        </w:rPr>
      </w:pPr>
    </w:p>
    <w:p>
      <w:pPr>
        <w:rPr>
          <w:rFonts w:ascii="Times New Roman" w:hAnsi="Times New Roman"/>
          <w:color w:val="auto"/>
          <w:kern w:val="1"/>
          <w:highlight w:val="none"/>
        </w:rPr>
      </w:pPr>
    </w:p>
    <w:p>
      <w:pPr>
        <w:pStyle w:val="2"/>
        <w:rPr>
          <w:rFonts w:ascii="Times New Roman" w:hAnsi="Times New Roman"/>
          <w:color w:val="auto"/>
          <w:kern w:val="1"/>
          <w:highlight w:val="none"/>
        </w:rPr>
      </w:pPr>
    </w:p>
    <w:p>
      <w:pPr>
        <w:rPr>
          <w:rFonts w:ascii="Times New Roman" w:hAnsi="Times New Roman"/>
          <w:color w:val="auto"/>
          <w:kern w:val="1"/>
          <w:highlight w:val="none"/>
        </w:rPr>
      </w:pPr>
    </w:p>
    <w:p>
      <w:pPr>
        <w:pStyle w:val="2"/>
        <w:rPr>
          <w:highlight w:val="none"/>
        </w:rPr>
      </w:pPr>
    </w:p>
    <w:p>
      <w:pPr>
        <w:rPr>
          <w:highlight w:val="none"/>
        </w:rPr>
      </w:pPr>
    </w:p>
    <w:p>
      <w:pPr>
        <w:rPr>
          <w:highlight w:val="none"/>
        </w:rPr>
      </w:pPr>
    </w:p>
    <w:p>
      <w:pPr>
        <w:pStyle w:val="4"/>
        <w:numPr>
          <w:ilvl w:val="0"/>
          <w:numId w:val="0"/>
        </w:numPr>
        <w:spacing w:before="0" w:after="0" w:line="360" w:lineRule="auto"/>
        <w:ind w:leftChars="0"/>
        <w:jc w:val="center"/>
        <w:rPr>
          <w:rFonts w:ascii="Times New Roman" w:hAnsi="Times New Roman"/>
          <w:color w:val="auto"/>
          <w:sz w:val="32"/>
          <w:highlight w:val="none"/>
        </w:rPr>
      </w:pPr>
      <w:bookmarkStart w:id="25" w:name="_Toc34950018"/>
      <w:r>
        <w:rPr>
          <w:rFonts w:hint="eastAsia" w:ascii="Times New Roman" w:hAnsi="Times New Roman"/>
          <w:color w:val="auto"/>
          <w:sz w:val="32"/>
          <w:highlight w:val="none"/>
          <w:lang w:val="en-US" w:eastAsia="zh-CN"/>
        </w:rPr>
        <w:t xml:space="preserve">第四章   </w:t>
      </w:r>
      <w:r>
        <w:rPr>
          <w:rFonts w:ascii="Times New Roman" w:hAnsi="Times New Roman"/>
          <w:color w:val="auto"/>
          <w:sz w:val="32"/>
          <w:highlight w:val="none"/>
        </w:rPr>
        <w:t>开标、评标和定标须知</w:t>
      </w:r>
      <w:bookmarkEnd w:id="25"/>
    </w:p>
    <w:p>
      <w:pPr>
        <w:pStyle w:val="5"/>
        <w:spacing w:before="0" w:after="0" w:line="360" w:lineRule="auto"/>
        <w:rPr>
          <w:rFonts w:hint="eastAsia" w:ascii="宋体" w:hAnsi="宋体" w:eastAsia="宋体"/>
          <w:color w:val="auto"/>
          <w:sz w:val="21"/>
          <w:szCs w:val="21"/>
          <w:highlight w:val="none"/>
        </w:rPr>
      </w:pPr>
      <w:bookmarkStart w:id="26" w:name="_Toc274303252"/>
      <w:bookmarkEnd w:id="26"/>
      <w:bookmarkStart w:id="27" w:name="_Toc362250704"/>
      <w:bookmarkEnd w:id="27"/>
      <w:bookmarkStart w:id="28" w:name="_Toc406413937"/>
      <w:bookmarkStart w:id="29" w:name="_Toc34950019"/>
      <w:bookmarkStart w:id="30" w:name="_Toc384297860"/>
      <w:r>
        <w:rPr>
          <w:rFonts w:hint="eastAsia" w:ascii="宋体" w:hAnsi="宋体" w:eastAsia="宋体"/>
          <w:color w:val="auto"/>
          <w:sz w:val="21"/>
          <w:szCs w:val="21"/>
          <w:highlight w:val="none"/>
        </w:rPr>
        <w:t>一、开标</w:t>
      </w:r>
      <w:bookmarkEnd w:id="28"/>
      <w:bookmarkEnd w:id="29"/>
      <w:bookmarkEnd w:id="30"/>
    </w:p>
    <w:p>
      <w:pPr>
        <w:spacing w:line="360" w:lineRule="auto"/>
        <w:ind w:firstLine="420" w:firstLineChars="200"/>
        <w:rPr>
          <w:rFonts w:hint="eastAsia" w:ascii="宋体" w:hAnsi="宋体"/>
          <w:color w:val="auto"/>
          <w:sz w:val="21"/>
          <w:szCs w:val="21"/>
          <w:highlight w:val="none"/>
        </w:rPr>
      </w:pPr>
      <w:bookmarkStart w:id="31" w:name="_Toc362250705"/>
      <w:bookmarkStart w:id="32" w:name="_Toc406413938"/>
      <w:bookmarkStart w:id="33" w:name="_Toc274303253"/>
      <w:bookmarkStart w:id="34" w:name="_Toc384297861"/>
      <w:bookmarkStart w:id="35" w:name="_Toc263090375"/>
      <w:bookmarkStart w:id="36" w:name="_Toc226973002"/>
      <w:bookmarkStart w:id="37" w:name="_Toc261519847"/>
      <w:r>
        <w:rPr>
          <w:rFonts w:hint="eastAsia" w:ascii="宋体" w:hAnsi="宋体"/>
          <w:color w:val="auto"/>
          <w:sz w:val="21"/>
          <w:szCs w:val="21"/>
          <w:highlight w:val="none"/>
        </w:rPr>
        <w:t>1、本项目实行电子开评标，投标方无需前往开评标现场，只需在规定时间内在“政采云”平台上上传电子投标文件。</w:t>
      </w:r>
    </w:p>
    <w:p>
      <w:pPr>
        <w:spacing w:line="360" w:lineRule="auto"/>
        <w:ind w:firstLine="420" w:firstLineChars="200"/>
        <w:rPr>
          <w:rFonts w:hint="eastAsia"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、电子开评标及评审程序</w:t>
      </w:r>
    </w:p>
    <w:p>
      <w:pPr>
        <w:spacing w:line="360" w:lineRule="auto"/>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2.1</w:t>
      </w:r>
      <w:r>
        <w:rPr>
          <w:rFonts w:ascii="宋体" w:hAnsi="宋体"/>
          <w:b/>
          <w:color w:val="auto"/>
          <w:sz w:val="21"/>
          <w:szCs w:val="21"/>
          <w:highlight w:val="none"/>
        </w:rPr>
        <w:t>投标截止时间后</w:t>
      </w:r>
      <w:r>
        <w:rPr>
          <w:rFonts w:hint="eastAsia" w:ascii="宋体" w:hAnsi="宋体"/>
          <w:b/>
          <w:color w:val="auto"/>
          <w:sz w:val="21"/>
          <w:szCs w:val="21"/>
          <w:highlight w:val="none"/>
        </w:rPr>
        <w:t>的1小时内（开标当日</w:t>
      </w:r>
      <w:r>
        <w:rPr>
          <w:rFonts w:hint="eastAsia" w:ascii="宋体" w:hAnsi="宋体"/>
          <w:b/>
          <w:color w:val="auto"/>
          <w:sz w:val="21"/>
          <w:szCs w:val="21"/>
          <w:highlight w:val="none"/>
          <w:lang w:eastAsia="zh-CN"/>
        </w:rPr>
        <w:t>上午14:00</w:t>
      </w:r>
      <w:r>
        <w:rPr>
          <w:rFonts w:hint="eastAsia" w:ascii="宋体" w:hAnsi="宋体"/>
          <w:b/>
          <w:color w:val="auto"/>
          <w:sz w:val="21"/>
          <w:szCs w:val="21"/>
          <w:highlight w:val="none"/>
        </w:rPr>
        <w:t>-</w:t>
      </w:r>
      <w:r>
        <w:rPr>
          <w:rFonts w:hint="eastAsia" w:ascii="宋体" w:hAnsi="宋体"/>
          <w:b/>
          <w:color w:val="auto"/>
          <w:sz w:val="21"/>
          <w:szCs w:val="21"/>
          <w:highlight w:val="none"/>
          <w:lang w:eastAsia="zh-CN"/>
        </w:rPr>
        <w:t>15:00</w:t>
      </w:r>
      <w:r>
        <w:rPr>
          <w:rFonts w:hint="eastAsia" w:ascii="宋体" w:hAnsi="宋体"/>
          <w:b/>
          <w:color w:val="auto"/>
          <w:sz w:val="21"/>
          <w:szCs w:val="21"/>
          <w:highlight w:val="none"/>
        </w:rPr>
        <w:t>时）</w:t>
      </w:r>
      <w:r>
        <w:rPr>
          <w:rFonts w:ascii="宋体" w:hAnsi="宋体"/>
          <w:b/>
          <w:color w:val="auto"/>
          <w:sz w:val="21"/>
          <w:szCs w:val="21"/>
          <w:highlight w:val="none"/>
        </w:rPr>
        <w:t>，</w:t>
      </w:r>
      <w:r>
        <w:rPr>
          <w:rFonts w:hint="eastAsia" w:ascii="宋体" w:hAnsi="宋体"/>
          <w:b/>
          <w:color w:val="auto"/>
          <w:sz w:val="21"/>
          <w:szCs w:val="21"/>
          <w:highlight w:val="none"/>
        </w:rPr>
        <w:t>由各投标人自行</w:t>
      </w:r>
      <w:r>
        <w:rPr>
          <w:rFonts w:ascii="宋体" w:hAnsi="宋体"/>
          <w:b/>
          <w:color w:val="auto"/>
          <w:sz w:val="21"/>
          <w:szCs w:val="21"/>
          <w:highlight w:val="none"/>
        </w:rPr>
        <w:t>对</w:t>
      </w:r>
      <w:r>
        <w:rPr>
          <w:rFonts w:hint="eastAsia" w:ascii="宋体" w:hAnsi="宋体"/>
          <w:b/>
          <w:color w:val="auto"/>
          <w:sz w:val="21"/>
          <w:szCs w:val="21"/>
          <w:highlight w:val="none"/>
        </w:rPr>
        <w:t>电子</w:t>
      </w:r>
      <w:r>
        <w:rPr>
          <w:rFonts w:ascii="宋体" w:hAnsi="宋体"/>
          <w:b/>
          <w:color w:val="auto"/>
          <w:sz w:val="21"/>
          <w:szCs w:val="21"/>
          <w:highlight w:val="none"/>
        </w:rPr>
        <w:t>投标文件进行解密</w:t>
      </w:r>
      <w:r>
        <w:rPr>
          <w:rFonts w:hint="eastAsia" w:ascii="宋体" w:hAnsi="宋体"/>
          <w:b/>
          <w:color w:val="auto"/>
          <w:sz w:val="21"/>
          <w:szCs w:val="21"/>
          <w:highlight w:val="none"/>
        </w:rPr>
        <w:t xml:space="preserve">（请各投标人务必在规定时间内完成电子投标文件的解密工作，在电子开评标期间，投标方（授权代表）需确保在各自所在的区域具备上网的技术条件并保持网络及联系方式畅通），同时为避免出现以外，建议全程由一台电脑进行操作（包括标书制作、上传、解密等），中途不要更换电脑； </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2.2.评标委员会对投标方的资格和商务技术响应文件进行评审；</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2.3评标委员会对报价情况进行评审；</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2.4在系统上公布评审结果。</w:t>
      </w:r>
    </w:p>
    <w:p>
      <w:pPr>
        <w:spacing w:line="360" w:lineRule="auto"/>
        <w:ind w:firstLine="422" w:firstLineChars="200"/>
        <w:rPr>
          <w:rFonts w:ascii="宋体" w:hAnsi="宋体"/>
          <w:b/>
          <w:color w:val="auto"/>
          <w:sz w:val="21"/>
          <w:szCs w:val="21"/>
          <w:highlight w:val="none"/>
          <w:u w:val="single"/>
        </w:rPr>
      </w:pPr>
      <w:r>
        <w:rPr>
          <w:rFonts w:hint="eastAsia" w:ascii="宋体" w:hAnsi="宋体"/>
          <w:b/>
          <w:color w:val="auto"/>
          <w:sz w:val="21"/>
          <w:szCs w:val="21"/>
          <w:highlight w:val="none"/>
          <w:u w:val="single"/>
        </w:rPr>
        <w:t>特别说明：政采云公司如对电子化开标及评审程序有调整的，按调整后的程序操作。</w:t>
      </w:r>
    </w:p>
    <w:p>
      <w:pPr>
        <w:pStyle w:val="5"/>
        <w:spacing w:before="0" w:after="0" w:line="360" w:lineRule="auto"/>
        <w:rPr>
          <w:rFonts w:hint="eastAsia" w:ascii="宋体" w:hAnsi="宋体" w:eastAsia="宋体"/>
          <w:color w:val="auto"/>
          <w:sz w:val="21"/>
          <w:szCs w:val="21"/>
          <w:highlight w:val="none"/>
        </w:rPr>
      </w:pPr>
      <w:bookmarkStart w:id="38" w:name="_Toc34950020"/>
      <w:r>
        <w:rPr>
          <w:rFonts w:hint="eastAsia" w:ascii="宋体" w:hAnsi="宋体" w:eastAsia="宋体"/>
          <w:color w:val="auto"/>
          <w:sz w:val="21"/>
          <w:szCs w:val="21"/>
          <w:highlight w:val="none"/>
        </w:rPr>
        <w:t>二、评标</w:t>
      </w:r>
      <w:bookmarkEnd w:id="31"/>
      <w:bookmarkEnd w:id="32"/>
      <w:bookmarkEnd w:id="33"/>
      <w:bookmarkEnd w:id="34"/>
      <w:bookmarkEnd w:id="35"/>
      <w:bookmarkEnd w:id="36"/>
      <w:bookmarkEnd w:id="37"/>
      <w:bookmarkEnd w:id="38"/>
    </w:p>
    <w:p>
      <w:pPr>
        <w:spacing w:line="360" w:lineRule="auto"/>
        <w:ind w:firstLine="480"/>
        <w:rPr>
          <w:rFonts w:hint="eastAsia" w:ascii="宋体" w:hAnsi="宋体"/>
          <w:b/>
          <w:color w:val="auto"/>
          <w:sz w:val="21"/>
          <w:szCs w:val="21"/>
          <w:highlight w:val="none"/>
        </w:rPr>
      </w:pPr>
      <w:r>
        <w:rPr>
          <w:rFonts w:hint="eastAsia" w:ascii="宋体" w:hAnsi="宋体"/>
          <w:b/>
          <w:color w:val="auto"/>
          <w:sz w:val="21"/>
          <w:szCs w:val="21"/>
          <w:highlight w:val="none"/>
        </w:rPr>
        <w:t>3、评标小组</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招标方将根据招标采购项目的特点确定评标委员会（即评标小组）。其成员由评审专家和采购人代表5人及以上单数组成。评标小组对投标文件进行审查、质疑、评估和比较。</w:t>
      </w:r>
    </w:p>
    <w:p>
      <w:pPr>
        <w:spacing w:line="360" w:lineRule="auto"/>
        <w:ind w:firstLine="480"/>
        <w:rPr>
          <w:rFonts w:hint="eastAsia" w:ascii="宋体" w:hAnsi="宋体"/>
          <w:b/>
          <w:color w:val="auto"/>
          <w:sz w:val="21"/>
          <w:szCs w:val="21"/>
          <w:highlight w:val="none"/>
        </w:rPr>
      </w:pPr>
      <w:r>
        <w:rPr>
          <w:rFonts w:hint="eastAsia" w:ascii="宋体" w:hAnsi="宋体"/>
          <w:b/>
          <w:color w:val="auto"/>
          <w:sz w:val="21"/>
          <w:szCs w:val="21"/>
          <w:highlight w:val="none"/>
        </w:rPr>
        <w:t>4、评标原则</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4.1评标小组将遵循公开、公平、公正的原则，严格遵守评标工作纪律。</w:t>
      </w:r>
    </w:p>
    <w:p>
      <w:pPr>
        <w:spacing w:line="360" w:lineRule="auto"/>
        <w:ind w:firstLine="420" w:firstLineChars="200"/>
        <w:rPr>
          <w:rFonts w:hint="eastAsia" w:ascii="宋体" w:hAnsi="宋体"/>
          <w:bCs/>
          <w:color w:val="auto"/>
          <w:sz w:val="21"/>
          <w:szCs w:val="21"/>
          <w:highlight w:val="none"/>
        </w:rPr>
      </w:pPr>
      <w:r>
        <w:rPr>
          <w:rFonts w:hint="eastAsia" w:ascii="宋体" w:hAnsi="宋体"/>
          <w:color w:val="auto"/>
          <w:sz w:val="21"/>
          <w:szCs w:val="21"/>
          <w:highlight w:val="none"/>
        </w:rPr>
        <w:t>4.2</w:t>
      </w:r>
      <w:r>
        <w:rPr>
          <w:rFonts w:hint="eastAsia" w:ascii="宋体" w:hAnsi="宋体"/>
          <w:bCs/>
          <w:color w:val="auto"/>
          <w:sz w:val="21"/>
          <w:szCs w:val="21"/>
          <w:highlight w:val="none"/>
        </w:rPr>
        <w:t>先评资格及商务技术响应文件，再评报价响应文件。</w:t>
      </w:r>
    </w:p>
    <w:p>
      <w:pPr>
        <w:spacing w:line="360" w:lineRule="auto"/>
        <w:ind w:firstLine="420" w:firstLineChars="200"/>
        <w:rPr>
          <w:rFonts w:hint="eastAsia" w:ascii="宋体" w:hAnsi="宋体"/>
          <w:color w:val="auto"/>
          <w:sz w:val="21"/>
          <w:szCs w:val="21"/>
          <w:highlight w:val="none"/>
        </w:rPr>
      </w:pPr>
      <w:r>
        <w:rPr>
          <w:rFonts w:hint="eastAsia" w:ascii="宋体" w:hAnsi="宋体"/>
          <w:bCs/>
          <w:color w:val="auto"/>
          <w:sz w:val="21"/>
          <w:szCs w:val="21"/>
          <w:highlight w:val="none"/>
        </w:rPr>
        <w:t>4.3</w:t>
      </w:r>
      <w:r>
        <w:rPr>
          <w:rFonts w:hint="eastAsia" w:ascii="宋体" w:hAnsi="宋体"/>
          <w:color w:val="auto"/>
          <w:sz w:val="21"/>
          <w:szCs w:val="21"/>
          <w:highlight w:val="none"/>
        </w:rPr>
        <w:t>客观公正对待所有投标人，对所有投标评审均采用相同的程序和标准。评标的依据为招标文件和投标文件。</w:t>
      </w:r>
    </w:p>
    <w:p>
      <w:pPr>
        <w:pStyle w:val="28"/>
        <w:spacing w:line="360" w:lineRule="auto"/>
        <w:ind w:firstLine="420" w:firstLineChars="200"/>
        <w:rPr>
          <w:rFonts w:hint="eastAsia"/>
          <w:color w:val="auto"/>
          <w:sz w:val="21"/>
          <w:szCs w:val="21"/>
          <w:highlight w:val="none"/>
          <w:lang w:eastAsia="zh-CN"/>
        </w:rPr>
      </w:pPr>
      <w:r>
        <w:rPr>
          <w:rFonts w:hint="eastAsia"/>
          <w:color w:val="auto"/>
          <w:sz w:val="21"/>
          <w:szCs w:val="21"/>
          <w:highlight w:val="none"/>
        </w:rPr>
        <w:t>4.4有利于提高政府投资效益，节约建设资金</w:t>
      </w:r>
      <w:r>
        <w:rPr>
          <w:rFonts w:hint="eastAsia"/>
          <w:color w:val="auto"/>
          <w:sz w:val="21"/>
          <w:szCs w:val="21"/>
          <w:highlight w:val="none"/>
          <w:lang w:eastAsia="zh-CN"/>
        </w:rPr>
        <w:t>。</w:t>
      </w:r>
    </w:p>
    <w:p>
      <w:pPr>
        <w:pStyle w:val="28"/>
        <w:spacing w:line="360" w:lineRule="auto"/>
        <w:ind w:firstLine="404" w:firstLineChars="200"/>
        <w:rPr>
          <w:rFonts w:hint="eastAsia" w:ascii="宋体" w:hAnsi="宋体"/>
          <w:color w:val="auto"/>
          <w:sz w:val="21"/>
          <w:szCs w:val="21"/>
          <w:highlight w:val="none"/>
        </w:rPr>
      </w:pPr>
      <w:r>
        <w:rPr>
          <w:rFonts w:hint="eastAsia" w:ascii="宋体" w:hAnsi="宋体"/>
          <w:color w:val="auto"/>
          <w:spacing w:val="-4"/>
          <w:sz w:val="21"/>
          <w:szCs w:val="21"/>
          <w:highlight w:val="none"/>
        </w:rPr>
        <w:t>4.</w:t>
      </w:r>
      <w:r>
        <w:rPr>
          <w:rFonts w:hint="eastAsia" w:ascii="宋体" w:hAnsi="宋体"/>
          <w:color w:val="auto"/>
          <w:spacing w:val="-4"/>
          <w:sz w:val="21"/>
          <w:szCs w:val="21"/>
          <w:highlight w:val="none"/>
          <w:lang w:val="en-US" w:eastAsia="zh-CN"/>
        </w:rPr>
        <w:t>5</w:t>
      </w:r>
      <w:r>
        <w:rPr>
          <w:rFonts w:hint="eastAsia" w:ascii="宋体" w:hAnsi="宋体"/>
          <w:color w:val="auto"/>
          <w:sz w:val="21"/>
          <w:szCs w:val="21"/>
          <w:highlight w:val="none"/>
        </w:rPr>
        <w:t>在评标过程中，出现异常或特殊情况时，由评标委员会集体讨论决定。</w:t>
      </w:r>
    </w:p>
    <w:p>
      <w:pPr>
        <w:adjustRightInd w:val="0"/>
        <w:snapToGrid w:val="0"/>
        <w:spacing w:line="360" w:lineRule="auto"/>
        <w:ind w:firstLine="413" w:firstLineChars="196"/>
        <w:rPr>
          <w:rFonts w:hint="eastAsia" w:ascii="宋体" w:hAnsi="宋体"/>
          <w:b/>
          <w:color w:val="auto"/>
          <w:sz w:val="21"/>
          <w:szCs w:val="21"/>
          <w:highlight w:val="none"/>
        </w:rPr>
      </w:pPr>
      <w:r>
        <w:rPr>
          <w:rFonts w:hint="eastAsia" w:ascii="宋体" w:hAnsi="宋体"/>
          <w:b/>
          <w:color w:val="auto"/>
          <w:sz w:val="21"/>
          <w:szCs w:val="21"/>
          <w:highlight w:val="none"/>
        </w:rPr>
        <w:t>4.</w:t>
      </w:r>
      <w:r>
        <w:rPr>
          <w:rFonts w:hint="eastAsia" w:ascii="宋体" w:hAnsi="宋体"/>
          <w:b/>
          <w:color w:val="auto"/>
          <w:sz w:val="21"/>
          <w:szCs w:val="21"/>
          <w:highlight w:val="none"/>
          <w:lang w:val="en-US" w:eastAsia="zh-CN"/>
        </w:rPr>
        <w:t>6</w:t>
      </w:r>
      <w:r>
        <w:rPr>
          <w:rFonts w:hint="eastAsia" w:ascii="宋体" w:hAnsi="宋体"/>
          <w:b/>
          <w:color w:val="auto"/>
          <w:sz w:val="21"/>
          <w:szCs w:val="21"/>
          <w:highlight w:val="none"/>
        </w:rPr>
        <w:t>供应商的认定</w:t>
      </w:r>
    </w:p>
    <w:p>
      <w:pPr>
        <w:adjustRightInd w:val="0"/>
        <w:snapToGrid w:val="0"/>
        <w:spacing w:line="360" w:lineRule="auto"/>
        <w:ind w:firstLine="420" w:firstLineChars="200"/>
        <w:rPr>
          <w:rFonts w:hint="eastAsia" w:ascii="宋体" w:hAnsi="宋体"/>
          <w:color w:val="auto"/>
          <w:sz w:val="21"/>
          <w:szCs w:val="21"/>
          <w:highlight w:val="none"/>
        </w:rPr>
      </w:pPr>
      <w:r>
        <w:rPr>
          <w:rFonts w:ascii="宋体" w:hAnsi="宋体"/>
          <w:color w:val="auto"/>
          <w:sz w:val="21"/>
          <w:szCs w:val="21"/>
          <w:highlight w:val="none"/>
        </w:rPr>
        <w:t>不同供应商之间单位负责人（法定代表人）为同一人或者存在直接控股、管理关系的不同供应商，不得参加同一合同项下的政府采购活动。</w:t>
      </w:r>
    </w:p>
    <w:p>
      <w:pPr>
        <w:pStyle w:val="28"/>
        <w:spacing w:line="360" w:lineRule="auto"/>
        <w:ind w:firstLine="422" w:firstLineChars="200"/>
        <w:rPr>
          <w:rFonts w:hint="eastAsia"/>
          <w:color w:val="auto"/>
          <w:sz w:val="21"/>
          <w:szCs w:val="21"/>
          <w:highlight w:val="none"/>
        </w:rPr>
      </w:pPr>
      <w:r>
        <w:rPr>
          <w:rFonts w:hint="eastAsia"/>
          <w:b/>
          <w:color w:val="auto"/>
          <w:sz w:val="21"/>
          <w:szCs w:val="21"/>
          <w:highlight w:val="none"/>
        </w:rPr>
        <w:t>5、评标过程的保密</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5.1开标后，直至授予中标人合同为止，凡属于对投标文件的审查、澄清、评价和比较等有关的资料以及中标候选人的推荐情况等与评标有关的任何情况均严格保密。</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5.2在投标文件的评审和比较、中标候选人推荐以及授予合同的过程中，投标人向采购人和评标小组施加影响的任何行为，都将会导致其投标被拒绝。</w:t>
      </w:r>
    </w:p>
    <w:p>
      <w:pPr>
        <w:pStyle w:val="28"/>
        <w:spacing w:line="360" w:lineRule="auto"/>
        <w:ind w:firstLine="420" w:firstLineChars="200"/>
        <w:rPr>
          <w:rFonts w:hint="eastAsia"/>
          <w:color w:val="auto"/>
          <w:sz w:val="21"/>
          <w:szCs w:val="21"/>
          <w:highlight w:val="none"/>
        </w:rPr>
      </w:pPr>
      <w:r>
        <w:rPr>
          <w:rFonts w:hint="eastAsia"/>
          <w:color w:val="auto"/>
          <w:sz w:val="21"/>
          <w:szCs w:val="21"/>
          <w:highlight w:val="none"/>
        </w:rPr>
        <w:t>5.3中标人确认后，采购人不对未中标人就评标过程以及未能中标原因作出任何解释。未中标人不得向评标小组人员或其他有关人员索问评标过程的全部情况。</w:t>
      </w:r>
    </w:p>
    <w:p>
      <w:pPr>
        <w:spacing w:line="360" w:lineRule="auto"/>
        <w:ind w:firstLine="420" w:firstLineChars="200"/>
        <w:rPr>
          <w:rFonts w:hint="eastAsia" w:ascii="宋体" w:hAnsi="宋体"/>
          <w:color w:val="auto"/>
          <w:spacing w:val="-4"/>
          <w:sz w:val="21"/>
          <w:szCs w:val="21"/>
          <w:highlight w:val="none"/>
        </w:rPr>
      </w:pPr>
      <w:r>
        <w:rPr>
          <w:rFonts w:hint="eastAsia" w:ascii="宋体" w:hAnsi="宋体"/>
          <w:color w:val="auto"/>
          <w:sz w:val="21"/>
          <w:szCs w:val="21"/>
          <w:highlight w:val="none"/>
        </w:rPr>
        <w:t>5.4</w:t>
      </w:r>
      <w:r>
        <w:rPr>
          <w:rFonts w:hint="eastAsia" w:ascii="宋体" w:hAnsi="宋体"/>
          <w:color w:val="auto"/>
          <w:spacing w:val="-4"/>
          <w:sz w:val="21"/>
          <w:szCs w:val="21"/>
          <w:highlight w:val="none"/>
        </w:rPr>
        <w:t>为保证定标的公正性，在评标过程中，评标成员不得与投标人私人交换意见。在招标工作结束后，凡与评标情况有接触的任何人不得也不应将评标情况扩散出评标成员之外。</w:t>
      </w:r>
    </w:p>
    <w:p>
      <w:pPr>
        <w:pStyle w:val="28"/>
        <w:tabs>
          <w:tab w:val="left" w:pos="0"/>
        </w:tabs>
        <w:spacing w:line="360" w:lineRule="auto"/>
        <w:ind w:firstLine="420" w:firstLineChars="200"/>
        <w:rPr>
          <w:rFonts w:hint="eastAsia"/>
          <w:color w:val="auto"/>
          <w:sz w:val="21"/>
          <w:szCs w:val="21"/>
          <w:highlight w:val="none"/>
        </w:rPr>
      </w:pPr>
      <w:r>
        <w:rPr>
          <w:rFonts w:hint="eastAsia"/>
          <w:color w:val="auto"/>
          <w:sz w:val="21"/>
          <w:szCs w:val="21"/>
          <w:highlight w:val="none"/>
        </w:rPr>
        <w:t>5.5评标小组不向落标方解释落标原因，不退还投标文件。</w:t>
      </w:r>
    </w:p>
    <w:p>
      <w:pPr>
        <w:adjustRightInd w:val="0"/>
        <w:snapToGrid w:val="0"/>
        <w:spacing w:line="360" w:lineRule="auto"/>
        <w:ind w:firstLine="413" w:firstLineChars="196"/>
        <w:rPr>
          <w:rFonts w:hint="eastAsia" w:ascii="宋体" w:hAnsi="宋体"/>
          <w:b/>
          <w:color w:val="auto"/>
          <w:sz w:val="21"/>
          <w:szCs w:val="21"/>
          <w:highlight w:val="none"/>
        </w:rPr>
      </w:pPr>
      <w:r>
        <w:rPr>
          <w:rFonts w:hint="eastAsia" w:ascii="宋体" w:hAnsi="宋体"/>
          <w:b/>
          <w:color w:val="auto"/>
          <w:sz w:val="21"/>
          <w:szCs w:val="21"/>
          <w:highlight w:val="none"/>
        </w:rPr>
        <w:t>6、投标文件的澄清</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6.1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8条规定，凡属于评标小组在评标中发现的计算错误并进行核实的修改不在此列。</w:t>
      </w:r>
    </w:p>
    <w:p>
      <w:pPr>
        <w:pStyle w:val="28"/>
        <w:tabs>
          <w:tab w:val="left" w:pos="0"/>
        </w:tabs>
        <w:spacing w:line="360" w:lineRule="auto"/>
        <w:ind w:firstLine="420" w:firstLineChars="200"/>
        <w:rPr>
          <w:rFonts w:hint="eastAsia"/>
          <w:color w:val="auto"/>
          <w:sz w:val="21"/>
          <w:szCs w:val="21"/>
          <w:highlight w:val="none"/>
        </w:rPr>
      </w:pPr>
      <w:r>
        <w:rPr>
          <w:rFonts w:hint="eastAsia"/>
          <w:color w:val="auto"/>
          <w:sz w:val="21"/>
          <w:szCs w:val="21"/>
          <w:highlight w:val="none"/>
        </w:rPr>
        <w:t>6.2如果投标方代表拒绝按评标委员会要求在“政采云”平台作出在线回复且无其他有效回复方式的，评标委员会可以对其作出无效标处理。</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w:t>
      </w:r>
      <w:r>
        <w:rPr>
          <w:rFonts w:hint="eastAsia" w:ascii="宋体" w:hAnsi="宋体"/>
          <w:b/>
          <w:color w:val="auto"/>
          <w:sz w:val="21"/>
          <w:szCs w:val="21"/>
          <w:highlight w:val="none"/>
        </w:rPr>
        <w:t>投标文件的资格性和符合性评审</w:t>
      </w:r>
    </w:p>
    <w:p>
      <w:pPr>
        <w:adjustRightInd w:val="0"/>
        <w:snapToGri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7.1评标时，评标小组将首先评定每份投标文件是否在实质上响应了招标文件的要求。所谓实质上响应，是指投标文件应与招标文件的所有实质性条款、条件和要求相符，无显著差异或保留，</w:t>
      </w:r>
    </w:p>
    <w:p>
      <w:pPr>
        <w:adjustRightInd w:val="0"/>
        <w:snapToGrid w:val="0"/>
        <w:spacing w:line="360" w:lineRule="auto"/>
        <w:ind w:firstLine="573"/>
        <w:rPr>
          <w:rFonts w:hint="eastAsia" w:ascii="宋体" w:hAnsi="宋体"/>
          <w:color w:val="auto"/>
          <w:sz w:val="21"/>
          <w:szCs w:val="21"/>
          <w:highlight w:val="none"/>
        </w:rPr>
      </w:pPr>
      <w:r>
        <w:rPr>
          <w:rFonts w:hint="eastAsia" w:ascii="宋体" w:hAnsi="宋体"/>
          <w:color w:val="auto"/>
          <w:sz w:val="21"/>
          <w:szCs w:val="21"/>
          <w:highlight w:val="none"/>
        </w:rPr>
        <w:t>7.2如果投标文件出现第五章规定的内容，即为实质上不响应招标文件的各项要求，评标小组将予以拒绝（或作为无效标），并且不允许投标人通过修改或撤销其不符合要求的差异或保留，使之成为具有响应性的投标。</w:t>
      </w:r>
    </w:p>
    <w:p>
      <w:pPr>
        <w:adjustRightInd w:val="0"/>
        <w:snapToGrid w:val="0"/>
        <w:spacing w:line="360" w:lineRule="auto"/>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7.3评标小组在作出任何一项无效标决定前，都应当严格遵循以下程序：</w:t>
      </w:r>
    </w:p>
    <w:p>
      <w:pPr>
        <w:adjustRightInd w:val="0"/>
        <w:snapToGrid w:val="0"/>
        <w:spacing w:line="360" w:lineRule="auto"/>
        <w:ind w:firstLine="411" w:firstLineChars="196"/>
        <w:rPr>
          <w:rFonts w:hint="eastAsia" w:ascii="宋体" w:hAnsi="宋体"/>
          <w:color w:val="auto"/>
          <w:sz w:val="21"/>
          <w:szCs w:val="21"/>
          <w:highlight w:val="none"/>
        </w:rPr>
      </w:pPr>
      <w:r>
        <w:rPr>
          <w:rFonts w:hint="eastAsia" w:ascii="宋体" w:hAnsi="宋体"/>
          <w:color w:val="auto"/>
          <w:sz w:val="21"/>
          <w:szCs w:val="21"/>
          <w:highlight w:val="none"/>
        </w:rPr>
        <w:t>7.3.1要求当事投标人作相应的答辩</w:t>
      </w:r>
    </w:p>
    <w:p>
      <w:pPr>
        <w:adjustRightInd w:val="0"/>
        <w:snapToGrid w:val="0"/>
        <w:spacing w:line="360" w:lineRule="auto"/>
        <w:ind w:firstLine="411" w:firstLineChars="196"/>
        <w:rPr>
          <w:rFonts w:hint="eastAsia" w:ascii="宋体" w:hAnsi="宋体"/>
          <w:color w:val="auto"/>
          <w:sz w:val="21"/>
          <w:szCs w:val="21"/>
          <w:highlight w:val="none"/>
        </w:rPr>
      </w:pPr>
      <w:r>
        <w:rPr>
          <w:rFonts w:hint="eastAsia" w:ascii="宋体" w:hAnsi="宋体"/>
          <w:color w:val="auto"/>
          <w:sz w:val="21"/>
          <w:szCs w:val="21"/>
          <w:highlight w:val="none"/>
        </w:rPr>
        <w:t>7.3.2在充分讨论的基础上集体表决</w:t>
      </w:r>
    </w:p>
    <w:p>
      <w:pPr>
        <w:pStyle w:val="28"/>
        <w:spacing w:line="360" w:lineRule="auto"/>
        <w:ind w:firstLine="482"/>
        <w:rPr>
          <w:rFonts w:hint="eastAsia"/>
          <w:b/>
          <w:color w:val="auto"/>
          <w:sz w:val="21"/>
          <w:szCs w:val="21"/>
          <w:highlight w:val="none"/>
        </w:rPr>
      </w:pPr>
      <w:r>
        <w:rPr>
          <w:rFonts w:hint="eastAsia"/>
          <w:b/>
          <w:color w:val="auto"/>
          <w:sz w:val="21"/>
          <w:szCs w:val="21"/>
          <w:highlight w:val="none"/>
        </w:rPr>
        <w:t>8、投标文件</w:t>
      </w:r>
      <w:r>
        <w:rPr>
          <w:rFonts w:hint="eastAsia"/>
          <w:b/>
          <w:color w:val="auto"/>
          <w:sz w:val="21"/>
          <w:szCs w:val="21"/>
          <w:highlight w:val="none"/>
          <w:u w:val="single"/>
        </w:rPr>
        <w:t>计算错误和不同文字文本</w:t>
      </w:r>
      <w:r>
        <w:rPr>
          <w:rFonts w:hint="eastAsia"/>
          <w:b/>
          <w:color w:val="auto"/>
          <w:sz w:val="21"/>
          <w:szCs w:val="21"/>
          <w:highlight w:val="none"/>
        </w:rPr>
        <w:t>的修正</w:t>
      </w:r>
    </w:p>
    <w:p>
      <w:pPr>
        <w:pStyle w:val="28"/>
        <w:spacing w:line="360" w:lineRule="auto"/>
        <w:ind w:firstLine="482"/>
        <w:rPr>
          <w:rFonts w:hint="eastAsia"/>
          <w:color w:val="auto"/>
          <w:sz w:val="21"/>
          <w:szCs w:val="21"/>
          <w:highlight w:val="none"/>
        </w:rPr>
      </w:pPr>
      <w:r>
        <w:rPr>
          <w:rFonts w:hint="eastAsia"/>
          <w:color w:val="auto"/>
          <w:sz w:val="21"/>
          <w:szCs w:val="21"/>
          <w:highlight w:val="none"/>
        </w:rPr>
        <w:t>8.1修正原则如下：</w:t>
      </w:r>
    </w:p>
    <w:p>
      <w:pPr>
        <w:pStyle w:val="28"/>
        <w:spacing w:line="360" w:lineRule="auto"/>
        <w:ind w:firstLine="482"/>
        <w:rPr>
          <w:rFonts w:hint="eastAsia"/>
          <w:color w:val="auto"/>
          <w:sz w:val="21"/>
          <w:szCs w:val="21"/>
          <w:highlight w:val="none"/>
        </w:rPr>
      </w:pPr>
      <w:r>
        <w:rPr>
          <w:rFonts w:hint="eastAsia"/>
          <w:color w:val="auto"/>
          <w:sz w:val="21"/>
          <w:szCs w:val="21"/>
          <w:highlight w:val="none"/>
        </w:rPr>
        <w:t>8.1.1政采云客户端填写的报价与以pdf格式上传文件中的报价不一致的，以pdf格式上传文件中的报价为准（适用于电子开评标项目）。</w:t>
      </w:r>
    </w:p>
    <w:p>
      <w:pPr>
        <w:pStyle w:val="28"/>
        <w:spacing w:line="360" w:lineRule="auto"/>
        <w:ind w:firstLine="482"/>
        <w:rPr>
          <w:rFonts w:hint="eastAsia" w:eastAsia="宋体"/>
          <w:color w:val="auto"/>
          <w:sz w:val="21"/>
          <w:szCs w:val="21"/>
          <w:highlight w:val="none"/>
          <w:lang w:eastAsia="zh-CN"/>
        </w:rPr>
      </w:pPr>
      <w:r>
        <w:rPr>
          <w:rFonts w:hint="eastAsia"/>
          <w:color w:val="auto"/>
          <w:sz w:val="21"/>
          <w:szCs w:val="21"/>
          <w:highlight w:val="none"/>
        </w:rPr>
        <w:t>8.1.</w:t>
      </w:r>
      <w:r>
        <w:rPr>
          <w:rFonts w:hint="eastAsia"/>
          <w:color w:val="auto"/>
          <w:sz w:val="21"/>
          <w:szCs w:val="21"/>
          <w:highlight w:val="none"/>
          <w:lang w:val="en-US" w:eastAsia="zh-CN"/>
        </w:rPr>
        <w:t>2</w:t>
      </w:r>
      <w:r>
        <w:rPr>
          <w:rFonts w:hint="eastAsia"/>
          <w:color w:val="auto"/>
          <w:sz w:val="21"/>
          <w:szCs w:val="21"/>
          <w:highlight w:val="none"/>
        </w:rPr>
        <w:t>投标文件中开标一览表（报价表）内容与投标文件中相应内容不一致的，以开标一览表（报价表）为准</w:t>
      </w:r>
      <w:r>
        <w:rPr>
          <w:rFonts w:hint="eastAsia"/>
          <w:color w:val="auto"/>
          <w:sz w:val="21"/>
          <w:szCs w:val="21"/>
          <w:highlight w:val="none"/>
          <w:lang w:eastAsia="zh-CN"/>
        </w:rPr>
        <w:t>。</w:t>
      </w:r>
    </w:p>
    <w:p>
      <w:pPr>
        <w:pStyle w:val="28"/>
        <w:spacing w:line="360" w:lineRule="auto"/>
        <w:ind w:firstLine="482"/>
        <w:rPr>
          <w:rFonts w:hint="eastAsia" w:eastAsia="宋体"/>
          <w:color w:val="auto"/>
          <w:sz w:val="21"/>
          <w:szCs w:val="21"/>
          <w:highlight w:val="none"/>
          <w:lang w:eastAsia="zh-CN"/>
        </w:rPr>
      </w:pPr>
      <w:r>
        <w:rPr>
          <w:rFonts w:hint="eastAsia"/>
          <w:color w:val="auto"/>
          <w:sz w:val="21"/>
          <w:szCs w:val="21"/>
          <w:highlight w:val="none"/>
        </w:rPr>
        <w:t>8.1.</w:t>
      </w:r>
      <w:r>
        <w:rPr>
          <w:rFonts w:hint="eastAsia"/>
          <w:color w:val="auto"/>
          <w:sz w:val="21"/>
          <w:szCs w:val="21"/>
          <w:highlight w:val="none"/>
          <w:lang w:val="en-US" w:eastAsia="zh-CN"/>
        </w:rPr>
        <w:t>3</w:t>
      </w:r>
      <w:r>
        <w:rPr>
          <w:rFonts w:hint="eastAsia"/>
          <w:color w:val="auto"/>
          <w:sz w:val="21"/>
          <w:szCs w:val="21"/>
          <w:highlight w:val="none"/>
        </w:rPr>
        <w:t>大写金额和小写金额不一致的，以大写金额为准</w:t>
      </w:r>
      <w:r>
        <w:rPr>
          <w:rFonts w:hint="eastAsia"/>
          <w:color w:val="auto"/>
          <w:sz w:val="21"/>
          <w:szCs w:val="21"/>
          <w:highlight w:val="none"/>
          <w:lang w:eastAsia="zh-CN"/>
        </w:rPr>
        <w:t>。</w:t>
      </w:r>
    </w:p>
    <w:p>
      <w:pPr>
        <w:pStyle w:val="28"/>
        <w:spacing w:line="360" w:lineRule="auto"/>
        <w:ind w:firstLine="482"/>
        <w:rPr>
          <w:rFonts w:hint="eastAsia" w:eastAsia="宋体"/>
          <w:color w:val="auto"/>
          <w:sz w:val="21"/>
          <w:szCs w:val="21"/>
          <w:highlight w:val="none"/>
          <w:lang w:eastAsia="zh-CN"/>
        </w:rPr>
      </w:pPr>
      <w:r>
        <w:rPr>
          <w:rFonts w:hint="eastAsia"/>
          <w:color w:val="auto"/>
          <w:sz w:val="21"/>
          <w:szCs w:val="21"/>
          <w:highlight w:val="none"/>
        </w:rPr>
        <w:t>8.1.</w:t>
      </w:r>
      <w:r>
        <w:rPr>
          <w:rFonts w:hint="eastAsia"/>
          <w:color w:val="auto"/>
          <w:sz w:val="21"/>
          <w:szCs w:val="21"/>
          <w:highlight w:val="none"/>
          <w:lang w:val="en-US" w:eastAsia="zh-CN"/>
        </w:rPr>
        <w:t>4</w:t>
      </w:r>
      <w:r>
        <w:rPr>
          <w:rFonts w:hint="eastAsia"/>
          <w:color w:val="auto"/>
          <w:sz w:val="21"/>
          <w:szCs w:val="21"/>
          <w:highlight w:val="none"/>
        </w:rPr>
        <w:t>单价金额小数点或者百分比有明显错位的，以开标一览表的总价为准，并修改单价</w:t>
      </w:r>
      <w:r>
        <w:rPr>
          <w:rFonts w:hint="eastAsia"/>
          <w:color w:val="auto"/>
          <w:sz w:val="21"/>
          <w:szCs w:val="21"/>
          <w:highlight w:val="none"/>
          <w:lang w:eastAsia="zh-CN"/>
        </w:rPr>
        <w:t>。</w:t>
      </w:r>
    </w:p>
    <w:p>
      <w:pPr>
        <w:pStyle w:val="28"/>
        <w:spacing w:line="360" w:lineRule="auto"/>
        <w:ind w:firstLine="482"/>
        <w:rPr>
          <w:rFonts w:hint="eastAsia"/>
          <w:color w:val="auto"/>
          <w:sz w:val="21"/>
          <w:szCs w:val="21"/>
          <w:highlight w:val="none"/>
        </w:rPr>
      </w:pPr>
      <w:r>
        <w:rPr>
          <w:rFonts w:hint="eastAsia"/>
          <w:color w:val="auto"/>
          <w:sz w:val="21"/>
          <w:szCs w:val="21"/>
          <w:highlight w:val="none"/>
        </w:rPr>
        <w:t>8.1.</w:t>
      </w:r>
      <w:r>
        <w:rPr>
          <w:rFonts w:hint="eastAsia"/>
          <w:color w:val="auto"/>
          <w:sz w:val="21"/>
          <w:szCs w:val="21"/>
          <w:highlight w:val="none"/>
          <w:lang w:val="en-US" w:eastAsia="zh-CN"/>
        </w:rPr>
        <w:t>5</w:t>
      </w:r>
      <w:r>
        <w:rPr>
          <w:rFonts w:hint="eastAsia"/>
          <w:color w:val="auto"/>
          <w:sz w:val="21"/>
          <w:szCs w:val="21"/>
          <w:highlight w:val="none"/>
        </w:rPr>
        <w:t>总价金额与按单价汇总金额不一致的，以单价金额计算结果为准。</w:t>
      </w:r>
    </w:p>
    <w:p>
      <w:pPr>
        <w:pStyle w:val="28"/>
        <w:spacing w:line="360" w:lineRule="auto"/>
        <w:ind w:firstLine="482"/>
        <w:rPr>
          <w:rFonts w:hint="eastAsia" w:ascii="宋体" w:hAnsi="宋体" w:eastAsia="宋体" w:cs="Times New Roman"/>
          <w:color w:val="auto"/>
          <w:sz w:val="21"/>
          <w:szCs w:val="21"/>
          <w:highlight w:val="none"/>
        </w:rPr>
      </w:pPr>
      <w:r>
        <w:rPr>
          <w:rFonts w:hint="eastAsia" w:ascii="宋体" w:hAnsi="宋体" w:eastAsia="宋体" w:cs="Times New Roman"/>
          <w:color w:val="auto"/>
          <w:sz w:val="21"/>
          <w:szCs w:val="21"/>
          <w:highlight w:val="none"/>
        </w:rPr>
        <w:t>8.1.</w:t>
      </w:r>
      <w:r>
        <w:rPr>
          <w:rFonts w:hint="eastAsia" w:ascii="宋体" w:hAnsi="宋体" w:eastAsia="宋体" w:cs="Times New Roman"/>
          <w:color w:val="auto"/>
          <w:sz w:val="21"/>
          <w:szCs w:val="21"/>
          <w:highlight w:val="none"/>
          <w:lang w:val="en-US" w:eastAsia="zh-CN"/>
        </w:rPr>
        <w:t>6</w:t>
      </w:r>
      <w:r>
        <w:rPr>
          <w:rFonts w:hint="eastAsia" w:ascii="宋体" w:hAnsi="宋体" w:eastAsia="宋体" w:cs="Times New Roman"/>
          <w:color w:val="auto"/>
          <w:sz w:val="21"/>
          <w:szCs w:val="21"/>
          <w:highlight w:val="none"/>
        </w:rPr>
        <w:t>对不同文字文本投标文件的解释发生异义的，以中文文本为准。评标委员会可以拒绝接受不是中文版的投标文件以及与投标相关的资料。</w:t>
      </w:r>
    </w:p>
    <w:p>
      <w:pPr>
        <w:pStyle w:val="28"/>
        <w:spacing w:line="360" w:lineRule="auto"/>
        <w:ind w:firstLine="482"/>
        <w:rPr>
          <w:rFonts w:hint="eastAsia"/>
          <w:color w:val="auto"/>
          <w:sz w:val="21"/>
          <w:szCs w:val="21"/>
          <w:highlight w:val="none"/>
        </w:rPr>
      </w:pPr>
      <w:r>
        <w:rPr>
          <w:rFonts w:hint="eastAsia"/>
          <w:color w:val="auto"/>
          <w:sz w:val="21"/>
          <w:szCs w:val="21"/>
          <w:highlight w:val="none"/>
        </w:rPr>
        <w:t>8.2同时出现两种以上不一致的，按照前款规定的顺序修正，修正后的报价按照规定经投标人确认后产生约束力。如果投标人不接受修正后的报价，则其投标将被拒绝，并不影响评标工作。</w:t>
      </w:r>
    </w:p>
    <w:p>
      <w:pPr>
        <w:pStyle w:val="28"/>
        <w:spacing w:line="360" w:lineRule="auto"/>
        <w:ind w:firstLine="482"/>
        <w:rPr>
          <w:rFonts w:hint="eastAsia"/>
          <w:b/>
          <w:color w:val="auto"/>
          <w:spacing w:val="-4"/>
          <w:sz w:val="21"/>
          <w:szCs w:val="21"/>
          <w:highlight w:val="none"/>
        </w:rPr>
      </w:pPr>
      <w:r>
        <w:rPr>
          <w:rFonts w:hint="eastAsia"/>
          <w:b/>
          <w:color w:val="auto"/>
          <w:spacing w:val="-4"/>
          <w:sz w:val="21"/>
          <w:szCs w:val="21"/>
          <w:highlight w:val="none"/>
        </w:rPr>
        <w:t>9、评标办法</w:t>
      </w:r>
    </w:p>
    <w:p>
      <w:pPr>
        <w:adjustRightInd w:val="0"/>
        <w:snapToGrid w:val="0"/>
        <w:spacing w:line="360" w:lineRule="auto"/>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本项目采用综合评分法（具体评标办法见后）。</w:t>
      </w:r>
    </w:p>
    <w:p>
      <w:pPr>
        <w:adjustRightInd w:val="0"/>
        <w:snapToGrid w:val="0"/>
        <w:spacing w:line="360" w:lineRule="auto"/>
        <w:ind w:firstLine="573"/>
        <w:rPr>
          <w:rFonts w:hint="eastAsia" w:ascii="宋体" w:hAnsi="宋体"/>
          <w:b/>
          <w:color w:val="auto"/>
          <w:sz w:val="21"/>
          <w:szCs w:val="21"/>
          <w:highlight w:val="none"/>
        </w:rPr>
      </w:pPr>
      <w:r>
        <w:rPr>
          <w:rFonts w:hint="eastAsia" w:ascii="宋体" w:hAnsi="宋体"/>
          <w:b/>
          <w:color w:val="auto"/>
          <w:sz w:val="21"/>
          <w:szCs w:val="21"/>
          <w:highlight w:val="none"/>
        </w:rPr>
        <w:t>10、决标</w:t>
      </w:r>
    </w:p>
    <w:p>
      <w:pPr>
        <w:adjustRightInd w:val="0"/>
        <w:snapToGrid w:val="0"/>
        <w:spacing w:line="360" w:lineRule="auto"/>
        <w:ind w:firstLine="573"/>
        <w:rPr>
          <w:rFonts w:hint="eastAsia" w:ascii="宋体" w:hAnsi="宋体"/>
          <w:color w:val="auto"/>
          <w:sz w:val="21"/>
          <w:szCs w:val="21"/>
          <w:highlight w:val="none"/>
        </w:rPr>
      </w:pPr>
      <w:r>
        <w:rPr>
          <w:rFonts w:hint="eastAsia" w:ascii="宋体" w:hAnsi="宋体"/>
          <w:color w:val="auto"/>
          <w:sz w:val="21"/>
          <w:szCs w:val="21"/>
          <w:highlight w:val="none"/>
        </w:rPr>
        <w:t>评标小组依据本招标文件规定的评标标准和方法，对投标文件进行评审和比较，向招标方提出书面评标报告，并直接确定中标人。</w:t>
      </w:r>
    </w:p>
    <w:p>
      <w:pPr>
        <w:pStyle w:val="5"/>
        <w:spacing w:before="0" w:after="0" w:line="360" w:lineRule="auto"/>
        <w:rPr>
          <w:rFonts w:hint="eastAsia" w:ascii="宋体" w:hAnsi="宋体" w:eastAsia="宋体"/>
          <w:color w:val="auto"/>
          <w:sz w:val="21"/>
          <w:szCs w:val="21"/>
          <w:highlight w:val="none"/>
        </w:rPr>
      </w:pPr>
      <w:bookmarkStart w:id="39" w:name="_Toc406413939"/>
      <w:bookmarkStart w:id="40" w:name="_Toc384297862"/>
      <w:bookmarkStart w:id="41" w:name="_Toc34950021"/>
      <w:bookmarkStart w:id="42" w:name="_Toc261519848"/>
      <w:bookmarkStart w:id="43" w:name="_Toc274303254"/>
      <w:bookmarkStart w:id="44" w:name="_Toc362250706"/>
      <w:bookmarkStart w:id="45" w:name="_Toc263090376"/>
      <w:bookmarkStart w:id="46" w:name="_Toc226973003"/>
      <w:r>
        <w:rPr>
          <w:rFonts w:hint="eastAsia" w:ascii="宋体" w:hAnsi="宋体" w:eastAsia="宋体"/>
          <w:color w:val="auto"/>
          <w:sz w:val="21"/>
          <w:szCs w:val="21"/>
          <w:highlight w:val="none"/>
        </w:rPr>
        <w:t>三、定标</w:t>
      </w:r>
      <w:bookmarkEnd w:id="39"/>
      <w:bookmarkEnd w:id="40"/>
      <w:bookmarkEnd w:id="41"/>
      <w:bookmarkEnd w:id="42"/>
      <w:bookmarkEnd w:id="43"/>
      <w:bookmarkEnd w:id="44"/>
      <w:bookmarkEnd w:id="45"/>
      <w:bookmarkEnd w:id="46"/>
    </w:p>
    <w:p>
      <w:pPr>
        <w:spacing w:line="360" w:lineRule="auto"/>
        <w:ind w:firstLine="422" w:firstLineChars="200"/>
        <w:rPr>
          <w:rFonts w:hint="eastAsia" w:ascii="宋体" w:hAnsi="宋体"/>
          <w:b/>
          <w:bCs/>
          <w:color w:val="auto"/>
          <w:sz w:val="21"/>
          <w:szCs w:val="21"/>
          <w:highlight w:val="none"/>
        </w:rPr>
      </w:pPr>
      <w:r>
        <w:rPr>
          <w:rFonts w:hint="eastAsia" w:ascii="宋体" w:hAnsi="宋体"/>
          <w:b/>
          <w:color w:val="auto"/>
          <w:sz w:val="21"/>
          <w:szCs w:val="21"/>
          <w:highlight w:val="none"/>
        </w:rPr>
        <w:t>11、</w:t>
      </w:r>
      <w:r>
        <w:rPr>
          <w:rFonts w:hint="eastAsia" w:ascii="宋体" w:hAnsi="宋体"/>
          <w:b/>
          <w:bCs/>
          <w:color w:val="auto"/>
          <w:sz w:val="21"/>
          <w:szCs w:val="21"/>
          <w:highlight w:val="none"/>
        </w:rPr>
        <w:t>中标通知</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11.1投标人自</w:t>
      </w:r>
      <w:r>
        <w:rPr>
          <w:rFonts w:hint="eastAsia" w:ascii="宋体" w:hAnsi="宋体"/>
          <w:color w:val="auto"/>
          <w:sz w:val="21"/>
          <w:szCs w:val="21"/>
          <w:highlight w:val="none"/>
          <w:lang w:eastAsia="zh-CN"/>
        </w:rPr>
        <w:t>2019年1月1日</w:t>
      </w:r>
      <w:r>
        <w:rPr>
          <w:rFonts w:hint="eastAsia" w:ascii="宋体" w:hAnsi="宋体"/>
          <w:color w:val="auto"/>
          <w:sz w:val="21"/>
          <w:szCs w:val="21"/>
          <w:highlight w:val="none"/>
        </w:rPr>
        <w:t>起到中标公告期结束前无行贿犯罪记录（评标结束后，发放中标通知书前由采购人通过中国裁判文书网（http://wenshu.court.gov.cn/）按照招标文件约定对拟中标（成交）单位及其拟派项目负责人的行贿犯罪记录进行查询，查询结果以网站页面显示内容为准）,经查实，中标人有前述行贿犯罪记录的，取消其中标资格，采购人依法重新组织采购。</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11.2采购人和采购代理机构将在中标供应商确定之日起 2 个工作日内</w:t>
      </w:r>
      <w:r>
        <w:rPr>
          <w:rFonts w:hint="eastAsia" w:ascii="宋体" w:hAnsi="宋体"/>
          <w:color w:val="auto"/>
          <w:sz w:val="21"/>
          <w:szCs w:val="21"/>
          <w:highlight w:val="none"/>
          <w:lang w:eastAsia="zh-CN"/>
        </w:rPr>
        <w:t>，</w:t>
      </w:r>
      <w:r>
        <w:rPr>
          <w:rFonts w:hint="eastAsia" w:ascii="宋体" w:hAnsi="宋体"/>
          <w:color w:val="auto"/>
          <w:sz w:val="21"/>
          <w:szCs w:val="21"/>
          <w:highlight w:val="none"/>
        </w:rPr>
        <w:t>在浙江政府采购网和义乌市公共资源交易平台上公告中标结果</w:t>
      </w:r>
      <w:r>
        <w:rPr>
          <w:rFonts w:hint="eastAsia" w:ascii="宋体" w:hAnsi="宋体"/>
          <w:color w:val="auto"/>
          <w:sz w:val="21"/>
          <w:szCs w:val="21"/>
          <w:highlight w:val="none"/>
          <w:lang w:eastAsia="zh-CN"/>
        </w:rPr>
        <w:t>，</w:t>
      </w:r>
      <w:r>
        <w:rPr>
          <w:rFonts w:hint="eastAsia" w:ascii="宋体" w:hAnsi="宋体"/>
          <w:color w:val="auto"/>
          <w:sz w:val="21"/>
          <w:szCs w:val="21"/>
          <w:highlight w:val="none"/>
        </w:rPr>
        <w:t>同时向中标供应商签发《中标通知书》。</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11.3公告期内，如无有效异议，通过“政采云”平台确认并签发《中标通知书》，《中标通知书》一经发出即发生法律效力。</w:t>
      </w:r>
    </w:p>
    <w:p>
      <w:pPr>
        <w:pStyle w:val="28"/>
        <w:tabs>
          <w:tab w:val="left" w:pos="900"/>
        </w:tabs>
        <w:spacing w:line="360" w:lineRule="auto"/>
        <w:ind w:firstLine="422" w:firstLineChars="200"/>
        <w:rPr>
          <w:rFonts w:hint="eastAsia"/>
          <w:b/>
          <w:color w:val="auto"/>
          <w:sz w:val="21"/>
          <w:szCs w:val="21"/>
          <w:highlight w:val="none"/>
        </w:rPr>
      </w:pPr>
      <w:r>
        <w:rPr>
          <w:rFonts w:hint="eastAsia"/>
          <w:b/>
          <w:color w:val="auto"/>
          <w:sz w:val="21"/>
          <w:szCs w:val="21"/>
          <w:highlight w:val="none"/>
        </w:rPr>
        <w:t>12、合同签订</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12.1中标人自接到《中标通知书》后应在三十天内到采购人处与采购人签订合同。</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12.2招标文件、中标人的投标文件、评标过程中投标人在询标时作出的承诺及其澄清文件等，均为签订合同的依据。</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12.3中标人不遵守招标文件和投标文件的要约及承诺而擅自修改报价，或在接到《中标通知书》后借故拖延、拒签合同而造成超过规定时间的，取消该投标人的中标资格。在此情况下，采购人和招标代理机构重新招标，对受影响的投标人不承担任何责任。</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12.4采购人与中标人签订合同后招标代理机构将中标结果通知落选投标人，采购人和招标代理机构对评标结果不负责解释。</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12.5采购人变更数量的权利</w:t>
      </w:r>
    </w:p>
    <w:p>
      <w:pPr>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采购人在授予合同时有权对“技术要求及采购货物一览表”中规定的货物数量和服务予以增加或减少，但必须符合《中华人民共和国政府采购法》及义乌市政府采购的相关规定。</w:t>
      </w:r>
    </w:p>
    <w:p>
      <w:pPr>
        <w:pStyle w:val="28"/>
        <w:tabs>
          <w:tab w:val="left" w:pos="900"/>
        </w:tabs>
        <w:spacing w:line="360" w:lineRule="auto"/>
        <w:rPr>
          <w:rFonts w:hint="eastAsia"/>
          <w:b/>
          <w:color w:val="auto"/>
          <w:sz w:val="21"/>
          <w:szCs w:val="21"/>
          <w:highlight w:val="none"/>
        </w:rPr>
      </w:pPr>
      <w:r>
        <w:rPr>
          <w:rFonts w:hint="eastAsia"/>
          <w:b/>
          <w:color w:val="auto"/>
          <w:sz w:val="21"/>
          <w:szCs w:val="21"/>
          <w:highlight w:val="none"/>
        </w:rPr>
        <w:t>四、质疑和投诉</w:t>
      </w:r>
    </w:p>
    <w:p>
      <w:pPr>
        <w:pStyle w:val="28"/>
        <w:tabs>
          <w:tab w:val="left" w:pos="900"/>
        </w:tabs>
        <w:spacing w:line="360" w:lineRule="auto"/>
        <w:ind w:firstLine="420" w:firstLineChars="200"/>
        <w:rPr>
          <w:rFonts w:hint="eastAsia"/>
          <w:color w:val="auto"/>
          <w:sz w:val="21"/>
          <w:szCs w:val="21"/>
          <w:highlight w:val="none"/>
        </w:rPr>
      </w:pPr>
      <w:r>
        <w:rPr>
          <w:rFonts w:hint="eastAsia"/>
          <w:color w:val="auto"/>
          <w:sz w:val="21"/>
          <w:szCs w:val="21"/>
          <w:highlight w:val="none"/>
        </w:rPr>
        <w:t>13.1开标过程中，投标人对开标有异议的，应当在“政采云”平台上及时提出，评审委员应对异常情况制作相关记录。</w:t>
      </w:r>
    </w:p>
    <w:p>
      <w:pPr>
        <w:pStyle w:val="28"/>
        <w:tabs>
          <w:tab w:val="left" w:pos="900"/>
        </w:tabs>
        <w:spacing w:line="360" w:lineRule="auto"/>
        <w:ind w:firstLine="420" w:firstLineChars="200"/>
        <w:rPr>
          <w:rFonts w:hint="eastAsia"/>
          <w:color w:val="auto"/>
          <w:sz w:val="21"/>
          <w:szCs w:val="21"/>
          <w:highlight w:val="none"/>
        </w:rPr>
      </w:pPr>
      <w:r>
        <w:rPr>
          <w:rFonts w:hint="eastAsia"/>
          <w:color w:val="auto"/>
          <w:sz w:val="21"/>
          <w:szCs w:val="21"/>
          <w:highlight w:val="none"/>
        </w:rPr>
        <w:t>13.2开评标结束后，投标人或者其他利害关系人对依法必须进行招标的项目的评标结果有异议的，应在采购结果公告期限结束之日（公告发布之日起至第2日24小时止）起7个工作日内依据招投标相关法律法规向采购人、招标代理机构提出质疑。采购人或招标代理机构将在收到书面质疑后7个工作日内对质疑内容作出答复。若投标人对采购人或招标代理机构的答复、处理结果不满意，应在收到采购人或招标代理机构的书面答复后十五个工作日内到政府采购监督管理部门投诉。</w:t>
      </w:r>
    </w:p>
    <w:p>
      <w:pPr>
        <w:pStyle w:val="28"/>
        <w:tabs>
          <w:tab w:val="left" w:pos="900"/>
        </w:tabs>
        <w:spacing w:line="360" w:lineRule="auto"/>
        <w:ind w:firstLine="420" w:firstLineChars="200"/>
        <w:rPr>
          <w:rFonts w:hint="eastAsia"/>
          <w:color w:val="auto"/>
          <w:sz w:val="21"/>
          <w:szCs w:val="21"/>
          <w:highlight w:val="none"/>
        </w:rPr>
      </w:pPr>
      <w:r>
        <w:rPr>
          <w:rFonts w:hint="eastAsia"/>
          <w:color w:val="auto"/>
          <w:sz w:val="21"/>
          <w:szCs w:val="21"/>
          <w:highlight w:val="none"/>
        </w:rPr>
        <w:t>13.3质疑投诉的相关规定</w:t>
      </w:r>
    </w:p>
    <w:p>
      <w:pPr>
        <w:pStyle w:val="28"/>
        <w:tabs>
          <w:tab w:val="left" w:pos="900"/>
        </w:tabs>
        <w:spacing w:line="360" w:lineRule="auto"/>
        <w:ind w:firstLine="420" w:firstLineChars="200"/>
        <w:rPr>
          <w:rFonts w:hint="eastAsia"/>
          <w:color w:val="auto"/>
          <w:sz w:val="21"/>
          <w:szCs w:val="21"/>
          <w:highlight w:val="none"/>
        </w:rPr>
      </w:pPr>
      <w:r>
        <w:rPr>
          <w:rFonts w:hint="eastAsia"/>
          <w:color w:val="auto"/>
          <w:sz w:val="21"/>
          <w:szCs w:val="21"/>
          <w:highlight w:val="none"/>
        </w:rPr>
        <w:t>（一）质疑投诉递交的资料需为书面材料。质疑投诉书面材料需法人代表人（或负责人）或授权代表签字并加盖公章。</w:t>
      </w:r>
    </w:p>
    <w:p>
      <w:pPr>
        <w:adjustRightIn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（二）质疑投诉属于以下情况之一的，将不予受理：</w:t>
      </w:r>
    </w:p>
    <w:p>
      <w:pPr>
        <w:adjustRightIn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(1).质疑投诉人不是所投诉项目的参与者，或者与质疑投诉项目无任何利害关系。</w:t>
      </w:r>
    </w:p>
    <w:p>
      <w:pPr>
        <w:adjustRightIn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(2).质疑投诉事项不具体，且未提供有效线索，难以查证。</w:t>
      </w:r>
    </w:p>
    <w:p>
      <w:pPr>
        <w:adjustRightIn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(3).未提供书面质疑或者质疑未加盖公章的；投诉人为法人或者其他组织，其投诉书未经法定代表人或者主要负责人签字并加盖公章的。</w:t>
      </w:r>
    </w:p>
    <w:p>
      <w:pPr>
        <w:adjustRightIn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(4).已超过招标文件规定质疑投诉提出期限的事项。</w:t>
      </w:r>
    </w:p>
    <w:p>
      <w:pPr>
        <w:adjustRightIn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(5).投诉事项已作出处理决定，并且投诉人没有提出新的证据</w:t>
      </w:r>
    </w:p>
    <w:p>
      <w:pPr>
        <w:adjustRightIn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(6).质疑投诉的事项已经进入行政复议或者行政诉讼程序的；投诉事项应先提出质疑而没有提出质疑的。</w:t>
      </w:r>
    </w:p>
    <w:p>
      <w:pPr>
        <w:adjustRightInd w:val="0"/>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(7).不符合《政府采购质疑和投诉办法》（财政部令第94号）等有关规定的投诉。</w:t>
      </w:r>
    </w:p>
    <w:p>
      <w:pPr>
        <w:spacing w:line="360" w:lineRule="auto"/>
        <w:ind w:firstLine="420"/>
        <w:rPr>
          <w:rFonts w:ascii="Times New Roman" w:hAnsi="Times New Roman"/>
          <w:color w:val="auto"/>
          <w:kern w:val="1"/>
          <w:sz w:val="21"/>
          <w:szCs w:val="21"/>
          <w:highlight w:val="none"/>
        </w:rPr>
      </w:pPr>
    </w:p>
    <w:p>
      <w:pPr>
        <w:rPr>
          <w:rFonts w:ascii="Times New Roman" w:hAnsi="Times New Roman"/>
          <w:color w:val="auto"/>
          <w:kern w:val="1"/>
          <w:sz w:val="21"/>
          <w:szCs w:val="21"/>
          <w:highlight w:val="none"/>
        </w:rPr>
      </w:pPr>
    </w:p>
    <w:p>
      <w:pPr>
        <w:pStyle w:val="146"/>
        <w:rPr>
          <w:color w:val="auto"/>
          <w:sz w:val="21"/>
          <w:szCs w:val="21"/>
          <w:highlight w:val="none"/>
        </w:rPr>
      </w:pPr>
    </w:p>
    <w:p>
      <w:pPr>
        <w:rPr>
          <w:rFonts w:ascii="Times New Roman" w:hAnsi="Times New Roman"/>
          <w:color w:val="auto"/>
          <w:kern w:val="1"/>
          <w:sz w:val="21"/>
          <w:szCs w:val="21"/>
          <w:highlight w:val="none"/>
        </w:rPr>
      </w:pPr>
    </w:p>
    <w:p>
      <w:pPr>
        <w:rPr>
          <w:rFonts w:ascii="Times New Roman" w:hAnsi="Times New Roman"/>
          <w:color w:val="auto"/>
          <w:kern w:val="1"/>
          <w:sz w:val="21"/>
          <w:szCs w:val="21"/>
          <w:highlight w:val="none"/>
        </w:rPr>
      </w:pPr>
    </w:p>
    <w:p>
      <w:pPr>
        <w:pStyle w:val="4"/>
        <w:spacing w:before="0" w:after="0" w:line="360" w:lineRule="auto"/>
        <w:jc w:val="center"/>
        <w:rPr>
          <w:rFonts w:ascii="Times New Roman" w:hAnsi="Times New Roman"/>
          <w:color w:val="auto"/>
          <w:sz w:val="32"/>
          <w:highlight w:val="none"/>
        </w:rPr>
      </w:pPr>
      <w:bookmarkStart w:id="47" w:name="_Toc362268017"/>
      <w:bookmarkEnd w:id="47"/>
      <w:bookmarkStart w:id="48" w:name="_Toc34950022"/>
    </w:p>
    <w:p>
      <w:pPr>
        <w:pStyle w:val="4"/>
        <w:spacing w:before="0" w:after="0" w:line="360" w:lineRule="auto"/>
        <w:jc w:val="both"/>
        <w:rPr>
          <w:rFonts w:ascii="Times New Roman" w:hAnsi="Times New Roman"/>
          <w:color w:val="auto"/>
          <w:sz w:val="32"/>
          <w:highlight w:val="none"/>
        </w:rPr>
      </w:pPr>
    </w:p>
    <w:p>
      <w:pPr>
        <w:pStyle w:val="4"/>
        <w:spacing w:before="0" w:after="0" w:line="360" w:lineRule="auto"/>
        <w:jc w:val="center"/>
        <w:rPr>
          <w:rFonts w:ascii="Times New Roman" w:hAnsi="Times New Roman"/>
          <w:color w:val="auto"/>
          <w:sz w:val="32"/>
          <w:highlight w:val="none"/>
        </w:rPr>
      </w:pPr>
    </w:p>
    <w:p>
      <w:pPr>
        <w:pStyle w:val="4"/>
        <w:spacing w:before="0" w:after="0" w:line="360" w:lineRule="auto"/>
        <w:jc w:val="center"/>
        <w:rPr>
          <w:rFonts w:ascii="Times New Roman" w:hAnsi="Times New Roman"/>
          <w:color w:val="auto"/>
          <w:sz w:val="32"/>
          <w:highlight w:val="none"/>
        </w:rPr>
      </w:pPr>
    </w:p>
    <w:p>
      <w:pPr>
        <w:pStyle w:val="4"/>
        <w:spacing w:before="0" w:after="0" w:line="360" w:lineRule="auto"/>
        <w:jc w:val="both"/>
        <w:rPr>
          <w:rFonts w:ascii="Times New Roman" w:hAnsi="Times New Roman"/>
          <w:color w:val="auto"/>
          <w:sz w:val="32"/>
          <w:highlight w:val="none"/>
        </w:rPr>
      </w:pPr>
    </w:p>
    <w:p>
      <w:pPr>
        <w:pStyle w:val="4"/>
        <w:spacing w:before="0" w:after="0" w:line="360" w:lineRule="auto"/>
        <w:jc w:val="both"/>
        <w:rPr>
          <w:rFonts w:ascii="Times New Roman" w:hAnsi="Times New Roman"/>
          <w:color w:val="auto"/>
          <w:sz w:val="32"/>
          <w:highlight w:val="none"/>
        </w:rPr>
      </w:pPr>
    </w:p>
    <w:p>
      <w:pPr>
        <w:rPr>
          <w:highlight w:val="none"/>
        </w:rPr>
      </w:pPr>
    </w:p>
    <w:p>
      <w:pPr>
        <w:pStyle w:val="4"/>
        <w:spacing w:before="0" w:after="0" w:line="360" w:lineRule="auto"/>
        <w:jc w:val="both"/>
        <w:rPr>
          <w:rFonts w:ascii="Times New Roman" w:hAnsi="Times New Roman"/>
          <w:color w:val="auto"/>
          <w:sz w:val="32"/>
          <w:highlight w:val="none"/>
        </w:rPr>
      </w:pPr>
    </w:p>
    <w:p>
      <w:pPr>
        <w:rPr>
          <w:rFonts w:ascii="Times New Roman" w:hAnsi="Times New Roman"/>
          <w:color w:val="auto"/>
          <w:sz w:val="32"/>
          <w:highlight w:val="none"/>
        </w:rPr>
      </w:pPr>
    </w:p>
    <w:p>
      <w:pPr>
        <w:rPr>
          <w:rFonts w:ascii="Times New Roman" w:hAnsi="Times New Roman"/>
          <w:color w:val="auto"/>
          <w:sz w:val="32"/>
          <w:highlight w:val="none"/>
        </w:rPr>
      </w:pPr>
    </w:p>
    <w:p>
      <w:pPr>
        <w:rPr>
          <w:rFonts w:ascii="Times New Roman" w:hAnsi="Times New Roman"/>
          <w:color w:val="auto"/>
          <w:sz w:val="32"/>
          <w:highlight w:val="none"/>
        </w:rPr>
      </w:pPr>
    </w:p>
    <w:p>
      <w:pPr>
        <w:rPr>
          <w:rFonts w:ascii="Times New Roman" w:hAnsi="Times New Roman"/>
          <w:color w:val="auto"/>
          <w:sz w:val="32"/>
          <w:highlight w:val="none"/>
        </w:rPr>
      </w:pPr>
    </w:p>
    <w:p>
      <w:pPr>
        <w:bidi w:val="0"/>
        <w:rPr>
          <w:highlight w:val="none"/>
        </w:rPr>
      </w:pPr>
    </w:p>
    <w:p>
      <w:pPr>
        <w:pStyle w:val="51"/>
        <w:rPr>
          <w:highlight w:val="none"/>
        </w:rPr>
      </w:pPr>
    </w:p>
    <w:p>
      <w:pPr>
        <w:pStyle w:val="51"/>
        <w:rPr>
          <w:highlight w:val="none"/>
        </w:rPr>
      </w:pPr>
    </w:p>
    <w:p>
      <w:pPr>
        <w:bidi w:val="0"/>
        <w:rPr>
          <w:highlight w:val="none"/>
        </w:rPr>
      </w:pPr>
    </w:p>
    <w:p>
      <w:pPr>
        <w:pStyle w:val="4"/>
        <w:spacing w:before="0" w:after="0" w:line="360" w:lineRule="auto"/>
        <w:jc w:val="center"/>
        <w:rPr>
          <w:rFonts w:ascii="Times New Roman" w:hAnsi="Times New Roman"/>
          <w:color w:val="auto"/>
          <w:sz w:val="36"/>
          <w:highlight w:val="none"/>
        </w:rPr>
      </w:pPr>
      <w:r>
        <w:rPr>
          <w:rFonts w:ascii="Times New Roman" w:hAnsi="Times New Roman"/>
          <w:color w:val="auto"/>
          <w:sz w:val="32"/>
          <w:highlight w:val="none"/>
        </w:rPr>
        <w:t>第五章  投标文件的有效性</w:t>
      </w:r>
      <w:bookmarkEnd w:id="48"/>
    </w:p>
    <w:p>
      <w:pPr>
        <w:pStyle w:val="28"/>
        <w:spacing w:line="360" w:lineRule="auto"/>
        <w:ind w:firstLine="413" w:firstLineChars="196"/>
        <w:rPr>
          <w:rFonts w:hint="eastAsia"/>
          <w:b/>
          <w:color w:val="auto"/>
          <w:szCs w:val="21"/>
          <w:highlight w:val="none"/>
        </w:rPr>
      </w:pPr>
      <w:bookmarkStart w:id="49" w:name="_Toc145992551"/>
      <w:bookmarkEnd w:id="49"/>
      <w:bookmarkStart w:id="50" w:name="_Toc274303255"/>
      <w:bookmarkEnd w:id="50"/>
      <w:bookmarkStart w:id="51" w:name="_Toc226973004"/>
      <w:bookmarkEnd w:id="51"/>
      <w:r>
        <w:rPr>
          <w:rFonts w:hint="eastAsia"/>
          <w:b/>
          <w:color w:val="auto"/>
          <w:szCs w:val="21"/>
          <w:highlight w:val="none"/>
        </w:rPr>
        <w:t>1、有下列情形之一的，招标方将不予受理投标文件：</w:t>
      </w:r>
    </w:p>
    <w:p>
      <w:pPr>
        <w:pStyle w:val="28"/>
        <w:spacing w:line="360" w:lineRule="auto"/>
        <w:ind w:firstLine="420" w:firstLineChars="200"/>
        <w:rPr>
          <w:rFonts w:hint="eastAsia"/>
          <w:color w:val="auto"/>
          <w:szCs w:val="21"/>
          <w:highlight w:val="none"/>
        </w:rPr>
      </w:pPr>
      <w:r>
        <w:rPr>
          <w:rFonts w:hint="eastAsia"/>
          <w:color w:val="auto"/>
          <w:szCs w:val="21"/>
          <w:highlight w:val="none"/>
        </w:rPr>
        <w:t>1.1逾期上传电子档投标文件至“政采云”平台的；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1.2电子投标文件在规定时间内解密未成功的且未提供备份投标文件或提供的备份投标文件无法上传打开的。</w:t>
      </w:r>
    </w:p>
    <w:p>
      <w:pPr>
        <w:adjustRightInd w:val="0"/>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2、投标文件在资格性评审或技术响应性评审出现下列情形之一的，由评标委员会审核后按无效投标文件处理：</w:t>
      </w:r>
    </w:p>
    <w:p>
      <w:pPr>
        <w:tabs>
          <w:tab w:val="left" w:pos="5325"/>
        </w:tabs>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2.1资格响应文件或商务技术响应文件中包含商务报价的；</w:t>
      </w:r>
    </w:p>
    <w:p>
      <w:pPr>
        <w:tabs>
          <w:tab w:val="left" w:pos="5325"/>
        </w:tabs>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2.2招标文件关于投标文件组成内容资格响应文件或商务技术响应文件要求中打“★”的内容，投标方的投标文件内容未提供完整或关键字迹模糊、无法辨认的或未按其规定的格式及要求填写、签字、盖章或提供的投标文件内容不符合招标文件的中有关打★号的条款的规定；</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2.3投标方的投标资格未符合招标文件的资格要求规定；</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2.4投标人递交两份或多份内容不同的投标文件，且未声明哪一个有效，但按招标文件规定提交备选投标方案的除外；</w:t>
      </w:r>
    </w:p>
    <w:p>
      <w:pPr>
        <w:tabs>
          <w:tab w:val="left" w:pos="5325"/>
        </w:tabs>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2.5投标方所投产品的数量不符合招标文件规定的；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2.6投标方借用或冒用他人名义或证件、涂改文件、伪造或变造投标文件的；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2.7投标中不同投标单位的投标文件出现雷同或相似（包括部分雷同或相似），对所有雷同或相似投标人按废标处理，投标方串标的，招标方将保留进一步追究责任的权利；</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2.8其它对本招标文件中打★号的条款未完全响应的；</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2.9经评标委员会认定，投标文件附有采购人不能接受的条件；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2.10对于评标委员会提出的要求投标方澄清或说明的，如果投标方代表拒绝澄清或说明，或者拒绝签字的，评标委员会可以对其作出无效标处理；</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1</w:t>
      </w:r>
      <w:r>
        <w:rPr>
          <w:rFonts w:hint="eastAsia" w:ascii="宋体" w:hAnsi="宋体"/>
          <w:color w:val="auto"/>
          <w:szCs w:val="21"/>
          <w:highlight w:val="none"/>
        </w:rPr>
        <w:t>单位负责人为同一人或者存在直接控股、管理关系的不同供应商。</w:t>
      </w:r>
    </w:p>
    <w:p>
      <w:pPr>
        <w:adjustRightInd w:val="0"/>
        <w:snapToGrid w:val="0"/>
        <w:spacing w:line="360" w:lineRule="auto"/>
        <w:ind w:firstLine="422" w:firstLineChars="200"/>
        <w:rPr>
          <w:rFonts w:hint="eastAsia" w:ascii="宋体" w:hAnsi="宋体"/>
          <w:b/>
          <w:color w:val="auto"/>
          <w:szCs w:val="21"/>
          <w:highlight w:val="none"/>
        </w:rPr>
      </w:pPr>
      <w:r>
        <w:rPr>
          <w:rFonts w:hint="eastAsia" w:ascii="宋体" w:hAnsi="宋体"/>
          <w:b/>
          <w:bCs w:val="0"/>
          <w:color w:val="auto"/>
          <w:szCs w:val="21"/>
          <w:highlight w:val="none"/>
          <w:shd w:val="clear" w:color="auto" w:fill="auto"/>
        </w:rPr>
        <w:t>3、投标文件报价响应文件评审出现下列情形之一的，由评标委员会审核后按无效投标文件处理：</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3.1招标文件关于投标文件组成内容报价响应文件要求中打“★”的内容，投标方的投标文件内容未提提供完整或关键字迹模糊、无法辨认的或未按其规定的格式及要求填写、签字、盖章或提供的投标文件内容不符合招标文件的中有关打★号的条款的规定；</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3.2投标报价高于最高限价或投标报价低于企业成本价或未填报企业成本价的；</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3.3投标方的所投产品的数量不符合招标文件规定的；</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3.4投标方对同一采购项目两个或两个以上（两种或两种以上方案）报价的或两个或两个以上（两种或两种以上方案）成本价的，且未声明哪一个有效；</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3.5经评标委员会审议认为投标文件附有采购人不能接受的条件，评标委员会认为投标人的报价明显低于其他通过符合性审查投标人的报价，有可能影响产品质量或者不能诚信履约的，要求其通过“政采云”平台在规定的时间内提供CA签章的材料，投标人不能佐证其报价合理性的；</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3.6其它对本招标文件中打★号的条款未完全响应的；</w:t>
      </w:r>
    </w:p>
    <w:p>
      <w:pPr>
        <w:adjustRightInd w:val="0"/>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3.7当投标人由于报价计算错误，投标人拒绝接受按招标文件的规定进行的修正处理（或拒绝签名确认）。</w:t>
      </w:r>
    </w:p>
    <w:p>
      <w:pPr>
        <w:keepNext w:val="0"/>
        <w:keepLines w:val="0"/>
        <w:pageBreakBefore w:val="0"/>
        <w:widowControl w:val="0"/>
        <w:tabs>
          <w:tab w:val="left" w:pos="1898"/>
        </w:tabs>
        <w:kinsoku/>
        <w:wordWrap/>
        <w:overflowPunct/>
        <w:topLinePunct w:val="0"/>
        <w:autoSpaceDE w:val="0"/>
        <w:autoSpaceDN w:val="0"/>
        <w:bidi w:val="0"/>
        <w:adjustRightInd w:val="0"/>
        <w:snapToGrid w:val="0"/>
        <w:spacing w:beforeAutospacing="0" w:afterAutospacing="0" w:line="360" w:lineRule="auto"/>
        <w:ind w:firstLine="422" w:firstLineChars="200"/>
        <w:textAlignment w:val="auto"/>
        <w:rPr>
          <w:rFonts w:hint="default" w:ascii="Times New Roman" w:hAnsi="Times New Roman" w:cs="Times New Roman"/>
          <w:sz w:val="21"/>
          <w:szCs w:val="21"/>
          <w:highlight w:val="none"/>
        </w:rPr>
      </w:pPr>
      <w:r>
        <w:rPr>
          <w:rFonts w:hint="default" w:ascii="Times New Roman" w:hAnsi="Times New Roman" w:cs="Times New Roman"/>
          <w:b/>
          <w:bCs/>
          <w:sz w:val="21"/>
          <w:szCs w:val="21"/>
          <w:highlight w:val="none"/>
        </w:rPr>
        <w:t>4、在资格审查及评审过程中，符合中华人民共和国财政部令第87号《政府采购货物和服务招标投标管理办法》第三十七条情形之一的，视为投标人串通投标，其投标无效，并移送采购监管部门：</w:t>
      </w:r>
    </w:p>
    <w:p>
      <w:pPr>
        <w:pStyle w:val="48"/>
        <w:keepNext w:val="0"/>
        <w:keepLines w:val="0"/>
        <w:pageBreakBefore w:val="0"/>
        <w:widowControl w:val="0"/>
        <w:kinsoku/>
        <w:wordWrap/>
        <w:overflowPunct/>
        <w:topLinePunct w:val="0"/>
        <w:bidi w:val="0"/>
        <w:spacing w:before="0" w:beforeLines="0" w:beforeAutospacing="0" w:after="0" w:afterLines="0" w:afterAutospacing="0" w:line="360" w:lineRule="auto"/>
        <w:ind w:firstLine="420" w:firstLineChars="200"/>
        <w:jc w:val="both"/>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（1）不同投标人的投标文件由同一单位或者个人编制；</w:t>
      </w:r>
    </w:p>
    <w:p>
      <w:pPr>
        <w:pStyle w:val="48"/>
        <w:keepNext w:val="0"/>
        <w:keepLines w:val="0"/>
        <w:pageBreakBefore w:val="0"/>
        <w:widowControl w:val="0"/>
        <w:kinsoku/>
        <w:wordWrap/>
        <w:overflowPunct/>
        <w:topLinePunct w:val="0"/>
        <w:bidi w:val="0"/>
        <w:spacing w:before="0" w:beforeLines="0" w:beforeAutospacing="0" w:after="0" w:afterLines="0" w:afterAutospacing="0" w:line="360" w:lineRule="auto"/>
        <w:ind w:firstLine="420" w:firstLineChars="200"/>
        <w:jc w:val="both"/>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（2）不同投标人委托同一单位或者个人办理投标事宜；</w:t>
      </w:r>
    </w:p>
    <w:p>
      <w:pPr>
        <w:pStyle w:val="48"/>
        <w:keepNext w:val="0"/>
        <w:keepLines w:val="0"/>
        <w:pageBreakBefore w:val="0"/>
        <w:widowControl w:val="0"/>
        <w:kinsoku/>
        <w:wordWrap/>
        <w:overflowPunct/>
        <w:topLinePunct w:val="0"/>
        <w:bidi w:val="0"/>
        <w:spacing w:before="0" w:beforeLines="0" w:beforeAutospacing="0" w:after="0" w:afterLines="0" w:afterAutospacing="0" w:line="360" w:lineRule="auto"/>
        <w:ind w:firstLine="420" w:firstLineChars="200"/>
        <w:jc w:val="both"/>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（3）不同投标人的投标文件载明的项目管理成员或者联系人员为同一人；</w:t>
      </w:r>
    </w:p>
    <w:p>
      <w:pPr>
        <w:pStyle w:val="48"/>
        <w:keepNext w:val="0"/>
        <w:keepLines w:val="0"/>
        <w:pageBreakBefore w:val="0"/>
        <w:widowControl w:val="0"/>
        <w:kinsoku/>
        <w:wordWrap/>
        <w:overflowPunct/>
        <w:topLinePunct w:val="0"/>
        <w:bidi w:val="0"/>
        <w:spacing w:before="0" w:beforeLines="0" w:beforeAutospacing="0" w:after="0" w:afterLines="0" w:afterAutospacing="0" w:line="360" w:lineRule="auto"/>
        <w:ind w:firstLine="420" w:firstLineChars="200"/>
        <w:jc w:val="both"/>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（4）不同投标人的投标文件异常一致或者投标报价呈规律性差异；</w:t>
      </w:r>
    </w:p>
    <w:p>
      <w:pPr>
        <w:pStyle w:val="48"/>
        <w:keepNext w:val="0"/>
        <w:keepLines w:val="0"/>
        <w:pageBreakBefore w:val="0"/>
        <w:widowControl w:val="0"/>
        <w:kinsoku/>
        <w:wordWrap/>
        <w:overflowPunct/>
        <w:topLinePunct w:val="0"/>
        <w:bidi w:val="0"/>
        <w:spacing w:before="0" w:beforeLines="0" w:beforeAutospacing="0" w:after="0" w:afterLines="0" w:afterAutospacing="0" w:line="360" w:lineRule="auto"/>
        <w:ind w:firstLine="420" w:firstLineChars="200"/>
        <w:jc w:val="both"/>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（5）不同投标人的投标文件相互混装；</w:t>
      </w:r>
    </w:p>
    <w:p>
      <w:pPr>
        <w:pStyle w:val="28"/>
        <w:keepNext w:val="0"/>
        <w:keepLines w:val="0"/>
        <w:pageBreakBefore w:val="0"/>
        <w:widowControl w:val="0"/>
        <w:kinsoku/>
        <w:wordWrap/>
        <w:overflowPunct/>
        <w:topLinePunct w:val="0"/>
        <w:bidi w:val="0"/>
        <w:spacing w:beforeAutospacing="0" w:afterAutospacing="0" w:line="360" w:lineRule="auto"/>
        <w:ind w:firstLine="422" w:firstLineChars="200"/>
        <w:textAlignment w:val="auto"/>
        <w:rPr>
          <w:rFonts w:hint="default" w:ascii="Times New Roman" w:hAnsi="Times New Roman" w:cs="Times New Roman"/>
          <w:sz w:val="21"/>
          <w:szCs w:val="21"/>
          <w:highlight w:val="none"/>
        </w:rPr>
      </w:pPr>
      <w:r>
        <w:rPr>
          <w:rFonts w:hint="default" w:ascii="Times New Roman" w:hAnsi="Times New Roman" w:cs="Times New Roman"/>
          <w:b/>
          <w:bCs/>
          <w:sz w:val="21"/>
          <w:szCs w:val="21"/>
          <w:highlight w:val="none"/>
        </w:rPr>
        <w:t>5、其他违反法律法规的的情况。</w:t>
      </w:r>
    </w:p>
    <w:p>
      <w:pPr>
        <w:pStyle w:val="28"/>
        <w:spacing w:line="360" w:lineRule="auto"/>
        <w:ind w:firstLine="413" w:firstLineChars="196"/>
        <w:rPr>
          <w:rFonts w:hint="eastAsia"/>
          <w:color w:val="auto"/>
          <w:szCs w:val="21"/>
          <w:highlight w:val="none"/>
        </w:rPr>
      </w:pPr>
      <w:r>
        <w:rPr>
          <w:rFonts w:hint="default" w:ascii="Times New Roman" w:hAnsi="Times New Roman" w:cs="Times New Roman"/>
          <w:b/>
          <w:bCs/>
          <w:sz w:val="21"/>
          <w:szCs w:val="21"/>
          <w:highlight w:val="none"/>
        </w:rPr>
        <w:t>6、评标过程中，非上述所罗列的情况，不得以无效标处理。</w:t>
      </w:r>
    </w:p>
    <w:p>
      <w:pPr>
        <w:spacing w:line="360" w:lineRule="auto"/>
        <w:ind w:firstLine="420"/>
        <w:rPr>
          <w:rFonts w:ascii="Times New Roman" w:hAnsi="Times New Roman"/>
          <w:color w:val="auto"/>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pStyle w:val="146"/>
        <w:rPr>
          <w:rFonts w:ascii="Times New Roman"/>
          <w:color w:val="auto"/>
          <w:kern w:val="1"/>
          <w:highlight w:val="none"/>
        </w:rPr>
      </w:pPr>
    </w:p>
    <w:p>
      <w:pPr>
        <w:pStyle w:val="146"/>
        <w:rPr>
          <w:rFonts w:ascii="Times New Roman"/>
          <w:color w:val="auto"/>
          <w:kern w:val="1"/>
          <w:highlight w:val="none"/>
        </w:rPr>
      </w:pPr>
    </w:p>
    <w:p>
      <w:pPr>
        <w:pStyle w:val="146"/>
        <w:rPr>
          <w:rFonts w:asci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pStyle w:val="146"/>
        <w:rPr>
          <w:color w:val="auto"/>
          <w:highlight w:val="none"/>
        </w:rPr>
      </w:pPr>
    </w:p>
    <w:p>
      <w:pPr>
        <w:pStyle w:val="146"/>
        <w:rPr>
          <w:color w:val="auto"/>
          <w:highlight w:val="none"/>
        </w:rPr>
      </w:pPr>
    </w:p>
    <w:p>
      <w:pPr>
        <w:pStyle w:val="146"/>
        <w:rPr>
          <w:color w:val="auto"/>
          <w:highlight w:val="none"/>
        </w:rPr>
      </w:pPr>
    </w:p>
    <w:p>
      <w:pPr>
        <w:pStyle w:val="146"/>
        <w:rPr>
          <w:color w:val="auto"/>
          <w:highlight w:val="none"/>
        </w:rPr>
      </w:pPr>
    </w:p>
    <w:p>
      <w:pPr>
        <w:pStyle w:val="146"/>
        <w:rPr>
          <w:color w:val="auto"/>
          <w:highlight w:val="none"/>
        </w:rPr>
      </w:pPr>
    </w:p>
    <w:p>
      <w:pPr>
        <w:pStyle w:val="146"/>
        <w:rPr>
          <w:rFonts w:hint="eastAsia"/>
          <w:color w:val="auto"/>
          <w:highlight w:val="none"/>
        </w:rPr>
      </w:pPr>
    </w:p>
    <w:p>
      <w:pPr>
        <w:pStyle w:val="4"/>
        <w:spacing w:before="0" w:after="0" w:line="360" w:lineRule="auto"/>
        <w:jc w:val="center"/>
        <w:rPr>
          <w:rFonts w:ascii="Times New Roman" w:hAnsi="Times New Roman"/>
          <w:color w:val="auto"/>
          <w:sz w:val="36"/>
          <w:highlight w:val="none"/>
        </w:rPr>
      </w:pPr>
      <w:bookmarkStart w:id="52" w:name="_Toc34950023"/>
      <w:r>
        <w:rPr>
          <w:rFonts w:ascii="Times New Roman" w:hAnsi="Times New Roman"/>
          <w:color w:val="auto"/>
          <w:sz w:val="32"/>
          <w:highlight w:val="none"/>
        </w:rPr>
        <w:t>第六章  评标办法</w:t>
      </w:r>
      <w:bookmarkEnd w:id="52"/>
    </w:p>
    <w:p>
      <w:pPr>
        <w:pStyle w:val="28"/>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bookmarkStart w:id="53" w:name="_Toc358884475"/>
      <w:bookmarkEnd w:id="53"/>
      <w:bookmarkStart w:id="54" w:name="_Toc362250710"/>
      <w:bookmarkEnd w:id="54"/>
      <w:bookmarkStart w:id="55" w:name="_Toc323024194"/>
      <w:bookmarkEnd w:id="55"/>
      <w:bookmarkStart w:id="56" w:name="_Toc269969080"/>
      <w:bookmarkEnd w:id="56"/>
      <w:bookmarkStart w:id="57" w:name="_Toc295815145"/>
      <w:bookmarkEnd w:id="57"/>
      <w:bookmarkStart w:id="58" w:name="_Toc330474791"/>
      <w:bookmarkEnd w:id="58"/>
      <w:bookmarkStart w:id="59" w:name="_Toc274303257"/>
      <w:r>
        <w:rPr>
          <w:rFonts w:hint="eastAsia" w:ascii="宋体" w:hAnsi="宋体" w:eastAsia="宋体" w:cs="宋体"/>
          <w:sz w:val="21"/>
          <w:szCs w:val="21"/>
          <w:highlight w:val="none"/>
        </w:rPr>
        <w:t>根据《中华人民共和国政府采购法》及相关法律的有关规定，为更好地做到公开、公平、公正，结合本次招标的特点，特制定本评标办法，本项目的评标办法为综合评分法。</w:t>
      </w:r>
    </w:p>
    <w:p>
      <w:pPr>
        <w:pStyle w:val="28"/>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sz w:val="21"/>
          <w:szCs w:val="21"/>
          <w:highlight w:val="none"/>
        </w:rPr>
      </w:pPr>
      <w:bookmarkStart w:id="60" w:name="_Toc23970_WPSOffice_Level2"/>
      <w:r>
        <w:rPr>
          <w:rFonts w:hint="eastAsia" w:ascii="宋体" w:hAnsi="宋体" w:eastAsia="宋体" w:cs="宋体"/>
          <w:b/>
          <w:sz w:val="21"/>
          <w:szCs w:val="21"/>
          <w:highlight w:val="none"/>
        </w:rPr>
        <w:t>一、评审程序</w:t>
      </w:r>
      <w:bookmarkEnd w:id="60"/>
    </w:p>
    <w:bookmarkEnd w:id="59"/>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评标小组以开标、评标、询标情况为基本依据，按照招标文件的规定，对各投标人的投标文件按资格部分、商务技术部分和报价部分顺序序进行分析、评议，具体按以下程序进行评审： </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对所有投标人的资格响应文件进行审查并以开标当日为准对投标人“信用中国”网站（www.creditchina.gov.cn）、中国政府采购网（www.ccgp.gov.cn）信用记录情况进行查询并对信用记录进行载图，根据义行服管〔2017〕17号）的规定，对投标人的综合信用报告评级进查询并进行截图。</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（二）对通过资格性审查合格的投标标人的商务技术响应文件进行符合性审查；</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（三）对通过符合性审查有效的投标人的商务技术响应文件进行技术评分（详见三、评分细则）；</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四）上述投标人的评分结束后，评标委员会对上述投标人的报价文件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（五）对通过报价评审有效的投标人,由政采云系统计算出其报价分及总得分，并由评标委员会进行确认；</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（六）确定中标人；</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首先，评标委员按综合得分从高到低顺序进行排列；得分相同的，按投标报价由低到高顺序排列；得分且投标报价相同的，按技术分从高低顺序排列，技术分也相同的，由采购人代表采用公共资源交易中心抽取程序随机确定排列顺序。</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2、其次，评标委员会直接确定排名第一的投标单位为中标单位。</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（七）完成评标报告。</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评标委员会根据评审相关情况作出评标报告。</w:t>
      </w:r>
    </w:p>
    <w:p>
      <w:pPr>
        <w:pStyle w:val="28"/>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sz w:val="21"/>
          <w:szCs w:val="21"/>
          <w:highlight w:val="none"/>
        </w:rPr>
      </w:pPr>
      <w:bookmarkStart w:id="61" w:name="_Toc7909_WPSOffice_Level2"/>
      <w:r>
        <w:rPr>
          <w:rFonts w:hint="eastAsia" w:ascii="宋体" w:hAnsi="宋体" w:eastAsia="宋体" w:cs="宋体"/>
          <w:b/>
          <w:sz w:val="21"/>
          <w:szCs w:val="21"/>
          <w:highlight w:val="none"/>
        </w:rPr>
        <w:t>二、确定的中标人放弃中标等情况的处理</w:t>
      </w:r>
      <w:bookmarkEnd w:id="61"/>
    </w:p>
    <w:p>
      <w:pPr>
        <w:pStyle w:val="28"/>
        <w:keepNext w:val="0"/>
        <w:keepLines w:val="0"/>
        <w:pageBreakBefore w:val="0"/>
        <w:kinsoku/>
        <w:wordWrap/>
        <w:overflowPunct/>
        <w:topLinePunct w:val="0"/>
        <w:autoSpaceDE/>
        <w:autoSpaceDN/>
        <w:bidi w:val="0"/>
        <w:adjustRightInd/>
        <w:snapToGrid/>
        <w:spacing w:line="360" w:lineRule="auto"/>
        <w:ind w:firstLine="422"/>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sz w:val="21"/>
          <w:szCs w:val="21"/>
          <w:highlight w:val="none"/>
        </w:rPr>
        <w:t>当确定的中标人放弃中标，因不可抗力提出不能履行合同，或者质疑投诉成立，取消中标人资格的，都不再确定其余投标人作为中标人。</w:t>
      </w:r>
    </w:p>
    <w:p>
      <w:pPr>
        <w:pStyle w:val="28"/>
        <w:spacing w:line="360" w:lineRule="auto"/>
        <w:ind w:firstLine="422"/>
        <w:rPr>
          <w:rFonts w:ascii="Times New Roman" w:hAnsi="Times New Roman"/>
          <w:b/>
          <w:color w:val="auto"/>
          <w:highlight w:val="none"/>
        </w:rPr>
      </w:pPr>
      <w:r>
        <w:rPr>
          <w:rFonts w:hint="eastAsia" w:ascii="Times New Roman" w:hAnsi="Times New Roman"/>
          <w:b/>
          <w:color w:val="auto"/>
          <w:highlight w:val="none"/>
          <w:lang w:val="en-US" w:eastAsia="zh-CN"/>
        </w:rPr>
        <w:t>三</w:t>
      </w:r>
      <w:r>
        <w:rPr>
          <w:rFonts w:ascii="Times New Roman" w:hAnsi="Times New Roman"/>
          <w:b/>
          <w:color w:val="auto"/>
          <w:highlight w:val="none"/>
        </w:rPr>
        <w:t>、</w:t>
      </w:r>
      <w:r>
        <w:rPr>
          <w:rFonts w:hint="eastAsia" w:ascii="Times New Roman" w:hAnsi="Times New Roman"/>
          <w:b/>
          <w:color w:val="auto"/>
          <w:highlight w:val="none"/>
        </w:rPr>
        <w:t>评分细则</w:t>
      </w:r>
    </w:p>
    <w:p>
      <w:pPr>
        <w:pStyle w:val="6"/>
        <w:rPr>
          <w:rFonts w:hint="eastAsia" w:ascii="Times New Roman" w:hAnsi="Times New Roman" w:eastAsia="宋体"/>
          <w:color w:val="auto"/>
          <w:highlight w:val="none"/>
          <w:lang w:val="en-US" w:eastAsia="zh-CN"/>
        </w:rPr>
      </w:pPr>
      <w:bookmarkStart w:id="62" w:name="_Toc34950024"/>
      <w:r>
        <w:rPr>
          <w:rFonts w:ascii="Times New Roman" w:hAnsi="Times New Roman"/>
          <w:color w:val="auto"/>
          <w:highlight w:val="none"/>
        </w:rPr>
        <w:t>1、</w:t>
      </w:r>
      <w:bookmarkEnd w:id="62"/>
      <w:r>
        <w:rPr>
          <w:rFonts w:hint="eastAsia" w:ascii="Times New Roman" w:hAnsi="Times New Roman"/>
          <w:color w:val="auto"/>
          <w:highlight w:val="none"/>
        </w:rPr>
        <w:t>商务技术响应文件</w:t>
      </w:r>
      <w:r>
        <w:rPr>
          <w:rFonts w:hint="eastAsia" w:ascii="Times New Roman" w:hAnsi="Times New Roman"/>
          <w:color w:val="auto"/>
          <w:highlight w:val="none"/>
          <w:lang w:val="en-US" w:eastAsia="zh-CN"/>
        </w:rPr>
        <w:t>评审</w:t>
      </w:r>
    </w:p>
    <w:p>
      <w:pPr>
        <w:spacing w:line="360" w:lineRule="auto"/>
        <w:ind w:firstLine="420"/>
        <w:rPr>
          <w:rFonts w:ascii="Times New Roman" w:hAnsi="Times New Roman"/>
          <w:color w:val="auto"/>
          <w:kern w:val="1"/>
          <w:highlight w:val="none"/>
        </w:rPr>
      </w:pPr>
      <w:r>
        <w:rPr>
          <w:rFonts w:ascii="Times New Roman" w:hAnsi="Times New Roman"/>
          <w:color w:val="auto"/>
          <w:kern w:val="1"/>
          <w:highlight w:val="none"/>
        </w:rPr>
        <w:t>技术分满分为</w:t>
      </w:r>
      <w:r>
        <w:rPr>
          <w:rFonts w:hint="eastAsia" w:ascii="Times New Roman" w:hAnsi="Times New Roman"/>
          <w:color w:val="auto"/>
          <w:kern w:val="1"/>
          <w:highlight w:val="none"/>
          <w:lang w:val="en-US" w:eastAsia="zh-CN"/>
        </w:rPr>
        <w:t>70</w:t>
      </w:r>
      <w:r>
        <w:rPr>
          <w:rFonts w:ascii="Times New Roman" w:hAnsi="Times New Roman"/>
          <w:color w:val="auto"/>
          <w:kern w:val="1"/>
          <w:highlight w:val="none"/>
        </w:rPr>
        <w:t>分，分值分配见表格。</w:t>
      </w:r>
      <w:r>
        <w:rPr>
          <w:rFonts w:hint="eastAsia" w:ascii="Times New Roman" w:hAnsi="Times New Roman"/>
          <w:color w:val="auto"/>
          <w:kern w:val="1"/>
          <w:highlight w:val="none"/>
        </w:rPr>
        <w:t>评标委员会根据评分细则，对各投标人的商务技术响应文件进行书面审核和评论后，由各成员独立给分，打分时保留小数1位，每人一份评分表，并签名。</w:t>
      </w:r>
      <w:r>
        <w:rPr>
          <w:rFonts w:ascii="Times New Roman" w:hAnsi="Times New Roman"/>
          <w:color w:val="auto"/>
          <w:kern w:val="1"/>
          <w:highlight w:val="none"/>
        </w:rPr>
        <w:t>在统计得分时，如果发现某一单项评分超过评分标准规定的分值范围，则该张评分表无效。投标人最终</w:t>
      </w:r>
      <w:r>
        <w:rPr>
          <w:rFonts w:hint="eastAsia" w:ascii="Times New Roman" w:hAnsi="Times New Roman"/>
          <w:color w:val="auto"/>
          <w:kern w:val="1"/>
          <w:highlight w:val="none"/>
          <w:lang w:val="en-US" w:eastAsia="zh-CN"/>
        </w:rPr>
        <w:t>技术</w:t>
      </w:r>
      <w:r>
        <w:rPr>
          <w:rFonts w:ascii="Times New Roman" w:hAnsi="Times New Roman"/>
          <w:color w:val="auto"/>
          <w:kern w:val="1"/>
          <w:highlight w:val="none"/>
        </w:rPr>
        <w:t>得分为评标委员会所有成员的有效评分的算术平均值，计算时保留小数2位</w:t>
      </w:r>
      <w:r>
        <w:rPr>
          <w:rFonts w:hint="eastAsia" w:ascii="Times New Roman" w:hAnsi="Times New Roman"/>
          <w:color w:val="auto"/>
          <w:kern w:val="1"/>
          <w:highlight w:val="none"/>
        </w:rPr>
        <w:t>(第三位四舍五入)</w:t>
      </w:r>
      <w:r>
        <w:rPr>
          <w:rFonts w:ascii="Times New Roman" w:hAnsi="Times New Roman"/>
          <w:color w:val="auto"/>
          <w:kern w:val="1"/>
          <w:highlight w:val="none"/>
        </w:rPr>
        <w:t>。</w:t>
      </w:r>
    </w:p>
    <w:p>
      <w:pPr>
        <w:spacing w:line="400" w:lineRule="exact"/>
        <w:jc w:val="center"/>
        <w:rPr>
          <w:rFonts w:ascii="Times New Roman" w:hAnsi="Times New Roman"/>
          <w:b/>
          <w:color w:val="auto"/>
          <w:sz w:val="24"/>
          <w:szCs w:val="22"/>
          <w:highlight w:val="none"/>
        </w:rPr>
      </w:pPr>
      <w:r>
        <w:rPr>
          <w:rFonts w:ascii="Times New Roman" w:hAnsi="Times New Roman"/>
          <w:b/>
          <w:color w:val="auto"/>
          <w:sz w:val="24"/>
          <w:szCs w:val="22"/>
          <w:highlight w:val="none"/>
        </w:rPr>
        <w:t>评分标准</w:t>
      </w:r>
    </w:p>
    <w:tbl>
      <w:tblPr>
        <w:tblStyle w:val="53"/>
        <w:tblW w:w="9477" w:type="dxa"/>
        <w:tblInd w:w="180" w:type="dxa"/>
        <w:tblLayout w:type="fixed"/>
        <w:tblCellMar>
          <w:top w:w="0" w:type="dxa"/>
          <w:left w:w="108" w:type="dxa"/>
          <w:bottom w:w="0" w:type="dxa"/>
          <w:right w:w="108" w:type="dxa"/>
        </w:tblCellMar>
      </w:tblPr>
      <w:tblGrid>
        <w:gridCol w:w="723"/>
        <w:gridCol w:w="1554"/>
        <w:gridCol w:w="6232"/>
        <w:gridCol w:w="968"/>
      </w:tblGrid>
      <w:tr>
        <w:tblPrEx>
          <w:tblCellMar>
            <w:top w:w="0" w:type="dxa"/>
            <w:left w:w="108" w:type="dxa"/>
            <w:bottom w:w="0" w:type="dxa"/>
            <w:right w:w="108" w:type="dxa"/>
          </w:tblCellMar>
        </w:tblPrEx>
        <w:trPr>
          <w:trHeight w:val="573"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12" w:lineRule="auto"/>
              <w:jc w:val="center"/>
              <w:textAlignment w:val="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序号</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12" w:lineRule="auto"/>
              <w:jc w:val="center"/>
              <w:textAlignment w:val="auto"/>
              <w:rPr>
                <w:rFonts w:ascii="宋体" w:hAnsi="宋体"/>
                <w:sz w:val="21"/>
                <w:szCs w:val="21"/>
                <w:highlight w:val="none"/>
              </w:rPr>
            </w:pPr>
            <w:r>
              <w:rPr>
                <w:rFonts w:hint="eastAsia" w:ascii="宋体" w:hAnsi="宋体"/>
                <w:sz w:val="21"/>
                <w:szCs w:val="21"/>
                <w:highlight w:val="none"/>
              </w:rPr>
              <w:t>评审项目</w:t>
            </w:r>
          </w:p>
        </w:tc>
        <w:tc>
          <w:tcPr>
            <w:tcW w:w="6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12" w:lineRule="auto"/>
              <w:jc w:val="center"/>
              <w:textAlignment w:val="auto"/>
              <w:rPr>
                <w:rFonts w:ascii="宋体" w:hAnsi="宋体"/>
                <w:sz w:val="21"/>
                <w:szCs w:val="21"/>
                <w:highlight w:val="none"/>
              </w:rPr>
            </w:pPr>
            <w:r>
              <w:rPr>
                <w:rFonts w:hint="eastAsia" w:ascii="宋体" w:hAnsi="宋体"/>
                <w:sz w:val="21"/>
                <w:szCs w:val="21"/>
                <w:highlight w:val="none"/>
              </w:rPr>
              <w:t>评审内容</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pacing w:line="312" w:lineRule="auto"/>
              <w:jc w:val="center"/>
              <w:textAlignment w:val="auto"/>
              <w:rPr>
                <w:rFonts w:ascii="宋体" w:hAnsi="宋体"/>
                <w:sz w:val="21"/>
                <w:szCs w:val="21"/>
                <w:highlight w:val="none"/>
              </w:rPr>
            </w:pPr>
            <w:r>
              <w:rPr>
                <w:rFonts w:hint="eastAsia" w:ascii="宋体" w:hAnsi="宋体"/>
                <w:sz w:val="21"/>
                <w:szCs w:val="21"/>
                <w:highlight w:val="none"/>
              </w:rPr>
              <w:t>分值</w:t>
            </w:r>
          </w:p>
        </w:tc>
      </w:tr>
      <w:tr>
        <w:tblPrEx>
          <w:tblCellMar>
            <w:top w:w="0" w:type="dxa"/>
            <w:left w:w="108" w:type="dxa"/>
            <w:bottom w:w="0" w:type="dxa"/>
            <w:right w:w="108" w:type="dxa"/>
          </w:tblCellMar>
        </w:tblPrEx>
        <w:trPr>
          <w:trHeight w:val="1097"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1</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ascii="宋体" w:hAnsi="宋体"/>
                <w:sz w:val="21"/>
                <w:szCs w:val="21"/>
                <w:highlight w:val="none"/>
              </w:rPr>
            </w:pPr>
            <w:r>
              <w:rPr>
                <w:rFonts w:hint="eastAsia" w:ascii="宋体" w:hAnsi="宋体"/>
                <w:sz w:val="21"/>
                <w:szCs w:val="21"/>
                <w:highlight w:val="none"/>
              </w:rPr>
              <w:t>业绩经验</w:t>
            </w:r>
            <w:r>
              <w:rPr>
                <w:rFonts w:hint="eastAsia" w:ascii="宋体" w:hAnsi="宋体"/>
                <w:sz w:val="21"/>
                <w:szCs w:val="21"/>
                <w:highlight w:val="none"/>
                <w:lang w:val="en-US" w:eastAsia="zh-CN"/>
              </w:rPr>
              <w:t xml:space="preserve"> </w:t>
            </w:r>
            <w:r>
              <w:rPr>
                <w:rFonts w:hint="eastAsia"/>
                <w:color w:val="auto"/>
                <w:highlight w:val="none"/>
                <w:lang w:eastAsia="zh-CN"/>
              </w:rPr>
              <w:t>（</w:t>
            </w:r>
            <w:r>
              <w:rPr>
                <w:rFonts w:hint="eastAsia"/>
                <w:color w:val="auto"/>
                <w:highlight w:val="none"/>
                <w:lang w:val="en-US" w:eastAsia="zh-CN"/>
              </w:rPr>
              <w:t>客观分</w:t>
            </w:r>
            <w:r>
              <w:rPr>
                <w:rFonts w:hint="eastAsia"/>
                <w:color w:val="auto"/>
                <w:highlight w:val="none"/>
                <w:lang w:eastAsia="zh-CN"/>
              </w:rPr>
              <w:t>）</w:t>
            </w:r>
          </w:p>
        </w:tc>
        <w:tc>
          <w:tcPr>
            <w:tcW w:w="6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both"/>
              <w:textAlignment w:val="auto"/>
              <w:rPr>
                <w:rFonts w:ascii="宋体" w:hAnsi="宋体"/>
                <w:sz w:val="21"/>
                <w:szCs w:val="21"/>
                <w:highlight w:val="none"/>
              </w:rPr>
            </w:pPr>
            <w:r>
              <w:rPr>
                <w:rFonts w:hint="eastAsia" w:ascii="宋体" w:hAnsi="宋体" w:cs="宋体"/>
                <w:kern w:val="0"/>
                <w:sz w:val="21"/>
                <w:szCs w:val="21"/>
                <w:highlight w:val="none"/>
              </w:rPr>
              <w:t>201</w:t>
            </w:r>
            <w:r>
              <w:rPr>
                <w:rFonts w:hint="eastAsia" w:ascii="宋体" w:hAnsi="宋体" w:cs="宋体"/>
                <w:kern w:val="0"/>
                <w:sz w:val="21"/>
                <w:szCs w:val="21"/>
                <w:highlight w:val="none"/>
                <w:lang w:val="en-US" w:eastAsia="zh-CN"/>
              </w:rPr>
              <w:t>9</w:t>
            </w:r>
            <w:r>
              <w:rPr>
                <w:rFonts w:hint="eastAsia" w:ascii="宋体" w:hAnsi="宋体" w:cs="宋体"/>
                <w:kern w:val="0"/>
                <w:sz w:val="21"/>
                <w:szCs w:val="21"/>
                <w:highlight w:val="none"/>
              </w:rPr>
              <w:t>年1月1日以来承办过</w:t>
            </w:r>
            <w:r>
              <w:rPr>
                <w:rFonts w:hint="eastAsia" w:ascii="宋体" w:hAnsi="宋体" w:eastAsia="宋体" w:cs="宋体"/>
                <w:sz w:val="21"/>
                <w:szCs w:val="21"/>
                <w:highlight w:val="none"/>
                <w:lang w:val="en-US" w:eastAsia="zh-CN"/>
              </w:rPr>
              <w:t>电子竞技类</w:t>
            </w:r>
            <w:r>
              <w:rPr>
                <w:rFonts w:hint="eastAsia" w:ascii="宋体" w:hAnsi="宋体" w:eastAsia="宋体" w:cs="宋体"/>
                <w:sz w:val="21"/>
                <w:szCs w:val="21"/>
                <w:highlight w:val="none"/>
              </w:rPr>
              <w:t>赛事</w:t>
            </w:r>
            <w:r>
              <w:rPr>
                <w:rFonts w:hint="eastAsia" w:ascii="宋体" w:hAnsi="宋体" w:eastAsia="宋体" w:cs="宋体"/>
                <w:sz w:val="21"/>
                <w:szCs w:val="21"/>
                <w:highlight w:val="none"/>
                <w:lang w:val="en-US" w:eastAsia="zh-CN"/>
              </w:rPr>
              <w:t>的</w:t>
            </w:r>
            <w:r>
              <w:rPr>
                <w:rFonts w:hint="eastAsia" w:ascii="宋体" w:hAnsi="宋体" w:cs="宋体"/>
                <w:kern w:val="0"/>
                <w:sz w:val="21"/>
                <w:szCs w:val="21"/>
                <w:highlight w:val="none"/>
              </w:rPr>
              <w:t>，每</w:t>
            </w:r>
            <w:r>
              <w:rPr>
                <w:rFonts w:hint="eastAsia" w:ascii="宋体" w:hAnsi="宋体" w:cs="宋体"/>
                <w:kern w:val="0"/>
                <w:sz w:val="21"/>
                <w:szCs w:val="21"/>
                <w:highlight w:val="none"/>
                <w:lang w:val="en-US" w:eastAsia="zh-CN"/>
              </w:rPr>
              <w:t>项</w:t>
            </w:r>
            <w:r>
              <w:rPr>
                <w:rFonts w:hint="eastAsia" w:ascii="宋体" w:hAnsi="宋体" w:cs="宋体"/>
                <w:kern w:val="0"/>
                <w:sz w:val="21"/>
                <w:szCs w:val="21"/>
                <w:highlight w:val="none"/>
              </w:rPr>
              <w:t>比赛得</w:t>
            </w:r>
            <w:r>
              <w:rPr>
                <w:rFonts w:hint="eastAsia" w:ascii="宋体" w:hAnsi="宋体" w:cs="宋体"/>
                <w:kern w:val="0"/>
                <w:sz w:val="21"/>
                <w:szCs w:val="21"/>
                <w:highlight w:val="none"/>
                <w:lang w:val="en-US" w:eastAsia="zh-CN"/>
              </w:rPr>
              <w:t>1</w:t>
            </w:r>
            <w:r>
              <w:rPr>
                <w:rFonts w:hint="eastAsia" w:ascii="宋体" w:hAnsi="宋体" w:cs="宋体"/>
                <w:kern w:val="0"/>
                <w:sz w:val="21"/>
                <w:szCs w:val="21"/>
                <w:highlight w:val="none"/>
              </w:rPr>
              <w:t>分</w:t>
            </w:r>
            <w:r>
              <w:rPr>
                <w:rFonts w:hint="eastAsia" w:ascii="宋体" w:hAnsi="宋体" w:cs="宋体"/>
                <w:kern w:val="0"/>
                <w:sz w:val="21"/>
                <w:szCs w:val="21"/>
                <w:highlight w:val="none"/>
                <w:lang w:eastAsia="zh-CN"/>
              </w:rPr>
              <w:t>，</w:t>
            </w:r>
            <w:r>
              <w:rPr>
                <w:rFonts w:hint="eastAsia" w:ascii="宋体" w:hAnsi="宋体" w:cs="宋体"/>
                <w:kern w:val="0"/>
                <w:sz w:val="21"/>
                <w:szCs w:val="21"/>
                <w:highlight w:val="none"/>
              </w:rPr>
              <w:t>最高</w:t>
            </w:r>
            <w:r>
              <w:rPr>
                <w:rFonts w:hint="eastAsia" w:ascii="宋体" w:hAnsi="宋体" w:cs="宋体"/>
                <w:kern w:val="0"/>
                <w:sz w:val="21"/>
                <w:szCs w:val="21"/>
                <w:highlight w:val="none"/>
                <w:lang w:val="en-US" w:eastAsia="zh-CN"/>
              </w:rPr>
              <w:t>3</w:t>
            </w:r>
            <w:r>
              <w:rPr>
                <w:rFonts w:hint="eastAsia" w:ascii="宋体" w:hAnsi="宋体" w:cs="宋体"/>
                <w:kern w:val="0"/>
                <w:sz w:val="21"/>
                <w:szCs w:val="21"/>
                <w:highlight w:val="none"/>
              </w:rPr>
              <w:t>分</w:t>
            </w:r>
            <w:r>
              <w:rPr>
                <w:rFonts w:hint="eastAsia" w:ascii="宋体" w:hAnsi="宋体" w:cs="宋体"/>
                <w:kern w:val="0"/>
                <w:sz w:val="21"/>
                <w:szCs w:val="21"/>
                <w:highlight w:val="none"/>
                <w:lang w:eastAsia="zh-CN"/>
              </w:rPr>
              <w:t>。（</w:t>
            </w:r>
            <w:r>
              <w:rPr>
                <w:rFonts w:hint="eastAsia" w:hAnsi="宋体"/>
                <w:color w:val="auto"/>
                <w:szCs w:val="21"/>
                <w:highlight w:val="none"/>
              </w:rPr>
              <w:t>须提供合同复印件</w:t>
            </w:r>
            <w:r>
              <w:rPr>
                <w:rFonts w:hint="eastAsia" w:hAnsi="宋体"/>
                <w:color w:val="auto"/>
                <w:szCs w:val="21"/>
                <w:highlight w:val="none"/>
                <w:lang w:eastAsia="zh-CN"/>
              </w:rPr>
              <w:t>，</w:t>
            </w:r>
            <w:r>
              <w:rPr>
                <w:rFonts w:ascii="新宋体" w:hAnsi="新宋体" w:eastAsia="新宋体"/>
                <w:color w:val="auto"/>
                <w:highlight w:val="none"/>
              </w:rPr>
              <w:t>时间以合同签订时间为准</w:t>
            </w:r>
            <w:r>
              <w:rPr>
                <w:rFonts w:hint="eastAsia" w:ascii="宋体" w:hAnsi="宋体" w:cs="宋体"/>
                <w:kern w:val="0"/>
                <w:sz w:val="21"/>
                <w:szCs w:val="21"/>
                <w:highlight w:val="none"/>
                <w:lang w:eastAsia="zh-CN"/>
              </w:rPr>
              <w:t>）</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ascii="宋体" w:hAnsi="宋体"/>
                <w:sz w:val="21"/>
                <w:szCs w:val="21"/>
                <w:highlight w:val="none"/>
              </w:rPr>
            </w:pPr>
            <w:r>
              <w:rPr>
                <w:rFonts w:hint="eastAsia" w:ascii="宋体" w:hAnsi="宋体"/>
                <w:sz w:val="21"/>
                <w:szCs w:val="21"/>
                <w:highlight w:val="none"/>
                <w:lang w:val="en-US" w:eastAsia="zh-CN"/>
              </w:rPr>
              <w:t>0</w:t>
            </w:r>
            <w:r>
              <w:rPr>
                <w:rFonts w:hint="default" w:ascii="宋体" w:hAnsi="宋体"/>
                <w:sz w:val="21"/>
                <w:szCs w:val="21"/>
                <w:highlight w:val="none"/>
                <w:lang w:val="en-US" w:eastAsia="zh-CN"/>
              </w:rPr>
              <w:t>-</w:t>
            </w:r>
            <w:r>
              <w:rPr>
                <w:rFonts w:hint="eastAsia" w:ascii="宋体" w:hAnsi="宋体"/>
                <w:sz w:val="21"/>
                <w:szCs w:val="21"/>
                <w:highlight w:val="none"/>
                <w:lang w:val="en-US" w:eastAsia="zh-CN"/>
              </w:rPr>
              <w:t>3</w:t>
            </w:r>
            <w:r>
              <w:rPr>
                <w:rFonts w:hint="default" w:ascii="宋体" w:hAnsi="宋体"/>
                <w:sz w:val="21"/>
                <w:szCs w:val="21"/>
                <w:highlight w:val="none"/>
                <w:lang w:val="en-US" w:eastAsia="zh-CN"/>
              </w:rPr>
              <w:t>分</w:t>
            </w:r>
          </w:p>
        </w:tc>
      </w:tr>
      <w:tr>
        <w:tblPrEx>
          <w:tblCellMar>
            <w:top w:w="0" w:type="dxa"/>
            <w:left w:w="108" w:type="dxa"/>
            <w:bottom w:w="0" w:type="dxa"/>
            <w:right w:w="108" w:type="dxa"/>
          </w:tblCellMar>
        </w:tblPrEx>
        <w:trPr>
          <w:trHeight w:val="1446"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12" w:lineRule="auto"/>
              <w:ind w:left="16" w:leftChars="0" w:hanging="16" w:firstLineChars="0"/>
              <w:jc w:val="center"/>
              <w:textAlignment w:val="auto"/>
              <w:rPr>
                <w:rFonts w:hint="default" w:ascii="宋体" w:hAnsi="宋体"/>
                <w:kern w:val="0"/>
                <w:sz w:val="21"/>
                <w:szCs w:val="21"/>
                <w:highlight w:val="none"/>
                <w:lang w:val="en-US" w:eastAsia="zh-CN"/>
              </w:rPr>
            </w:pPr>
            <w:r>
              <w:rPr>
                <w:rFonts w:hint="eastAsia" w:ascii="宋体" w:hAnsi="宋体"/>
                <w:kern w:val="0"/>
                <w:sz w:val="21"/>
                <w:szCs w:val="21"/>
                <w:highlight w:val="none"/>
                <w:lang w:val="en-US" w:eastAsia="zh-CN"/>
              </w:rPr>
              <w:t>2</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12" w:lineRule="auto"/>
              <w:ind w:left="16" w:leftChars="0" w:hanging="16" w:firstLineChars="0"/>
              <w:jc w:val="center"/>
              <w:textAlignment w:val="auto"/>
              <w:rPr>
                <w:rFonts w:hint="eastAsia" w:ascii="宋体" w:hAnsi="宋体"/>
                <w:kern w:val="0"/>
                <w:sz w:val="21"/>
                <w:szCs w:val="21"/>
                <w:highlight w:val="none"/>
              </w:rPr>
            </w:pPr>
            <w:r>
              <w:rPr>
                <w:rFonts w:hint="eastAsia" w:ascii="宋体" w:hAnsi="宋体"/>
                <w:kern w:val="0"/>
                <w:sz w:val="21"/>
                <w:szCs w:val="21"/>
                <w:highlight w:val="none"/>
                <w:lang w:val="en-US" w:eastAsia="zh-CN"/>
              </w:rPr>
              <w:t xml:space="preserve">项目理解 </w:t>
            </w:r>
            <w:r>
              <w:rPr>
                <w:rFonts w:hint="eastAsia"/>
                <w:color w:val="auto"/>
                <w:highlight w:val="none"/>
                <w:lang w:eastAsia="zh-CN"/>
              </w:rPr>
              <w:t>（</w:t>
            </w:r>
            <w:r>
              <w:rPr>
                <w:rFonts w:hint="eastAsia"/>
                <w:color w:val="auto"/>
                <w:highlight w:val="none"/>
                <w:lang w:val="en-US" w:eastAsia="zh-CN"/>
              </w:rPr>
              <w:t>主观分</w:t>
            </w:r>
            <w:r>
              <w:rPr>
                <w:rFonts w:hint="eastAsia"/>
                <w:color w:val="auto"/>
                <w:highlight w:val="none"/>
                <w:lang w:eastAsia="zh-CN"/>
              </w:rPr>
              <w:t>）</w:t>
            </w:r>
          </w:p>
        </w:tc>
        <w:tc>
          <w:tcPr>
            <w:tcW w:w="6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szCs w:val="21"/>
                <w:highlight w:val="none"/>
                <w:lang w:eastAsia="zh-CN"/>
              </w:rPr>
            </w:pPr>
            <w:r>
              <w:rPr>
                <w:rFonts w:hint="eastAsia"/>
                <w:szCs w:val="21"/>
                <w:highlight w:val="none"/>
                <w:lang w:eastAsia="zh-CN"/>
              </w:rPr>
              <w:t>（</w:t>
            </w:r>
            <w:r>
              <w:rPr>
                <w:rFonts w:hint="eastAsia"/>
                <w:szCs w:val="21"/>
                <w:highlight w:val="none"/>
                <w:lang w:val="en-US" w:eastAsia="zh-CN"/>
              </w:rPr>
              <w:t>1</w:t>
            </w:r>
            <w:r>
              <w:rPr>
                <w:rFonts w:hint="eastAsia"/>
                <w:szCs w:val="21"/>
                <w:highlight w:val="none"/>
                <w:lang w:eastAsia="zh-CN"/>
              </w:rPr>
              <w:t>）根据投标供应商对本项目项目背景、工作目的及工作内容的理解和认识进行评分，</w:t>
            </w:r>
            <w:r>
              <w:rPr>
                <w:rFonts w:hint="eastAsia"/>
                <w:szCs w:val="21"/>
                <w:highlight w:val="none"/>
                <w:lang w:val="en-US" w:eastAsia="zh-CN"/>
              </w:rPr>
              <w:t>0-3分。</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ascii="宋体" w:hAnsi="宋体" w:eastAsia="宋体"/>
                <w:sz w:val="21"/>
                <w:szCs w:val="21"/>
                <w:highlight w:val="none"/>
                <w:lang w:eastAsia="zh-CN"/>
              </w:rPr>
            </w:pPr>
            <w:r>
              <w:rPr>
                <w:rFonts w:hint="eastAsia"/>
                <w:szCs w:val="21"/>
                <w:highlight w:val="none"/>
                <w:lang w:val="en-US" w:eastAsia="zh-CN"/>
              </w:rPr>
              <w:t>（2）</w:t>
            </w:r>
            <w:r>
              <w:rPr>
                <w:rFonts w:hint="eastAsia"/>
                <w:szCs w:val="21"/>
                <w:highlight w:val="none"/>
                <w:lang w:eastAsia="zh-CN"/>
              </w:rPr>
              <w:t>根据投标供应商对本项目实施的重点、难点、特点详细表述及分析进行评分，</w:t>
            </w:r>
            <w:r>
              <w:rPr>
                <w:rFonts w:hint="eastAsia"/>
                <w:szCs w:val="21"/>
                <w:highlight w:val="none"/>
                <w:lang w:val="en-US" w:eastAsia="zh-CN"/>
              </w:rPr>
              <w:t>0-3分。</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pStyle w:val="160"/>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12"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sz w:val="21"/>
                <w:szCs w:val="21"/>
                <w:highlight w:val="none"/>
                <w:lang w:val="en-US" w:eastAsia="zh-CN"/>
              </w:rPr>
              <w:t>0</w:t>
            </w:r>
            <w:r>
              <w:rPr>
                <w:rFonts w:hint="default" w:ascii="宋体" w:hAnsi="宋体"/>
                <w:sz w:val="21"/>
                <w:szCs w:val="21"/>
                <w:highlight w:val="none"/>
                <w:lang w:val="en-US" w:eastAsia="zh-CN"/>
              </w:rPr>
              <w:t>-</w:t>
            </w:r>
            <w:r>
              <w:rPr>
                <w:rFonts w:hint="eastAsia" w:ascii="宋体" w:hAnsi="宋体"/>
                <w:sz w:val="21"/>
                <w:szCs w:val="21"/>
                <w:highlight w:val="none"/>
                <w:lang w:val="en-US" w:eastAsia="zh-CN"/>
              </w:rPr>
              <w:t>6</w:t>
            </w:r>
            <w:r>
              <w:rPr>
                <w:rFonts w:hint="default" w:ascii="宋体" w:hAnsi="宋体"/>
                <w:sz w:val="21"/>
                <w:szCs w:val="21"/>
                <w:highlight w:val="none"/>
                <w:lang w:val="en-US" w:eastAsia="zh-CN"/>
              </w:rPr>
              <w:t>分</w:t>
            </w:r>
          </w:p>
        </w:tc>
      </w:tr>
      <w:tr>
        <w:tblPrEx>
          <w:tblCellMar>
            <w:top w:w="0" w:type="dxa"/>
            <w:left w:w="108" w:type="dxa"/>
            <w:bottom w:w="0" w:type="dxa"/>
            <w:right w:w="108" w:type="dxa"/>
          </w:tblCellMar>
        </w:tblPrEx>
        <w:trPr>
          <w:trHeight w:val="2472"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12" w:lineRule="auto"/>
              <w:ind w:left="16" w:leftChars="0" w:hanging="16" w:firstLineChars="0"/>
              <w:jc w:val="center"/>
              <w:textAlignment w:val="auto"/>
              <w:rPr>
                <w:rFonts w:hint="eastAsia" w:ascii="宋体" w:hAnsi="宋体" w:eastAsia="宋体"/>
                <w:kern w:val="0"/>
                <w:sz w:val="21"/>
                <w:szCs w:val="21"/>
                <w:highlight w:val="none"/>
                <w:lang w:val="en-US" w:eastAsia="zh-CN"/>
              </w:rPr>
            </w:pPr>
            <w:r>
              <w:rPr>
                <w:rFonts w:hint="eastAsia" w:ascii="宋体" w:hAnsi="宋体"/>
                <w:kern w:val="0"/>
                <w:sz w:val="21"/>
                <w:szCs w:val="21"/>
                <w:highlight w:val="none"/>
                <w:lang w:val="en-US" w:eastAsia="zh-CN"/>
              </w:rPr>
              <w:t>3</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17" w:leftChars="0" w:hanging="17" w:firstLineChars="0"/>
              <w:jc w:val="center"/>
              <w:textAlignment w:val="auto"/>
              <w:rPr>
                <w:rFonts w:hint="eastAsia" w:ascii="宋体" w:hAnsi="宋体"/>
                <w:sz w:val="21"/>
                <w:szCs w:val="21"/>
                <w:highlight w:val="none"/>
              </w:rPr>
            </w:pPr>
            <w:r>
              <w:rPr>
                <w:rFonts w:hint="eastAsia" w:ascii="宋体" w:hAnsi="宋体" w:eastAsia="宋体" w:cs="宋体"/>
                <w:sz w:val="21"/>
                <w:szCs w:val="21"/>
                <w:highlight w:val="none"/>
                <w:lang w:val="en-US" w:eastAsia="zh-CN"/>
              </w:rPr>
              <w:t xml:space="preserve">赛事承办方案      </w:t>
            </w:r>
            <w:r>
              <w:rPr>
                <w:rFonts w:hint="eastAsia"/>
                <w:color w:val="auto"/>
                <w:highlight w:val="none"/>
                <w:lang w:eastAsia="zh-CN"/>
              </w:rPr>
              <w:t>（</w:t>
            </w:r>
            <w:r>
              <w:rPr>
                <w:rFonts w:hint="eastAsia"/>
                <w:color w:val="auto"/>
                <w:highlight w:val="none"/>
                <w:lang w:val="en-US" w:eastAsia="zh-CN"/>
              </w:rPr>
              <w:t>主观分</w:t>
            </w:r>
            <w:r>
              <w:rPr>
                <w:rFonts w:hint="eastAsia"/>
                <w:color w:val="auto"/>
                <w:highlight w:val="none"/>
                <w:lang w:eastAsia="zh-CN"/>
              </w:rPr>
              <w:t>）</w:t>
            </w:r>
          </w:p>
        </w:tc>
        <w:tc>
          <w:tcPr>
            <w:tcW w:w="6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highlight w:val="none"/>
                <w:lang w:eastAsia="zh-CN"/>
              </w:rPr>
            </w:pPr>
            <w:r>
              <w:rPr>
                <w:rFonts w:hint="eastAsia"/>
                <w:highlight w:val="none"/>
                <w:lang w:eastAsia="zh-CN"/>
              </w:rPr>
              <w:t>（</w:t>
            </w:r>
            <w:r>
              <w:rPr>
                <w:rFonts w:hint="eastAsia"/>
                <w:highlight w:val="none"/>
                <w:lang w:val="en-US" w:eastAsia="zh-CN"/>
              </w:rPr>
              <w:t>1</w:t>
            </w:r>
            <w:r>
              <w:rPr>
                <w:rFonts w:hint="eastAsia"/>
                <w:highlight w:val="none"/>
                <w:lang w:eastAsia="zh-CN"/>
              </w:rPr>
              <w:t>）根据投标人</w:t>
            </w:r>
            <w:r>
              <w:rPr>
                <w:rFonts w:hint="eastAsia"/>
                <w:highlight w:val="none"/>
                <w:lang w:val="en-US" w:eastAsia="zh-CN"/>
              </w:rPr>
              <w:t>赛事策划、组织实施方案</w:t>
            </w:r>
            <w:r>
              <w:rPr>
                <w:rFonts w:hint="eastAsia"/>
                <w:highlight w:val="none"/>
                <w:lang w:eastAsia="zh-CN"/>
              </w:rPr>
              <w:t>进行评分，</w:t>
            </w:r>
            <w:r>
              <w:rPr>
                <w:rFonts w:hint="eastAsia"/>
                <w:highlight w:val="none"/>
                <w:lang w:val="en-US" w:eastAsia="zh-CN"/>
              </w:rPr>
              <w:t>0</w:t>
            </w:r>
            <w:r>
              <w:rPr>
                <w:rFonts w:hint="eastAsia"/>
                <w:highlight w:val="none"/>
                <w:lang w:eastAsia="zh-CN"/>
              </w:rPr>
              <w:t>-</w:t>
            </w:r>
            <w:r>
              <w:rPr>
                <w:rFonts w:hint="eastAsia"/>
                <w:highlight w:val="none"/>
                <w:lang w:val="en-US" w:eastAsia="zh-CN"/>
              </w:rPr>
              <w:t>3</w:t>
            </w:r>
            <w:r>
              <w:rPr>
                <w:rFonts w:hint="eastAsia"/>
                <w:highlight w:val="none"/>
                <w:lang w:eastAsia="zh-CN"/>
              </w:rPr>
              <w:t>分；</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highlight w:val="none"/>
                <w:lang w:eastAsia="zh-CN"/>
              </w:rPr>
            </w:pPr>
            <w:r>
              <w:rPr>
                <w:rFonts w:hint="eastAsia"/>
                <w:highlight w:val="none"/>
                <w:lang w:eastAsia="zh-CN"/>
              </w:rPr>
              <w:t>（</w:t>
            </w:r>
            <w:r>
              <w:rPr>
                <w:rFonts w:hint="eastAsia"/>
                <w:highlight w:val="none"/>
                <w:lang w:val="en-US" w:eastAsia="zh-CN"/>
              </w:rPr>
              <w:t>2</w:t>
            </w:r>
            <w:r>
              <w:rPr>
                <w:rFonts w:hint="eastAsia"/>
                <w:highlight w:val="none"/>
                <w:lang w:eastAsia="zh-CN"/>
              </w:rPr>
              <w:t>）根据投标人</w:t>
            </w:r>
            <w:r>
              <w:rPr>
                <w:rFonts w:hint="eastAsia"/>
                <w:highlight w:val="none"/>
                <w:lang w:val="en-US" w:eastAsia="zh-CN"/>
              </w:rPr>
              <w:t>赛场场地布置、赛事器材保障方案</w:t>
            </w:r>
            <w:r>
              <w:rPr>
                <w:rFonts w:hint="eastAsia"/>
                <w:highlight w:val="none"/>
                <w:lang w:eastAsia="zh-CN"/>
              </w:rPr>
              <w:t>进行评分，</w:t>
            </w:r>
            <w:r>
              <w:rPr>
                <w:rFonts w:hint="eastAsia"/>
                <w:highlight w:val="none"/>
                <w:lang w:val="en-US" w:eastAsia="zh-CN"/>
              </w:rPr>
              <w:t>0</w:t>
            </w:r>
            <w:r>
              <w:rPr>
                <w:rFonts w:hint="eastAsia"/>
                <w:highlight w:val="none"/>
                <w:lang w:eastAsia="zh-CN"/>
              </w:rPr>
              <w:t>-</w:t>
            </w:r>
            <w:r>
              <w:rPr>
                <w:rFonts w:hint="eastAsia"/>
                <w:highlight w:val="none"/>
                <w:lang w:val="en-US" w:eastAsia="zh-CN"/>
              </w:rPr>
              <w:t>3</w:t>
            </w:r>
            <w:r>
              <w:rPr>
                <w:rFonts w:hint="eastAsia"/>
                <w:highlight w:val="none"/>
                <w:lang w:eastAsia="zh-CN"/>
              </w:rPr>
              <w:t>分；</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highlight w:val="none"/>
                <w:lang w:eastAsia="zh-CN"/>
              </w:rPr>
            </w:pPr>
            <w:r>
              <w:rPr>
                <w:rFonts w:hint="eastAsia"/>
                <w:highlight w:val="none"/>
                <w:lang w:eastAsia="zh-CN"/>
              </w:rPr>
              <w:t>（</w:t>
            </w:r>
            <w:r>
              <w:rPr>
                <w:rFonts w:hint="eastAsia"/>
                <w:highlight w:val="none"/>
                <w:lang w:val="en-US" w:eastAsia="zh-CN"/>
              </w:rPr>
              <w:t>3</w:t>
            </w:r>
            <w:r>
              <w:rPr>
                <w:rFonts w:hint="eastAsia"/>
                <w:highlight w:val="none"/>
                <w:lang w:eastAsia="zh-CN"/>
              </w:rPr>
              <w:t>）根据投标人</w:t>
            </w:r>
            <w:r>
              <w:rPr>
                <w:rFonts w:hint="eastAsia"/>
                <w:highlight w:val="none"/>
                <w:lang w:val="en-US" w:eastAsia="zh-CN"/>
              </w:rPr>
              <w:t>赛事补给物资保障方案</w:t>
            </w:r>
            <w:r>
              <w:rPr>
                <w:rFonts w:hint="eastAsia"/>
                <w:highlight w:val="none"/>
                <w:lang w:eastAsia="zh-CN"/>
              </w:rPr>
              <w:t>进行评分，</w:t>
            </w:r>
            <w:r>
              <w:rPr>
                <w:rFonts w:hint="eastAsia"/>
                <w:highlight w:val="none"/>
                <w:lang w:val="en-US" w:eastAsia="zh-CN"/>
              </w:rPr>
              <w:t>0</w:t>
            </w:r>
            <w:r>
              <w:rPr>
                <w:rFonts w:hint="eastAsia"/>
                <w:highlight w:val="none"/>
                <w:lang w:eastAsia="zh-CN"/>
              </w:rPr>
              <w:t>-</w:t>
            </w:r>
            <w:r>
              <w:rPr>
                <w:rFonts w:hint="eastAsia"/>
                <w:highlight w:val="none"/>
                <w:lang w:val="en-US" w:eastAsia="zh-CN"/>
              </w:rPr>
              <w:t>3</w:t>
            </w:r>
            <w:r>
              <w:rPr>
                <w:rFonts w:hint="eastAsia"/>
                <w:highlight w:val="none"/>
                <w:lang w:eastAsia="zh-CN"/>
              </w:rPr>
              <w:t>分；</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highlight w:val="none"/>
                <w:lang w:eastAsia="zh-CN"/>
              </w:rPr>
            </w:pPr>
            <w:r>
              <w:rPr>
                <w:rFonts w:hint="eastAsia"/>
                <w:highlight w:val="none"/>
                <w:lang w:eastAsia="zh-CN"/>
              </w:rPr>
              <w:t>（</w:t>
            </w:r>
            <w:r>
              <w:rPr>
                <w:rFonts w:hint="eastAsia"/>
                <w:highlight w:val="none"/>
                <w:lang w:val="en-US" w:eastAsia="zh-CN"/>
              </w:rPr>
              <w:t>4</w:t>
            </w:r>
            <w:r>
              <w:rPr>
                <w:rFonts w:hint="eastAsia"/>
                <w:highlight w:val="none"/>
                <w:lang w:eastAsia="zh-CN"/>
              </w:rPr>
              <w:t>）根据投标人</w:t>
            </w:r>
            <w:r>
              <w:rPr>
                <w:rFonts w:hint="eastAsia"/>
                <w:highlight w:val="none"/>
                <w:lang w:val="en-US" w:eastAsia="zh-CN"/>
              </w:rPr>
              <w:t>赛事安保方案</w:t>
            </w:r>
            <w:r>
              <w:rPr>
                <w:rFonts w:hint="eastAsia"/>
                <w:highlight w:val="none"/>
                <w:lang w:eastAsia="zh-CN"/>
              </w:rPr>
              <w:t>进行评分，</w:t>
            </w:r>
            <w:r>
              <w:rPr>
                <w:rFonts w:hint="eastAsia"/>
                <w:highlight w:val="none"/>
                <w:lang w:val="en-US" w:eastAsia="zh-CN"/>
              </w:rPr>
              <w:t>0</w:t>
            </w:r>
            <w:r>
              <w:rPr>
                <w:rFonts w:hint="eastAsia"/>
                <w:highlight w:val="none"/>
                <w:lang w:eastAsia="zh-CN"/>
              </w:rPr>
              <w:t>-</w:t>
            </w:r>
            <w:r>
              <w:rPr>
                <w:rFonts w:hint="eastAsia"/>
                <w:highlight w:val="none"/>
                <w:lang w:val="en-US" w:eastAsia="zh-CN"/>
              </w:rPr>
              <w:t>3</w:t>
            </w:r>
            <w:r>
              <w:rPr>
                <w:rFonts w:hint="eastAsia"/>
                <w:highlight w:val="none"/>
                <w:lang w:eastAsia="zh-CN"/>
              </w:rPr>
              <w:t>分；</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highlight w:val="none"/>
                <w:lang w:eastAsia="zh-CN"/>
              </w:rPr>
            </w:pPr>
            <w:r>
              <w:rPr>
                <w:rFonts w:hint="eastAsia"/>
                <w:highlight w:val="none"/>
                <w:lang w:eastAsia="zh-CN"/>
              </w:rPr>
              <w:t>（</w:t>
            </w:r>
            <w:r>
              <w:rPr>
                <w:rFonts w:hint="eastAsia"/>
                <w:highlight w:val="none"/>
                <w:lang w:val="en-US" w:eastAsia="zh-CN"/>
              </w:rPr>
              <w:t>5</w:t>
            </w:r>
            <w:r>
              <w:rPr>
                <w:rFonts w:hint="eastAsia"/>
                <w:highlight w:val="none"/>
                <w:lang w:eastAsia="zh-CN"/>
              </w:rPr>
              <w:t>）根据投标人</w:t>
            </w:r>
            <w:r>
              <w:rPr>
                <w:rFonts w:hint="eastAsia"/>
                <w:highlight w:val="none"/>
                <w:lang w:val="en-US" w:eastAsia="zh-CN"/>
              </w:rPr>
              <w:t>赛事医疗救护方案</w:t>
            </w:r>
            <w:r>
              <w:rPr>
                <w:rFonts w:hint="eastAsia"/>
                <w:highlight w:val="none"/>
                <w:lang w:eastAsia="zh-CN"/>
              </w:rPr>
              <w:t>进行评分，</w:t>
            </w:r>
            <w:r>
              <w:rPr>
                <w:rFonts w:hint="eastAsia"/>
                <w:highlight w:val="none"/>
                <w:lang w:val="en-US" w:eastAsia="zh-CN"/>
              </w:rPr>
              <w:t>0</w:t>
            </w:r>
            <w:r>
              <w:rPr>
                <w:rFonts w:hint="eastAsia"/>
                <w:highlight w:val="none"/>
                <w:lang w:eastAsia="zh-CN"/>
              </w:rPr>
              <w:t>-</w:t>
            </w:r>
            <w:r>
              <w:rPr>
                <w:rFonts w:hint="eastAsia"/>
                <w:highlight w:val="none"/>
                <w:lang w:val="en-US" w:eastAsia="zh-CN"/>
              </w:rPr>
              <w:t>3</w:t>
            </w:r>
            <w:r>
              <w:rPr>
                <w:rFonts w:hint="eastAsia"/>
                <w:highlight w:val="none"/>
                <w:lang w:eastAsia="zh-CN"/>
              </w:rPr>
              <w:t>分；</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highlight w:val="none"/>
              </w:rPr>
            </w:pPr>
            <w:r>
              <w:rPr>
                <w:rFonts w:hint="eastAsia"/>
                <w:highlight w:val="none"/>
                <w:lang w:eastAsia="zh-CN"/>
              </w:rPr>
              <w:t>（</w:t>
            </w:r>
            <w:r>
              <w:rPr>
                <w:rFonts w:hint="eastAsia"/>
                <w:highlight w:val="none"/>
                <w:lang w:val="en-US" w:eastAsia="zh-CN"/>
              </w:rPr>
              <w:t>6</w:t>
            </w:r>
            <w:r>
              <w:rPr>
                <w:rFonts w:hint="eastAsia"/>
                <w:highlight w:val="none"/>
                <w:lang w:eastAsia="zh-CN"/>
              </w:rPr>
              <w:t>）根据投标人</w:t>
            </w:r>
            <w:r>
              <w:rPr>
                <w:rFonts w:hint="eastAsia"/>
                <w:highlight w:val="none"/>
                <w:lang w:val="en-US" w:eastAsia="zh-CN"/>
              </w:rPr>
              <w:t>赛事媒体宣传方案</w:t>
            </w:r>
            <w:r>
              <w:rPr>
                <w:rFonts w:hint="eastAsia"/>
                <w:highlight w:val="none"/>
                <w:lang w:eastAsia="zh-CN"/>
              </w:rPr>
              <w:t>进行评分，</w:t>
            </w:r>
            <w:r>
              <w:rPr>
                <w:rFonts w:hint="eastAsia"/>
                <w:highlight w:val="none"/>
                <w:lang w:val="en-US" w:eastAsia="zh-CN"/>
              </w:rPr>
              <w:t>0</w:t>
            </w:r>
            <w:r>
              <w:rPr>
                <w:rFonts w:hint="eastAsia"/>
                <w:highlight w:val="none"/>
                <w:lang w:eastAsia="zh-CN"/>
              </w:rPr>
              <w:t>-</w:t>
            </w:r>
            <w:r>
              <w:rPr>
                <w:rFonts w:hint="eastAsia"/>
                <w:highlight w:val="none"/>
                <w:lang w:val="en-US" w:eastAsia="zh-CN"/>
              </w:rPr>
              <w:t>3</w:t>
            </w:r>
            <w:r>
              <w:rPr>
                <w:rFonts w:hint="eastAsia"/>
                <w:highlight w:val="none"/>
                <w:lang w:eastAsia="zh-CN"/>
              </w:rPr>
              <w:t>分。</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pStyle w:val="160"/>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12" w:lineRule="auto"/>
              <w:jc w:val="center"/>
              <w:textAlignment w:val="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0</w:t>
            </w:r>
            <w:r>
              <w:rPr>
                <w:rFonts w:hint="default" w:ascii="宋体" w:hAnsi="宋体"/>
                <w:sz w:val="21"/>
                <w:szCs w:val="21"/>
                <w:highlight w:val="none"/>
                <w:lang w:val="en-US" w:eastAsia="zh-CN"/>
              </w:rPr>
              <w:t>-</w:t>
            </w:r>
            <w:r>
              <w:rPr>
                <w:rFonts w:hint="eastAsia" w:ascii="宋体" w:hAnsi="宋体"/>
                <w:sz w:val="21"/>
                <w:szCs w:val="21"/>
                <w:highlight w:val="none"/>
                <w:lang w:val="en-US" w:eastAsia="zh-CN"/>
              </w:rPr>
              <w:t>18</w:t>
            </w:r>
            <w:r>
              <w:rPr>
                <w:rFonts w:hint="default" w:ascii="宋体" w:hAnsi="宋体"/>
                <w:sz w:val="21"/>
                <w:szCs w:val="21"/>
                <w:highlight w:val="none"/>
                <w:lang w:val="en-US" w:eastAsia="zh-CN"/>
              </w:rPr>
              <w:t>分</w:t>
            </w:r>
          </w:p>
        </w:tc>
      </w:tr>
      <w:tr>
        <w:tblPrEx>
          <w:tblCellMar>
            <w:top w:w="0" w:type="dxa"/>
            <w:left w:w="108" w:type="dxa"/>
            <w:bottom w:w="0" w:type="dxa"/>
            <w:right w:w="108" w:type="dxa"/>
          </w:tblCellMar>
        </w:tblPrEx>
        <w:trPr>
          <w:trHeight w:val="1409"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12" w:lineRule="auto"/>
              <w:ind w:left="16" w:leftChars="0" w:hanging="16" w:firstLineChars="0"/>
              <w:jc w:val="center"/>
              <w:textAlignment w:val="auto"/>
              <w:rPr>
                <w:rFonts w:hint="eastAsia" w:ascii="宋体" w:hAnsi="宋体"/>
                <w:kern w:val="0"/>
                <w:sz w:val="21"/>
                <w:szCs w:val="21"/>
                <w:highlight w:val="none"/>
                <w:lang w:val="en-US" w:eastAsia="zh-CN"/>
              </w:rPr>
            </w:pPr>
            <w:r>
              <w:rPr>
                <w:rFonts w:hint="eastAsia" w:ascii="宋体" w:hAnsi="宋体"/>
                <w:kern w:val="0"/>
                <w:sz w:val="21"/>
                <w:szCs w:val="21"/>
                <w:highlight w:val="none"/>
                <w:lang w:val="en-US" w:eastAsia="zh-CN"/>
              </w:rPr>
              <w:t>4</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ind w:left="17" w:leftChars="0" w:hanging="17" w:firstLineChars="0"/>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后勤服务方案      </w:t>
            </w:r>
            <w:r>
              <w:rPr>
                <w:rFonts w:hint="eastAsia"/>
                <w:color w:val="auto"/>
                <w:highlight w:val="none"/>
                <w:lang w:eastAsia="zh-CN"/>
              </w:rPr>
              <w:t>（</w:t>
            </w:r>
            <w:r>
              <w:rPr>
                <w:rFonts w:hint="eastAsia"/>
                <w:color w:val="auto"/>
                <w:highlight w:val="none"/>
                <w:lang w:val="en-US" w:eastAsia="zh-CN"/>
              </w:rPr>
              <w:t>主观分</w:t>
            </w:r>
            <w:r>
              <w:rPr>
                <w:rFonts w:hint="eastAsia"/>
                <w:color w:val="auto"/>
                <w:highlight w:val="none"/>
                <w:lang w:eastAsia="zh-CN"/>
              </w:rPr>
              <w:t>）</w:t>
            </w:r>
          </w:p>
        </w:tc>
        <w:tc>
          <w:tcPr>
            <w:tcW w:w="6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highlight w:val="none"/>
                <w:lang w:eastAsia="zh-CN"/>
              </w:rPr>
            </w:pPr>
            <w:r>
              <w:rPr>
                <w:rFonts w:hint="eastAsia"/>
                <w:highlight w:val="none"/>
                <w:lang w:eastAsia="zh-CN"/>
              </w:rPr>
              <w:t>（</w:t>
            </w:r>
            <w:r>
              <w:rPr>
                <w:rFonts w:hint="eastAsia"/>
                <w:highlight w:val="none"/>
                <w:lang w:val="en-US" w:eastAsia="zh-CN"/>
              </w:rPr>
              <w:t>1</w:t>
            </w:r>
            <w:r>
              <w:rPr>
                <w:rFonts w:hint="eastAsia"/>
                <w:highlight w:val="none"/>
                <w:lang w:eastAsia="zh-CN"/>
              </w:rPr>
              <w:t>）根据投标人</w:t>
            </w:r>
            <w:r>
              <w:rPr>
                <w:rFonts w:hint="eastAsia"/>
                <w:highlight w:val="none"/>
                <w:lang w:val="en-US" w:eastAsia="zh-CN"/>
              </w:rPr>
              <w:t>酒店住宿安排方案</w:t>
            </w:r>
            <w:r>
              <w:rPr>
                <w:rFonts w:hint="eastAsia"/>
                <w:highlight w:val="none"/>
                <w:lang w:eastAsia="zh-CN"/>
              </w:rPr>
              <w:t>进行评分，</w:t>
            </w:r>
            <w:r>
              <w:rPr>
                <w:rFonts w:hint="eastAsia"/>
                <w:highlight w:val="none"/>
                <w:lang w:val="en-US" w:eastAsia="zh-CN"/>
              </w:rPr>
              <w:t>0</w:t>
            </w:r>
            <w:r>
              <w:rPr>
                <w:rFonts w:hint="eastAsia"/>
                <w:highlight w:val="none"/>
                <w:lang w:eastAsia="zh-CN"/>
              </w:rPr>
              <w:t>-</w:t>
            </w:r>
            <w:r>
              <w:rPr>
                <w:rFonts w:hint="eastAsia"/>
                <w:highlight w:val="none"/>
                <w:lang w:val="en-US" w:eastAsia="zh-CN"/>
              </w:rPr>
              <w:t>3</w:t>
            </w:r>
            <w:r>
              <w:rPr>
                <w:rFonts w:hint="eastAsia"/>
                <w:highlight w:val="none"/>
                <w:lang w:eastAsia="zh-CN"/>
              </w:rPr>
              <w:t>分；</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highlight w:val="none"/>
                <w:lang w:eastAsia="zh-CN"/>
              </w:rPr>
            </w:pPr>
            <w:r>
              <w:rPr>
                <w:rFonts w:hint="eastAsia"/>
                <w:highlight w:val="none"/>
                <w:lang w:eastAsia="zh-CN"/>
              </w:rPr>
              <w:t>（</w:t>
            </w:r>
            <w:r>
              <w:rPr>
                <w:rFonts w:hint="eastAsia"/>
                <w:highlight w:val="none"/>
                <w:lang w:val="en-US" w:eastAsia="zh-CN"/>
              </w:rPr>
              <w:t>2</w:t>
            </w:r>
            <w:r>
              <w:rPr>
                <w:rFonts w:hint="eastAsia"/>
                <w:highlight w:val="none"/>
                <w:lang w:eastAsia="zh-CN"/>
              </w:rPr>
              <w:t>）根据投标人</w:t>
            </w:r>
            <w:r>
              <w:rPr>
                <w:rFonts w:hint="eastAsia"/>
                <w:highlight w:val="none"/>
                <w:lang w:val="en-US" w:eastAsia="zh-CN"/>
              </w:rPr>
              <w:t>餐饮标准安排及承诺情况</w:t>
            </w:r>
            <w:r>
              <w:rPr>
                <w:rFonts w:hint="eastAsia"/>
                <w:highlight w:val="none"/>
                <w:lang w:eastAsia="zh-CN"/>
              </w:rPr>
              <w:t>进行评分，</w:t>
            </w:r>
            <w:r>
              <w:rPr>
                <w:rFonts w:hint="eastAsia"/>
                <w:highlight w:val="none"/>
                <w:lang w:val="en-US" w:eastAsia="zh-CN"/>
              </w:rPr>
              <w:t>0</w:t>
            </w:r>
            <w:r>
              <w:rPr>
                <w:rFonts w:hint="eastAsia"/>
                <w:highlight w:val="none"/>
                <w:lang w:eastAsia="zh-CN"/>
              </w:rPr>
              <w:t>-</w:t>
            </w:r>
            <w:r>
              <w:rPr>
                <w:rFonts w:hint="eastAsia"/>
                <w:highlight w:val="none"/>
                <w:lang w:val="en-US" w:eastAsia="zh-CN"/>
              </w:rPr>
              <w:t>3</w:t>
            </w:r>
            <w:r>
              <w:rPr>
                <w:rFonts w:hint="eastAsia"/>
                <w:highlight w:val="none"/>
                <w:lang w:eastAsia="zh-CN"/>
              </w:rPr>
              <w:t>分；</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highlight w:val="none"/>
                <w:lang w:eastAsia="zh-CN"/>
              </w:rPr>
            </w:pPr>
            <w:r>
              <w:rPr>
                <w:rFonts w:hint="eastAsia"/>
                <w:highlight w:val="none"/>
                <w:lang w:eastAsia="zh-CN"/>
              </w:rPr>
              <w:t>（</w:t>
            </w:r>
            <w:r>
              <w:rPr>
                <w:rFonts w:hint="eastAsia"/>
                <w:highlight w:val="none"/>
                <w:lang w:val="en-US" w:eastAsia="zh-CN"/>
              </w:rPr>
              <w:t>3</w:t>
            </w:r>
            <w:r>
              <w:rPr>
                <w:rFonts w:hint="eastAsia"/>
                <w:highlight w:val="none"/>
                <w:lang w:eastAsia="zh-CN"/>
              </w:rPr>
              <w:t>）根据投标人</w:t>
            </w:r>
            <w:r>
              <w:rPr>
                <w:rFonts w:hint="eastAsia"/>
                <w:highlight w:val="none"/>
                <w:lang w:val="en-US" w:eastAsia="zh-CN"/>
              </w:rPr>
              <w:t>赛事车辆配备方案</w:t>
            </w:r>
            <w:r>
              <w:rPr>
                <w:rFonts w:hint="eastAsia"/>
                <w:highlight w:val="none"/>
                <w:lang w:eastAsia="zh-CN"/>
              </w:rPr>
              <w:t>进行评分，</w:t>
            </w:r>
            <w:r>
              <w:rPr>
                <w:rFonts w:hint="eastAsia"/>
                <w:highlight w:val="none"/>
                <w:lang w:val="en-US" w:eastAsia="zh-CN"/>
              </w:rPr>
              <w:t>0</w:t>
            </w:r>
            <w:r>
              <w:rPr>
                <w:rFonts w:hint="eastAsia"/>
                <w:highlight w:val="none"/>
                <w:lang w:eastAsia="zh-CN"/>
              </w:rPr>
              <w:t>-</w:t>
            </w:r>
            <w:r>
              <w:rPr>
                <w:rFonts w:hint="eastAsia"/>
                <w:highlight w:val="none"/>
                <w:lang w:val="en-US" w:eastAsia="zh-CN"/>
              </w:rPr>
              <w:t>3</w:t>
            </w:r>
            <w:r>
              <w:rPr>
                <w:rFonts w:hint="eastAsia"/>
                <w:highlight w:val="none"/>
                <w:lang w:eastAsia="zh-CN"/>
              </w:rPr>
              <w:t>分；</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highlight w:val="none"/>
                <w:lang w:eastAsia="zh-CN"/>
              </w:rPr>
            </w:pPr>
            <w:r>
              <w:rPr>
                <w:rFonts w:hint="eastAsia"/>
                <w:highlight w:val="none"/>
                <w:lang w:eastAsia="zh-CN"/>
              </w:rPr>
              <w:t>（</w:t>
            </w:r>
            <w:r>
              <w:rPr>
                <w:rFonts w:hint="eastAsia"/>
                <w:highlight w:val="none"/>
                <w:lang w:val="en-US" w:eastAsia="zh-CN"/>
              </w:rPr>
              <w:t>4</w:t>
            </w:r>
            <w:r>
              <w:rPr>
                <w:rFonts w:hint="eastAsia"/>
                <w:highlight w:val="none"/>
                <w:lang w:eastAsia="zh-CN"/>
              </w:rPr>
              <w:t>）根据投标人</w:t>
            </w:r>
            <w:r>
              <w:rPr>
                <w:rFonts w:hint="eastAsia"/>
                <w:highlight w:val="none"/>
                <w:lang w:val="en-US" w:eastAsia="zh-CN"/>
              </w:rPr>
              <w:t>赛事人员通勤保障方案</w:t>
            </w:r>
            <w:r>
              <w:rPr>
                <w:rFonts w:hint="eastAsia"/>
                <w:highlight w:val="none"/>
                <w:lang w:eastAsia="zh-CN"/>
              </w:rPr>
              <w:t>进行评分，</w:t>
            </w:r>
            <w:r>
              <w:rPr>
                <w:rFonts w:hint="eastAsia"/>
                <w:highlight w:val="none"/>
                <w:lang w:val="en-US" w:eastAsia="zh-CN"/>
              </w:rPr>
              <w:t>0</w:t>
            </w:r>
            <w:r>
              <w:rPr>
                <w:rFonts w:hint="eastAsia"/>
                <w:highlight w:val="none"/>
                <w:lang w:eastAsia="zh-CN"/>
              </w:rPr>
              <w:t>-</w:t>
            </w:r>
            <w:r>
              <w:rPr>
                <w:rFonts w:hint="eastAsia"/>
                <w:highlight w:val="none"/>
                <w:lang w:val="en-US" w:eastAsia="zh-CN"/>
              </w:rPr>
              <w:t>3</w:t>
            </w:r>
            <w:r>
              <w:rPr>
                <w:rFonts w:hint="eastAsia"/>
                <w:highlight w:val="none"/>
                <w:lang w:eastAsia="zh-CN"/>
              </w:rPr>
              <w:t>分；</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pStyle w:val="160"/>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12" w:lineRule="auto"/>
              <w:jc w:val="center"/>
              <w:textAlignment w:val="auto"/>
              <w:rPr>
                <w:rFonts w:hint="eastAsia" w:ascii="宋体" w:hAnsi="宋体"/>
                <w:sz w:val="21"/>
                <w:szCs w:val="21"/>
                <w:highlight w:val="none"/>
                <w:lang w:val="en-US" w:eastAsia="zh-CN"/>
              </w:rPr>
            </w:pPr>
            <w:r>
              <w:rPr>
                <w:rFonts w:hint="eastAsia" w:ascii="宋体" w:hAnsi="宋体"/>
                <w:sz w:val="21"/>
                <w:szCs w:val="21"/>
                <w:highlight w:val="none"/>
                <w:lang w:val="en-US" w:eastAsia="zh-CN"/>
              </w:rPr>
              <w:t>0</w:t>
            </w:r>
            <w:r>
              <w:rPr>
                <w:rFonts w:hint="default" w:ascii="宋体" w:hAnsi="宋体"/>
                <w:sz w:val="21"/>
                <w:szCs w:val="21"/>
                <w:highlight w:val="none"/>
                <w:lang w:val="en-US" w:eastAsia="zh-CN"/>
              </w:rPr>
              <w:t>-</w:t>
            </w:r>
            <w:r>
              <w:rPr>
                <w:rFonts w:hint="eastAsia" w:ascii="宋体" w:hAnsi="宋体"/>
                <w:sz w:val="21"/>
                <w:szCs w:val="21"/>
                <w:highlight w:val="none"/>
                <w:lang w:val="en-US" w:eastAsia="zh-CN"/>
              </w:rPr>
              <w:t>12</w:t>
            </w:r>
            <w:r>
              <w:rPr>
                <w:rFonts w:hint="default" w:ascii="宋体" w:hAnsi="宋体"/>
                <w:sz w:val="21"/>
                <w:szCs w:val="21"/>
                <w:highlight w:val="none"/>
                <w:lang w:val="en-US" w:eastAsia="zh-CN"/>
              </w:rPr>
              <w:t>分</w:t>
            </w:r>
          </w:p>
        </w:tc>
      </w:tr>
      <w:tr>
        <w:tblPrEx>
          <w:tblCellMar>
            <w:top w:w="0" w:type="dxa"/>
            <w:left w:w="108" w:type="dxa"/>
            <w:bottom w:w="0" w:type="dxa"/>
            <w:right w:w="108" w:type="dxa"/>
          </w:tblCellMar>
        </w:tblPrEx>
        <w:trPr>
          <w:trHeight w:val="1045"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kern w:val="0"/>
                <w:sz w:val="21"/>
                <w:szCs w:val="21"/>
                <w:highlight w:val="none"/>
                <w:lang w:val="en-US" w:eastAsia="zh-CN"/>
              </w:rPr>
            </w:pPr>
            <w:r>
              <w:rPr>
                <w:rFonts w:hint="eastAsia" w:ascii="宋体" w:hAnsi="宋体"/>
                <w:sz w:val="21"/>
                <w:szCs w:val="21"/>
                <w:highlight w:val="none"/>
                <w:lang w:val="en-US" w:eastAsia="zh-CN"/>
              </w:rPr>
              <w:t>5</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疫情防控方</w:t>
            </w:r>
            <w:r>
              <w:rPr>
                <w:rFonts w:hint="eastAsia" w:ascii="宋体" w:hAnsi="宋体" w:eastAsia="宋体" w:cs="宋体"/>
                <w:sz w:val="21"/>
                <w:szCs w:val="21"/>
                <w:highlight w:val="none"/>
              </w:rPr>
              <w:t>案</w:t>
            </w:r>
            <w:r>
              <w:rPr>
                <w:rFonts w:hint="eastAsia" w:ascii="宋体" w:hAnsi="宋体" w:eastAsia="宋体" w:cs="宋体"/>
                <w:sz w:val="21"/>
                <w:szCs w:val="21"/>
                <w:highlight w:val="none"/>
                <w:lang w:val="en-US" w:eastAsia="zh-CN"/>
              </w:rPr>
              <w:t xml:space="preserve">      </w:t>
            </w:r>
            <w:r>
              <w:rPr>
                <w:rFonts w:hint="eastAsia"/>
                <w:color w:val="auto"/>
                <w:highlight w:val="none"/>
                <w:lang w:eastAsia="zh-CN"/>
              </w:rPr>
              <w:t>（</w:t>
            </w:r>
            <w:r>
              <w:rPr>
                <w:rFonts w:hint="eastAsia"/>
                <w:color w:val="auto"/>
                <w:highlight w:val="none"/>
                <w:lang w:val="en-US" w:eastAsia="zh-CN"/>
              </w:rPr>
              <w:t>主观分</w:t>
            </w:r>
            <w:r>
              <w:rPr>
                <w:rFonts w:hint="eastAsia"/>
                <w:color w:val="auto"/>
                <w:highlight w:val="none"/>
                <w:lang w:eastAsia="zh-CN"/>
              </w:rPr>
              <w:t>）</w:t>
            </w:r>
          </w:p>
        </w:tc>
        <w:tc>
          <w:tcPr>
            <w:tcW w:w="6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szCs w:val="21"/>
                <w:highlight w:val="none"/>
                <w:lang w:eastAsia="zh-CN"/>
              </w:rPr>
            </w:pPr>
            <w:r>
              <w:rPr>
                <w:rFonts w:hint="eastAsia"/>
                <w:szCs w:val="21"/>
                <w:highlight w:val="none"/>
                <w:lang w:eastAsia="zh-CN"/>
              </w:rPr>
              <w:t>（</w:t>
            </w:r>
            <w:r>
              <w:rPr>
                <w:rFonts w:hint="eastAsia"/>
                <w:szCs w:val="21"/>
                <w:highlight w:val="none"/>
                <w:lang w:val="en-US" w:eastAsia="zh-CN"/>
              </w:rPr>
              <w:t>1</w:t>
            </w:r>
            <w:r>
              <w:rPr>
                <w:rFonts w:hint="eastAsia"/>
                <w:szCs w:val="21"/>
                <w:highlight w:val="none"/>
                <w:lang w:eastAsia="zh-CN"/>
              </w:rPr>
              <w:t>）根据投标人</w:t>
            </w:r>
            <w:r>
              <w:rPr>
                <w:rFonts w:hint="eastAsia"/>
                <w:szCs w:val="21"/>
                <w:highlight w:val="none"/>
                <w:lang w:val="en-US" w:eastAsia="zh-CN"/>
              </w:rPr>
              <w:t>参赛人员报到、赛事期间疫情防控方案</w:t>
            </w:r>
            <w:r>
              <w:rPr>
                <w:rFonts w:hint="eastAsia"/>
                <w:szCs w:val="21"/>
                <w:highlight w:val="none"/>
                <w:lang w:eastAsia="zh-CN"/>
              </w:rPr>
              <w:t>进行评分，</w:t>
            </w:r>
            <w:r>
              <w:rPr>
                <w:rFonts w:hint="eastAsia"/>
                <w:szCs w:val="21"/>
                <w:highlight w:val="none"/>
                <w:lang w:val="en-US" w:eastAsia="zh-CN"/>
              </w:rPr>
              <w:t>0</w:t>
            </w:r>
            <w:r>
              <w:rPr>
                <w:rFonts w:hint="eastAsia"/>
                <w:szCs w:val="21"/>
                <w:highlight w:val="none"/>
                <w:lang w:eastAsia="zh-CN"/>
              </w:rPr>
              <w:t>-</w:t>
            </w:r>
            <w:r>
              <w:rPr>
                <w:rFonts w:hint="eastAsia"/>
                <w:szCs w:val="21"/>
                <w:highlight w:val="none"/>
                <w:lang w:val="en-US" w:eastAsia="zh-CN"/>
              </w:rPr>
              <w:t>3</w:t>
            </w:r>
            <w:r>
              <w:rPr>
                <w:rFonts w:hint="eastAsia"/>
                <w:szCs w:val="21"/>
                <w:highlight w:val="none"/>
                <w:lang w:eastAsia="zh-CN"/>
              </w:rPr>
              <w:t>分；</w:t>
            </w:r>
          </w:p>
          <w:p>
            <w:pPr>
              <w:keepNext w:val="0"/>
              <w:keepLines w:val="0"/>
              <w:pageBreakBefore w:val="0"/>
              <w:widowControl w:val="0"/>
              <w:kinsoku/>
              <w:wordWrap/>
              <w:overflowPunct/>
              <w:topLinePunct w:val="0"/>
              <w:autoSpaceDE/>
              <w:autoSpaceDN/>
              <w:bidi w:val="0"/>
              <w:adjustRightInd/>
              <w:snapToGrid w:val="0"/>
              <w:spacing w:line="312" w:lineRule="auto"/>
              <w:textAlignment w:val="auto"/>
              <w:rPr>
                <w:rFonts w:hint="eastAsia"/>
                <w:szCs w:val="21"/>
                <w:highlight w:val="none"/>
                <w:lang w:eastAsia="zh-CN"/>
              </w:rPr>
            </w:pPr>
            <w:r>
              <w:rPr>
                <w:rFonts w:hint="eastAsia"/>
                <w:szCs w:val="21"/>
                <w:highlight w:val="none"/>
                <w:lang w:eastAsia="zh-CN"/>
              </w:rPr>
              <w:t>（</w:t>
            </w:r>
            <w:r>
              <w:rPr>
                <w:rFonts w:hint="eastAsia"/>
                <w:szCs w:val="21"/>
                <w:highlight w:val="none"/>
                <w:lang w:val="en-US" w:eastAsia="zh-CN"/>
              </w:rPr>
              <w:t>2</w:t>
            </w:r>
            <w:r>
              <w:rPr>
                <w:rFonts w:hint="eastAsia"/>
                <w:szCs w:val="21"/>
                <w:highlight w:val="none"/>
                <w:lang w:eastAsia="zh-CN"/>
              </w:rPr>
              <w:t>）根据投标人</w:t>
            </w:r>
            <w:r>
              <w:rPr>
                <w:rFonts w:hint="eastAsia"/>
                <w:szCs w:val="21"/>
                <w:highlight w:val="none"/>
                <w:lang w:val="en-US" w:eastAsia="zh-CN"/>
              </w:rPr>
              <w:t>疫情应急处置方案</w:t>
            </w:r>
            <w:r>
              <w:rPr>
                <w:rFonts w:hint="eastAsia"/>
                <w:szCs w:val="21"/>
                <w:highlight w:val="none"/>
                <w:lang w:eastAsia="zh-CN"/>
              </w:rPr>
              <w:t>进行评分，</w:t>
            </w:r>
            <w:r>
              <w:rPr>
                <w:rFonts w:hint="eastAsia"/>
                <w:szCs w:val="21"/>
                <w:highlight w:val="none"/>
                <w:lang w:val="en-US" w:eastAsia="zh-CN"/>
              </w:rPr>
              <w:t>0</w:t>
            </w:r>
            <w:r>
              <w:rPr>
                <w:rFonts w:hint="eastAsia"/>
                <w:szCs w:val="21"/>
                <w:highlight w:val="none"/>
                <w:lang w:eastAsia="zh-CN"/>
              </w:rPr>
              <w:t>-</w:t>
            </w:r>
            <w:r>
              <w:rPr>
                <w:rFonts w:hint="eastAsia"/>
                <w:szCs w:val="21"/>
                <w:highlight w:val="none"/>
                <w:lang w:val="en-US" w:eastAsia="zh-CN"/>
              </w:rPr>
              <w:t>3</w:t>
            </w:r>
            <w:r>
              <w:rPr>
                <w:rFonts w:hint="eastAsia"/>
                <w:szCs w:val="21"/>
                <w:highlight w:val="none"/>
                <w:lang w:eastAsia="zh-CN"/>
              </w:rPr>
              <w:t>分；</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sz w:val="21"/>
                <w:szCs w:val="21"/>
                <w:highlight w:val="none"/>
                <w:lang w:val="en-US" w:eastAsia="zh-CN"/>
              </w:rPr>
            </w:pPr>
            <w:r>
              <w:rPr>
                <w:rFonts w:hint="eastAsia" w:ascii="宋体" w:hAnsi="宋体" w:eastAsia="宋体" w:cs="宋体"/>
                <w:sz w:val="21"/>
                <w:szCs w:val="21"/>
                <w:highlight w:val="none"/>
                <w:lang w:val="en-US" w:eastAsia="zh-CN"/>
              </w:rPr>
              <w:t>0-6分</w:t>
            </w:r>
          </w:p>
        </w:tc>
      </w:tr>
      <w:tr>
        <w:tblPrEx>
          <w:tblCellMar>
            <w:top w:w="0" w:type="dxa"/>
            <w:left w:w="108" w:type="dxa"/>
            <w:bottom w:w="0" w:type="dxa"/>
            <w:right w:w="108" w:type="dxa"/>
          </w:tblCellMar>
        </w:tblPrEx>
        <w:trPr>
          <w:trHeight w:val="1011"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6</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highlight w:val="none"/>
              </w:rPr>
            </w:pPr>
            <w:r>
              <w:rPr>
                <w:rFonts w:hint="eastAsia" w:ascii="宋体" w:hAnsi="宋体" w:eastAsia="宋体" w:cs="宋体"/>
                <w:sz w:val="21"/>
                <w:szCs w:val="21"/>
                <w:highlight w:val="none"/>
              </w:rPr>
              <w:t>项目运营团队</w:t>
            </w:r>
            <w:r>
              <w:rPr>
                <w:rFonts w:hint="eastAsia" w:ascii="宋体" w:hAnsi="宋体" w:eastAsia="宋体" w:cs="宋体"/>
                <w:sz w:val="21"/>
                <w:szCs w:val="21"/>
                <w:highlight w:val="none"/>
                <w:lang w:val="en-US" w:eastAsia="zh-CN"/>
              </w:rPr>
              <w:t xml:space="preserve">    </w:t>
            </w:r>
            <w:r>
              <w:rPr>
                <w:rFonts w:hint="eastAsia"/>
                <w:color w:val="auto"/>
                <w:highlight w:val="none"/>
                <w:lang w:eastAsia="zh-CN"/>
              </w:rPr>
              <w:t>（</w:t>
            </w:r>
            <w:r>
              <w:rPr>
                <w:rFonts w:hint="eastAsia"/>
                <w:color w:val="auto"/>
                <w:highlight w:val="none"/>
                <w:lang w:val="en-US" w:eastAsia="zh-CN"/>
              </w:rPr>
              <w:t>主观分</w:t>
            </w:r>
            <w:r>
              <w:rPr>
                <w:rFonts w:hint="eastAsia"/>
                <w:color w:val="auto"/>
                <w:highlight w:val="none"/>
                <w:lang w:eastAsia="zh-CN"/>
              </w:rPr>
              <w:t>）</w:t>
            </w:r>
          </w:p>
        </w:tc>
        <w:tc>
          <w:tcPr>
            <w:tcW w:w="6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12" w:lineRule="auto"/>
              <w:textAlignment w:val="auto"/>
              <w:rPr>
                <w:rFonts w:hint="eastAsia"/>
                <w:szCs w:val="21"/>
                <w:highlight w:val="none"/>
                <w:lang w:eastAsia="zh-CN"/>
              </w:rPr>
            </w:pPr>
            <w:r>
              <w:rPr>
                <w:rFonts w:hint="eastAsia"/>
                <w:szCs w:val="21"/>
                <w:highlight w:val="none"/>
                <w:lang w:eastAsia="zh-CN"/>
              </w:rPr>
              <w:t>根据投标人针对本项目</w:t>
            </w:r>
            <w:r>
              <w:rPr>
                <w:rFonts w:hint="eastAsia" w:ascii="宋体" w:hAnsi="宋体" w:eastAsia="宋体" w:cs="宋体"/>
                <w:sz w:val="21"/>
                <w:szCs w:val="21"/>
                <w:highlight w:val="none"/>
              </w:rPr>
              <w:t>运营团队</w:t>
            </w:r>
            <w:r>
              <w:rPr>
                <w:rFonts w:hint="eastAsia"/>
                <w:szCs w:val="21"/>
                <w:highlight w:val="none"/>
                <w:lang w:eastAsia="zh-CN"/>
              </w:rPr>
              <w:t>的组织结构、人员安排的科学性、合理性进行评分，</w:t>
            </w:r>
            <w:r>
              <w:rPr>
                <w:rFonts w:hint="eastAsia"/>
                <w:szCs w:val="21"/>
                <w:highlight w:val="none"/>
                <w:lang w:val="en-US" w:eastAsia="zh-CN"/>
              </w:rPr>
              <w:t>0</w:t>
            </w:r>
            <w:r>
              <w:rPr>
                <w:rFonts w:hint="eastAsia"/>
                <w:szCs w:val="21"/>
                <w:highlight w:val="none"/>
                <w:lang w:eastAsia="zh-CN"/>
              </w:rPr>
              <w:t>-</w:t>
            </w:r>
            <w:r>
              <w:rPr>
                <w:rFonts w:hint="eastAsia"/>
                <w:szCs w:val="21"/>
                <w:highlight w:val="none"/>
                <w:lang w:val="en-US" w:eastAsia="zh-CN"/>
              </w:rPr>
              <w:t>3</w:t>
            </w:r>
            <w:r>
              <w:rPr>
                <w:rFonts w:hint="eastAsia"/>
                <w:szCs w:val="21"/>
                <w:highlight w:val="none"/>
                <w:lang w:eastAsia="zh-CN"/>
              </w:rPr>
              <w:t>分；</w:t>
            </w:r>
          </w:p>
          <w:p>
            <w:pPr>
              <w:keepNext w:val="0"/>
              <w:keepLines w:val="0"/>
              <w:pageBreakBefore w:val="0"/>
              <w:widowControl w:val="0"/>
              <w:numPr>
                <w:ilvl w:val="0"/>
                <w:numId w:val="5"/>
              </w:numPr>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highlight w:val="none"/>
              </w:rPr>
            </w:pPr>
            <w:r>
              <w:rPr>
                <w:rFonts w:hint="eastAsia"/>
                <w:szCs w:val="21"/>
                <w:highlight w:val="none"/>
                <w:lang w:eastAsia="zh-CN"/>
              </w:rPr>
              <w:t>根据投标人</w:t>
            </w:r>
            <w:r>
              <w:rPr>
                <w:rFonts w:hint="eastAsia" w:ascii="宋体" w:hAnsi="宋体" w:eastAsia="宋体" w:cs="宋体"/>
                <w:sz w:val="21"/>
                <w:szCs w:val="21"/>
                <w:highlight w:val="none"/>
              </w:rPr>
              <w:t>拟担任本项目负责人的专业素质、技术能力、</w:t>
            </w:r>
            <w:r>
              <w:rPr>
                <w:rFonts w:hint="eastAsia" w:ascii="宋体" w:hAnsi="宋体" w:eastAsia="宋体" w:cs="宋体"/>
                <w:sz w:val="21"/>
                <w:szCs w:val="21"/>
                <w:highlight w:val="none"/>
                <w:lang w:val="en-US" w:eastAsia="zh-CN"/>
              </w:rPr>
              <w:t>项目</w:t>
            </w:r>
            <w:r>
              <w:rPr>
                <w:rFonts w:hint="eastAsia" w:ascii="宋体" w:hAnsi="宋体" w:eastAsia="宋体" w:cs="宋体"/>
                <w:sz w:val="21"/>
                <w:szCs w:val="21"/>
                <w:highlight w:val="none"/>
              </w:rPr>
              <w:t>经验等情况</w:t>
            </w:r>
            <w:r>
              <w:rPr>
                <w:rFonts w:hint="eastAsia"/>
                <w:szCs w:val="21"/>
                <w:highlight w:val="none"/>
                <w:lang w:eastAsia="zh-CN"/>
              </w:rPr>
              <w:t>进行评分，</w:t>
            </w:r>
            <w:r>
              <w:rPr>
                <w:rFonts w:hint="eastAsia"/>
                <w:szCs w:val="21"/>
                <w:highlight w:val="none"/>
                <w:lang w:val="en-US" w:eastAsia="zh-CN"/>
              </w:rPr>
              <w:t>0</w:t>
            </w:r>
            <w:r>
              <w:rPr>
                <w:rFonts w:hint="eastAsia"/>
                <w:szCs w:val="21"/>
                <w:highlight w:val="none"/>
                <w:lang w:eastAsia="zh-CN"/>
              </w:rPr>
              <w:t>-</w:t>
            </w:r>
            <w:r>
              <w:rPr>
                <w:rFonts w:hint="eastAsia"/>
                <w:szCs w:val="21"/>
                <w:highlight w:val="none"/>
                <w:lang w:val="en-US" w:eastAsia="zh-CN"/>
              </w:rPr>
              <w:t>3</w:t>
            </w:r>
            <w:r>
              <w:rPr>
                <w:rFonts w:hint="eastAsia"/>
                <w:szCs w:val="21"/>
                <w:highlight w:val="none"/>
                <w:lang w:eastAsia="zh-CN"/>
              </w:rPr>
              <w:t>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highlight w:val="none"/>
              </w:rPr>
            </w:pPr>
            <w:r>
              <w:rPr>
                <w:rFonts w:hint="eastAsia"/>
                <w:szCs w:val="21"/>
                <w:highlight w:val="none"/>
                <w:lang w:eastAsia="zh-CN"/>
              </w:rPr>
              <w:t>（</w:t>
            </w:r>
            <w:r>
              <w:rPr>
                <w:rFonts w:hint="eastAsia"/>
                <w:szCs w:val="21"/>
                <w:highlight w:val="none"/>
                <w:lang w:val="en-US" w:eastAsia="zh-CN"/>
              </w:rPr>
              <w:t>3</w:t>
            </w:r>
            <w:r>
              <w:rPr>
                <w:rFonts w:hint="eastAsia"/>
                <w:szCs w:val="21"/>
                <w:highlight w:val="none"/>
                <w:lang w:eastAsia="zh-CN"/>
              </w:rPr>
              <w:t>）根据投标人</w:t>
            </w:r>
            <w:r>
              <w:rPr>
                <w:rFonts w:hint="eastAsia" w:ascii="宋体" w:hAnsi="宋体" w:eastAsia="宋体" w:cs="宋体"/>
                <w:sz w:val="21"/>
                <w:szCs w:val="21"/>
                <w:highlight w:val="none"/>
              </w:rPr>
              <w:t>拟</w:t>
            </w:r>
            <w:r>
              <w:rPr>
                <w:rFonts w:hint="eastAsia" w:ascii="宋体" w:hAnsi="宋体" w:eastAsia="宋体" w:cs="宋体"/>
                <w:sz w:val="21"/>
                <w:szCs w:val="21"/>
                <w:highlight w:val="none"/>
                <w:lang w:val="en-US" w:eastAsia="zh-CN"/>
              </w:rPr>
              <w:t>投入本项目其他人员</w:t>
            </w:r>
            <w:r>
              <w:rPr>
                <w:rFonts w:hint="eastAsia" w:ascii="宋体" w:hAnsi="宋体" w:eastAsia="宋体" w:cs="宋体"/>
                <w:sz w:val="21"/>
                <w:szCs w:val="21"/>
                <w:highlight w:val="none"/>
              </w:rPr>
              <w:t>的专业素质、技术能力、</w:t>
            </w:r>
            <w:r>
              <w:rPr>
                <w:rFonts w:hint="eastAsia" w:ascii="宋体" w:hAnsi="宋体" w:eastAsia="宋体" w:cs="宋体"/>
                <w:sz w:val="21"/>
                <w:szCs w:val="21"/>
                <w:highlight w:val="none"/>
                <w:lang w:val="en-US" w:eastAsia="zh-CN"/>
              </w:rPr>
              <w:t>项目</w:t>
            </w:r>
            <w:r>
              <w:rPr>
                <w:rFonts w:hint="eastAsia" w:ascii="宋体" w:hAnsi="宋体" w:eastAsia="宋体" w:cs="宋体"/>
                <w:sz w:val="21"/>
                <w:szCs w:val="21"/>
                <w:highlight w:val="none"/>
              </w:rPr>
              <w:t>经验等情况</w:t>
            </w:r>
            <w:r>
              <w:rPr>
                <w:rFonts w:hint="eastAsia"/>
                <w:szCs w:val="21"/>
                <w:highlight w:val="none"/>
                <w:lang w:eastAsia="zh-CN"/>
              </w:rPr>
              <w:t>进行评分，</w:t>
            </w:r>
            <w:r>
              <w:rPr>
                <w:rFonts w:hint="eastAsia"/>
                <w:szCs w:val="21"/>
                <w:highlight w:val="none"/>
                <w:lang w:val="en-US" w:eastAsia="zh-CN"/>
              </w:rPr>
              <w:t>0</w:t>
            </w:r>
            <w:r>
              <w:rPr>
                <w:rFonts w:hint="eastAsia"/>
                <w:szCs w:val="21"/>
                <w:highlight w:val="none"/>
                <w:lang w:eastAsia="zh-CN"/>
              </w:rPr>
              <w:t>-</w:t>
            </w:r>
            <w:r>
              <w:rPr>
                <w:rFonts w:hint="eastAsia"/>
                <w:szCs w:val="21"/>
                <w:highlight w:val="none"/>
                <w:lang w:val="en-US" w:eastAsia="zh-CN"/>
              </w:rPr>
              <w:t>3</w:t>
            </w:r>
            <w:r>
              <w:rPr>
                <w:rFonts w:hint="eastAsia"/>
                <w:szCs w:val="21"/>
                <w:highlight w:val="none"/>
                <w:lang w:eastAsia="zh-CN"/>
              </w:rPr>
              <w:t>分；</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sz w:val="21"/>
                <w:szCs w:val="21"/>
                <w:highlight w:val="none"/>
                <w:lang w:val="en-US" w:eastAsia="zh-CN"/>
              </w:rPr>
            </w:pPr>
            <w:r>
              <w:rPr>
                <w:rFonts w:hint="eastAsia" w:ascii="宋体" w:hAnsi="宋体" w:cs="宋体"/>
                <w:sz w:val="21"/>
                <w:szCs w:val="21"/>
                <w:highlight w:val="none"/>
                <w:lang w:val="en-US" w:eastAsia="zh-CN"/>
              </w:rPr>
              <w:t>0-9分</w:t>
            </w:r>
          </w:p>
        </w:tc>
      </w:tr>
      <w:tr>
        <w:tblPrEx>
          <w:tblCellMar>
            <w:top w:w="0" w:type="dxa"/>
            <w:left w:w="108" w:type="dxa"/>
            <w:bottom w:w="0" w:type="dxa"/>
            <w:right w:w="108" w:type="dxa"/>
          </w:tblCellMar>
        </w:tblPrEx>
        <w:trPr>
          <w:trHeight w:val="864"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default" w:ascii="宋体" w:hAnsi="宋体"/>
                <w:sz w:val="21"/>
                <w:szCs w:val="21"/>
                <w:highlight w:val="none"/>
                <w:lang w:val="en-US" w:eastAsia="zh-CN"/>
              </w:rPr>
            </w:pPr>
            <w:r>
              <w:rPr>
                <w:rFonts w:hint="eastAsia" w:ascii="宋体" w:hAnsi="宋体"/>
                <w:sz w:val="21"/>
                <w:szCs w:val="21"/>
                <w:highlight w:val="none"/>
                <w:lang w:val="en-US" w:eastAsia="zh-CN"/>
              </w:rPr>
              <w:t>7</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协调方案     </w:t>
            </w:r>
            <w:r>
              <w:rPr>
                <w:rFonts w:hint="eastAsia"/>
                <w:color w:val="auto"/>
                <w:highlight w:val="none"/>
                <w:lang w:eastAsia="zh-CN"/>
              </w:rPr>
              <w:t>（</w:t>
            </w:r>
            <w:r>
              <w:rPr>
                <w:rFonts w:hint="eastAsia"/>
                <w:color w:val="auto"/>
                <w:highlight w:val="none"/>
                <w:lang w:val="en-US" w:eastAsia="zh-CN"/>
              </w:rPr>
              <w:t>主观分</w:t>
            </w:r>
            <w:r>
              <w:rPr>
                <w:rFonts w:hint="eastAsia"/>
                <w:color w:val="auto"/>
                <w:highlight w:val="none"/>
                <w:lang w:eastAsia="zh-CN"/>
              </w:rPr>
              <w:t>）</w:t>
            </w:r>
          </w:p>
        </w:tc>
        <w:tc>
          <w:tcPr>
            <w:tcW w:w="6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根据投标人针对本项目制定的对外协调机制</w:t>
            </w:r>
            <w:r>
              <w:rPr>
                <w:rFonts w:hint="eastAsia" w:ascii="宋体" w:hAnsi="宋体" w:eastAsia="宋体" w:cs="Times New Roman"/>
                <w:sz w:val="21"/>
                <w:szCs w:val="21"/>
                <w:highlight w:val="none"/>
                <w:lang w:val="zh-TW" w:eastAsia="zh-CN"/>
              </w:rPr>
              <w:t>（</w:t>
            </w:r>
            <w:r>
              <w:rPr>
                <w:rFonts w:hint="eastAsia"/>
                <w:szCs w:val="21"/>
                <w:highlight w:val="none"/>
                <w:lang w:val="en-US" w:eastAsia="zh-CN"/>
              </w:rPr>
              <w:t>0</w:t>
            </w:r>
            <w:r>
              <w:rPr>
                <w:rFonts w:hint="eastAsia"/>
                <w:szCs w:val="21"/>
                <w:highlight w:val="none"/>
                <w:lang w:eastAsia="zh-CN"/>
              </w:rPr>
              <w:t>-</w:t>
            </w:r>
            <w:r>
              <w:rPr>
                <w:rFonts w:hint="eastAsia"/>
                <w:szCs w:val="21"/>
                <w:highlight w:val="none"/>
                <w:lang w:val="en-US" w:eastAsia="zh-CN"/>
              </w:rPr>
              <w:t>3</w:t>
            </w:r>
            <w:r>
              <w:rPr>
                <w:rFonts w:hint="eastAsia"/>
                <w:szCs w:val="21"/>
                <w:highlight w:val="none"/>
                <w:lang w:eastAsia="zh-CN"/>
              </w:rPr>
              <w:t>分</w:t>
            </w:r>
            <w:r>
              <w:rPr>
                <w:rFonts w:hint="eastAsia" w:ascii="宋体" w:hAnsi="宋体" w:eastAsia="宋体" w:cs="Times New Roman"/>
                <w:sz w:val="21"/>
                <w:szCs w:val="21"/>
                <w:highlight w:val="none"/>
                <w:lang w:val="zh-TW" w:eastAsia="zh-CN"/>
              </w:rPr>
              <w:t>）</w:t>
            </w:r>
            <w:r>
              <w:rPr>
                <w:rFonts w:hint="eastAsia" w:ascii="宋体" w:hAnsi="宋体" w:eastAsia="宋体" w:cs="宋体"/>
                <w:sz w:val="21"/>
                <w:szCs w:val="21"/>
                <w:highlight w:val="none"/>
              </w:rPr>
              <w:t>和内部服务反应机制</w:t>
            </w:r>
            <w:r>
              <w:rPr>
                <w:rFonts w:hint="eastAsia" w:ascii="宋体" w:hAnsi="宋体" w:eastAsia="宋体" w:cs="Times New Roman"/>
                <w:sz w:val="21"/>
                <w:szCs w:val="21"/>
                <w:highlight w:val="none"/>
                <w:lang w:val="zh-TW" w:eastAsia="zh-CN"/>
              </w:rPr>
              <w:t>（</w:t>
            </w:r>
            <w:r>
              <w:rPr>
                <w:rFonts w:hint="eastAsia"/>
                <w:szCs w:val="21"/>
                <w:highlight w:val="none"/>
                <w:lang w:val="en-US" w:eastAsia="zh-CN"/>
              </w:rPr>
              <w:t>0</w:t>
            </w:r>
            <w:r>
              <w:rPr>
                <w:rFonts w:hint="eastAsia"/>
                <w:szCs w:val="21"/>
                <w:highlight w:val="none"/>
                <w:lang w:eastAsia="zh-CN"/>
              </w:rPr>
              <w:t>-</w:t>
            </w:r>
            <w:r>
              <w:rPr>
                <w:rFonts w:hint="eastAsia"/>
                <w:szCs w:val="21"/>
                <w:highlight w:val="none"/>
                <w:lang w:val="en-US" w:eastAsia="zh-CN"/>
              </w:rPr>
              <w:t>3</w:t>
            </w:r>
            <w:r>
              <w:rPr>
                <w:rFonts w:hint="eastAsia"/>
                <w:szCs w:val="21"/>
                <w:highlight w:val="none"/>
                <w:lang w:eastAsia="zh-CN"/>
              </w:rPr>
              <w:t>分</w:t>
            </w:r>
            <w:r>
              <w:rPr>
                <w:rFonts w:hint="eastAsia" w:ascii="宋体" w:hAnsi="宋体" w:eastAsia="宋体" w:cs="Times New Roman"/>
                <w:sz w:val="21"/>
                <w:szCs w:val="21"/>
                <w:highlight w:val="none"/>
                <w:lang w:val="zh-TW" w:eastAsia="zh-CN"/>
              </w:rPr>
              <w:t>）</w:t>
            </w:r>
            <w:r>
              <w:rPr>
                <w:rFonts w:hint="eastAsia"/>
                <w:szCs w:val="21"/>
                <w:highlight w:val="none"/>
                <w:lang w:eastAsia="zh-CN"/>
              </w:rPr>
              <w:t>进行评分。</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0-6分</w:t>
            </w:r>
          </w:p>
        </w:tc>
      </w:tr>
      <w:tr>
        <w:tblPrEx>
          <w:tblCellMar>
            <w:top w:w="0" w:type="dxa"/>
            <w:left w:w="108" w:type="dxa"/>
            <w:bottom w:w="0" w:type="dxa"/>
            <w:right w:w="108" w:type="dxa"/>
          </w:tblCellMar>
        </w:tblPrEx>
        <w:trPr>
          <w:trHeight w:val="864"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sz w:val="21"/>
                <w:szCs w:val="21"/>
                <w:highlight w:val="none"/>
                <w:lang w:val="en-US" w:eastAsia="zh-CN"/>
              </w:rPr>
            </w:pPr>
            <w:r>
              <w:rPr>
                <w:rFonts w:hint="eastAsia" w:ascii="宋体" w:hAnsi="宋体"/>
                <w:sz w:val="21"/>
                <w:szCs w:val="21"/>
                <w:highlight w:val="none"/>
                <w:lang w:val="en-US" w:eastAsia="zh-CN"/>
              </w:rPr>
              <w:t>8</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highlight w:val="none"/>
              </w:rPr>
            </w:pPr>
            <w:r>
              <w:rPr>
                <w:rFonts w:hint="eastAsia" w:ascii="宋体" w:hAnsi="宋体" w:eastAsia="宋体" w:cs="宋体"/>
                <w:sz w:val="21"/>
                <w:szCs w:val="21"/>
                <w:highlight w:val="none"/>
                <w:lang w:val="en-US" w:eastAsia="zh-CN"/>
              </w:rPr>
              <w:t>应急预</w:t>
            </w:r>
            <w:r>
              <w:rPr>
                <w:rFonts w:hint="eastAsia" w:ascii="宋体" w:hAnsi="宋体" w:eastAsia="宋体" w:cs="宋体"/>
                <w:sz w:val="21"/>
                <w:szCs w:val="21"/>
                <w:highlight w:val="none"/>
              </w:rPr>
              <w:t>案</w:t>
            </w:r>
            <w:r>
              <w:rPr>
                <w:rFonts w:hint="eastAsia" w:ascii="宋体" w:hAnsi="宋体" w:eastAsia="宋体" w:cs="宋体"/>
                <w:sz w:val="21"/>
                <w:szCs w:val="21"/>
                <w:highlight w:val="none"/>
                <w:lang w:val="en-US" w:eastAsia="zh-CN"/>
              </w:rPr>
              <w:t xml:space="preserve">     </w:t>
            </w:r>
            <w:r>
              <w:rPr>
                <w:rFonts w:hint="eastAsia"/>
                <w:color w:val="auto"/>
                <w:highlight w:val="none"/>
                <w:lang w:eastAsia="zh-CN"/>
              </w:rPr>
              <w:t>（</w:t>
            </w:r>
            <w:r>
              <w:rPr>
                <w:rFonts w:hint="eastAsia"/>
                <w:color w:val="auto"/>
                <w:highlight w:val="none"/>
                <w:lang w:val="en-US" w:eastAsia="zh-CN"/>
              </w:rPr>
              <w:t>主观分</w:t>
            </w:r>
            <w:r>
              <w:rPr>
                <w:rFonts w:hint="eastAsia"/>
                <w:color w:val="auto"/>
                <w:highlight w:val="none"/>
                <w:lang w:eastAsia="zh-CN"/>
              </w:rPr>
              <w:t>）</w:t>
            </w:r>
          </w:p>
        </w:tc>
        <w:tc>
          <w:tcPr>
            <w:tcW w:w="6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textAlignment w:val="auto"/>
              <w:rPr>
                <w:rFonts w:ascii="宋体" w:hAnsi="宋体"/>
                <w:sz w:val="21"/>
                <w:szCs w:val="21"/>
                <w:highlight w:val="none"/>
              </w:rPr>
            </w:pPr>
            <w:r>
              <w:rPr>
                <w:rFonts w:hint="eastAsia" w:ascii="宋体" w:hAnsi="宋体" w:eastAsia="宋体" w:cs="宋体"/>
                <w:sz w:val="21"/>
                <w:szCs w:val="21"/>
                <w:highlight w:val="none"/>
              </w:rPr>
              <w:t>根据投标人针对本项目制定的突发事件的应急预案</w:t>
            </w:r>
            <w:r>
              <w:rPr>
                <w:rFonts w:hint="eastAsia"/>
                <w:szCs w:val="21"/>
                <w:highlight w:val="none"/>
                <w:lang w:eastAsia="zh-CN"/>
              </w:rPr>
              <w:t>进行评分。</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ascii="宋体" w:hAnsi="宋体"/>
                <w:sz w:val="21"/>
                <w:szCs w:val="21"/>
                <w:highlight w:val="none"/>
              </w:rPr>
            </w:pPr>
            <w:r>
              <w:rPr>
                <w:rFonts w:hint="eastAsia" w:ascii="宋体" w:hAnsi="宋体" w:eastAsia="宋体" w:cs="宋体"/>
                <w:sz w:val="21"/>
                <w:szCs w:val="21"/>
                <w:highlight w:val="none"/>
                <w:lang w:val="en-US" w:eastAsia="zh-CN"/>
              </w:rPr>
              <w:t>0-4分</w:t>
            </w:r>
          </w:p>
        </w:tc>
      </w:tr>
      <w:tr>
        <w:tblPrEx>
          <w:tblCellMar>
            <w:top w:w="0" w:type="dxa"/>
            <w:left w:w="108" w:type="dxa"/>
            <w:bottom w:w="0" w:type="dxa"/>
            <w:right w:w="108" w:type="dxa"/>
          </w:tblCellMar>
        </w:tblPrEx>
        <w:trPr>
          <w:trHeight w:val="826" w:hRule="atLeast"/>
        </w:trPr>
        <w:tc>
          <w:tcPr>
            <w:tcW w:w="7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en-US" w:eastAsia="zh-CN"/>
              </w:rPr>
              <w:t>9</w:t>
            </w:r>
          </w:p>
        </w:tc>
        <w:tc>
          <w:tcPr>
            <w:tcW w:w="15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宋体" w:hAnsi="宋体" w:eastAsia="宋体" w:cs="Times New Roman"/>
                <w:sz w:val="21"/>
                <w:szCs w:val="21"/>
                <w:highlight w:val="none"/>
                <w:lang w:val="en-US" w:eastAsia="zh-CN"/>
              </w:rPr>
            </w:pPr>
            <w:r>
              <w:rPr>
                <w:rFonts w:hint="eastAsia" w:ascii="宋体" w:hAnsi="宋体" w:eastAsia="宋体" w:cs="宋体"/>
                <w:sz w:val="21"/>
                <w:szCs w:val="21"/>
                <w:highlight w:val="none"/>
                <w:lang w:val="en-US" w:eastAsia="zh-CN"/>
              </w:rPr>
              <w:t xml:space="preserve">合理化建议    </w:t>
            </w:r>
            <w:r>
              <w:rPr>
                <w:rFonts w:hint="eastAsia"/>
                <w:color w:val="auto"/>
                <w:highlight w:val="none"/>
                <w:lang w:eastAsia="zh-CN"/>
              </w:rPr>
              <w:t>（</w:t>
            </w:r>
            <w:r>
              <w:rPr>
                <w:rFonts w:hint="eastAsia"/>
                <w:color w:val="auto"/>
                <w:highlight w:val="none"/>
                <w:lang w:val="en-US" w:eastAsia="zh-CN"/>
              </w:rPr>
              <w:t>主观分</w:t>
            </w:r>
            <w:r>
              <w:rPr>
                <w:rFonts w:hint="eastAsia"/>
                <w:color w:val="auto"/>
                <w:highlight w:val="none"/>
                <w:lang w:eastAsia="zh-CN"/>
              </w:rPr>
              <w:t>）</w:t>
            </w:r>
          </w:p>
        </w:tc>
        <w:tc>
          <w:tcPr>
            <w:tcW w:w="62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both"/>
              <w:textAlignment w:val="auto"/>
              <w:rPr>
                <w:rFonts w:hint="eastAsia" w:ascii="宋体" w:hAnsi="宋体" w:eastAsia="宋体" w:cs="Times New Roman"/>
                <w:sz w:val="21"/>
                <w:szCs w:val="21"/>
                <w:highlight w:val="none"/>
                <w:lang w:val="en-US" w:eastAsia="zh-CN"/>
              </w:rPr>
            </w:pPr>
            <w:r>
              <w:rPr>
                <w:rFonts w:hint="eastAsia" w:ascii="宋体" w:hAnsi="宋体" w:eastAsia="宋体" w:cs="Times New Roman"/>
                <w:sz w:val="21"/>
                <w:szCs w:val="21"/>
                <w:highlight w:val="none"/>
                <w:lang w:val="zh-TW" w:eastAsia="zh-CN"/>
              </w:rPr>
              <w:t>根据投标人对本项目的需求和理解提出的合理化建议（</w:t>
            </w:r>
            <w:r>
              <w:rPr>
                <w:rFonts w:hint="eastAsia"/>
                <w:szCs w:val="21"/>
                <w:highlight w:val="none"/>
                <w:lang w:val="en-US" w:eastAsia="zh-CN"/>
              </w:rPr>
              <w:t>0</w:t>
            </w:r>
            <w:r>
              <w:rPr>
                <w:rFonts w:hint="eastAsia"/>
                <w:szCs w:val="21"/>
                <w:highlight w:val="none"/>
                <w:lang w:eastAsia="zh-CN"/>
              </w:rPr>
              <w:t>-</w:t>
            </w:r>
            <w:r>
              <w:rPr>
                <w:rFonts w:hint="eastAsia"/>
                <w:szCs w:val="21"/>
                <w:highlight w:val="none"/>
                <w:lang w:val="en-US" w:eastAsia="zh-CN"/>
              </w:rPr>
              <w:t>3</w:t>
            </w:r>
            <w:r>
              <w:rPr>
                <w:rFonts w:hint="eastAsia"/>
                <w:szCs w:val="21"/>
                <w:highlight w:val="none"/>
                <w:lang w:eastAsia="zh-CN"/>
              </w:rPr>
              <w:t>分</w:t>
            </w:r>
            <w:r>
              <w:rPr>
                <w:rFonts w:hint="eastAsia" w:ascii="宋体" w:hAnsi="宋体" w:eastAsia="宋体" w:cs="Times New Roman"/>
                <w:sz w:val="21"/>
                <w:szCs w:val="21"/>
                <w:highlight w:val="none"/>
                <w:lang w:val="zh-TW" w:eastAsia="zh-CN"/>
              </w:rPr>
              <w:t>）及增值服务</w:t>
            </w:r>
            <w:r>
              <w:rPr>
                <w:rFonts w:hint="eastAsia" w:ascii="宋体" w:hAnsi="宋体" w:eastAsia="宋体" w:cs="Times New Roman"/>
                <w:sz w:val="21"/>
                <w:szCs w:val="21"/>
                <w:highlight w:val="none"/>
                <w:lang w:val="zh-TW" w:eastAsia="zh-CN"/>
              </w:rPr>
              <w:t>（</w:t>
            </w:r>
            <w:r>
              <w:rPr>
                <w:rFonts w:hint="eastAsia"/>
                <w:szCs w:val="21"/>
                <w:highlight w:val="none"/>
                <w:lang w:val="en-US" w:eastAsia="zh-CN"/>
              </w:rPr>
              <w:t>0</w:t>
            </w:r>
            <w:r>
              <w:rPr>
                <w:rFonts w:hint="eastAsia"/>
                <w:szCs w:val="21"/>
                <w:highlight w:val="none"/>
                <w:lang w:eastAsia="zh-CN"/>
              </w:rPr>
              <w:t>-</w:t>
            </w:r>
            <w:r>
              <w:rPr>
                <w:rFonts w:hint="eastAsia"/>
                <w:szCs w:val="21"/>
                <w:highlight w:val="none"/>
                <w:lang w:val="en-US" w:eastAsia="zh-CN"/>
              </w:rPr>
              <w:t>3</w:t>
            </w:r>
            <w:r>
              <w:rPr>
                <w:rFonts w:hint="eastAsia"/>
                <w:szCs w:val="21"/>
                <w:highlight w:val="none"/>
                <w:lang w:eastAsia="zh-CN"/>
              </w:rPr>
              <w:t>分</w:t>
            </w:r>
            <w:r>
              <w:rPr>
                <w:rFonts w:hint="eastAsia" w:ascii="宋体" w:hAnsi="宋体" w:eastAsia="宋体" w:cs="Times New Roman"/>
                <w:sz w:val="21"/>
                <w:szCs w:val="21"/>
                <w:highlight w:val="none"/>
                <w:lang w:val="zh-TW" w:eastAsia="zh-CN"/>
              </w:rPr>
              <w:t>）</w:t>
            </w:r>
            <w:r>
              <w:rPr>
                <w:rFonts w:hint="eastAsia"/>
                <w:szCs w:val="21"/>
                <w:highlight w:val="none"/>
                <w:lang w:eastAsia="zh-CN"/>
              </w:rPr>
              <w:t>进行评分。</w:t>
            </w:r>
          </w:p>
        </w:tc>
        <w:tc>
          <w:tcPr>
            <w:tcW w:w="9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12" w:lineRule="auto"/>
              <w:jc w:val="center"/>
              <w:textAlignment w:val="auto"/>
              <w:rPr>
                <w:rFonts w:hint="eastAsia" w:ascii="宋体" w:hAnsi="宋体" w:eastAsia="宋体" w:cs="Times New Roman"/>
                <w:sz w:val="21"/>
                <w:szCs w:val="21"/>
                <w:highlight w:val="none"/>
                <w:lang w:val="en-US" w:eastAsia="zh-CN"/>
              </w:rPr>
            </w:pPr>
            <w:r>
              <w:rPr>
                <w:rFonts w:hint="eastAsia" w:ascii="宋体" w:hAnsi="宋体" w:eastAsia="宋体" w:cs="宋体"/>
                <w:sz w:val="21"/>
                <w:szCs w:val="21"/>
                <w:highlight w:val="none"/>
                <w:lang w:val="en-US" w:eastAsia="zh-CN"/>
              </w:rPr>
              <w:t>0-6分</w:t>
            </w:r>
          </w:p>
        </w:tc>
      </w:tr>
    </w:tbl>
    <w:p>
      <w:pPr>
        <w:pStyle w:val="51"/>
        <w:ind w:left="0" w:leftChars="0" w:firstLine="0" w:firstLineChars="0"/>
        <w:rPr>
          <w:highlight w:val="none"/>
        </w:rPr>
      </w:pPr>
    </w:p>
    <w:p>
      <w:pPr>
        <w:pStyle w:val="6"/>
        <w:spacing w:before="120" w:beforeLines="50"/>
        <w:rPr>
          <w:rFonts w:ascii="Times New Roman" w:hAnsi="Times New Roman"/>
          <w:color w:val="auto"/>
          <w:highlight w:val="none"/>
        </w:rPr>
      </w:pPr>
      <w:r>
        <w:rPr>
          <w:rFonts w:ascii="Times New Roman" w:hAnsi="Times New Roman"/>
          <w:color w:val="auto"/>
          <w:highlight w:val="none"/>
        </w:rPr>
        <w:t>2、</w:t>
      </w:r>
      <w:r>
        <w:rPr>
          <w:rFonts w:hint="eastAsia" w:ascii="Times New Roman" w:hAnsi="Times New Roman"/>
          <w:color w:val="auto"/>
          <w:highlight w:val="none"/>
          <w:lang w:val="en-US" w:eastAsia="zh-CN"/>
        </w:rPr>
        <w:t>报价响应文件</w:t>
      </w:r>
      <w:r>
        <w:rPr>
          <w:rFonts w:ascii="Times New Roman" w:hAnsi="Times New Roman"/>
          <w:color w:val="auto"/>
          <w:highlight w:val="none"/>
        </w:rPr>
        <w:t>评审</w:t>
      </w:r>
    </w:p>
    <w:p>
      <w:pPr>
        <w:pStyle w:val="28"/>
        <w:spacing w:line="360" w:lineRule="auto"/>
        <w:ind w:firstLine="422"/>
        <w:rPr>
          <w:rFonts w:ascii="Times New Roman" w:hAnsi="Times New Roman"/>
          <w:b/>
          <w:color w:val="auto"/>
          <w:highlight w:val="none"/>
        </w:rPr>
      </w:pPr>
      <w:r>
        <w:rPr>
          <w:rFonts w:ascii="Times New Roman" w:hAnsi="Times New Roman"/>
          <w:b/>
          <w:color w:val="auto"/>
          <w:highlight w:val="none"/>
        </w:rPr>
        <w:t>2.1 按以下步骤确定进入算术平均值计算的范围：</w:t>
      </w:r>
    </w:p>
    <w:p>
      <w:pPr>
        <w:spacing w:line="360" w:lineRule="auto"/>
        <w:ind w:firstLine="422"/>
        <w:rPr>
          <w:rFonts w:ascii="Times New Roman" w:hAnsi="Times New Roman"/>
          <w:b/>
          <w:color w:val="auto"/>
          <w:kern w:val="1"/>
          <w:highlight w:val="none"/>
        </w:rPr>
      </w:pPr>
      <w:r>
        <w:rPr>
          <w:rFonts w:ascii="Times New Roman" w:hAnsi="Times New Roman"/>
          <w:b/>
          <w:color w:val="auto"/>
          <w:kern w:val="1"/>
          <w:highlight w:val="none"/>
        </w:rPr>
        <w:t>（1）甄别异常报价：有下列情况之一的投标报价不进入商务分计算环节：</w:t>
      </w:r>
    </w:p>
    <w:p>
      <w:pPr>
        <w:spacing w:line="360" w:lineRule="auto"/>
        <w:ind w:firstLine="420"/>
        <w:rPr>
          <w:color w:val="auto"/>
          <w:highlight w:val="none"/>
        </w:rPr>
      </w:pPr>
      <w:r>
        <w:rPr>
          <w:rFonts w:ascii="Times New Roman" w:hAnsi="Times New Roman"/>
          <w:color w:val="auto"/>
          <w:kern w:val="1"/>
          <w:highlight w:val="none"/>
        </w:rPr>
        <w:t>①</w:t>
      </w:r>
      <w:r>
        <w:rPr>
          <w:rFonts w:hint="eastAsia" w:ascii="Times New Roman" w:hAnsi="Times New Roman"/>
          <w:color w:val="auto"/>
          <w:kern w:val="1"/>
          <w:highlight w:val="none"/>
        </w:rPr>
        <w:t>资格响应文件或商务技术响应文件</w:t>
      </w:r>
      <w:r>
        <w:rPr>
          <w:rFonts w:ascii="Times New Roman" w:hAnsi="Times New Roman"/>
          <w:color w:val="auto"/>
          <w:kern w:val="1"/>
          <w:highlight w:val="none"/>
        </w:rPr>
        <w:t>审查不通过单位的投标报价；</w:t>
      </w:r>
    </w:p>
    <w:p>
      <w:pPr>
        <w:spacing w:line="360" w:lineRule="auto"/>
        <w:ind w:firstLine="420"/>
        <w:rPr>
          <w:rFonts w:hint="eastAsia" w:ascii="Times New Roman" w:hAnsi="Times New Roman"/>
          <w:color w:val="auto"/>
          <w:kern w:val="1"/>
          <w:highlight w:val="none"/>
        </w:rPr>
      </w:pPr>
      <w:r>
        <w:rPr>
          <w:rFonts w:hint="eastAsia" w:ascii="宋体" w:hAnsi="宋体" w:cs="宋体"/>
          <w:color w:val="auto"/>
          <w:kern w:val="1"/>
          <w:highlight w:val="none"/>
        </w:rPr>
        <w:t>②</w:t>
      </w:r>
      <w:r>
        <w:rPr>
          <w:rFonts w:hint="eastAsia" w:ascii="Times New Roman" w:hAnsi="Times New Roman"/>
          <w:color w:val="auto"/>
          <w:kern w:val="1"/>
          <w:highlight w:val="none"/>
        </w:rPr>
        <w:t>投标报价高于最高限价或投标报价低于企业成本价或未填报企业成本价的</w:t>
      </w:r>
      <w:r>
        <w:rPr>
          <w:rFonts w:ascii="Times New Roman" w:hAnsi="Times New Roman"/>
          <w:color w:val="auto"/>
          <w:kern w:val="1"/>
          <w:highlight w:val="none"/>
        </w:rPr>
        <w:t>；</w:t>
      </w:r>
      <w:r>
        <w:rPr>
          <w:rFonts w:hint="eastAsia" w:ascii="Times New Roman" w:hAnsi="Times New Roman"/>
          <w:color w:val="auto"/>
          <w:kern w:val="1"/>
          <w:highlight w:val="none"/>
        </w:rPr>
        <w:t xml:space="preserve"> </w:t>
      </w:r>
    </w:p>
    <w:p>
      <w:pPr>
        <w:spacing w:line="360" w:lineRule="auto"/>
        <w:ind w:firstLine="420"/>
        <w:rPr>
          <w:rFonts w:ascii="Times New Roman" w:hAnsi="Times New Roman"/>
          <w:color w:val="auto"/>
          <w:kern w:val="1"/>
          <w:highlight w:val="none"/>
        </w:rPr>
      </w:pPr>
      <w:r>
        <w:rPr>
          <w:rFonts w:hint="eastAsia" w:ascii="Times New Roman" w:hAnsi="Times New Roman"/>
          <w:color w:val="auto"/>
          <w:kern w:val="1"/>
          <w:highlight w:val="none"/>
        </w:rPr>
        <w:t>③分析总报价及各个分项报价是否合理、报价范围是否完整、有否重大错漏项、是否超过最高限价。如评标委员会一致认为投标人的报价明显低于其他通过符合性审查投标人的报价，有可能影响产品质量或者不能诚信履约的，应当要求其在评标现场合理的时间内提供书面说明，必要时提交相关说明材料；投标人不能说明其报价合理性的，评标委员会应当将其作为无效投标处理。</w:t>
      </w:r>
    </w:p>
    <w:p>
      <w:pPr>
        <w:spacing w:line="360" w:lineRule="auto"/>
        <w:ind w:firstLine="422"/>
        <w:rPr>
          <w:rFonts w:ascii="Times New Roman" w:hAnsi="Times New Roman"/>
          <w:b/>
          <w:color w:val="auto"/>
          <w:kern w:val="1"/>
          <w:highlight w:val="none"/>
        </w:rPr>
      </w:pPr>
      <w:r>
        <w:rPr>
          <w:rFonts w:ascii="Times New Roman" w:hAnsi="Times New Roman"/>
          <w:b/>
          <w:color w:val="auto"/>
          <w:kern w:val="1"/>
          <w:highlight w:val="none"/>
        </w:rPr>
        <w:t>2.2</w:t>
      </w:r>
      <w:r>
        <w:rPr>
          <w:rFonts w:hint="eastAsia" w:ascii="Times New Roman" w:hAnsi="Times New Roman"/>
          <w:b/>
          <w:color w:val="auto"/>
          <w:kern w:val="1"/>
          <w:highlight w:val="none"/>
        </w:rPr>
        <w:t>报价响应文件</w:t>
      </w:r>
      <w:r>
        <w:rPr>
          <w:rFonts w:ascii="Times New Roman" w:hAnsi="Times New Roman"/>
          <w:b/>
          <w:color w:val="auto"/>
          <w:kern w:val="1"/>
          <w:highlight w:val="none"/>
        </w:rPr>
        <w:t>详细评审（</w:t>
      </w:r>
      <w:r>
        <w:rPr>
          <w:rFonts w:hint="eastAsia" w:ascii="Times New Roman" w:hAnsi="Times New Roman"/>
          <w:b/>
          <w:color w:val="auto"/>
          <w:kern w:val="1"/>
          <w:highlight w:val="none"/>
          <w:u w:val="single"/>
          <w:lang w:val="en-US" w:eastAsia="zh-CN"/>
        </w:rPr>
        <w:t>30</w:t>
      </w:r>
      <w:r>
        <w:rPr>
          <w:rFonts w:ascii="Times New Roman" w:hAnsi="Times New Roman"/>
          <w:b/>
          <w:color w:val="auto"/>
          <w:kern w:val="1"/>
          <w:highlight w:val="none"/>
        </w:rPr>
        <w:t>分）</w:t>
      </w:r>
    </w:p>
    <w:p>
      <w:pPr>
        <w:spacing w:line="360" w:lineRule="auto"/>
        <w:ind w:firstLine="420"/>
        <w:rPr>
          <w:rFonts w:ascii="Times New Roman" w:hAnsi="Times New Roman"/>
          <w:color w:val="auto"/>
          <w:kern w:val="1"/>
          <w:highlight w:val="none"/>
        </w:rPr>
      </w:pPr>
      <w:r>
        <w:rPr>
          <w:rFonts w:ascii="Times New Roman" w:hAnsi="Times New Roman"/>
          <w:color w:val="auto"/>
          <w:kern w:val="1"/>
          <w:highlight w:val="none"/>
        </w:rPr>
        <w:t>（1）评标基准价以满足招标文件要求且投标价格最低的投标报价为评标基准价，其商务报价分为</w:t>
      </w:r>
      <w:r>
        <w:rPr>
          <w:rFonts w:hint="eastAsia" w:ascii="Times New Roman" w:hAnsi="Times New Roman"/>
          <w:color w:val="auto"/>
          <w:kern w:val="1"/>
          <w:highlight w:val="none"/>
          <w:lang w:val="en-US" w:eastAsia="zh-CN"/>
        </w:rPr>
        <w:t>30</w:t>
      </w:r>
      <w:r>
        <w:rPr>
          <w:rFonts w:ascii="Times New Roman" w:hAnsi="Times New Roman"/>
          <w:color w:val="auto"/>
          <w:kern w:val="1"/>
          <w:highlight w:val="none"/>
        </w:rPr>
        <w:t>分。</w:t>
      </w:r>
    </w:p>
    <w:p>
      <w:pPr>
        <w:spacing w:line="360" w:lineRule="auto"/>
        <w:ind w:firstLine="420"/>
        <w:rPr>
          <w:rFonts w:ascii="Times New Roman" w:hAnsi="Times New Roman"/>
          <w:color w:val="auto"/>
          <w:kern w:val="1"/>
          <w:highlight w:val="none"/>
        </w:rPr>
      </w:pPr>
      <w:r>
        <w:rPr>
          <w:rFonts w:ascii="Times New Roman" w:hAnsi="Times New Roman"/>
          <w:color w:val="auto"/>
          <w:kern w:val="1"/>
          <w:highlight w:val="none"/>
        </w:rPr>
        <w:t>（2）商务得分计算。</w:t>
      </w:r>
    </w:p>
    <w:p>
      <w:pPr>
        <w:spacing w:line="360" w:lineRule="auto"/>
        <w:ind w:firstLine="420"/>
        <w:rPr>
          <w:rFonts w:ascii="Times New Roman" w:hAnsi="Times New Roman"/>
          <w:color w:val="auto"/>
          <w:kern w:val="1"/>
          <w:highlight w:val="none"/>
        </w:rPr>
      </w:pPr>
      <w:r>
        <w:rPr>
          <w:rFonts w:ascii="Times New Roman" w:hAnsi="Times New Roman"/>
          <w:color w:val="auto"/>
          <w:kern w:val="1"/>
          <w:highlight w:val="none"/>
        </w:rPr>
        <w:t>商务得分=（评标基准价/投标报价）×</w:t>
      </w:r>
      <w:r>
        <w:rPr>
          <w:rFonts w:hint="eastAsia" w:ascii="Times New Roman" w:hAnsi="Times New Roman"/>
          <w:color w:val="auto"/>
          <w:kern w:val="1"/>
          <w:highlight w:val="none"/>
          <w:lang w:val="en-US" w:eastAsia="zh-CN"/>
        </w:rPr>
        <w:t>30</w:t>
      </w:r>
      <w:r>
        <w:rPr>
          <w:rFonts w:ascii="Times New Roman" w:hAnsi="Times New Roman"/>
          <w:color w:val="auto"/>
          <w:kern w:val="1"/>
          <w:highlight w:val="none"/>
        </w:rPr>
        <w:t>%×100，保留小数2位（四舍五入）。</w:t>
      </w:r>
    </w:p>
    <w:p>
      <w:pPr>
        <w:spacing w:line="360" w:lineRule="auto"/>
        <w:ind w:firstLine="420"/>
        <w:rPr>
          <w:rFonts w:ascii="Times New Roman" w:hAnsi="Times New Roman"/>
          <w:b/>
          <w:bCs/>
          <w:color w:val="auto"/>
          <w:kern w:val="1"/>
          <w:highlight w:val="none"/>
        </w:rPr>
      </w:pPr>
      <w:r>
        <w:rPr>
          <w:rFonts w:ascii="Times New Roman" w:hAnsi="Times New Roman"/>
          <w:b/>
          <w:bCs/>
          <w:color w:val="auto"/>
          <w:kern w:val="1"/>
          <w:highlight w:val="none"/>
        </w:rPr>
        <w:t>注：对于小型和微型企业</w:t>
      </w:r>
      <w:r>
        <w:rPr>
          <w:rFonts w:hint="eastAsia" w:ascii="Times New Roman" w:hAnsi="Times New Roman"/>
          <w:b/>
          <w:bCs/>
          <w:color w:val="auto"/>
          <w:kern w:val="1"/>
          <w:highlight w:val="none"/>
        </w:rPr>
        <w:t>产品</w:t>
      </w:r>
      <w:r>
        <w:rPr>
          <w:rFonts w:ascii="Times New Roman" w:hAnsi="Times New Roman"/>
          <w:b/>
          <w:bCs/>
          <w:color w:val="auto"/>
          <w:kern w:val="1"/>
          <w:highlight w:val="none"/>
        </w:rPr>
        <w:t>的价格给予</w:t>
      </w:r>
      <w:r>
        <w:rPr>
          <w:rFonts w:hint="eastAsia" w:ascii="Times New Roman" w:hAnsi="Times New Roman"/>
          <w:b/>
          <w:bCs/>
          <w:color w:val="auto"/>
          <w:kern w:val="1"/>
          <w:highlight w:val="none"/>
          <w:lang w:eastAsia="zh-CN"/>
        </w:rPr>
        <w:t>10%</w:t>
      </w:r>
      <w:r>
        <w:rPr>
          <w:rFonts w:ascii="Times New Roman" w:hAnsi="Times New Roman"/>
          <w:b/>
          <w:bCs/>
          <w:color w:val="auto"/>
          <w:kern w:val="1"/>
          <w:highlight w:val="none"/>
        </w:rPr>
        <w:t>的扣除，用扣除后的价格参与评审，是否给予价格扣除按前附表“小微企业有关规定”要求认定，此项由评标委员会集体核实后统一打分。</w:t>
      </w:r>
    </w:p>
    <w:p>
      <w:pPr>
        <w:pStyle w:val="6"/>
        <w:rPr>
          <w:rFonts w:ascii="Times New Roman" w:hAnsi="Times New Roman"/>
          <w:color w:val="auto"/>
          <w:highlight w:val="none"/>
        </w:rPr>
      </w:pPr>
      <w:bookmarkStart w:id="63" w:name="_Toc34950026"/>
      <w:r>
        <w:rPr>
          <w:rFonts w:ascii="Times New Roman" w:hAnsi="Times New Roman"/>
          <w:color w:val="auto"/>
          <w:highlight w:val="none"/>
        </w:rPr>
        <w:t>3、计算总分（满分为100分）</w:t>
      </w:r>
      <w:bookmarkEnd w:id="63"/>
    </w:p>
    <w:p>
      <w:pPr>
        <w:pStyle w:val="28"/>
        <w:spacing w:line="360" w:lineRule="auto"/>
        <w:ind w:firstLine="420"/>
        <w:rPr>
          <w:rFonts w:ascii="Times New Roman" w:hAnsi="Times New Roman"/>
          <w:color w:val="auto"/>
          <w:highlight w:val="none"/>
        </w:rPr>
      </w:pPr>
      <w:r>
        <w:rPr>
          <w:rFonts w:ascii="Times New Roman" w:hAnsi="Times New Roman"/>
          <w:color w:val="auto"/>
          <w:highlight w:val="none"/>
        </w:rPr>
        <w:t xml:space="preserve">   计算方法：投标人总得分 = 技术得分+ 商务得分</w:t>
      </w:r>
    </w:p>
    <w:p>
      <w:pPr>
        <w:pStyle w:val="6"/>
        <w:rPr>
          <w:rFonts w:ascii="Times New Roman" w:hAnsi="Times New Roman"/>
          <w:color w:val="auto"/>
          <w:highlight w:val="none"/>
        </w:rPr>
      </w:pPr>
      <w:bookmarkStart w:id="64" w:name="_Toc34950027"/>
      <w:r>
        <w:rPr>
          <w:rFonts w:ascii="Times New Roman" w:hAnsi="Times New Roman"/>
          <w:color w:val="auto"/>
          <w:highlight w:val="none"/>
        </w:rPr>
        <w:t>4、推荐中标候选人，完成评标报告</w:t>
      </w:r>
      <w:bookmarkEnd w:id="64"/>
    </w:p>
    <w:p>
      <w:pPr>
        <w:spacing w:line="360" w:lineRule="auto"/>
        <w:ind w:firstLine="420"/>
        <w:rPr>
          <w:rFonts w:ascii="Times New Roman" w:hAnsi="Times New Roman"/>
          <w:color w:val="auto"/>
          <w:kern w:val="1"/>
          <w:highlight w:val="none"/>
        </w:rPr>
      </w:pPr>
      <w:r>
        <w:rPr>
          <w:rFonts w:ascii="Times New Roman" w:hAnsi="Times New Roman"/>
          <w:color w:val="auto"/>
          <w:kern w:val="1"/>
          <w:highlight w:val="none"/>
        </w:rPr>
        <w:t>（1）推荐中标候选人</w:t>
      </w:r>
    </w:p>
    <w:p>
      <w:pPr>
        <w:spacing w:line="360" w:lineRule="auto"/>
        <w:ind w:firstLine="420"/>
        <w:rPr>
          <w:rFonts w:ascii="Times New Roman" w:hAnsi="Times New Roman"/>
          <w:color w:val="auto"/>
          <w:kern w:val="1"/>
          <w:highlight w:val="none"/>
        </w:rPr>
      </w:pPr>
      <w:r>
        <w:rPr>
          <w:rFonts w:ascii="Times New Roman" w:hAnsi="Times New Roman"/>
          <w:color w:val="auto"/>
          <w:kern w:val="1"/>
          <w:highlight w:val="none"/>
        </w:rPr>
        <w:t>评标委员会完成评标后，按总得分由高到低排定顺序（得分相同的，按投标报价由低到高顺序排列；得分且投标报价相同的，按技术分由高到低顺序排列，技术分也相同的，由采购人代表使用交易中心抽取程序随机抽取决定排序），评标委员会根据以上排序直接确定第一名的</w:t>
      </w:r>
      <w:r>
        <w:rPr>
          <w:rFonts w:hint="eastAsia" w:ascii="Times New Roman" w:hAnsi="Times New Roman"/>
          <w:color w:val="auto"/>
          <w:kern w:val="1"/>
          <w:highlight w:val="none"/>
        </w:rPr>
        <w:t>投标人</w:t>
      </w:r>
      <w:r>
        <w:rPr>
          <w:rFonts w:ascii="Times New Roman" w:hAnsi="Times New Roman"/>
          <w:color w:val="auto"/>
          <w:kern w:val="1"/>
          <w:highlight w:val="none"/>
        </w:rPr>
        <w:t>为中标人。</w:t>
      </w:r>
    </w:p>
    <w:p>
      <w:pPr>
        <w:spacing w:line="360" w:lineRule="auto"/>
        <w:ind w:firstLine="420"/>
        <w:rPr>
          <w:rFonts w:ascii="Times New Roman" w:hAnsi="Times New Roman"/>
          <w:color w:val="auto"/>
          <w:kern w:val="1"/>
          <w:highlight w:val="none"/>
        </w:rPr>
      </w:pPr>
      <w:r>
        <w:rPr>
          <w:rFonts w:ascii="Times New Roman" w:hAnsi="Times New Roman"/>
          <w:color w:val="auto"/>
          <w:kern w:val="1"/>
          <w:highlight w:val="none"/>
        </w:rPr>
        <w:t>当确定的中标人放弃中标，因不可抗力提出不能履行合同，重新组织招标。</w:t>
      </w:r>
    </w:p>
    <w:p>
      <w:pPr>
        <w:spacing w:line="360" w:lineRule="auto"/>
        <w:ind w:firstLine="420"/>
        <w:rPr>
          <w:rFonts w:ascii="Times New Roman" w:hAnsi="Times New Roman"/>
          <w:color w:val="auto"/>
          <w:kern w:val="1"/>
          <w:highlight w:val="none"/>
        </w:rPr>
      </w:pPr>
      <w:r>
        <w:rPr>
          <w:rFonts w:ascii="Times New Roman" w:hAnsi="Times New Roman"/>
          <w:color w:val="auto"/>
          <w:kern w:val="1"/>
          <w:highlight w:val="none"/>
        </w:rPr>
        <w:t>（2）完成评标报告</w:t>
      </w:r>
    </w:p>
    <w:p>
      <w:pPr>
        <w:spacing w:line="360" w:lineRule="auto"/>
        <w:ind w:firstLine="420"/>
        <w:rPr>
          <w:rFonts w:ascii="Times New Roman" w:hAnsi="Times New Roman"/>
          <w:color w:val="auto"/>
          <w:kern w:val="1"/>
          <w:highlight w:val="none"/>
        </w:rPr>
      </w:pPr>
      <w:r>
        <w:rPr>
          <w:rFonts w:ascii="Times New Roman" w:hAnsi="Times New Roman"/>
          <w:color w:val="auto"/>
          <w:highlight w:val="none"/>
        </w:rPr>
        <w:t>评标委员会向采购人提出评标报告，内容包括评标过程、投标人的优劣对比分析、中标候选人推荐情况、基本结论、存在的问题和评标专家的不同意见。评标报告应经评标委员会所有专家签字，在评标结束时当场提交给采购人</w:t>
      </w:r>
      <w:r>
        <w:rPr>
          <w:rFonts w:ascii="Times New Roman" w:hAnsi="Times New Roman"/>
          <w:color w:val="auto"/>
          <w:kern w:val="1"/>
          <w:highlight w:val="none"/>
        </w:rPr>
        <w:t>。</w:t>
      </w:r>
    </w:p>
    <w:p>
      <w:pPr>
        <w:pStyle w:val="146"/>
        <w:rPr>
          <w:rFonts w:ascii="Times New Roman"/>
          <w:color w:val="auto"/>
          <w:kern w:val="1"/>
          <w:highlight w:val="none"/>
        </w:rPr>
      </w:pPr>
    </w:p>
    <w:p>
      <w:pPr>
        <w:pStyle w:val="146"/>
        <w:rPr>
          <w:rFonts w:ascii="Times New Roman"/>
          <w:color w:val="auto"/>
          <w:kern w:val="1"/>
          <w:highlight w:val="none"/>
        </w:rPr>
      </w:pPr>
    </w:p>
    <w:p>
      <w:pPr>
        <w:pStyle w:val="146"/>
        <w:rPr>
          <w:rFonts w:ascii="Times New Roman"/>
          <w:color w:val="auto"/>
          <w:kern w:val="1"/>
          <w:highlight w:val="none"/>
        </w:rPr>
      </w:pPr>
    </w:p>
    <w:p>
      <w:pPr>
        <w:pStyle w:val="146"/>
        <w:rPr>
          <w:rFonts w:ascii="Times New Roman"/>
          <w:color w:val="auto"/>
          <w:kern w:val="1"/>
          <w:highlight w:val="none"/>
        </w:rPr>
      </w:pPr>
    </w:p>
    <w:p>
      <w:pPr>
        <w:pStyle w:val="146"/>
        <w:rPr>
          <w:rFonts w:ascii="Times New Roman"/>
          <w:color w:val="auto"/>
          <w:kern w:val="1"/>
          <w:highlight w:val="none"/>
        </w:rPr>
      </w:pPr>
    </w:p>
    <w:p>
      <w:pPr>
        <w:pStyle w:val="146"/>
        <w:rPr>
          <w:rFonts w:ascii="Times New Roman"/>
          <w:color w:val="auto"/>
          <w:kern w:val="1"/>
          <w:highlight w:val="none"/>
        </w:rPr>
      </w:pPr>
    </w:p>
    <w:p>
      <w:pPr>
        <w:pStyle w:val="146"/>
        <w:rPr>
          <w:rFonts w:ascii="Times New Roman"/>
          <w:color w:val="auto"/>
          <w:kern w:val="1"/>
          <w:highlight w:val="none"/>
        </w:rPr>
      </w:pPr>
    </w:p>
    <w:p>
      <w:pPr>
        <w:pStyle w:val="146"/>
        <w:rPr>
          <w:rFonts w:ascii="Times New Roman"/>
          <w:color w:val="auto"/>
          <w:kern w:val="1"/>
          <w:highlight w:val="none"/>
        </w:rPr>
      </w:pPr>
    </w:p>
    <w:p>
      <w:pPr>
        <w:bidi w:val="0"/>
        <w:rPr>
          <w:highlight w:val="none"/>
        </w:rPr>
      </w:pPr>
      <w:bookmarkStart w:id="65" w:name="_Toc34950028"/>
    </w:p>
    <w:p>
      <w:pPr>
        <w:pStyle w:val="4"/>
        <w:spacing w:before="0" w:after="0" w:line="240" w:lineRule="auto"/>
        <w:jc w:val="center"/>
        <w:rPr>
          <w:rFonts w:ascii="Times New Roman" w:hAnsi="Times New Roman"/>
          <w:color w:val="auto"/>
          <w:sz w:val="36"/>
          <w:highlight w:val="none"/>
        </w:rPr>
      </w:pPr>
      <w:r>
        <w:rPr>
          <w:rFonts w:ascii="Times New Roman" w:hAnsi="Times New Roman"/>
          <w:color w:val="auto"/>
          <w:sz w:val="32"/>
          <w:highlight w:val="none"/>
        </w:rPr>
        <w:t>第七章  合同主要条款</w:t>
      </w:r>
      <w:bookmarkEnd w:id="65"/>
    </w:p>
    <w:p>
      <w:pPr>
        <w:keepNext/>
        <w:keepLines/>
        <w:spacing w:before="120" w:after="120"/>
        <w:jc w:val="center"/>
        <w:outlineLvl w:val="0"/>
        <w:rPr>
          <w:rFonts w:ascii="Times New Roman" w:hAnsi="Times New Roman"/>
          <w:b/>
          <w:color w:val="auto"/>
          <w:sz w:val="36"/>
          <w:highlight w:val="none"/>
        </w:rPr>
      </w:pPr>
      <w:bookmarkStart w:id="66" w:name="_Toc270168500"/>
      <w:bookmarkEnd w:id="66"/>
      <w:r>
        <w:rPr>
          <w:rFonts w:ascii="Times New Roman" w:hAnsi="Times New Roman"/>
          <w:b/>
          <w:color w:val="auto"/>
          <w:sz w:val="28"/>
          <w:highlight w:val="none"/>
        </w:rPr>
        <w:t>义乌市政府采购合同（样本）</w:t>
      </w:r>
    </w:p>
    <w:p>
      <w:pPr>
        <w:keepNext w:val="0"/>
        <w:keepLines w:val="0"/>
        <w:pageBreakBefore w:val="0"/>
        <w:widowControl/>
        <w:kinsoku/>
        <w:wordWrap/>
        <w:overflowPunct/>
        <w:topLinePunct w:val="0"/>
        <w:autoSpaceDE/>
        <w:autoSpaceDN/>
        <w:bidi w:val="0"/>
        <w:adjustRightInd/>
        <w:snapToGrid/>
        <w:spacing w:line="360" w:lineRule="auto"/>
        <w:ind w:firstLine="420"/>
        <w:jc w:val="left"/>
        <w:textAlignment w:val="auto"/>
        <w:rPr>
          <w:rFonts w:ascii="Times New Roman" w:hAnsi="Times New Roman"/>
          <w:color w:val="auto"/>
          <w:highlight w:val="none"/>
        </w:rPr>
      </w:pPr>
      <w:r>
        <w:rPr>
          <w:rFonts w:ascii="Times New Roman" w:hAnsi="Times New Roman"/>
          <w:color w:val="auto"/>
          <w:highlight w:val="none"/>
        </w:rPr>
        <w:t>甲方：___________________</w:t>
      </w:r>
    </w:p>
    <w:p>
      <w:pPr>
        <w:keepNext w:val="0"/>
        <w:keepLines w:val="0"/>
        <w:pageBreakBefore w:val="0"/>
        <w:widowControl/>
        <w:kinsoku/>
        <w:wordWrap/>
        <w:overflowPunct/>
        <w:topLinePunct w:val="0"/>
        <w:autoSpaceDE/>
        <w:autoSpaceDN/>
        <w:bidi w:val="0"/>
        <w:adjustRightInd/>
        <w:snapToGrid/>
        <w:spacing w:line="360" w:lineRule="auto"/>
        <w:ind w:firstLine="420"/>
        <w:jc w:val="left"/>
        <w:textAlignment w:val="auto"/>
        <w:rPr>
          <w:rFonts w:ascii="Times New Roman" w:hAnsi="Times New Roman"/>
          <w:color w:val="auto"/>
          <w:highlight w:val="none"/>
        </w:rPr>
      </w:pPr>
      <w:r>
        <w:rPr>
          <w:rFonts w:ascii="Times New Roman" w:hAnsi="Times New Roman"/>
          <w:color w:val="auto"/>
          <w:highlight w:val="none"/>
        </w:rPr>
        <w:t>乙方：___________________</w:t>
      </w:r>
    </w:p>
    <w:p>
      <w:pPr>
        <w:keepNext w:val="0"/>
        <w:keepLines w:val="0"/>
        <w:pageBreakBefore w:val="0"/>
        <w:widowControl/>
        <w:numPr>
          <w:ilvl w:val="0"/>
          <w:numId w:val="6"/>
        </w:numPr>
        <w:kinsoku/>
        <w:wordWrap/>
        <w:overflowPunct/>
        <w:topLinePunct w:val="0"/>
        <w:autoSpaceDE/>
        <w:autoSpaceDN/>
        <w:bidi w:val="0"/>
        <w:adjustRightInd/>
        <w:snapToGrid/>
        <w:spacing w:line="360" w:lineRule="auto"/>
        <w:ind w:firstLine="420"/>
        <w:jc w:val="left"/>
        <w:textAlignment w:val="auto"/>
        <w:rPr>
          <w:rFonts w:ascii="Times New Roman" w:hAnsi="Times New Roman"/>
          <w:color w:val="auto"/>
          <w:highlight w:val="none"/>
        </w:rPr>
      </w:pPr>
      <w:r>
        <w:rPr>
          <w:rFonts w:ascii="Times New Roman" w:hAnsi="Times New Roman"/>
          <w:color w:val="auto"/>
          <w:highlight w:val="none"/>
        </w:rPr>
        <w:t>乙双方根据</w:t>
      </w:r>
      <w:r>
        <w:rPr>
          <w:rFonts w:ascii="Times New Roman" w:hAnsi="Times New Roman"/>
          <w:color w:val="auto"/>
          <w:highlight w:val="none"/>
          <w:u w:val="single"/>
        </w:rPr>
        <w:t xml:space="preserve">     </w:t>
      </w:r>
      <w:r>
        <w:rPr>
          <w:rFonts w:ascii="Times New Roman" w:hAnsi="Times New Roman"/>
          <w:color w:val="auto"/>
          <w:highlight w:val="none"/>
        </w:rPr>
        <w:t>年____月____日浙江省义乌市政府采购</w:t>
      </w:r>
      <w:r>
        <w:rPr>
          <w:rFonts w:ascii="Times New Roman" w:hAnsi="Times New Roman"/>
          <w:color w:val="auto"/>
          <w:highlight w:val="none"/>
          <w:u w:val="single"/>
        </w:rPr>
        <w:t xml:space="preserve">                  </w:t>
      </w:r>
      <w:r>
        <w:rPr>
          <w:rFonts w:ascii="Times New Roman" w:hAnsi="Times New Roman"/>
          <w:color w:val="auto"/>
          <w:highlight w:val="none"/>
        </w:rPr>
        <w:t>项目中标结果和投标文件的要求，依据《中华人民共和国</w:t>
      </w:r>
      <w:r>
        <w:rPr>
          <w:rFonts w:hint="eastAsia" w:ascii="Times New Roman" w:hAnsi="Times New Roman"/>
          <w:color w:val="auto"/>
          <w:highlight w:val="none"/>
          <w:lang w:val="en-US" w:eastAsia="zh-CN"/>
        </w:rPr>
        <w:t>民法典</w:t>
      </w:r>
      <w:r>
        <w:rPr>
          <w:rFonts w:ascii="Times New Roman" w:hAnsi="Times New Roman"/>
          <w:color w:val="auto"/>
          <w:highlight w:val="none"/>
        </w:rPr>
        <w:t>》并经双方协调一致，订立本采购合同。</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ascii="Times New Roman" w:hAnsi="Times New Roman"/>
          <w:color w:val="auto"/>
          <w:highlight w:val="none"/>
        </w:rPr>
      </w:pPr>
      <w:r>
        <w:rPr>
          <w:rFonts w:ascii="Times New Roman" w:hAnsi="Times New Roman"/>
          <w:color w:val="auto"/>
          <w:highlight w:val="none"/>
        </w:rPr>
        <w:t>本合同（</w:t>
      </w:r>
      <w:r>
        <w:rPr>
          <w:rFonts w:hint="eastAsia" w:ascii="宋体" w:hAnsi="宋体" w:cs="宋体"/>
          <w:color w:val="auto"/>
          <w:highlight w:val="none"/>
        </w:rPr>
        <w:t>□是 □否</w:t>
      </w:r>
      <w:r>
        <w:rPr>
          <w:rFonts w:ascii="Times New Roman" w:hAnsi="Times New Roman"/>
          <w:color w:val="auto"/>
          <w:highlight w:val="none"/>
        </w:rPr>
        <w:t>）为可融资合同。</w:t>
      </w:r>
    </w:p>
    <w:p>
      <w:pPr>
        <w:keepNext w:val="0"/>
        <w:keepLines w:val="0"/>
        <w:pageBreakBefore w:val="0"/>
        <w:widowControl/>
        <w:kinsoku/>
        <w:wordWrap/>
        <w:overflowPunct/>
        <w:topLinePunct w:val="0"/>
        <w:autoSpaceDE/>
        <w:autoSpaceDN/>
        <w:bidi w:val="0"/>
        <w:adjustRightInd/>
        <w:snapToGrid/>
        <w:spacing w:line="360" w:lineRule="auto"/>
        <w:ind w:firstLine="422"/>
        <w:jc w:val="left"/>
        <w:textAlignment w:val="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一、合同文件组成：</w:t>
      </w:r>
      <w:r>
        <w:rPr>
          <w:rFonts w:hint="eastAsia" w:ascii="宋体" w:hAnsi="宋体" w:eastAsia="宋体" w:cs="宋体"/>
          <w:color w:val="auto"/>
          <w:sz w:val="21"/>
          <w:szCs w:val="21"/>
          <w:highlight w:val="none"/>
        </w:rPr>
        <w:t>招标文件及其补充文件、询标承诺、询疑答复、投标响应文件、双方来函。合同文件组成的所有内容是构成合同不可分割的部分，与合同具有同等法律效力。</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eastAsia="宋体" w:cs="宋体"/>
          <w:b/>
          <w:bCs/>
          <w:color w:val="auto"/>
          <w:sz w:val="21"/>
          <w:szCs w:val="21"/>
          <w:highlight w:val="none"/>
          <w:lang w:val="en-US" w:eastAsia="zh-CN"/>
        </w:rPr>
        <w:t>二、</w:t>
      </w:r>
      <w:r>
        <w:rPr>
          <w:rFonts w:hint="eastAsia" w:ascii="宋体" w:hAnsi="宋体" w:eastAsia="宋体" w:cs="宋体"/>
          <w:b/>
          <w:bCs/>
          <w:color w:val="auto"/>
          <w:sz w:val="21"/>
          <w:szCs w:val="21"/>
          <w:highlight w:val="none"/>
        </w:rPr>
        <w:t>合同金额</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合同金额（大写）</w:t>
      </w:r>
      <w:r>
        <w:rPr>
          <w:rFonts w:hint="eastAsia" w:ascii="宋体" w:hAnsi="宋体" w:eastAsia="宋体" w:cs="宋体"/>
          <w:color w:val="auto"/>
          <w:sz w:val="21"/>
          <w:szCs w:val="21"/>
          <w:highlight w:val="none"/>
          <w:lang w:val="en-US" w:eastAsia="zh-CN"/>
        </w:rPr>
        <w:t>:人民币</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元）。</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合同金额包括赛事策划、组织、宣传、后勤保障、补给物资、交通费、安保、医疗、人员费用、管理费用、项目执行费用、利润、税金、完成本项目的其它费用和政策性文件规定及合同包含的所有风险、责任等各项应有费用，如有漏项，视同已包含在其总项目中，合同总价不予调整。</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eastAsia="宋体" w:cs="宋体"/>
          <w:b/>
          <w:bCs/>
          <w:color w:val="auto"/>
          <w:sz w:val="21"/>
          <w:szCs w:val="21"/>
          <w:highlight w:val="none"/>
          <w:lang w:val="en-US" w:eastAsia="zh-CN"/>
        </w:rPr>
        <w:t>三、</w:t>
      </w:r>
      <w:r>
        <w:rPr>
          <w:rFonts w:hint="eastAsia" w:ascii="宋体" w:hAnsi="宋体" w:eastAsia="宋体" w:cs="宋体"/>
          <w:b/>
          <w:bCs/>
          <w:color w:val="auto"/>
          <w:sz w:val="21"/>
          <w:szCs w:val="21"/>
          <w:highlight w:val="none"/>
        </w:rPr>
        <w:t>服务期限</w:t>
      </w:r>
    </w:p>
    <w:p>
      <w:pPr>
        <w:pStyle w:val="28"/>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自合同签订起至赛事承办全部工作结束止。</w:t>
      </w:r>
    </w:p>
    <w:p>
      <w:pPr>
        <w:pStyle w:val="28"/>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auto"/>
          <w:sz w:val="21"/>
          <w:szCs w:val="21"/>
          <w:highlight w:val="none"/>
          <w:u w:val="single"/>
        </w:rPr>
      </w:pPr>
      <w:r>
        <w:rPr>
          <w:rFonts w:hint="eastAsia" w:eastAsia="宋体" w:cs="宋体"/>
          <w:b/>
          <w:bCs/>
          <w:color w:val="auto"/>
          <w:sz w:val="21"/>
          <w:szCs w:val="21"/>
          <w:highlight w:val="none"/>
          <w:lang w:val="en-US" w:eastAsia="zh-CN"/>
        </w:rPr>
        <w:t>四、</w:t>
      </w:r>
      <w:r>
        <w:rPr>
          <w:rFonts w:hint="eastAsia" w:ascii="宋体" w:hAnsi="宋体" w:eastAsia="宋体" w:cs="宋体"/>
          <w:b/>
          <w:bCs/>
          <w:color w:val="auto"/>
          <w:sz w:val="21"/>
          <w:szCs w:val="21"/>
          <w:highlight w:val="none"/>
        </w:rPr>
        <w:t>付款方式</w:t>
      </w:r>
    </w:p>
    <w:p>
      <w:pPr>
        <w:pStyle w:val="28"/>
        <w:keepNext w:val="0"/>
        <w:keepLines w:val="0"/>
        <w:pageBreakBefore w:val="0"/>
        <w:widowControl w:val="0"/>
        <w:kinsoku/>
        <w:wordWrap/>
        <w:overflowPunct/>
        <w:topLinePunct w:val="0"/>
        <w:autoSpaceDE/>
        <w:autoSpaceDN/>
        <w:bidi w:val="0"/>
        <w:adjustRightInd/>
        <w:snapToGrid/>
        <w:spacing w:line="360" w:lineRule="auto"/>
        <w:ind w:left="1" w:firstLine="470" w:firstLineChars="224"/>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auto"/>
          <w:sz w:val="21"/>
          <w:szCs w:val="21"/>
          <w:highlight w:val="none"/>
        </w:rPr>
        <w:t>合同签订生效后支付合同价款的</w:t>
      </w:r>
      <w:r>
        <w:rPr>
          <w:rFonts w:hint="eastAsia" w:ascii="宋体" w:hAnsi="宋体" w:eastAsia="宋体" w:cs="宋体"/>
          <w:color w:val="auto"/>
          <w:sz w:val="21"/>
          <w:szCs w:val="21"/>
          <w:highlight w:val="none"/>
          <w:lang w:val="en-US" w:eastAsia="zh-CN"/>
        </w:rPr>
        <w:t>40%，赛事开始举办后支付至</w:t>
      </w:r>
      <w:r>
        <w:rPr>
          <w:rFonts w:hint="eastAsia" w:ascii="宋体" w:hAnsi="宋体" w:eastAsia="宋体" w:cs="宋体"/>
          <w:color w:val="auto"/>
          <w:sz w:val="21"/>
          <w:szCs w:val="21"/>
          <w:highlight w:val="none"/>
        </w:rPr>
        <w:t>合同价款的</w:t>
      </w:r>
      <w:r>
        <w:rPr>
          <w:rFonts w:hint="eastAsia" w:ascii="宋体" w:hAnsi="宋体" w:eastAsia="宋体" w:cs="宋体"/>
          <w:color w:val="auto"/>
          <w:sz w:val="21"/>
          <w:szCs w:val="21"/>
          <w:highlight w:val="none"/>
          <w:lang w:val="en-US" w:eastAsia="zh-CN"/>
        </w:rPr>
        <w:t>80%，</w:t>
      </w:r>
      <w:r>
        <w:rPr>
          <w:rFonts w:hint="eastAsia" w:ascii="宋体" w:hAnsi="宋体" w:eastAsia="宋体" w:cs="宋体"/>
          <w:color w:val="auto"/>
          <w:sz w:val="21"/>
          <w:szCs w:val="21"/>
          <w:highlight w:val="none"/>
        </w:rPr>
        <w:t>待赛事结束，所有工作均已完成后，在收到</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出具的正式票据后，</w:t>
      </w:r>
      <w:r>
        <w:rPr>
          <w:rFonts w:hint="eastAsia" w:ascii="宋体" w:hAnsi="宋体" w:eastAsia="宋体" w:cs="宋体"/>
          <w:color w:val="auto"/>
          <w:sz w:val="21"/>
          <w:szCs w:val="21"/>
          <w:highlight w:val="none"/>
          <w:lang w:val="en-US" w:eastAsia="zh-CN"/>
        </w:rPr>
        <w:t>甲方</w:t>
      </w:r>
      <w:r>
        <w:rPr>
          <w:rFonts w:hint="eastAsia" w:ascii="宋体" w:hAnsi="宋体" w:eastAsia="宋体" w:cs="宋体"/>
          <w:color w:val="auto"/>
          <w:sz w:val="21"/>
          <w:szCs w:val="21"/>
          <w:highlight w:val="none"/>
        </w:rPr>
        <w:t>向</w:t>
      </w:r>
      <w:r>
        <w:rPr>
          <w:rFonts w:hint="eastAsia" w:ascii="宋体" w:hAnsi="宋体" w:eastAsia="宋体" w:cs="宋体"/>
          <w:color w:val="auto"/>
          <w:sz w:val="21"/>
          <w:szCs w:val="21"/>
          <w:highlight w:val="none"/>
          <w:lang w:val="en-US" w:eastAsia="zh-CN"/>
        </w:rPr>
        <w:t>乙方</w:t>
      </w:r>
      <w:r>
        <w:rPr>
          <w:rFonts w:hint="eastAsia" w:ascii="宋体" w:hAnsi="宋体" w:eastAsia="宋体" w:cs="宋体"/>
          <w:color w:val="auto"/>
          <w:sz w:val="21"/>
          <w:szCs w:val="21"/>
          <w:highlight w:val="none"/>
        </w:rPr>
        <w:t>支付剩余合同价款。</w:t>
      </w:r>
    </w:p>
    <w:p>
      <w:pPr>
        <w:pStyle w:val="28"/>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eastAsia="宋体" w:cs="宋体"/>
          <w:b/>
          <w:bCs/>
          <w:color w:val="auto"/>
          <w:sz w:val="21"/>
          <w:szCs w:val="21"/>
          <w:highlight w:val="none"/>
          <w:lang w:val="en-US" w:eastAsia="zh-CN"/>
        </w:rPr>
        <w:t>五、</w:t>
      </w:r>
      <w:r>
        <w:rPr>
          <w:rFonts w:hint="eastAsia" w:ascii="宋体" w:hAnsi="宋体" w:eastAsia="宋体" w:cs="宋体"/>
          <w:b/>
          <w:bCs/>
          <w:color w:val="auto"/>
          <w:sz w:val="21"/>
          <w:szCs w:val="21"/>
          <w:highlight w:val="none"/>
        </w:rPr>
        <w:t>知识产权</w:t>
      </w:r>
    </w:p>
    <w:p>
      <w:pPr>
        <w:pStyle w:val="28"/>
        <w:keepNext w:val="0"/>
        <w:keepLines w:val="0"/>
        <w:pageBreakBefore w:val="0"/>
        <w:widowControl w:val="0"/>
        <w:kinsoku/>
        <w:wordWrap/>
        <w:overflowPunct/>
        <w:topLinePunct w:val="0"/>
        <w:autoSpaceDE/>
        <w:autoSpaceDN/>
        <w:bidi w:val="0"/>
        <w:adjustRightInd/>
        <w:snapToGrid/>
        <w:spacing w:line="360" w:lineRule="auto"/>
        <w:ind w:left="1"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乙方应保证提供服务过程中不会侵犯任何第三方的知识产权，否则乙方应承担由此而产生的一切责任，赔偿甲方由此发生的任何及所有成本、费用和损失。</w:t>
      </w:r>
    </w:p>
    <w:p>
      <w:pPr>
        <w:pStyle w:val="28"/>
        <w:keepNext w:val="0"/>
        <w:keepLines w:val="0"/>
        <w:pageBreakBefore w:val="0"/>
        <w:widowControl w:val="0"/>
        <w:kinsoku/>
        <w:wordWrap/>
        <w:overflowPunct/>
        <w:topLinePunct w:val="0"/>
        <w:autoSpaceDE/>
        <w:autoSpaceDN/>
        <w:bidi w:val="0"/>
        <w:adjustRightInd/>
        <w:snapToGrid/>
        <w:spacing w:line="360" w:lineRule="auto"/>
        <w:ind w:left="1"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本次项目成果所有权和使用权均属于甲方。未经甲方书面同意，乙方不得向任何单位和个人转让和使用本项目成果，否则承担由此产生的一切法律和经济责任。</w:t>
      </w:r>
    </w:p>
    <w:p>
      <w:pPr>
        <w:pStyle w:val="28"/>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eastAsia="宋体" w:cs="宋体"/>
          <w:b/>
          <w:bCs/>
          <w:color w:val="auto"/>
          <w:sz w:val="21"/>
          <w:szCs w:val="21"/>
          <w:highlight w:val="none"/>
          <w:lang w:val="en-US" w:eastAsia="zh-CN"/>
        </w:rPr>
        <w:t>六、</w:t>
      </w:r>
      <w:r>
        <w:rPr>
          <w:rFonts w:hint="eastAsia" w:ascii="宋体" w:hAnsi="宋体" w:eastAsia="宋体" w:cs="宋体"/>
          <w:b/>
          <w:bCs/>
          <w:color w:val="auto"/>
          <w:sz w:val="21"/>
          <w:szCs w:val="21"/>
          <w:highlight w:val="none"/>
        </w:rPr>
        <w:t>转包或分包</w:t>
      </w:r>
    </w:p>
    <w:p>
      <w:pPr>
        <w:pStyle w:val="28"/>
        <w:keepNext w:val="0"/>
        <w:keepLines w:val="0"/>
        <w:pageBreakBefore w:val="0"/>
        <w:widowControl w:val="0"/>
        <w:kinsoku/>
        <w:wordWrap/>
        <w:overflowPunct/>
        <w:topLinePunct w:val="0"/>
        <w:autoSpaceDE/>
        <w:autoSpaceDN/>
        <w:bidi w:val="0"/>
        <w:adjustRightInd/>
        <w:snapToGrid/>
        <w:spacing w:line="360" w:lineRule="auto"/>
        <w:ind w:left="1"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本合同范围的服务，应由乙方直接供应，不得转让他人供应；</w:t>
      </w:r>
    </w:p>
    <w:p>
      <w:pPr>
        <w:pStyle w:val="28"/>
        <w:keepNext w:val="0"/>
        <w:keepLines w:val="0"/>
        <w:pageBreakBefore w:val="0"/>
        <w:widowControl w:val="0"/>
        <w:kinsoku/>
        <w:wordWrap/>
        <w:overflowPunct/>
        <w:topLinePunct w:val="0"/>
        <w:autoSpaceDE/>
        <w:autoSpaceDN/>
        <w:bidi w:val="0"/>
        <w:adjustRightInd/>
        <w:snapToGrid/>
        <w:spacing w:line="360" w:lineRule="auto"/>
        <w:ind w:left="1"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乙方不得将本合同范围的服务全部或部分分包给他人供应；</w:t>
      </w:r>
    </w:p>
    <w:p>
      <w:pPr>
        <w:pStyle w:val="28"/>
        <w:keepNext w:val="0"/>
        <w:keepLines w:val="0"/>
        <w:pageBreakBefore w:val="0"/>
        <w:widowControl w:val="0"/>
        <w:kinsoku/>
        <w:wordWrap/>
        <w:overflowPunct/>
        <w:topLinePunct w:val="0"/>
        <w:autoSpaceDE/>
        <w:autoSpaceDN/>
        <w:bidi w:val="0"/>
        <w:adjustRightInd/>
        <w:snapToGrid/>
        <w:spacing w:line="360" w:lineRule="auto"/>
        <w:ind w:left="1" w:firstLine="470" w:firstLineChars="224"/>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如乙方有转让或分包行为，甲方将解除合同。</w:t>
      </w:r>
    </w:p>
    <w:p>
      <w:pPr>
        <w:pStyle w:val="28"/>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color w:val="auto"/>
          <w:sz w:val="21"/>
          <w:szCs w:val="21"/>
          <w:highlight w:val="none"/>
        </w:rPr>
      </w:pPr>
      <w:r>
        <w:rPr>
          <w:rFonts w:hint="eastAsia" w:eastAsia="宋体" w:cs="宋体"/>
          <w:b/>
          <w:bCs/>
          <w:color w:val="auto"/>
          <w:sz w:val="21"/>
          <w:szCs w:val="21"/>
          <w:highlight w:val="none"/>
          <w:lang w:val="en-US" w:eastAsia="zh-CN"/>
        </w:rPr>
        <w:t>七、</w:t>
      </w:r>
      <w:r>
        <w:rPr>
          <w:rFonts w:hint="eastAsia" w:ascii="宋体" w:hAnsi="宋体" w:eastAsia="宋体" w:cs="宋体"/>
          <w:b/>
          <w:bCs/>
          <w:color w:val="auto"/>
          <w:sz w:val="21"/>
          <w:szCs w:val="21"/>
          <w:highlight w:val="none"/>
        </w:rPr>
        <w:t>税费</w:t>
      </w:r>
    </w:p>
    <w:p>
      <w:pPr>
        <w:pStyle w:val="28"/>
        <w:keepNext w:val="0"/>
        <w:keepLines w:val="0"/>
        <w:pageBreakBefore w:val="0"/>
        <w:widowControl w:val="0"/>
        <w:kinsoku/>
        <w:wordWrap/>
        <w:overflowPunct/>
        <w:topLinePunct w:val="0"/>
        <w:autoSpaceDE/>
        <w:autoSpaceDN/>
        <w:bidi w:val="0"/>
        <w:adjustRightInd/>
        <w:snapToGrid/>
        <w:spacing w:line="360" w:lineRule="auto"/>
        <w:ind w:firstLine="525" w:firstLineChars="25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本合同执行中相关的一切税费均由乙方负担。</w:t>
      </w:r>
    </w:p>
    <w:p>
      <w:pPr>
        <w:pStyle w:val="28"/>
        <w:keepNext w:val="0"/>
        <w:keepLines w:val="0"/>
        <w:pageBreakBefore w:val="0"/>
        <w:widowControl w:val="0"/>
        <w:kinsoku/>
        <w:wordWrap/>
        <w:overflowPunct/>
        <w:topLinePunct w:val="0"/>
        <w:autoSpaceDE/>
        <w:autoSpaceDN/>
        <w:bidi w:val="0"/>
        <w:adjustRightInd/>
        <w:snapToGrid/>
        <w:spacing w:line="360" w:lineRule="auto"/>
        <w:ind w:left="1" w:firstLine="472" w:firstLineChars="224"/>
        <w:textAlignment w:val="auto"/>
        <w:rPr>
          <w:rFonts w:hint="eastAsia" w:ascii="宋体" w:hAnsi="宋体" w:eastAsia="宋体" w:cs="宋体"/>
          <w:b/>
          <w:bCs/>
          <w:color w:val="auto"/>
          <w:sz w:val="21"/>
          <w:szCs w:val="21"/>
          <w:highlight w:val="none"/>
        </w:rPr>
      </w:pPr>
      <w:r>
        <w:rPr>
          <w:rFonts w:hint="eastAsia" w:eastAsia="宋体" w:cs="宋体"/>
          <w:b/>
          <w:bCs/>
          <w:color w:val="auto"/>
          <w:sz w:val="21"/>
          <w:szCs w:val="21"/>
          <w:highlight w:val="none"/>
          <w:lang w:val="en-US" w:eastAsia="zh-CN"/>
        </w:rPr>
        <w:t>八、</w:t>
      </w:r>
      <w:r>
        <w:rPr>
          <w:rFonts w:hint="eastAsia" w:ascii="宋体" w:hAnsi="宋体" w:eastAsia="宋体" w:cs="宋体"/>
          <w:b/>
          <w:bCs/>
          <w:color w:val="auto"/>
          <w:sz w:val="21"/>
          <w:szCs w:val="21"/>
          <w:highlight w:val="none"/>
        </w:rPr>
        <w:t>违约责任</w:t>
      </w:r>
    </w:p>
    <w:p>
      <w:pPr>
        <w:pStyle w:val="28"/>
        <w:keepNext w:val="0"/>
        <w:keepLines w:val="0"/>
        <w:pageBreakBefore w:val="0"/>
        <w:widowControl w:val="0"/>
        <w:kinsoku/>
        <w:wordWrap/>
        <w:overflowPunct/>
        <w:topLinePunct w:val="0"/>
        <w:autoSpaceDE/>
        <w:autoSpaceDN/>
        <w:bidi w:val="0"/>
        <w:adjustRightInd/>
        <w:snapToGrid/>
        <w:spacing w:line="360" w:lineRule="auto"/>
        <w:ind w:firstLine="478" w:firstLineChars="2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甲方无正当理由拒收接受服务的，甲方向乙方偿付合同款项百分之</w:t>
      </w:r>
      <w:r>
        <w:rPr>
          <w:rFonts w:hint="eastAsia" w:ascii="宋体" w:hAnsi="宋体" w:eastAsia="宋体" w:cs="宋体"/>
          <w:color w:val="auto"/>
          <w:kern w:val="0"/>
          <w:sz w:val="21"/>
          <w:szCs w:val="21"/>
          <w:highlight w:val="none"/>
        </w:rPr>
        <w:t>五</w:t>
      </w:r>
      <w:r>
        <w:rPr>
          <w:rFonts w:hint="eastAsia" w:ascii="宋体" w:hAnsi="宋体" w:eastAsia="宋体" w:cs="宋体"/>
          <w:color w:val="auto"/>
          <w:sz w:val="21"/>
          <w:szCs w:val="21"/>
          <w:highlight w:val="none"/>
        </w:rPr>
        <w:t>作为违约金。</w:t>
      </w:r>
    </w:p>
    <w:p>
      <w:pPr>
        <w:pStyle w:val="28"/>
        <w:keepNext w:val="0"/>
        <w:keepLines w:val="0"/>
        <w:pageBreakBefore w:val="0"/>
        <w:widowControl w:val="0"/>
        <w:kinsoku/>
        <w:wordWrap/>
        <w:overflowPunct/>
        <w:topLinePunct w:val="0"/>
        <w:autoSpaceDE/>
        <w:autoSpaceDN/>
        <w:bidi w:val="0"/>
        <w:adjustRightInd/>
        <w:snapToGrid/>
        <w:spacing w:line="360" w:lineRule="auto"/>
        <w:ind w:firstLine="478" w:firstLineChars="2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甲方无故逾期验收和办理款项支付手续的,甲方应按逾期付款总额每日万分之</w:t>
      </w:r>
      <w:r>
        <w:rPr>
          <w:rFonts w:hint="eastAsia" w:ascii="宋体" w:hAnsi="宋体" w:eastAsia="宋体" w:cs="宋体"/>
          <w:color w:val="auto"/>
          <w:kern w:val="0"/>
          <w:sz w:val="21"/>
          <w:szCs w:val="21"/>
          <w:highlight w:val="none"/>
        </w:rPr>
        <w:t>五</w:t>
      </w:r>
      <w:r>
        <w:rPr>
          <w:rFonts w:hint="eastAsia" w:ascii="宋体" w:hAnsi="宋体" w:eastAsia="宋体" w:cs="宋体"/>
          <w:color w:val="auto"/>
          <w:sz w:val="21"/>
          <w:szCs w:val="21"/>
          <w:highlight w:val="none"/>
        </w:rPr>
        <w:t>向乙方支付违约金。</w:t>
      </w:r>
    </w:p>
    <w:p>
      <w:pPr>
        <w:pStyle w:val="28"/>
        <w:keepNext w:val="0"/>
        <w:keepLines w:val="0"/>
        <w:pageBreakBefore w:val="0"/>
        <w:widowControl w:val="0"/>
        <w:kinsoku/>
        <w:wordWrap/>
        <w:overflowPunct/>
        <w:topLinePunct w:val="0"/>
        <w:autoSpaceDE/>
        <w:autoSpaceDN/>
        <w:bidi w:val="0"/>
        <w:adjustRightInd/>
        <w:snapToGrid/>
        <w:spacing w:line="360" w:lineRule="auto"/>
        <w:ind w:firstLine="478" w:firstLineChars="228"/>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乙方未能如期提供服务的，每日向甲方支付合同款项的千分之</w:t>
      </w:r>
      <w:r>
        <w:rPr>
          <w:rFonts w:hint="eastAsia" w:ascii="宋体" w:hAnsi="宋体" w:eastAsia="宋体" w:cs="宋体"/>
          <w:color w:val="auto"/>
          <w:kern w:val="0"/>
          <w:sz w:val="21"/>
          <w:szCs w:val="21"/>
          <w:highlight w:val="none"/>
        </w:rPr>
        <w:t>五</w:t>
      </w:r>
      <w:r>
        <w:rPr>
          <w:rFonts w:hint="eastAsia" w:ascii="宋体" w:hAnsi="宋体" w:eastAsia="宋体" w:cs="宋体"/>
          <w:color w:val="auto"/>
          <w:sz w:val="21"/>
          <w:szCs w:val="21"/>
          <w:highlight w:val="none"/>
        </w:rPr>
        <w:t>作为违约金。乙方超过约定日期10个工作日仍不能提供服务的，甲方可解除本合同</w:t>
      </w:r>
      <w:r>
        <w:rPr>
          <w:rFonts w:hint="eastAsia" w:ascii="宋体" w:hAnsi="宋体" w:eastAsia="宋体" w:cs="宋体"/>
          <w:color w:val="auto"/>
          <w:kern w:val="0"/>
          <w:sz w:val="21"/>
          <w:szCs w:val="21"/>
          <w:highlight w:val="none"/>
          <w:lang w:val="en-US" w:eastAsia="zh-CN"/>
        </w:rPr>
        <w:t>并要求乙方退回预付款</w:t>
      </w:r>
      <w:r>
        <w:rPr>
          <w:rFonts w:hint="eastAsia" w:ascii="宋体" w:hAnsi="宋体" w:eastAsia="宋体" w:cs="宋体"/>
          <w:color w:val="auto"/>
          <w:sz w:val="21"/>
          <w:szCs w:val="21"/>
          <w:highlight w:val="none"/>
        </w:rPr>
        <w:t>。乙方因未能如期提供服务或因其他违约行为导致甲方解除合同的，乙方应</w:t>
      </w:r>
      <w:r>
        <w:rPr>
          <w:rFonts w:hint="eastAsia" w:ascii="宋体" w:hAnsi="宋体" w:eastAsia="宋体" w:cs="宋体"/>
          <w:color w:val="auto"/>
          <w:kern w:val="0"/>
          <w:sz w:val="21"/>
          <w:szCs w:val="21"/>
          <w:highlight w:val="none"/>
          <w:lang w:val="en-US" w:eastAsia="zh-CN"/>
        </w:rPr>
        <w:t>退回预付款并</w:t>
      </w:r>
      <w:r>
        <w:rPr>
          <w:rFonts w:hint="eastAsia" w:ascii="宋体" w:hAnsi="宋体" w:eastAsia="宋体" w:cs="宋体"/>
          <w:color w:val="auto"/>
          <w:sz w:val="21"/>
          <w:szCs w:val="21"/>
          <w:highlight w:val="none"/>
        </w:rPr>
        <w:t>向甲方支付合同总值百分之三十的违约金，如造成甲方损失超过违约金的，超出部分由乙方继续承担赔偿责任。</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eastAsia="宋体" w:cs="宋体"/>
          <w:color w:val="auto"/>
          <w:sz w:val="21"/>
          <w:szCs w:val="21"/>
          <w:highlight w:val="none"/>
          <w:lang w:val="en-US" w:eastAsia="zh-CN"/>
        </w:rPr>
        <w:t>九</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不可抗力事件处理</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在合同有效期内，任何一方因不可抗力事件导致不能履行合同，则合同履行期可延长，其延长期与不可抗力影响期相同。</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不可抗力事件发生后，应立即通知对方，并寄送有关权威机构出具的证明。</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不可抗力事件延续</w:t>
      </w:r>
      <w:r>
        <w:rPr>
          <w:rFonts w:hint="eastAsia" w:ascii="宋体" w:hAnsi="宋体" w:eastAsia="宋体" w:cs="宋体"/>
          <w:color w:val="auto"/>
          <w:kern w:val="0"/>
          <w:sz w:val="21"/>
          <w:szCs w:val="21"/>
          <w:highlight w:val="none"/>
          <w:lang w:val="en-US" w:eastAsia="zh-CN"/>
        </w:rPr>
        <w:t>120</w:t>
      </w:r>
      <w:r>
        <w:rPr>
          <w:rFonts w:hint="eastAsia" w:ascii="宋体" w:hAnsi="宋体" w:eastAsia="宋体" w:cs="宋体"/>
          <w:color w:val="auto"/>
          <w:sz w:val="21"/>
          <w:szCs w:val="21"/>
          <w:highlight w:val="none"/>
        </w:rPr>
        <w:t>天以上，双方应通过友好协商，确定是否继续履行合同。</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十、诉讼</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本合同项目所在地为义乌市，本合同发生争议产生的诉讼，可向项目所在地有管辖权的法院提起诉讼。</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w:t>
      </w:r>
      <w:r>
        <w:rPr>
          <w:rFonts w:hint="eastAsia"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合同双方确认，本合同及合同约定的其它文件组成部分中的各项约定都是通过法定招标采购过程形成的合法成果，如果乙方的谈判响应文件与谈判文件要求不一致的，履约时应以有利于甲方的条款执行。如果不一致条款不是合同双方真实意思的表示，对合同双方不形成任何合同或法律约束力。合同双方也不存在且也不会签订任何背离合同实质性内容的其他协议或合同。如果存在或签订背离本合同实质性内容的其他协议或合同，也不是合同双方真实意思的表示，对合同双方不构成任何合同或法律约束力。</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w:t>
      </w:r>
      <w:r>
        <w:rPr>
          <w:rFonts w:hint="eastAsia"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、合同生效及其它</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1、合同经双方法定代表人或授权代表签字并加盖单位公章后生效。</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2、本合同未尽事宜，遵照《</w:t>
      </w:r>
      <w:r>
        <w:rPr>
          <w:rFonts w:hint="eastAsia" w:ascii="宋体" w:hAnsi="宋体" w:eastAsia="宋体" w:cs="宋体"/>
          <w:color w:val="auto"/>
          <w:sz w:val="21"/>
          <w:szCs w:val="21"/>
          <w:highlight w:val="none"/>
          <w:lang w:val="en-US" w:eastAsia="zh-CN"/>
        </w:rPr>
        <w:t>民法典</w:t>
      </w:r>
      <w:r>
        <w:rPr>
          <w:rFonts w:hint="eastAsia" w:ascii="宋体" w:hAnsi="宋体" w:eastAsia="宋体" w:cs="宋体"/>
          <w:color w:val="auto"/>
          <w:sz w:val="21"/>
          <w:szCs w:val="21"/>
          <w:highlight w:val="none"/>
        </w:rPr>
        <w:t>》有关条文执行。</w:t>
      </w:r>
    </w:p>
    <w:p>
      <w:pPr>
        <w:pStyle w:val="28"/>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十</w:t>
      </w:r>
      <w:r>
        <w:rPr>
          <w:rFonts w:hint="eastAsia"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、本合同一式____份，甲乙双方各执____份，浙江省成套招标代理有限公司执一份，义乌市财政局执一份，均具同等效力。</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hint="eastAsia" w:ascii="宋体" w:hAnsi="宋体" w:cs="Arial"/>
          <w:color w:val="000000"/>
          <w:szCs w:val="21"/>
          <w:highlight w:val="none"/>
        </w:rPr>
      </w:pP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s="Arial"/>
          <w:color w:val="000000"/>
          <w:szCs w:val="21"/>
          <w:highlight w:val="none"/>
        </w:rPr>
      </w:pPr>
      <w:r>
        <w:rPr>
          <w:rFonts w:hint="eastAsia" w:ascii="宋体" w:hAnsi="宋体" w:cs="Arial"/>
          <w:color w:val="000000"/>
          <w:szCs w:val="21"/>
          <w:highlight w:val="none"/>
        </w:rPr>
        <w:t>甲</w:t>
      </w:r>
      <w:r>
        <w:rPr>
          <w:rFonts w:ascii="宋体" w:hAnsi="宋体" w:cs="Arial"/>
          <w:color w:val="000000"/>
          <w:szCs w:val="21"/>
          <w:highlight w:val="none"/>
        </w:rPr>
        <w:t xml:space="preserve">    方：________________________  </w:t>
      </w:r>
      <w:r>
        <w:rPr>
          <w:rFonts w:hint="eastAsia" w:ascii="宋体" w:hAnsi="宋体" w:cs="Arial"/>
          <w:color w:val="000000"/>
          <w:szCs w:val="21"/>
          <w:highlight w:val="none"/>
        </w:rPr>
        <w:t>乙</w:t>
      </w:r>
      <w:r>
        <w:rPr>
          <w:rFonts w:ascii="宋体" w:hAnsi="宋体" w:cs="Arial"/>
          <w:color w:val="000000"/>
          <w:szCs w:val="21"/>
          <w:highlight w:val="none"/>
        </w:rPr>
        <w:t xml:space="preserve">    方：________________________</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s="Arial"/>
          <w:color w:val="000000"/>
          <w:szCs w:val="21"/>
          <w:highlight w:val="none"/>
        </w:rPr>
      </w:pPr>
      <w:r>
        <w:rPr>
          <w:rFonts w:ascii="宋体" w:hAnsi="宋体" w:cs="Arial"/>
          <w:color w:val="000000"/>
          <w:szCs w:val="21"/>
          <w:highlight w:val="none"/>
        </w:rPr>
        <w:t>地    址：________________________  地    址：________________________</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olor w:val="000000"/>
          <w:szCs w:val="21"/>
          <w:highlight w:val="none"/>
        </w:rPr>
      </w:pPr>
      <w:r>
        <w:rPr>
          <w:rFonts w:ascii="宋体" w:hAnsi="宋体" w:cs="Arial"/>
          <w:color w:val="000000"/>
          <w:szCs w:val="21"/>
          <w:highlight w:val="none"/>
        </w:rPr>
        <w:t>法定代表人：______________________  法定代表人：______________________</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hint="default" w:ascii="宋体" w:hAnsi="宋体" w:eastAsia="宋体" w:cs="Arial"/>
          <w:color w:val="000000"/>
          <w:szCs w:val="21"/>
          <w:highlight w:val="none"/>
          <w:lang w:val="en-US" w:eastAsia="zh-CN"/>
        </w:rPr>
      </w:pPr>
      <w:r>
        <w:rPr>
          <w:rFonts w:ascii="宋体" w:hAnsi="宋体" w:cs="Arial"/>
          <w:color w:val="000000"/>
          <w:szCs w:val="21"/>
          <w:highlight w:val="none"/>
        </w:rPr>
        <w:t>授权代表：_____________________</w:t>
      </w:r>
      <w:r>
        <w:rPr>
          <w:rFonts w:hint="eastAsia" w:ascii="宋体" w:hAnsi="宋体" w:cs="Arial"/>
          <w:color w:val="000000"/>
          <w:szCs w:val="21"/>
          <w:highlight w:val="none"/>
          <w:u w:val="single"/>
          <w:lang w:val="en-US" w:eastAsia="zh-CN"/>
        </w:rPr>
        <w:t xml:space="preserve">   </w:t>
      </w:r>
      <w:r>
        <w:rPr>
          <w:rFonts w:hint="eastAsia" w:ascii="宋体" w:hAnsi="宋体" w:cs="Arial"/>
          <w:color w:val="000000"/>
          <w:szCs w:val="21"/>
          <w:highlight w:val="none"/>
          <w:lang w:val="en-US" w:eastAsia="zh-CN"/>
        </w:rPr>
        <w:t xml:space="preserve">  </w:t>
      </w:r>
      <w:r>
        <w:rPr>
          <w:rFonts w:ascii="宋体" w:hAnsi="宋体" w:cs="Arial"/>
          <w:color w:val="000000"/>
          <w:szCs w:val="21"/>
          <w:highlight w:val="none"/>
        </w:rPr>
        <w:t>授权代表：_____________________</w:t>
      </w:r>
      <w:r>
        <w:rPr>
          <w:rFonts w:hint="eastAsia" w:ascii="宋体" w:hAnsi="宋体" w:cs="Arial"/>
          <w:color w:val="000000"/>
          <w:szCs w:val="21"/>
          <w:highlight w:val="none"/>
          <w:u w:val="single"/>
          <w:lang w:val="en-US" w:eastAsia="zh-CN"/>
        </w:rPr>
        <w:t xml:space="preserve">    </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s="Arial"/>
          <w:color w:val="000000"/>
          <w:szCs w:val="21"/>
          <w:highlight w:val="none"/>
        </w:rPr>
      </w:pPr>
      <w:r>
        <w:rPr>
          <w:rFonts w:ascii="宋体" w:hAnsi="宋体" w:cs="Arial"/>
          <w:color w:val="000000"/>
          <w:szCs w:val="21"/>
          <w:highlight w:val="none"/>
        </w:rPr>
        <w:t>电    话：________________________  电    话：________________________</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olor w:val="000000"/>
          <w:szCs w:val="21"/>
          <w:highlight w:val="none"/>
        </w:rPr>
      </w:pPr>
      <w:r>
        <w:rPr>
          <w:rFonts w:ascii="宋体" w:hAnsi="宋体" w:cs="Arial"/>
          <w:color w:val="000000"/>
          <w:szCs w:val="21"/>
          <w:highlight w:val="none"/>
        </w:rPr>
        <w:t>帐户名称：________________________  帐户名称：________________________</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s="Arial"/>
          <w:color w:val="000000"/>
          <w:szCs w:val="21"/>
          <w:highlight w:val="none"/>
        </w:rPr>
      </w:pPr>
      <w:r>
        <w:rPr>
          <w:rFonts w:ascii="宋体" w:hAnsi="宋体" w:cs="Arial"/>
          <w:color w:val="000000"/>
          <w:szCs w:val="21"/>
          <w:highlight w:val="none"/>
        </w:rPr>
        <w:t>开户银行：________________________  开户银行：________________________</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s="Arial"/>
          <w:color w:val="000000"/>
          <w:szCs w:val="21"/>
          <w:highlight w:val="none"/>
        </w:rPr>
      </w:pPr>
      <w:r>
        <w:rPr>
          <w:rFonts w:ascii="宋体" w:hAnsi="宋体" w:cs="Arial"/>
          <w:color w:val="000000"/>
          <w:szCs w:val="21"/>
          <w:highlight w:val="none"/>
        </w:rPr>
        <w:t>帐    号：________________________  帐    号：________________________</w:t>
      </w:r>
    </w:p>
    <w:p>
      <w:pPr>
        <w:keepNext w:val="0"/>
        <w:keepLines w:val="0"/>
        <w:pageBreakBefore w:val="0"/>
        <w:kinsoku/>
        <w:wordWrap/>
        <w:overflowPunct/>
        <w:topLinePunct w:val="0"/>
        <w:autoSpaceDE/>
        <w:autoSpaceDN/>
        <w:bidi w:val="0"/>
        <w:adjustRightInd/>
        <w:snapToGrid/>
        <w:spacing w:line="360" w:lineRule="auto"/>
        <w:ind w:firstLine="630" w:firstLineChars="300"/>
        <w:textAlignment w:val="auto"/>
        <w:rPr>
          <w:rFonts w:ascii="宋体" w:hAnsi="宋体" w:cs="Arial"/>
          <w:color w:val="000000"/>
          <w:szCs w:val="21"/>
          <w:highlight w:val="none"/>
        </w:rPr>
      </w:pPr>
      <w:r>
        <w:rPr>
          <w:rFonts w:cs="Arial"/>
          <w:szCs w:val="21"/>
          <w:highlight w:val="none"/>
        </w:rPr>
        <w:t>签约时间：________________________  签约地点</w:t>
      </w:r>
      <w:r>
        <w:rPr>
          <w:rFonts w:ascii="宋体" w:hAnsi="宋体" w:cs="Arial"/>
          <w:color w:val="000000"/>
          <w:szCs w:val="21"/>
          <w:highlight w:val="none"/>
        </w:rPr>
        <w:t>：________________________</w:t>
      </w:r>
    </w:p>
    <w:p>
      <w:pPr>
        <w:ind w:firstLine="210" w:firstLineChars="100"/>
        <w:rPr>
          <w:rFonts w:ascii="Times New Roman" w:hAnsi="Times New Roman"/>
          <w:color w:val="auto"/>
          <w:kern w:val="1"/>
          <w:highlight w:val="none"/>
        </w:rPr>
      </w:pPr>
      <w:r>
        <w:rPr>
          <w:rFonts w:cs="Arial"/>
          <w:szCs w:val="21"/>
          <w:highlight w:val="none"/>
        </w:rPr>
        <w:t xml:space="preserve">     </w:t>
      </w:r>
    </w:p>
    <w:p>
      <w:pPr>
        <w:rPr>
          <w:rFonts w:ascii="Times New Roman" w:hAnsi="Times New Roman"/>
          <w:color w:val="auto"/>
          <w:kern w:val="1"/>
          <w:highlight w:val="none"/>
        </w:rPr>
      </w:pPr>
      <w:bookmarkStart w:id="67" w:name="_Toc213038698"/>
      <w:bookmarkEnd w:id="67"/>
      <w:bookmarkStart w:id="68" w:name="_Toc187829774"/>
      <w:bookmarkEnd w:id="68"/>
      <w:bookmarkStart w:id="69" w:name="_Toc238878129"/>
      <w:bookmarkEnd w:id="69"/>
      <w:bookmarkStart w:id="70" w:name="_Toc274303259"/>
      <w:bookmarkEnd w:id="70"/>
      <w:bookmarkStart w:id="71" w:name="_Toc235778631"/>
      <w:bookmarkEnd w:id="71"/>
    </w:p>
    <w:p>
      <w:pPr>
        <w:bidi w:val="0"/>
        <w:rPr>
          <w:rFonts w:hint="eastAsia"/>
          <w:highlight w:val="none"/>
          <w:lang w:val="en-US" w:eastAsia="zh-CN"/>
        </w:rPr>
      </w:pPr>
      <w:bookmarkStart w:id="72" w:name="_Toc34950030"/>
    </w:p>
    <w:p>
      <w:pPr>
        <w:pStyle w:val="4"/>
        <w:pageBreakBefore w:val="0"/>
        <w:widowControl w:val="0"/>
        <w:numPr>
          <w:ilvl w:val="0"/>
          <w:numId w:val="0"/>
        </w:numPr>
        <w:kinsoku/>
        <w:wordWrap/>
        <w:overflowPunct/>
        <w:topLinePunct w:val="0"/>
        <w:autoSpaceDE/>
        <w:autoSpaceDN/>
        <w:bidi w:val="0"/>
        <w:adjustRightInd/>
        <w:snapToGrid/>
        <w:spacing w:line="360" w:lineRule="auto"/>
        <w:ind w:firstLine="2530" w:firstLineChars="700"/>
        <w:jc w:val="both"/>
        <w:textAlignment w:val="auto"/>
        <w:rPr>
          <w:rFonts w:ascii="Times New Roman" w:hAnsi="Times New Roman"/>
          <w:color w:val="auto"/>
          <w:kern w:val="1"/>
          <w:highlight w:val="none"/>
        </w:rPr>
      </w:pPr>
      <w:r>
        <w:rPr>
          <w:rFonts w:hint="eastAsia" w:ascii="Times New Roman" w:hAnsi="Times New Roman"/>
          <w:color w:val="auto"/>
          <w:sz w:val="36"/>
          <w:highlight w:val="none"/>
          <w:lang w:val="en-US" w:eastAsia="zh-CN"/>
        </w:rPr>
        <w:t xml:space="preserve">第八章  </w:t>
      </w:r>
      <w:r>
        <w:rPr>
          <w:rFonts w:ascii="Times New Roman" w:hAnsi="Times New Roman"/>
          <w:color w:val="auto"/>
          <w:sz w:val="36"/>
          <w:highlight w:val="none"/>
        </w:rPr>
        <w:t>投标文件部分格式</w:t>
      </w:r>
      <w:bookmarkEnd w:id="72"/>
    </w:p>
    <w:p>
      <w:pPr>
        <w:pageBreakBefore w:val="0"/>
        <w:widowControl w:val="0"/>
        <w:kinsoku/>
        <w:wordWrap/>
        <w:overflowPunct/>
        <w:topLinePunct w:val="0"/>
        <w:autoSpaceDE/>
        <w:autoSpaceDN/>
        <w:bidi w:val="0"/>
        <w:adjustRightInd/>
        <w:snapToGrid/>
        <w:spacing w:line="360" w:lineRule="auto"/>
        <w:textAlignment w:val="auto"/>
        <w:rPr>
          <w:rFonts w:ascii="Times New Roman" w:hAnsi="Times New Roman"/>
          <w:color w:val="auto"/>
          <w:kern w:val="1"/>
          <w:sz w:val="52"/>
          <w:highlight w:val="none"/>
          <w:u w:val="single"/>
        </w:rPr>
      </w:pPr>
      <w:r>
        <w:rPr>
          <w:rFonts w:ascii="Times New Roman" w:hAnsi="Times New Roman"/>
          <w:b/>
          <w:color w:val="auto"/>
          <w:kern w:val="1"/>
          <w:sz w:val="28"/>
          <w:highlight w:val="none"/>
        </w:rPr>
        <w:t>封面格式</w:t>
      </w:r>
    </w:p>
    <w:p>
      <w:pPr>
        <w:jc w:val="right"/>
        <w:rPr>
          <w:rFonts w:ascii="Times New Roman" w:hAnsi="Times New Roman"/>
          <w:b/>
          <w:color w:val="auto"/>
          <w:kern w:val="1"/>
          <w:sz w:val="30"/>
          <w:highlight w:val="none"/>
        </w:rPr>
      </w:pPr>
    </w:p>
    <w:p>
      <w:pPr>
        <w:jc w:val="right"/>
        <w:rPr>
          <w:rFonts w:ascii="Times New Roman" w:hAnsi="Times New Roman"/>
          <w:b/>
          <w:color w:val="auto"/>
          <w:kern w:val="1"/>
          <w:sz w:val="30"/>
          <w:highlight w:val="none"/>
        </w:rPr>
      </w:pPr>
      <w:r>
        <w:rPr>
          <w:rFonts w:ascii="Times New Roman" w:hAnsi="Times New Roman"/>
          <w:b/>
          <w:color w:val="auto"/>
          <w:kern w:val="1"/>
          <w:sz w:val="30"/>
          <w:highlight w:val="none"/>
        </w:rPr>
        <w:t>正本（副本）</w:t>
      </w: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jc w:val="center"/>
        <w:rPr>
          <w:rFonts w:ascii="Times New Roman" w:hAnsi="Times New Roman"/>
          <w:color w:val="auto"/>
          <w:kern w:val="1"/>
          <w:sz w:val="52"/>
          <w:highlight w:val="none"/>
        </w:rPr>
      </w:pPr>
      <w:r>
        <w:rPr>
          <w:rFonts w:ascii="Times New Roman" w:hAnsi="Times New Roman"/>
          <w:color w:val="auto"/>
          <w:kern w:val="1"/>
          <w:sz w:val="52"/>
          <w:highlight w:val="none"/>
          <w:u w:val="single"/>
        </w:rPr>
        <w:t xml:space="preserve">                      </w:t>
      </w:r>
      <w:r>
        <w:rPr>
          <w:rFonts w:ascii="Times New Roman" w:hAnsi="Times New Roman"/>
          <w:color w:val="auto"/>
          <w:kern w:val="1"/>
          <w:sz w:val="52"/>
          <w:highlight w:val="none"/>
        </w:rPr>
        <w:t>项目</w:t>
      </w: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jc w:val="center"/>
        <w:rPr>
          <w:rFonts w:ascii="Times New Roman" w:hAnsi="Times New Roman"/>
          <w:b/>
          <w:color w:val="auto"/>
          <w:kern w:val="1"/>
          <w:sz w:val="72"/>
          <w:highlight w:val="none"/>
        </w:rPr>
      </w:pPr>
      <w:r>
        <w:rPr>
          <w:rFonts w:ascii="Times New Roman" w:hAnsi="Times New Roman"/>
          <w:b/>
          <w:color w:val="auto"/>
          <w:kern w:val="1"/>
          <w:sz w:val="72"/>
          <w:highlight w:val="none"/>
        </w:rPr>
        <w:t>投 标 文 件</w:t>
      </w:r>
    </w:p>
    <w:p>
      <w:pPr>
        <w:rPr>
          <w:rFonts w:ascii="Times New Roman" w:hAnsi="Times New Roman"/>
          <w:color w:val="auto"/>
          <w:kern w:val="1"/>
          <w:highlight w:val="none"/>
        </w:rPr>
      </w:pPr>
    </w:p>
    <w:p>
      <w:pPr>
        <w:jc w:val="center"/>
        <w:rPr>
          <w:rFonts w:ascii="Times New Roman" w:hAnsi="Times New Roman"/>
          <w:b/>
          <w:color w:val="auto"/>
          <w:kern w:val="1"/>
          <w:sz w:val="28"/>
          <w:highlight w:val="none"/>
        </w:rPr>
      </w:pPr>
      <w:r>
        <w:rPr>
          <w:rFonts w:ascii="Times New Roman" w:hAnsi="Times New Roman"/>
          <w:b/>
          <w:color w:val="auto"/>
          <w:kern w:val="1"/>
          <w:sz w:val="28"/>
          <w:highlight w:val="none"/>
        </w:rPr>
        <w:t>（招标编号）</w:t>
      </w: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pStyle w:val="146"/>
        <w:rPr>
          <w:rFonts w:hint="eastAsia"/>
          <w:color w:val="auto"/>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pStyle w:val="146"/>
        <w:rPr>
          <w:rFonts w:hint="eastAsia"/>
          <w:color w:val="auto"/>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spacing w:line="900" w:lineRule="exact"/>
        <w:ind w:firstLine="320"/>
        <w:rPr>
          <w:rFonts w:ascii="Times New Roman" w:hAnsi="Times New Roman"/>
          <w:color w:val="auto"/>
          <w:kern w:val="1"/>
          <w:sz w:val="32"/>
          <w:highlight w:val="none"/>
          <w:u w:val="dash"/>
        </w:rPr>
      </w:pPr>
    </w:p>
    <w:p>
      <w:pPr>
        <w:spacing w:line="900" w:lineRule="exact"/>
        <w:ind w:firstLine="320"/>
        <w:rPr>
          <w:rFonts w:ascii="Times New Roman" w:hAnsi="Times New Roman"/>
          <w:color w:val="auto"/>
          <w:kern w:val="1"/>
          <w:sz w:val="32"/>
          <w:highlight w:val="none"/>
          <w:u w:val="single"/>
        </w:rPr>
      </w:pPr>
      <w:r>
        <w:rPr>
          <w:rFonts w:ascii="Times New Roman" w:hAnsi="Times New Roman"/>
          <w:color w:val="auto"/>
          <w:kern w:val="1"/>
          <w:sz w:val="32"/>
          <w:highlight w:val="none"/>
        </w:rPr>
        <w:t>投标文件内容：</w:t>
      </w:r>
      <w:r>
        <w:rPr>
          <w:rFonts w:ascii="Times New Roman" w:hAnsi="Times New Roman"/>
          <w:color w:val="auto"/>
          <w:kern w:val="1"/>
          <w:sz w:val="32"/>
          <w:highlight w:val="none"/>
          <w:u w:val="single"/>
        </w:rPr>
        <w:t xml:space="preserve">   </w:t>
      </w:r>
      <w:r>
        <w:rPr>
          <w:rFonts w:hint="eastAsia" w:ascii="Times New Roman" w:hAnsi="Times New Roman"/>
          <w:color w:val="auto"/>
          <w:kern w:val="1"/>
          <w:sz w:val="32"/>
          <w:highlight w:val="none"/>
          <w:u w:val="single"/>
          <w:lang w:val="en-US" w:eastAsia="zh-CN"/>
        </w:rPr>
        <w:t xml:space="preserve"> </w:t>
      </w:r>
      <w:r>
        <w:rPr>
          <w:rFonts w:ascii="Times New Roman" w:hAnsi="Times New Roman"/>
          <w:color w:val="auto"/>
          <w:kern w:val="1"/>
          <w:sz w:val="32"/>
          <w:highlight w:val="none"/>
          <w:u w:val="single"/>
        </w:rPr>
        <w:t>（</w:t>
      </w:r>
      <w:r>
        <w:rPr>
          <w:rFonts w:hint="eastAsia" w:ascii="Times New Roman" w:hAnsi="Times New Roman"/>
          <w:color w:val="auto"/>
          <w:kern w:val="1"/>
          <w:sz w:val="32"/>
          <w:highlight w:val="none"/>
          <w:u w:val="single"/>
        </w:rPr>
        <w:t>资格、商务技术或报价响应文件</w:t>
      </w:r>
      <w:r>
        <w:rPr>
          <w:rFonts w:ascii="Times New Roman" w:hAnsi="Times New Roman"/>
          <w:color w:val="auto"/>
          <w:kern w:val="1"/>
          <w:sz w:val="32"/>
          <w:highlight w:val="none"/>
          <w:u w:val="single"/>
        </w:rPr>
        <w:t>）</w:t>
      </w:r>
      <w:r>
        <w:rPr>
          <w:rFonts w:hint="eastAsia" w:ascii="Times New Roman" w:hAnsi="Times New Roman"/>
          <w:color w:val="auto"/>
          <w:kern w:val="1"/>
          <w:sz w:val="32"/>
          <w:highlight w:val="none"/>
          <w:u w:val="single"/>
          <w:lang w:val="en-US" w:eastAsia="zh-CN"/>
        </w:rPr>
        <w:t xml:space="preserve">   </w:t>
      </w:r>
    </w:p>
    <w:p>
      <w:pPr>
        <w:spacing w:line="900" w:lineRule="exact"/>
        <w:ind w:firstLine="313"/>
        <w:rPr>
          <w:rFonts w:ascii="Times New Roman" w:hAnsi="Times New Roman"/>
          <w:color w:val="auto"/>
          <w:kern w:val="1"/>
          <w:sz w:val="32"/>
          <w:highlight w:val="none"/>
          <w:u w:val="single"/>
        </w:rPr>
      </w:pPr>
      <w:r>
        <w:rPr>
          <w:rFonts w:ascii="Times New Roman" w:hAnsi="Times New Roman"/>
          <w:color w:val="auto"/>
          <w:kern w:val="1"/>
          <w:sz w:val="32"/>
          <w:highlight w:val="none"/>
        </w:rPr>
        <w:t>投   标   人：</w:t>
      </w:r>
      <w:r>
        <w:rPr>
          <w:rFonts w:ascii="Times New Roman" w:hAnsi="Times New Roman"/>
          <w:color w:val="auto"/>
          <w:kern w:val="1"/>
          <w:sz w:val="32"/>
          <w:highlight w:val="none"/>
          <w:u w:val="single"/>
        </w:rPr>
        <w:t xml:space="preserve">                             （</w:t>
      </w:r>
      <w:r>
        <w:rPr>
          <w:rFonts w:hint="eastAsia" w:ascii="Times New Roman" w:hAnsi="Times New Roman"/>
          <w:color w:val="auto"/>
          <w:kern w:val="1"/>
          <w:sz w:val="32"/>
          <w:highlight w:val="none"/>
          <w:u w:val="single"/>
        </w:rPr>
        <w:t>签</w:t>
      </w:r>
      <w:r>
        <w:rPr>
          <w:rFonts w:ascii="Times New Roman" w:hAnsi="Times New Roman"/>
          <w:color w:val="auto"/>
          <w:kern w:val="1"/>
          <w:sz w:val="32"/>
          <w:highlight w:val="none"/>
          <w:u w:val="single"/>
        </w:rPr>
        <w:t xml:space="preserve">章）  </w:t>
      </w:r>
    </w:p>
    <w:p>
      <w:pPr>
        <w:spacing w:line="900" w:lineRule="exact"/>
        <w:ind w:firstLine="320" w:firstLineChars="100"/>
        <w:rPr>
          <w:rFonts w:ascii="Times New Roman" w:hAnsi="Times New Roman"/>
          <w:color w:val="auto"/>
          <w:kern w:val="1"/>
          <w:sz w:val="32"/>
          <w:highlight w:val="none"/>
        </w:rPr>
      </w:pPr>
      <w:r>
        <w:rPr>
          <w:rFonts w:ascii="Times New Roman" w:hAnsi="Times New Roman"/>
          <w:color w:val="auto"/>
          <w:kern w:val="1"/>
          <w:sz w:val="32"/>
          <w:highlight w:val="none"/>
        </w:rPr>
        <w:t>日  期：</w:t>
      </w:r>
      <w:r>
        <w:rPr>
          <w:rFonts w:ascii="Times New Roman" w:hAnsi="Times New Roman"/>
          <w:color w:val="auto"/>
          <w:kern w:val="1"/>
          <w:sz w:val="32"/>
          <w:highlight w:val="none"/>
          <w:u w:val="single"/>
        </w:rPr>
        <w:t xml:space="preserve">            </w:t>
      </w:r>
      <w:r>
        <w:rPr>
          <w:rFonts w:ascii="Times New Roman" w:hAnsi="Times New Roman"/>
          <w:color w:val="auto"/>
          <w:kern w:val="1"/>
          <w:sz w:val="32"/>
          <w:highlight w:val="none"/>
        </w:rPr>
        <w:t>年</w:t>
      </w:r>
      <w:r>
        <w:rPr>
          <w:rFonts w:ascii="Times New Roman" w:hAnsi="Times New Roman"/>
          <w:color w:val="auto"/>
          <w:kern w:val="1"/>
          <w:sz w:val="32"/>
          <w:highlight w:val="none"/>
          <w:u w:val="single"/>
        </w:rPr>
        <w:t xml:space="preserve">            </w:t>
      </w:r>
      <w:r>
        <w:rPr>
          <w:rFonts w:ascii="Times New Roman" w:hAnsi="Times New Roman"/>
          <w:color w:val="auto"/>
          <w:kern w:val="1"/>
          <w:sz w:val="32"/>
          <w:highlight w:val="none"/>
        </w:rPr>
        <w:t>月</w:t>
      </w:r>
      <w:r>
        <w:rPr>
          <w:rFonts w:ascii="Times New Roman" w:hAnsi="Times New Roman"/>
          <w:color w:val="auto"/>
          <w:kern w:val="1"/>
          <w:sz w:val="32"/>
          <w:highlight w:val="none"/>
          <w:u w:val="single"/>
        </w:rPr>
        <w:t xml:space="preserve">               </w:t>
      </w:r>
      <w:r>
        <w:rPr>
          <w:rFonts w:ascii="Times New Roman" w:hAnsi="Times New Roman"/>
          <w:color w:val="auto"/>
          <w:kern w:val="1"/>
          <w:sz w:val="32"/>
          <w:highlight w:val="none"/>
        </w:rPr>
        <w:t>日</w:t>
      </w: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spacing w:line="480" w:lineRule="auto"/>
        <w:jc w:val="center"/>
        <w:rPr>
          <w:rFonts w:hint="default" w:ascii="Times New Roman" w:hAnsi="Times New Roman" w:eastAsia="宋体" w:cs="Times New Roman"/>
          <w:color w:val="auto"/>
          <w:kern w:val="1"/>
          <w:sz w:val="36"/>
          <w:highlight w:val="none"/>
        </w:rPr>
      </w:pPr>
      <w:r>
        <w:rPr>
          <w:rFonts w:hint="default" w:ascii="Times New Roman" w:hAnsi="Times New Roman" w:eastAsia="宋体" w:cs="Times New Roman"/>
          <w:b/>
          <w:color w:val="auto"/>
          <w:kern w:val="1"/>
          <w:sz w:val="36"/>
          <w:highlight w:val="none"/>
        </w:rPr>
        <w:t>法定代表人声明书（格式）</w:t>
      </w: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spacing w:line="540" w:lineRule="exact"/>
        <w:rPr>
          <w:rFonts w:hint="default" w:ascii="Times New Roman" w:hAnsi="Times New Roman" w:eastAsia="宋体" w:cs="Times New Roman"/>
          <w:color w:val="auto"/>
          <w:kern w:val="1"/>
          <w:sz w:val="24"/>
          <w:highlight w:val="none"/>
        </w:rPr>
      </w:pPr>
      <w:r>
        <w:rPr>
          <w:rFonts w:hint="default" w:ascii="Times New Roman" w:hAnsi="Times New Roman" w:eastAsia="宋体" w:cs="Times New Roman"/>
          <w:color w:val="auto"/>
          <w:kern w:val="1"/>
          <w:sz w:val="24"/>
          <w:highlight w:val="none"/>
        </w:rPr>
        <w:t>姓名：                           性别：</w:t>
      </w:r>
    </w:p>
    <w:p>
      <w:pPr>
        <w:spacing w:line="540" w:lineRule="exact"/>
        <w:rPr>
          <w:rFonts w:hint="default" w:ascii="Times New Roman" w:hAnsi="Times New Roman" w:eastAsia="宋体" w:cs="Times New Roman"/>
          <w:color w:val="auto"/>
          <w:kern w:val="1"/>
          <w:sz w:val="24"/>
          <w:highlight w:val="none"/>
        </w:rPr>
      </w:pPr>
      <w:r>
        <w:rPr>
          <w:rFonts w:hint="default" w:ascii="Times New Roman" w:hAnsi="Times New Roman" w:eastAsia="宋体" w:cs="Times New Roman"/>
          <w:color w:val="auto"/>
          <w:kern w:val="1"/>
          <w:sz w:val="24"/>
          <w:highlight w:val="none"/>
        </w:rPr>
        <w:t>年龄：                           职务：</w:t>
      </w:r>
    </w:p>
    <w:p>
      <w:pPr>
        <w:spacing w:line="540" w:lineRule="exact"/>
        <w:rPr>
          <w:rFonts w:hint="default" w:ascii="Times New Roman" w:hAnsi="Times New Roman" w:eastAsia="宋体" w:cs="Times New Roman"/>
          <w:color w:val="auto"/>
          <w:kern w:val="1"/>
          <w:sz w:val="24"/>
          <w:highlight w:val="none"/>
        </w:rPr>
      </w:pPr>
      <w:r>
        <w:rPr>
          <w:rFonts w:hint="default" w:ascii="Times New Roman" w:hAnsi="Times New Roman" w:eastAsia="宋体" w:cs="Times New Roman"/>
          <w:color w:val="auto"/>
          <w:kern w:val="1"/>
          <w:sz w:val="24"/>
          <w:highlight w:val="none"/>
        </w:rPr>
        <w:t>身份证号码：</w:t>
      </w:r>
    </w:p>
    <w:p>
      <w:pPr>
        <w:spacing w:line="540" w:lineRule="exact"/>
        <w:ind w:firstLine="720"/>
        <w:rPr>
          <w:rFonts w:hint="default" w:ascii="Times New Roman" w:hAnsi="Times New Roman" w:eastAsia="宋体" w:cs="Times New Roman"/>
          <w:color w:val="auto"/>
          <w:kern w:val="1"/>
          <w:sz w:val="24"/>
          <w:highlight w:val="none"/>
        </w:rPr>
      </w:pPr>
      <w:r>
        <w:rPr>
          <w:rFonts w:hint="default" w:ascii="Times New Roman" w:hAnsi="Times New Roman" w:eastAsia="宋体" w:cs="Times New Roman"/>
          <w:color w:val="auto"/>
          <w:kern w:val="1"/>
          <w:sz w:val="24"/>
          <w:highlight w:val="none"/>
        </w:rPr>
        <w:t>系</w:t>
      </w:r>
      <w:r>
        <w:rPr>
          <w:rFonts w:hint="default" w:ascii="Times New Roman" w:hAnsi="Times New Roman" w:eastAsia="宋体" w:cs="Times New Roman"/>
          <w:color w:val="auto"/>
          <w:kern w:val="1"/>
          <w:sz w:val="24"/>
          <w:highlight w:val="none"/>
          <w:u w:val="single"/>
        </w:rPr>
        <w:t xml:space="preserve">                                 </w:t>
      </w:r>
      <w:r>
        <w:rPr>
          <w:rFonts w:hint="default" w:ascii="Times New Roman" w:hAnsi="Times New Roman" w:eastAsia="宋体" w:cs="Times New Roman"/>
          <w:color w:val="auto"/>
          <w:kern w:val="1"/>
          <w:sz w:val="24"/>
          <w:highlight w:val="none"/>
        </w:rPr>
        <w:t>（单位名称）的法定代表人，法定地址：</w:t>
      </w:r>
      <w:r>
        <w:rPr>
          <w:rFonts w:hint="default" w:ascii="Times New Roman" w:hAnsi="Times New Roman" w:eastAsia="宋体" w:cs="Times New Roman"/>
          <w:color w:val="auto"/>
          <w:kern w:val="1"/>
          <w:sz w:val="24"/>
          <w:highlight w:val="none"/>
          <w:u w:val="single"/>
        </w:rPr>
        <w:t xml:space="preserve">                              </w:t>
      </w:r>
      <w:r>
        <w:rPr>
          <w:rFonts w:hint="default" w:ascii="Times New Roman" w:hAnsi="Times New Roman" w:eastAsia="宋体" w:cs="Times New Roman"/>
          <w:color w:val="auto"/>
          <w:kern w:val="1"/>
          <w:sz w:val="24"/>
          <w:highlight w:val="none"/>
        </w:rPr>
        <w:t>。为</w:t>
      </w:r>
      <w:r>
        <w:rPr>
          <w:rFonts w:hint="default" w:ascii="Times New Roman" w:hAnsi="Times New Roman" w:eastAsia="宋体" w:cs="Times New Roman"/>
          <w:color w:val="auto"/>
          <w:kern w:val="1"/>
          <w:sz w:val="24"/>
          <w:highlight w:val="none"/>
          <w:u w:val="single"/>
        </w:rPr>
        <w:t xml:space="preserve">                                 </w:t>
      </w:r>
      <w:r>
        <w:rPr>
          <w:rFonts w:hint="default" w:ascii="Times New Roman" w:hAnsi="Times New Roman" w:eastAsia="宋体" w:cs="Times New Roman"/>
          <w:color w:val="auto"/>
          <w:kern w:val="1"/>
          <w:sz w:val="24"/>
          <w:highlight w:val="none"/>
        </w:rPr>
        <w:t>项目的投标、开标等事宜，签署上述投标文件，进行合同谈判、签署合同和处理与之有关的一切事务。</w:t>
      </w:r>
    </w:p>
    <w:p>
      <w:pPr>
        <w:spacing w:line="540" w:lineRule="exact"/>
        <w:ind w:firstLine="480"/>
        <w:rPr>
          <w:rFonts w:hint="default" w:ascii="Times New Roman" w:hAnsi="Times New Roman" w:eastAsia="宋体" w:cs="Times New Roman"/>
          <w:color w:val="auto"/>
          <w:kern w:val="1"/>
          <w:sz w:val="24"/>
          <w:highlight w:val="none"/>
        </w:rPr>
      </w:pPr>
    </w:p>
    <w:p>
      <w:pPr>
        <w:spacing w:line="540" w:lineRule="exact"/>
        <w:ind w:firstLine="480"/>
        <w:rPr>
          <w:rFonts w:hint="default" w:ascii="Times New Roman" w:hAnsi="Times New Roman" w:eastAsia="宋体" w:cs="Times New Roman"/>
          <w:color w:val="auto"/>
          <w:kern w:val="1"/>
          <w:sz w:val="24"/>
          <w:highlight w:val="none"/>
        </w:rPr>
      </w:pPr>
      <w:r>
        <w:rPr>
          <w:rFonts w:hint="default" w:ascii="Times New Roman" w:hAnsi="Times New Roman" w:eastAsia="宋体" w:cs="Times New Roman"/>
          <w:color w:val="auto"/>
          <w:kern w:val="1"/>
          <w:sz w:val="24"/>
          <w:highlight w:val="none"/>
        </w:rPr>
        <w:t>特此声明</w:t>
      </w:r>
    </w:p>
    <w:p>
      <w:pPr>
        <w:spacing w:line="540" w:lineRule="exact"/>
        <w:rPr>
          <w:rFonts w:hint="default" w:ascii="Times New Roman" w:hAnsi="Times New Roman" w:eastAsia="宋体" w:cs="Times New Roman"/>
          <w:color w:val="auto"/>
          <w:kern w:val="1"/>
          <w:sz w:val="24"/>
          <w:highlight w:val="none"/>
        </w:rPr>
      </w:pPr>
    </w:p>
    <w:p>
      <w:pPr>
        <w:spacing w:line="540" w:lineRule="exact"/>
        <w:rPr>
          <w:rFonts w:hint="default" w:ascii="Times New Roman" w:hAnsi="Times New Roman" w:eastAsia="宋体" w:cs="Times New Roman"/>
          <w:color w:val="auto"/>
          <w:kern w:val="1"/>
          <w:sz w:val="24"/>
          <w:highlight w:val="none"/>
        </w:rPr>
      </w:pPr>
    </w:p>
    <w:p>
      <w:pPr>
        <w:spacing w:line="540" w:lineRule="exact"/>
        <w:rPr>
          <w:rFonts w:hint="default" w:ascii="Times New Roman" w:hAnsi="Times New Roman" w:eastAsia="宋体" w:cs="Times New Roman"/>
          <w:color w:val="auto"/>
          <w:kern w:val="1"/>
          <w:sz w:val="24"/>
          <w:highlight w:val="none"/>
        </w:rPr>
      </w:pPr>
      <w:r>
        <w:rPr>
          <w:rFonts w:hint="eastAsia" w:ascii="Times New Roman" w:hAnsi="Times New Roman" w:eastAsia="宋体" w:cs="Times New Roman"/>
          <w:color w:val="auto"/>
          <w:kern w:val="1"/>
          <w:sz w:val="24"/>
          <w:highlight w:val="none"/>
          <w:lang w:eastAsia="zh-CN"/>
        </w:rPr>
        <w:t>投标人</w:t>
      </w:r>
      <w:r>
        <w:rPr>
          <w:rFonts w:hint="default" w:ascii="Times New Roman" w:hAnsi="Times New Roman" w:eastAsia="宋体" w:cs="Times New Roman"/>
          <w:color w:val="auto"/>
          <w:kern w:val="1"/>
          <w:sz w:val="24"/>
          <w:highlight w:val="none"/>
        </w:rPr>
        <w:t xml:space="preserve">：（盖章）                </w:t>
      </w:r>
    </w:p>
    <w:p>
      <w:pPr>
        <w:spacing w:line="540" w:lineRule="exact"/>
        <w:rPr>
          <w:rFonts w:hint="default" w:ascii="Times New Roman" w:hAnsi="Times New Roman" w:eastAsia="宋体" w:cs="Times New Roman"/>
          <w:color w:val="auto"/>
          <w:kern w:val="1"/>
          <w:sz w:val="24"/>
          <w:highlight w:val="none"/>
        </w:rPr>
      </w:pPr>
      <w:r>
        <w:rPr>
          <w:rFonts w:hint="default" w:ascii="Times New Roman" w:hAnsi="Times New Roman" w:eastAsia="宋体" w:cs="Times New Roman"/>
          <w:color w:val="auto"/>
          <w:kern w:val="1"/>
          <w:sz w:val="24"/>
          <w:highlight w:val="none"/>
        </w:rPr>
        <w:t>法定代表人签字：</w:t>
      </w:r>
    </w:p>
    <w:p>
      <w:pPr>
        <w:spacing w:line="540" w:lineRule="exact"/>
        <w:rPr>
          <w:rFonts w:hint="default" w:ascii="Times New Roman" w:hAnsi="Times New Roman" w:eastAsia="宋体" w:cs="Times New Roman"/>
          <w:color w:val="auto"/>
          <w:kern w:val="1"/>
          <w:sz w:val="24"/>
          <w:highlight w:val="none"/>
        </w:rPr>
      </w:pPr>
    </w:p>
    <w:p>
      <w:pPr>
        <w:spacing w:line="540" w:lineRule="exact"/>
        <w:rPr>
          <w:rFonts w:hint="default" w:ascii="Times New Roman" w:hAnsi="Times New Roman" w:eastAsia="宋体" w:cs="Times New Roman"/>
          <w:color w:val="auto"/>
          <w:kern w:val="1"/>
          <w:sz w:val="24"/>
          <w:highlight w:val="none"/>
        </w:rPr>
      </w:pPr>
      <w:r>
        <w:rPr>
          <w:rFonts w:hint="default" w:ascii="Times New Roman" w:hAnsi="Times New Roman" w:eastAsia="宋体" w:cs="Times New Roman"/>
          <w:color w:val="auto"/>
          <w:kern w:val="1"/>
          <w:sz w:val="24"/>
          <w:highlight w:val="none"/>
        </w:rPr>
        <w:t xml:space="preserve">日期：    年   月    日              </w:t>
      </w: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spacing w:line="480" w:lineRule="auto"/>
        <w:jc w:val="center"/>
        <w:rPr>
          <w:rFonts w:hint="default" w:ascii="Times New Roman" w:hAnsi="Times New Roman" w:eastAsia="宋体" w:cs="Times New Roman"/>
          <w:b/>
          <w:color w:val="auto"/>
          <w:kern w:val="1"/>
          <w:sz w:val="36"/>
          <w:highlight w:val="none"/>
        </w:rPr>
      </w:pPr>
      <w:r>
        <w:rPr>
          <w:rFonts w:hint="default" w:ascii="Times New Roman" w:hAnsi="Times New Roman" w:eastAsia="宋体" w:cs="Times New Roman"/>
          <w:b/>
          <w:color w:val="auto"/>
          <w:kern w:val="1"/>
          <w:sz w:val="36"/>
          <w:highlight w:val="none"/>
        </w:rPr>
        <w:br w:type="page"/>
      </w:r>
      <w:r>
        <w:rPr>
          <w:rFonts w:hint="default" w:ascii="Times New Roman" w:hAnsi="Times New Roman" w:eastAsia="宋体" w:cs="Times New Roman"/>
          <w:b/>
          <w:color w:val="auto"/>
          <w:kern w:val="1"/>
          <w:sz w:val="36"/>
          <w:highlight w:val="none"/>
        </w:rPr>
        <w:t>投标人法定代表人授权书（格式）</w:t>
      </w:r>
    </w:p>
    <w:p>
      <w:pPr>
        <w:rPr>
          <w:rFonts w:hint="default" w:ascii="Times New Roman" w:hAnsi="Times New Roman" w:eastAsia="宋体" w:cs="Times New Roman"/>
          <w:color w:val="auto"/>
          <w:kern w:val="1"/>
          <w:highlight w:val="none"/>
        </w:rPr>
      </w:pPr>
    </w:p>
    <w:p>
      <w:pPr>
        <w:spacing w:line="360" w:lineRule="auto"/>
        <w:rPr>
          <w:rFonts w:hint="default" w:ascii="Times New Roman" w:hAnsi="Times New Roman" w:eastAsia="宋体" w:cs="Times New Roman"/>
          <w:color w:val="auto"/>
          <w:kern w:val="1"/>
          <w:sz w:val="24"/>
          <w:highlight w:val="none"/>
          <w:u w:val="single"/>
        </w:rPr>
      </w:pPr>
      <w:r>
        <w:rPr>
          <w:rFonts w:hint="default" w:ascii="Times New Roman" w:hAnsi="Times New Roman" w:eastAsia="宋体" w:cs="Times New Roman"/>
          <w:color w:val="auto"/>
          <w:kern w:val="1"/>
          <w:sz w:val="24"/>
          <w:highlight w:val="none"/>
        </w:rPr>
        <w:t>项目名称：</w:t>
      </w:r>
      <w:r>
        <w:rPr>
          <w:rFonts w:hint="default" w:ascii="Times New Roman" w:hAnsi="Times New Roman" w:eastAsia="宋体" w:cs="Times New Roman"/>
          <w:color w:val="auto"/>
          <w:kern w:val="1"/>
          <w:sz w:val="24"/>
          <w:highlight w:val="none"/>
          <w:u w:val="single"/>
        </w:rPr>
        <w:t xml:space="preserve">               </w:t>
      </w:r>
    </w:p>
    <w:p>
      <w:pPr>
        <w:spacing w:line="360" w:lineRule="auto"/>
        <w:rPr>
          <w:rFonts w:hint="default" w:ascii="Times New Roman" w:hAnsi="Times New Roman" w:eastAsia="宋体" w:cs="Times New Roman"/>
          <w:color w:val="auto"/>
          <w:kern w:val="1"/>
          <w:sz w:val="24"/>
          <w:highlight w:val="none"/>
          <w:u w:val="single"/>
        </w:rPr>
      </w:pPr>
      <w:r>
        <w:rPr>
          <w:rFonts w:hint="default" w:ascii="Times New Roman" w:hAnsi="Times New Roman" w:eastAsia="宋体" w:cs="Times New Roman"/>
          <w:color w:val="auto"/>
          <w:kern w:val="1"/>
          <w:sz w:val="24"/>
          <w:highlight w:val="none"/>
        </w:rPr>
        <w:t>日    期：</w:t>
      </w:r>
      <w:r>
        <w:rPr>
          <w:rFonts w:hint="default" w:ascii="Times New Roman" w:hAnsi="Times New Roman" w:eastAsia="宋体" w:cs="Times New Roman"/>
          <w:color w:val="auto"/>
          <w:kern w:val="1"/>
          <w:sz w:val="24"/>
          <w:highlight w:val="none"/>
          <w:u w:val="single"/>
        </w:rPr>
        <w:t xml:space="preserve">               </w:t>
      </w:r>
    </w:p>
    <w:p>
      <w:pPr>
        <w:spacing w:line="360" w:lineRule="auto"/>
        <w:rPr>
          <w:rFonts w:hint="default" w:ascii="Times New Roman" w:hAnsi="Times New Roman" w:eastAsia="宋体" w:cs="Times New Roman"/>
          <w:color w:val="auto"/>
          <w:kern w:val="1"/>
          <w:sz w:val="24"/>
          <w:highlight w:val="none"/>
          <w:u w:val="single"/>
        </w:rPr>
      </w:pPr>
      <w:r>
        <w:rPr>
          <w:rFonts w:hint="default" w:ascii="Times New Roman" w:hAnsi="Times New Roman" w:eastAsia="宋体" w:cs="Times New Roman"/>
          <w:color w:val="auto"/>
          <w:kern w:val="1"/>
          <w:sz w:val="24"/>
          <w:highlight w:val="none"/>
        </w:rPr>
        <w:t>致：（</w:t>
      </w:r>
      <w:r>
        <w:rPr>
          <w:rFonts w:hint="default" w:ascii="Times New Roman" w:hAnsi="Times New Roman" w:eastAsia="宋体" w:cs="Times New Roman"/>
          <w:color w:val="auto"/>
          <w:kern w:val="1"/>
          <w:sz w:val="24"/>
          <w:highlight w:val="none"/>
          <w:u w:val="single"/>
        </w:rPr>
        <w:t xml:space="preserve">采购人名称）                </w:t>
      </w:r>
    </w:p>
    <w:p>
      <w:pPr>
        <w:spacing w:line="360" w:lineRule="auto"/>
        <w:rPr>
          <w:rFonts w:hint="default" w:ascii="Times New Roman" w:hAnsi="Times New Roman" w:eastAsia="宋体" w:cs="Times New Roman"/>
          <w:color w:val="auto"/>
          <w:kern w:val="1"/>
          <w:sz w:val="24"/>
          <w:highlight w:val="none"/>
        </w:rPr>
      </w:pPr>
      <w:r>
        <w:rPr>
          <w:rFonts w:hint="default" w:ascii="Times New Roman" w:hAnsi="Times New Roman" w:eastAsia="宋体" w:cs="Times New Roman"/>
          <w:color w:val="auto"/>
          <w:kern w:val="1"/>
          <w:sz w:val="24"/>
          <w:highlight w:val="none"/>
        </w:rPr>
        <w:t xml:space="preserve">    （</w:t>
      </w:r>
      <w:r>
        <w:rPr>
          <w:rFonts w:hint="default" w:ascii="Times New Roman" w:hAnsi="Times New Roman" w:eastAsia="宋体" w:cs="Times New Roman"/>
          <w:color w:val="auto"/>
          <w:kern w:val="1"/>
          <w:sz w:val="24"/>
          <w:highlight w:val="none"/>
          <w:u w:val="single"/>
        </w:rPr>
        <w:t xml:space="preserve">招标代理机构名称）         </w:t>
      </w:r>
    </w:p>
    <w:p>
      <w:pPr>
        <w:spacing w:line="360" w:lineRule="auto"/>
        <w:ind w:firstLine="480"/>
        <w:jc w:val="left"/>
        <w:rPr>
          <w:rFonts w:hint="default" w:ascii="Times New Roman" w:hAnsi="Times New Roman" w:eastAsia="宋体" w:cs="Times New Roman"/>
          <w:color w:val="auto"/>
          <w:kern w:val="1"/>
          <w:sz w:val="24"/>
          <w:highlight w:val="none"/>
          <w:u w:val="single"/>
        </w:rPr>
      </w:pPr>
      <w:r>
        <w:rPr>
          <w:rFonts w:hint="default" w:ascii="Times New Roman" w:hAnsi="Times New Roman" w:eastAsia="宋体" w:cs="Times New Roman"/>
          <w:color w:val="auto"/>
          <w:kern w:val="1"/>
          <w:sz w:val="24"/>
          <w:highlight w:val="none"/>
        </w:rPr>
        <w:t>注册于</w:t>
      </w:r>
      <w:r>
        <w:rPr>
          <w:rFonts w:hint="default" w:ascii="Times New Roman" w:hAnsi="Times New Roman" w:eastAsia="宋体" w:cs="Times New Roman"/>
          <w:color w:val="auto"/>
          <w:kern w:val="1"/>
          <w:sz w:val="24"/>
          <w:highlight w:val="none"/>
          <w:u w:val="single"/>
        </w:rPr>
        <w:t xml:space="preserve">                                 </w:t>
      </w:r>
      <w:r>
        <w:rPr>
          <w:rFonts w:hint="default" w:ascii="Times New Roman" w:hAnsi="Times New Roman" w:eastAsia="宋体" w:cs="Times New Roman"/>
          <w:color w:val="auto"/>
          <w:kern w:val="1"/>
          <w:sz w:val="24"/>
          <w:highlight w:val="none"/>
        </w:rPr>
        <w:t>（注册地址）的</w:t>
      </w:r>
      <w:r>
        <w:rPr>
          <w:rFonts w:hint="default" w:ascii="Times New Roman" w:hAnsi="Times New Roman" w:eastAsia="宋体" w:cs="Times New Roman"/>
          <w:color w:val="auto"/>
          <w:kern w:val="1"/>
          <w:sz w:val="24"/>
          <w:highlight w:val="none"/>
          <w:u w:val="single"/>
        </w:rPr>
        <w:t xml:space="preserve">                                         </w:t>
      </w:r>
    </w:p>
    <w:p>
      <w:pPr>
        <w:spacing w:line="360" w:lineRule="auto"/>
        <w:jc w:val="left"/>
        <w:rPr>
          <w:rFonts w:hint="default" w:ascii="Times New Roman" w:hAnsi="Times New Roman" w:eastAsia="宋体" w:cs="Times New Roman"/>
          <w:color w:val="auto"/>
          <w:kern w:val="1"/>
          <w:sz w:val="24"/>
          <w:highlight w:val="none"/>
        </w:rPr>
      </w:pPr>
      <w:r>
        <w:rPr>
          <w:rFonts w:hint="default" w:ascii="Times New Roman" w:hAnsi="Times New Roman" w:eastAsia="宋体" w:cs="Times New Roman"/>
          <w:color w:val="auto"/>
          <w:kern w:val="1"/>
          <w:sz w:val="24"/>
          <w:highlight w:val="none"/>
          <w:u w:val="single"/>
        </w:rPr>
        <w:t xml:space="preserve">                              </w:t>
      </w:r>
      <w:r>
        <w:rPr>
          <w:rFonts w:hint="default" w:ascii="Times New Roman" w:hAnsi="Times New Roman" w:eastAsia="宋体" w:cs="Times New Roman"/>
          <w:color w:val="auto"/>
          <w:kern w:val="1"/>
          <w:sz w:val="24"/>
          <w:highlight w:val="none"/>
        </w:rPr>
        <w:t>（投标人名称），系中华人民共和国合法企业；本人</w:t>
      </w:r>
      <w:r>
        <w:rPr>
          <w:rFonts w:hint="default" w:ascii="Times New Roman" w:hAnsi="Times New Roman" w:eastAsia="宋体" w:cs="Times New Roman"/>
          <w:color w:val="auto"/>
          <w:kern w:val="1"/>
          <w:sz w:val="24"/>
          <w:highlight w:val="none"/>
          <w:u w:val="single"/>
        </w:rPr>
        <w:t xml:space="preserve">             </w:t>
      </w:r>
      <w:r>
        <w:rPr>
          <w:rFonts w:hint="default" w:ascii="Times New Roman" w:hAnsi="Times New Roman" w:eastAsia="宋体" w:cs="Times New Roman"/>
          <w:color w:val="auto"/>
          <w:kern w:val="1"/>
          <w:sz w:val="24"/>
          <w:highlight w:val="none"/>
        </w:rPr>
        <w:t>（授权人姓名）系该公司的法定代表人。现特授权本单位的（被授权人姓名）</w:t>
      </w:r>
      <w:r>
        <w:rPr>
          <w:rFonts w:hint="default" w:ascii="Times New Roman" w:hAnsi="Times New Roman" w:eastAsia="宋体" w:cs="Times New Roman"/>
          <w:color w:val="auto"/>
          <w:kern w:val="1"/>
          <w:sz w:val="24"/>
          <w:highlight w:val="none"/>
          <w:u w:val="single"/>
        </w:rPr>
        <w:t xml:space="preserve">               </w:t>
      </w:r>
      <w:r>
        <w:rPr>
          <w:rFonts w:hint="default" w:ascii="Times New Roman" w:hAnsi="Times New Roman" w:eastAsia="宋体" w:cs="Times New Roman"/>
          <w:color w:val="auto"/>
          <w:kern w:val="1"/>
          <w:sz w:val="24"/>
          <w:highlight w:val="none"/>
        </w:rPr>
        <w:t>（身份证号码）</w:t>
      </w:r>
      <w:r>
        <w:rPr>
          <w:rFonts w:hint="default" w:ascii="Times New Roman" w:hAnsi="Times New Roman" w:eastAsia="宋体" w:cs="Times New Roman"/>
          <w:color w:val="auto"/>
          <w:kern w:val="1"/>
          <w:sz w:val="24"/>
          <w:highlight w:val="none"/>
          <w:u w:val="single"/>
        </w:rPr>
        <w:t xml:space="preserve">                             </w:t>
      </w:r>
      <w:r>
        <w:rPr>
          <w:rFonts w:hint="default" w:ascii="Times New Roman" w:hAnsi="Times New Roman" w:eastAsia="宋体" w:cs="Times New Roman"/>
          <w:color w:val="auto"/>
          <w:kern w:val="1"/>
          <w:sz w:val="24"/>
          <w:highlight w:val="none"/>
        </w:rPr>
        <w:t>为我公司合法代理人，全权代表我公司办理就</w:t>
      </w:r>
      <w:r>
        <w:rPr>
          <w:rFonts w:hint="default" w:ascii="Times New Roman" w:hAnsi="Times New Roman" w:eastAsia="宋体" w:cs="Times New Roman"/>
          <w:color w:val="auto"/>
          <w:kern w:val="1"/>
          <w:sz w:val="24"/>
          <w:highlight w:val="none"/>
          <w:u w:val="single"/>
        </w:rPr>
        <w:t xml:space="preserve">                                                     </w:t>
      </w:r>
      <w:r>
        <w:rPr>
          <w:rFonts w:hint="default" w:ascii="Times New Roman" w:hAnsi="Times New Roman" w:eastAsia="宋体" w:cs="Times New Roman"/>
          <w:color w:val="auto"/>
          <w:kern w:val="1"/>
          <w:sz w:val="24"/>
          <w:highlight w:val="none"/>
        </w:rPr>
        <w:t>项目的投标、谈判、签约等具体工作，并签署全部有关的文件、协议及合同。</w:t>
      </w:r>
    </w:p>
    <w:p>
      <w:pPr>
        <w:spacing w:line="360" w:lineRule="auto"/>
        <w:ind w:firstLine="480"/>
        <w:rPr>
          <w:rFonts w:hint="default" w:ascii="Times New Roman" w:hAnsi="Times New Roman" w:eastAsia="宋体" w:cs="Times New Roman"/>
          <w:color w:val="auto"/>
          <w:kern w:val="1"/>
          <w:sz w:val="24"/>
          <w:highlight w:val="none"/>
        </w:rPr>
      </w:pPr>
      <w:r>
        <w:rPr>
          <w:rFonts w:hint="default" w:ascii="Times New Roman" w:hAnsi="Times New Roman" w:eastAsia="宋体" w:cs="Times New Roman"/>
          <w:color w:val="auto"/>
          <w:kern w:val="1"/>
          <w:sz w:val="24"/>
          <w:highlight w:val="none"/>
        </w:rPr>
        <w:t>我公司对被授权人的签名负全部责任。</w:t>
      </w:r>
    </w:p>
    <w:p>
      <w:pPr>
        <w:spacing w:line="360" w:lineRule="auto"/>
        <w:ind w:firstLine="480"/>
        <w:rPr>
          <w:rFonts w:hint="default" w:ascii="Times New Roman" w:hAnsi="Times New Roman" w:eastAsia="宋体" w:cs="Times New Roman"/>
          <w:color w:val="auto"/>
          <w:kern w:val="1"/>
          <w:sz w:val="24"/>
          <w:highlight w:val="none"/>
        </w:rPr>
      </w:pPr>
      <w:r>
        <w:rPr>
          <w:rFonts w:hint="default" w:ascii="Times New Roman" w:hAnsi="Times New Roman" w:eastAsia="宋体" w:cs="Times New Roman"/>
          <w:color w:val="auto"/>
          <w:kern w:val="1"/>
          <w:sz w:val="24"/>
          <w:highlight w:val="none"/>
        </w:rPr>
        <w:t>在撤销授权的书面通知以前，本授权书一直有效。被授权人签署的所有文件（在授权书有效期内签署的）不因授权的撤销而失效。被授权人无转委托。特此声明。</w:t>
      </w:r>
    </w:p>
    <w:p>
      <w:pPr>
        <w:spacing w:line="360" w:lineRule="auto"/>
        <w:rPr>
          <w:rFonts w:hint="default" w:ascii="Times New Roman" w:hAnsi="Times New Roman" w:eastAsia="宋体" w:cs="Times New Roman"/>
          <w:color w:val="auto"/>
          <w:kern w:val="1"/>
          <w:sz w:val="24"/>
          <w:highlight w:val="none"/>
        </w:rPr>
      </w:pPr>
      <w:r>
        <w:rPr>
          <w:rFonts w:hint="default" w:ascii="Times New Roman" w:hAnsi="Times New Roman" w:eastAsia="宋体" w:cs="Times New Roman"/>
          <w:color w:val="auto"/>
          <w:kern w:val="1"/>
          <w:sz w:val="24"/>
          <w:highlight w:val="none"/>
        </w:rPr>
        <w:t>被授权人身份证复印件：</w:t>
      </w: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spacing w:line="800" w:lineRule="exact"/>
        <w:rPr>
          <w:rFonts w:hint="default" w:ascii="Times New Roman" w:hAnsi="Times New Roman" w:eastAsia="宋体" w:cs="Times New Roman"/>
          <w:color w:val="auto"/>
          <w:kern w:val="1"/>
          <w:sz w:val="24"/>
          <w:highlight w:val="none"/>
        </w:rPr>
      </w:pPr>
      <w:r>
        <w:rPr>
          <w:rFonts w:hint="default" w:ascii="Times New Roman" w:hAnsi="Times New Roman" w:eastAsia="宋体" w:cs="Times New Roman"/>
          <w:color w:val="auto"/>
          <w:kern w:val="1"/>
          <w:sz w:val="24"/>
          <w:highlight w:val="none"/>
        </w:rPr>
        <w:t>投标人公章：</w:t>
      </w:r>
    </w:p>
    <w:p>
      <w:pPr>
        <w:spacing w:line="800" w:lineRule="exact"/>
        <w:rPr>
          <w:rFonts w:hint="default" w:ascii="Times New Roman" w:hAnsi="Times New Roman" w:eastAsia="宋体" w:cs="Times New Roman"/>
          <w:color w:val="auto"/>
          <w:kern w:val="1"/>
          <w:sz w:val="24"/>
          <w:highlight w:val="none"/>
          <w:u w:val="single"/>
        </w:rPr>
      </w:pPr>
      <w:r>
        <w:rPr>
          <w:rFonts w:hint="default" w:ascii="Times New Roman" w:hAnsi="Times New Roman" w:eastAsia="宋体" w:cs="Times New Roman"/>
          <w:color w:val="auto"/>
          <w:kern w:val="1"/>
          <w:sz w:val="24"/>
          <w:highlight w:val="none"/>
        </w:rPr>
        <w:t>授权人签名：</w:t>
      </w:r>
      <w:r>
        <w:rPr>
          <w:rFonts w:hint="default" w:ascii="Times New Roman" w:hAnsi="Times New Roman" w:eastAsia="宋体" w:cs="Times New Roman"/>
          <w:color w:val="auto"/>
          <w:kern w:val="1"/>
          <w:sz w:val="24"/>
          <w:highlight w:val="none"/>
          <w:u w:val="single"/>
        </w:rPr>
        <w:t xml:space="preserve">                  </w:t>
      </w:r>
      <w:r>
        <w:rPr>
          <w:rFonts w:hint="default" w:ascii="Times New Roman" w:hAnsi="Times New Roman" w:eastAsia="宋体" w:cs="Times New Roman"/>
          <w:color w:val="auto"/>
          <w:kern w:val="1"/>
          <w:sz w:val="24"/>
          <w:highlight w:val="none"/>
        </w:rPr>
        <w:t xml:space="preserve">     职        务：</w:t>
      </w:r>
      <w:r>
        <w:rPr>
          <w:rFonts w:hint="default" w:ascii="Times New Roman" w:hAnsi="Times New Roman" w:eastAsia="宋体" w:cs="Times New Roman"/>
          <w:color w:val="auto"/>
          <w:kern w:val="1"/>
          <w:sz w:val="24"/>
          <w:highlight w:val="none"/>
          <w:u w:val="single"/>
        </w:rPr>
        <w:t xml:space="preserve">                </w:t>
      </w:r>
    </w:p>
    <w:p>
      <w:pPr>
        <w:spacing w:line="800" w:lineRule="exact"/>
        <w:rPr>
          <w:rFonts w:hint="default" w:ascii="Times New Roman" w:hAnsi="Times New Roman" w:eastAsia="宋体" w:cs="Times New Roman"/>
          <w:color w:val="auto"/>
          <w:kern w:val="1"/>
          <w:sz w:val="24"/>
          <w:highlight w:val="none"/>
        </w:rPr>
      </w:pPr>
      <w:r>
        <w:rPr>
          <w:rFonts w:hint="default" w:ascii="Times New Roman" w:hAnsi="Times New Roman" w:eastAsia="宋体" w:cs="Times New Roman"/>
          <w:color w:val="auto"/>
          <w:kern w:val="1"/>
          <w:sz w:val="24"/>
          <w:highlight w:val="none"/>
        </w:rPr>
        <w:t>被授权人签名：</w:t>
      </w:r>
      <w:r>
        <w:rPr>
          <w:rFonts w:hint="default" w:ascii="Times New Roman" w:hAnsi="Times New Roman" w:eastAsia="宋体" w:cs="Times New Roman"/>
          <w:color w:val="auto"/>
          <w:kern w:val="1"/>
          <w:sz w:val="24"/>
          <w:highlight w:val="none"/>
          <w:u w:val="single"/>
        </w:rPr>
        <w:t xml:space="preserve">                </w:t>
      </w:r>
      <w:r>
        <w:rPr>
          <w:rFonts w:hint="default" w:ascii="Times New Roman" w:hAnsi="Times New Roman" w:eastAsia="宋体" w:cs="Times New Roman"/>
          <w:color w:val="auto"/>
          <w:kern w:val="1"/>
          <w:sz w:val="24"/>
          <w:highlight w:val="none"/>
        </w:rPr>
        <w:t xml:space="preserve">     </w:t>
      </w:r>
    </w:p>
    <w:p>
      <w:pPr>
        <w:spacing w:line="360" w:lineRule="auto"/>
        <w:rPr>
          <w:rFonts w:hint="default" w:ascii="Times New Roman" w:hAnsi="Times New Roman" w:eastAsia="宋体" w:cs="Times New Roman"/>
          <w:color w:val="auto"/>
          <w:kern w:val="1"/>
          <w:sz w:val="24"/>
          <w:highlight w:val="none"/>
        </w:rPr>
      </w:pPr>
    </w:p>
    <w:p>
      <w:pPr>
        <w:spacing w:line="360" w:lineRule="auto"/>
        <w:rPr>
          <w:rFonts w:hint="default" w:ascii="Times New Roman" w:hAnsi="Times New Roman" w:eastAsia="宋体" w:cs="Times New Roman"/>
          <w:color w:val="auto"/>
          <w:kern w:val="1"/>
          <w:sz w:val="24"/>
          <w:highlight w:val="none"/>
        </w:rPr>
      </w:pPr>
      <w:r>
        <w:rPr>
          <w:rFonts w:hint="default" w:ascii="Times New Roman" w:hAnsi="Times New Roman" w:eastAsia="宋体" w:cs="Times New Roman"/>
          <w:color w:val="auto"/>
          <w:kern w:val="1"/>
          <w:sz w:val="24"/>
          <w:highlight w:val="none"/>
        </w:rPr>
        <w:t>注：投标人法定代表人参加投标的，提供法定代表人声明书和身份证即可。</w:t>
      </w:r>
    </w:p>
    <w:p>
      <w:pPr>
        <w:rPr>
          <w:rFonts w:hint="default" w:ascii="Times New Roman" w:hAnsi="Times New Roman" w:eastAsia="宋体" w:cs="Times New Roman"/>
          <w:color w:val="auto"/>
          <w:kern w:val="1"/>
          <w:highlight w:val="none"/>
        </w:rPr>
      </w:pPr>
    </w:p>
    <w:p>
      <w:pPr>
        <w:rPr>
          <w:rFonts w:hint="default" w:ascii="Times New Roman" w:hAnsi="Times New Roman" w:eastAsia="宋体" w:cs="Times New Roman"/>
          <w:color w:val="auto"/>
          <w:kern w:val="1"/>
          <w:highlight w:val="none"/>
        </w:rPr>
      </w:pPr>
    </w:p>
    <w:p>
      <w:pPr>
        <w:pStyle w:val="51"/>
        <w:rPr>
          <w:rFonts w:hint="default" w:ascii="Times New Roman" w:hAnsi="Times New Roman" w:eastAsia="宋体" w:cs="Times New Roman"/>
          <w:color w:val="auto"/>
          <w:highlight w:val="none"/>
        </w:rPr>
      </w:pPr>
    </w:p>
    <w:p>
      <w:pPr>
        <w:rPr>
          <w:rFonts w:hint="default" w:ascii="Times New Roman" w:hAnsi="Times New Roman" w:eastAsia="宋体" w:cs="Times New Roman"/>
          <w:color w:val="auto"/>
          <w:kern w:val="1"/>
          <w:highlight w:val="none"/>
        </w:rPr>
      </w:pPr>
    </w:p>
    <w:p>
      <w:pPr>
        <w:snapToGrid w:val="0"/>
        <w:spacing w:line="360" w:lineRule="auto"/>
        <w:jc w:val="center"/>
        <w:rPr>
          <w:sz w:val="32"/>
          <w:highlight w:val="none"/>
        </w:rPr>
      </w:pPr>
      <w:r>
        <w:rPr>
          <w:rFonts w:hint="default" w:ascii="Times New Roman" w:hAnsi="Times New Roman" w:eastAsia="宋体" w:cs="Times New Roman"/>
          <w:b/>
          <w:color w:val="auto"/>
          <w:kern w:val="1"/>
          <w:sz w:val="36"/>
          <w:highlight w:val="none"/>
        </w:rPr>
        <w:br w:type="page"/>
      </w:r>
      <w:r>
        <w:rPr>
          <w:b/>
          <w:sz w:val="36"/>
          <w:szCs w:val="36"/>
          <w:highlight w:val="none"/>
        </w:rPr>
        <w:t>投标人情况介绍</w:t>
      </w:r>
    </w:p>
    <w:p>
      <w:pPr>
        <w:snapToGrid w:val="0"/>
        <w:spacing w:line="360" w:lineRule="auto"/>
        <w:rPr>
          <w:sz w:val="24"/>
          <w:highlight w:val="none"/>
        </w:rPr>
      </w:pPr>
      <w:r>
        <w:rPr>
          <w:sz w:val="24"/>
          <w:highlight w:val="none"/>
        </w:rPr>
        <w:t>1、总体介绍、技术经济实力、服务能力、资格、资质、质量认证与本项目类似的实际项目的介绍、业绩等相关情况。</w:t>
      </w:r>
    </w:p>
    <w:p>
      <w:pPr>
        <w:snapToGrid w:val="0"/>
        <w:spacing w:line="360" w:lineRule="auto"/>
        <w:rPr>
          <w:sz w:val="24"/>
          <w:highlight w:val="none"/>
        </w:rPr>
      </w:pPr>
      <w:r>
        <w:rPr>
          <w:sz w:val="24"/>
          <w:highlight w:val="none"/>
        </w:rPr>
        <w:t>2、</w:t>
      </w:r>
      <w:r>
        <w:rPr>
          <w:rFonts w:hint="eastAsia"/>
          <w:sz w:val="24"/>
          <w:highlight w:val="none"/>
        </w:rPr>
        <w:t>相关证书、证件资料复印件加盖公章后附后。</w:t>
      </w:r>
    </w:p>
    <w:p>
      <w:pPr>
        <w:snapToGrid w:val="0"/>
        <w:spacing w:line="360" w:lineRule="auto"/>
        <w:rPr>
          <w:sz w:val="24"/>
          <w:highlight w:val="none"/>
        </w:rPr>
      </w:pPr>
      <w:r>
        <w:rPr>
          <w:sz w:val="24"/>
          <w:highlight w:val="none"/>
        </w:rPr>
        <w:t>3、</w:t>
      </w:r>
      <w:r>
        <w:rPr>
          <w:rFonts w:hint="eastAsia"/>
          <w:sz w:val="24"/>
          <w:highlight w:val="none"/>
        </w:rPr>
        <w:t>投标人认为有必要的声明和文件（荣誉证书等），复印件加盖公章后附后。</w:t>
      </w:r>
    </w:p>
    <w:p>
      <w:pPr>
        <w:snapToGrid w:val="0"/>
        <w:spacing w:line="360" w:lineRule="auto"/>
        <w:jc w:val="both"/>
        <w:rPr>
          <w:highlight w:val="none"/>
        </w:rPr>
      </w:pPr>
    </w:p>
    <w:p>
      <w:pPr>
        <w:snapToGrid w:val="0"/>
        <w:spacing w:line="360" w:lineRule="auto"/>
        <w:jc w:val="center"/>
        <w:rPr>
          <w:highlight w:val="none"/>
        </w:rPr>
      </w:pPr>
    </w:p>
    <w:p>
      <w:pPr>
        <w:snapToGrid w:val="0"/>
        <w:spacing w:line="360" w:lineRule="auto"/>
        <w:jc w:val="center"/>
        <w:rPr>
          <w:highlight w:val="none"/>
        </w:rPr>
      </w:pPr>
    </w:p>
    <w:p>
      <w:pPr>
        <w:snapToGrid w:val="0"/>
        <w:spacing w:line="360" w:lineRule="auto"/>
        <w:jc w:val="center"/>
        <w:rPr>
          <w:highlight w:val="none"/>
        </w:rPr>
      </w:pPr>
    </w:p>
    <w:p>
      <w:pPr>
        <w:snapToGrid w:val="0"/>
        <w:spacing w:line="360" w:lineRule="auto"/>
        <w:jc w:val="center"/>
        <w:rPr>
          <w:highlight w:val="none"/>
        </w:rPr>
      </w:pPr>
    </w:p>
    <w:p>
      <w:pPr>
        <w:snapToGrid w:val="0"/>
        <w:spacing w:line="360" w:lineRule="auto"/>
        <w:jc w:val="center"/>
        <w:rPr>
          <w:highlight w:val="none"/>
        </w:rPr>
      </w:pPr>
    </w:p>
    <w:p>
      <w:pPr>
        <w:snapToGrid w:val="0"/>
        <w:spacing w:line="360" w:lineRule="auto"/>
        <w:rPr>
          <w:highlight w:val="none"/>
        </w:rPr>
      </w:pPr>
    </w:p>
    <w:p>
      <w:pPr>
        <w:snapToGrid w:val="0"/>
        <w:spacing w:line="360" w:lineRule="auto"/>
        <w:rPr>
          <w:highlight w:val="none"/>
        </w:rPr>
      </w:pPr>
    </w:p>
    <w:p>
      <w:pPr>
        <w:snapToGrid w:val="0"/>
        <w:spacing w:line="360" w:lineRule="auto"/>
        <w:rPr>
          <w:highlight w:val="none"/>
        </w:rPr>
      </w:pPr>
    </w:p>
    <w:p>
      <w:pPr>
        <w:snapToGrid w:val="0"/>
        <w:spacing w:line="360" w:lineRule="auto"/>
        <w:rPr>
          <w:highlight w:val="none"/>
        </w:rPr>
      </w:pPr>
    </w:p>
    <w:p>
      <w:pPr>
        <w:snapToGrid w:val="0"/>
        <w:spacing w:line="360" w:lineRule="auto"/>
        <w:rPr>
          <w:sz w:val="24"/>
          <w:highlight w:val="none"/>
        </w:rPr>
      </w:pPr>
    </w:p>
    <w:p>
      <w:pPr>
        <w:snapToGrid w:val="0"/>
        <w:spacing w:line="360" w:lineRule="auto"/>
        <w:ind w:firstLine="4560"/>
        <w:rPr>
          <w:sz w:val="24"/>
          <w:highlight w:val="none"/>
        </w:rPr>
      </w:pPr>
      <w:r>
        <w:rPr>
          <w:sz w:val="24"/>
          <w:highlight w:val="none"/>
        </w:rPr>
        <w:t>投标人名称（盖章）</w:t>
      </w:r>
      <w:r>
        <w:rPr>
          <w:sz w:val="24"/>
          <w:highlight w:val="none"/>
          <w:u w:val="single"/>
        </w:rPr>
        <w:t xml:space="preserve">                   </w:t>
      </w:r>
    </w:p>
    <w:p>
      <w:pPr>
        <w:snapToGrid w:val="0"/>
        <w:spacing w:line="360" w:lineRule="auto"/>
        <w:ind w:firstLine="4800"/>
        <w:rPr>
          <w:sz w:val="24"/>
          <w:highlight w:val="none"/>
          <w:u w:val="single"/>
        </w:rPr>
      </w:pPr>
      <w:r>
        <w:rPr>
          <w:sz w:val="24"/>
          <w:highlight w:val="none"/>
        </w:rPr>
        <w:t>授权代表签字</w:t>
      </w:r>
      <w:r>
        <w:rPr>
          <w:sz w:val="24"/>
          <w:highlight w:val="none"/>
          <w:u w:val="single"/>
        </w:rPr>
        <w:t xml:space="preserve">                         </w:t>
      </w:r>
    </w:p>
    <w:p>
      <w:pPr>
        <w:snapToGrid w:val="0"/>
        <w:spacing w:line="360" w:lineRule="auto"/>
        <w:jc w:val="center"/>
        <w:rPr>
          <w:sz w:val="24"/>
          <w:highlight w:val="none"/>
        </w:rPr>
      </w:pPr>
      <w:r>
        <w:rPr>
          <w:sz w:val="24"/>
          <w:highlight w:val="none"/>
        </w:rPr>
        <w:t xml:space="preserve">                                                     年     月      日</w:t>
      </w:r>
    </w:p>
    <w:p>
      <w:pPr>
        <w:snapToGrid w:val="0"/>
        <w:spacing w:line="360" w:lineRule="auto"/>
        <w:rPr>
          <w:sz w:val="24"/>
          <w:highlight w:val="none"/>
        </w:rPr>
      </w:pPr>
      <w:r>
        <w:rPr>
          <w:sz w:val="24"/>
          <w:highlight w:val="none"/>
        </w:rPr>
        <w:t>本附件可根据实际情况自行制作</w:t>
      </w:r>
    </w:p>
    <w:p>
      <w:pPr>
        <w:snapToGrid w:val="0"/>
        <w:spacing w:line="360" w:lineRule="auto"/>
        <w:rPr>
          <w:sz w:val="24"/>
          <w:highlight w:val="none"/>
        </w:rPr>
      </w:pPr>
      <w:r>
        <w:rPr>
          <w:b/>
          <w:sz w:val="24"/>
          <w:highlight w:val="none"/>
        </w:rPr>
        <w:t xml:space="preserve">       </w:t>
      </w:r>
      <w:r>
        <w:rPr>
          <w:sz w:val="24"/>
          <w:highlight w:val="none"/>
        </w:rPr>
        <w:t xml:space="preserve">            </w:t>
      </w:r>
    </w:p>
    <w:p>
      <w:pPr>
        <w:rPr>
          <w:rFonts w:ascii="Times New Roman" w:hAnsi="Times New Roman"/>
          <w:color w:val="auto"/>
          <w:kern w:val="1"/>
          <w:highlight w:val="none"/>
        </w:rPr>
      </w:pPr>
      <w:r>
        <w:rPr>
          <w:rFonts w:ascii="Times New Roman" w:hAnsi="Times New Roman"/>
          <w:color w:val="auto"/>
          <w:kern w:val="1"/>
          <w:highlight w:val="none"/>
        </w:rPr>
        <w:t xml:space="preserve"> </w:t>
      </w:r>
    </w:p>
    <w:p>
      <w:pPr>
        <w:rPr>
          <w:rFonts w:ascii="Times New Roman" w:hAnsi="Times New Roman"/>
          <w:color w:val="auto"/>
          <w:kern w:val="1"/>
          <w:highlight w:val="none"/>
        </w:rPr>
      </w:pPr>
      <w:r>
        <w:rPr>
          <w:rFonts w:ascii="Times New Roman" w:hAnsi="Times New Roman"/>
          <w:color w:val="auto"/>
          <w:kern w:val="1"/>
          <w:highlight w:val="none"/>
        </w:rPr>
        <w:t xml:space="preserve"> </w:t>
      </w:r>
    </w:p>
    <w:p>
      <w:pPr>
        <w:rPr>
          <w:rFonts w:ascii="Times New Roman" w:hAnsi="Times New Roman"/>
          <w:color w:val="auto"/>
          <w:kern w:val="1"/>
          <w:highlight w:val="none"/>
        </w:rPr>
      </w:pPr>
      <w:r>
        <w:rPr>
          <w:rFonts w:ascii="Times New Roman" w:hAnsi="Times New Roman"/>
          <w:color w:val="auto"/>
          <w:kern w:val="1"/>
          <w:highlight w:val="none"/>
        </w:rPr>
        <w:t xml:space="preserve"> </w:t>
      </w:r>
    </w:p>
    <w:p>
      <w:pPr>
        <w:rPr>
          <w:rFonts w:ascii="Times New Roman" w:hAnsi="Times New Roman"/>
          <w:color w:val="auto"/>
          <w:kern w:val="1"/>
          <w:highlight w:val="none"/>
        </w:rPr>
      </w:pPr>
      <w:r>
        <w:rPr>
          <w:rFonts w:ascii="Times New Roman" w:hAnsi="Times New Roman"/>
          <w:color w:val="auto"/>
          <w:kern w:val="1"/>
          <w:highlight w:val="none"/>
        </w:rPr>
        <w:t xml:space="preserve"> </w:t>
      </w: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rPr>
          <w:rFonts w:ascii="Times New Roman" w:hAnsi="Times New Roman"/>
          <w:color w:val="auto"/>
          <w:kern w:val="1"/>
          <w:highlight w:val="none"/>
        </w:rPr>
      </w:pPr>
    </w:p>
    <w:p>
      <w:pPr>
        <w:pStyle w:val="146"/>
        <w:rPr>
          <w:color w:val="auto"/>
          <w:highlight w:val="none"/>
        </w:rPr>
      </w:pPr>
    </w:p>
    <w:p>
      <w:pPr>
        <w:spacing w:line="400" w:lineRule="exact"/>
        <w:jc w:val="both"/>
        <w:rPr>
          <w:rFonts w:hint="eastAsia" w:ascii="宋体" w:hAnsi="宋体" w:cs="宋体"/>
          <w:b/>
          <w:bCs/>
          <w:color w:val="000000"/>
          <w:sz w:val="28"/>
          <w:szCs w:val="28"/>
          <w:highlight w:val="none"/>
        </w:rPr>
      </w:pPr>
    </w:p>
    <w:p>
      <w:pPr>
        <w:spacing w:line="400" w:lineRule="exact"/>
        <w:jc w:val="center"/>
        <w:rPr>
          <w:rFonts w:hint="eastAsia" w:ascii="宋体" w:hAnsi="宋体" w:cs="宋体"/>
          <w:b/>
          <w:bCs/>
          <w:color w:val="000000"/>
          <w:sz w:val="36"/>
          <w:szCs w:val="36"/>
          <w:highlight w:val="none"/>
        </w:rPr>
      </w:pPr>
      <w:r>
        <w:rPr>
          <w:rFonts w:hint="eastAsia" w:ascii="宋体" w:hAnsi="宋体" w:cs="宋体"/>
          <w:b/>
          <w:bCs/>
          <w:color w:val="000000"/>
          <w:sz w:val="36"/>
          <w:szCs w:val="36"/>
          <w:highlight w:val="none"/>
        </w:rPr>
        <w:t>项目案例业绩</w:t>
      </w:r>
    </w:p>
    <w:p>
      <w:pPr>
        <w:pStyle w:val="2"/>
        <w:ind w:left="0" w:leftChars="0" w:firstLine="0" w:firstLineChars="0"/>
        <w:rPr>
          <w:rFonts w:hint="eastAsia"/>
          <w:highlight w:val="none"/>
          <w:lang w:eastAsia="zh-CN"/>
        </w:rPr>
      </w:pPr>
    </w:p>
    <w:tbl>
      <w:tblPr>
        <w:tblStyle w:val="5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2123"/>
        <w:gridCol w:w="1947"/>
        <w:gridCol w:w="1947"/>
        <w:gridCol w:w="1009"/>
        <w:gridCol w:w="2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8" w:type="pct"/>
            <w:noWrap w:val="0"/>
            <w:vAlign w:val="center"/>
          </w:tcPr>
          <w:p>
            <w:pPr>
              <w:spacing w:line="380" w:lineRule="exact"/>
              <w:jc w:val="center"/>
              <w:rPr>
                <w:rFonts w:hint="eastAsia" w:ascii="宋体" w:hAnsi="宋体" w:cs="宋体"/>
                <w:b/>
                <w:bCs/>
                <w:color w:val="000000"/>
                <w:sz w:val="22"/>
                <w:szCs w:val="22"/>
                <w:highlight w:val="none"/>
              </w:rPr>
            </w:pPr>
            <w:r>
              <w:rPr>
                <w:rFonts w:hint="eastAsia" w:ascii="宋体" w:hAnsi="宋体" w:cs="宋体"/>
                <w:b/>
                <w:bCs/>
                <w:color w:val="000000"/>
                <w:sz w:val="22"/>
                <w:szCs w:val="22"/>
                <w:highlight w:val="none"/>
              </w:rPr>
              <w:t>序号</w:t>
            </w:r>
          </w:p>
        </w:tc>
        <w:tc>
          <w:tcPr>
            <w:tcW w:w="1052" w:type="pct"/>
            <w:noWrap w:val="0"/>
            <w:vAlign w:val="center"/>
          </w:tcPr>
          <w:p>
            <w:pPr>
              <w:spacing w:line="380" w:lineRule="exact"/>
              <w:jc w:val="center"/>
              <w:rPr>
                <w:rFonts w:hint="eastAsia" w:ascii="宋体" w:hAnsi="宋体" w:cs="宋体"/>
                <w:b/>
                <w:bCs/>
                <w:color w:val="000000"/>
                <w:sz w:val="22"/>
                <w:szCs w:val="22"/>
                <w:highlight w:val="none"/>
              </w:rPr>
            </w:pPr>
            <w:r>
              <w:rPr>
                <w:rFonts w:hint="eastAsia" w:ascii="宋体" w:hAnsi="宋体" w:cs="宋体"/>
                <w:b/>
                <w:bCs/>
                <w:color w:val="000000"/>
                <w:sz w:val="22"/>
                <w:szCs w:val="22"/>
                <w:highlight w:val="none"/>
              </w:rPr>
              <w:t>用户名称</w:t>
            </w:r>
          </w:p>
        </w:tc>
        <w:tc>
          <w:tcPr>
            <w:tcW w:w="965" w:type="pct"/>
            <w:noWrap w:val="0"/>
            <w:vAlign w:val="center"/>
          </w:tcPr>
          <w:p>
            <w:pPr>
              <w:spacing w:line="380" w:lineRule="exact"/>
              <w:jc w:val="center"/>
              <w:rPr>
                <w:rFonts w:hint="eastAsia" w:ascii="宋体" w:hAnsi="宋体" w:cs="宋体"/>
                <w:b/>
                <w:bCs/>
                <w:color w:val="000000"/>
                <w:sz w:val="22"/>
                <w:szCs w:val="22"/>
                <w:highlight w:val="none"/>
              </w:rPr>
            </w:pPr>
            <w:r>
              <w:rPr>
                <w:rFonts w:hint="eastAsia" w:ascii="宋体" w:hAnsi="宋体" w:cs="宋体"/>
                <w:b/>
                <w:bCs/>
                <w:color w:val="000000"/>
                <w:sz w:val="22"/>
                <w:szCs w:val="22"/>
                <w:highlight w:val="none"/>
              </w:rPr>
              <w:t>项目名称</w:t>
            </w:r>
          </w:p>
        </w:tc>
        <w:tc>
          <w:tcPr>
            <w:tcW w:w="965" w:type="pct"/>
            <w:noWrap w:val="0"/>
            <w:vAlign w:val="center"/>
          </w:tcPr>
          <w:p>
            <w:pPr>
              <w:spacing w:line="380" w:lineRule="exact"/>
              <w:jc w:val="center"/>
              <w:rPr>
                <w:rFonts w:hint="eastAsia" w:ascii="宋体" w:hAnsi="宋体" w:cs="宋体"/>
                <w:b/>
                <w:color w:val="000000"/>
                <w:highlight w:val="none"/>
                <w:u w:val="thick"/>
              </w:rPr>
            </w:pPr>
            <w:r>
              <w:rPr>
                <w:rFonts w:hint="eastAsia" w:ascii="宋体" w:hAnsi="宋体" w:cs="宋体"/>
                <w:b/>
                <w:bCs/>
                <w:color w:val="000000"/>
                <w:sz w:val="22"/>
                <w:szCs w:val="22"/>
                <w:highlight w:val="none"/>
              </w:rPr>
              <w:t>合同签订时间</w:t>
            </w:r>
          </w:p>
        </w:tc>
        <w:tc>
          <w:tcPr>
            <w:tcW w:w="500" w:type="pct"/>
            <w:noWrap w:val="0"/>
            <w:vAlign w:val="center"/>
          </w:tcPr>
          <w:p>
            <w:pPr>
              <w:spacing w:line="380" w:lineRule="exact"/>
              <w:jc w:val="center"/>
              <w:rPr>
                <w:rFonts w:hint="eastAsia" w:ascii="宋体" w:hAnsi="宋体" w:cs="宋体"/>
                <w:b/>
                <w:bCs/>
                <w:color w:val="000000"/>
                <w:sz w:val="22"/>
                <w:szCs w:val="22"/>
                <w:highlight w:val="none"/>
              </w:rPr>
            </w:pPr>
            <w:r>
              <w:rPr>
                <w:rFonts w:hint="eastAsia" w:ascii="宋体" w:hAnsi="宋体" w:cs="宋体"/>
                <w:b/>
                <w:bCs/>
                <w:color w:val="000000"/>
                <w:sz w:val="22"/>
                <w:szCs w:val="22"/>
                <w:highlight w:val="none"/>
              </w:rPr>
              <w:t>金额</w:t>
            </w:r>
          </w:p>
        </w:tc>
        <w:tc>
          <w:tcPr>
            <w:tcW w:w="1077" w:type="pct"/>
            <w:noWrap w:val="0"/>
            <w:vAlign w:val="center"/>
          </w:tcPr>
          <w:p>
            <w:pPr>
              <w:spacing w:line="380" w:lineRule="exact"/>
              <w:jc w:val="center"/>
              <w:rPr>
                <w:rFonts w:hint="eastAsia" w:ascii="宋体" w:hAnsi="宋体" w:cs="宋体"/>
                <w:b/>
                <w:bCs/>
                <w:color w:val="000000"/>
                <w:sz w:val="22"/>
                <w:szCs w:val="22"/>
                <w:highlight w:val="none"/>
              </w:rPr>
            </w:pPr>
            <w:r>
              <w:rPr>
                <w:rFonts w:hint="eastAsia" w:ascii="宋体" w:hAnsi="宋体" w:cs="宋体"/>
                <w:b/>
                <w:bCs/>
                <w:color w:val="000000"/>
                <w:sz w:val="22"/>
                <w:szCs w:val="22"/>
                <w:highlight w:val="none"/>
              </w:rPr>
              <w:t>用户单位联系人及联系方式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8" w:type="pct"/>
            <w:noWrap w:val="0"/>
            <w:vAlign w:val="center"/>
          </w:tcPr>
          <w:p>
            <w:pPr>
              <w:spacing w:line="380" w:lineRule="exact"/>
              <w:jc w:val="center"/>
              <w:rPr>
                <w:rFonts w:hint="eastAsia" w:ascii="宋体" w:hAnsi="宋体" w:cs="宋体"/>
                <w:b/>
                <w:bCs/>
                <w:color w:val="000000"/>
                <w:sz w:val="22"/>
                <w:szCs w:val="22"/>
                <w:highlight w:val="none"/>
              </w:rPr>
            </w:pPr>
          </w:p>
        </w:tc>
        <w:tc>
          <w:tcPr>
            <w:tcW w:w="1052" w:type="pct"/>
            <w:noWrap w:val="0"/>
            <w:vAlign w:val="center"/>
          </w:tcPr>
          <w:p>
            <w:pPr>
              <w:spacing w:line="380" w:lineRule="exact"/>
              <w:jc w:val="center"/>
              <w:rPr>
                <w:rFonts w:hint="eastAsia" w:ascii="宋体" w:hAnsi="宋体" w:cs="宋体"/>
                <w:b/>
                <w:bCs/>
                <w:color w:val="000000"/>
                <w:sz w:val="22"/>
                <w:szCs w:val="22"/>
                <w:highlight w:val="none"/>
              </w:rPr>
            </w:pPr>
          </w:p>
        </w:tc>
        <w:tc>
          <w:tcPr>
            <w:tcW w:w="965" w:type="pct"/>
            <w:noWrap w:val="0"/>
            <w:vAlign w:val="center"/>
          </w:tcPr>
          <w:p>
            <w:pPr>
              <w:spacing w:line="380" w:lineRule="exact"/>
              <w:jc w:val="center"/>
              <w:rPr>
                <w:rFonts w:hint="eastAsia" w:ascii="宋体" w:hAnsi="宋体" w:cs="宋体"/>
                <w:b/>
                <w:bCs/>
                <w:color w:val="000000"/>
                <w:sz w:val="22"/>
                <w:szCs w:val="22"/>
                <w:highlight w:val="none"/>
              </w:rPr>
            </w:pPr>
          </w:p>
        </w:tc>
        <w:tc>
          <w:tcPr>
            <w:tcW w:w="965" w:type="pct"/>
            <w:noWrap w:val="0"/>
            <w:vAlign w:val="center"/>
          </w:tcPr>
          <w:p>
            <w:pPr>
              <w:spacing w:line="380" w:lineRule="exact"/>
              <w:jc w:val="center"/>
              <w:rPr>
                <w:rFonts w:hint="eastAsia" w:ascii="宋体" w:hAnsi="宋体" w:cs="宋体"/>
                <w:b/>
                <w:bCs/>
                <w:color w:val="000000"/>
                <w:sz w:val="22"/>
                <w:szCs w:val="22"/>
                <w:highlight w:val="none"/>
              </w:rPr>
            </w:pPr>
          </w:p>
        </w:tc>
        <w:tc>
          <w:tcPr>
            <w:tcW w:w="500" w:type="pct"/>
            <w:noWrap w:val="0"/>
            <w:vAlign w:val="center"/>
          </w:tcPr>
          <w:p>
            <w:pPr>
              <w:spacing w:line="380" w:lineRule="exact"/>
              <w:jc w:val="center"/>
              <w:rPr>
                <w:rFonts w:hint="eastAsia" w:ascii="宋体" w:hAnsi="宋体" w:cs="宋体"/>
                <w:b/>
                <w:bCs/>
                <w:color w:val="000000"/>
                <w:sz w:val="22"/>
                <w:szCs w:val="22"/>
                <w:highlight w:val="none"/>
              </w:rPr>
            </w:pPr>
          </w:p>
        </w:tc>
        <w:tc>
          <w:tcPr>
            <w:tcW w:w="1077" w:type="pct"/>
            <w:noWrap w:val="0"/>
            <w:vAlign w:val="center"/>
          </w:tcPr>
          <w:p>
            <w:pPr>
              <w:spacing w:line="380" w:lineRule="exact"/>
              <w:jc w:val="center"/>
              <w:rPr>
                <w:rFonts w:hint="eastAsia" w:ascii="宋体" w:hAnsi="宋体" w:cs="宋体"/>
                <w:b/>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8" w:type="pct"/>
            <w:noWrap w:val="0"/>
            <w:vAlign w:val="center"/>
          </w:tcPr>
          <w:p>
            <w:pPr>
              <w:spacing w:line="380" w:lineRule="exact"/>
              <w:jc w:val="center"/>
              <w:rPr>
                <w:rFonts w:hint="eastAsia" w:ascii="宋体" w:hAnsi="宋体" w:cs="宋体"/>
                <w:b/>
                <w:bCs/>
                <w:color w:val="000000"/>
                <w:sz w:val="22"/>
                <w:szCs w:val="22"/>
                <w:highlight w:val="none"/>
              </w:rPr>
            </w:pPr>
          </w:p>
        </w:tc>
        <w:tc>
          <w:tcPr>
            <w:tcW w:w="1052" w:type="pct"/>
            <w:noWrap w:val="0"/>
            <w:vAlign w:val="center"/>
          </w:tcPr>
          <w:p>
            <w:pPr>
              <w:spacing w:line="380" w:lineRule="exact"/>
              <w:jc w:val="center"/>
              <w:rPr>
                <w:rFonts w:hint="eastAsia" w:ascii="宋体" w:hAnsi="宋体" w:cs="宋体"/>
                <w:b/>
                <w:bCs/>
                <w:color w:val="000000"/>
                <w:sz w:val="22"/>
                <w:szCs w:val="22"/>
                <w:highlight w:val="none"/>
              </w:rPr>
            </w:pPr>
          </w:p>
        </w:tc>
        <w:tc>
          <w:tcPr>
            <w:tcW w:w="965" w:type="pct"/>
            <w:noWrap w:val="0"/>
            <w:vAlign w:val="center"/>
          </w:tcPr>
          <w:p>
            <w:pPr>
              <w:spacing w:line="380" w:lineRule="exact"/>
              <w:jc w:val="center"/>
              <w:rPr>
                <w:rFonts w:hint="eastAsia" w:ascii="宋体" w:hAnsi="宋体" w:cs="宋体"/>
                <w:b/>
                <w:bCs/>
                <w:color w:val="000000"/>
                <w:sz w:val="22"/>
                <w:szCs w:val="22"/>
                <w:highlight w:val="none"/>
              </w:rPr>
            </w:pPr>
          </w:p>
        </w:tc>
        <w:tc>
          <w:tcPr>
            <w:tcW w:w="965" w:type="pct"/>
            <w:noWrap w:val="0"/>
            <w:vAlign w:val="center"/>
          </w:tcPr>
          <w:p>
            <w:pPr>
              <w:spacing w:line="380" w:lineRule="exact"/>
              <w:jc w:val="center"/>
              <w:rPr>
                <w:rFonts w:hint="eastAsia" w:ascii="宋体" w:hAnsi="宋体" w:cs="宋体"/>
                <w:b/>
                <w:bCs/>
                <w:color w:val="000000"/>
                <w:sz w:val="22"/>
                <w:szCs w:val="22"/>
                <w:highlight w:val="none"/>
              </w:rPr>
            </w:pPr>
          </w:p>
        </w:tc>
        <w:tc>
          <w:tcPr>
            <w:tcW w:w="500" w:type="pct"/>
            <w:noWrap w:val="0"/>
            <w:vAlign w:val="center"/>
          </w:tcPr>
          <w:p>
            <w:pPr>
              <w:spacing w:line="380" w:lineRule="exact"/>
              <w:jc w:val="center"/>
              <w:rPr>
                <w:rFonts w:hint="eastAsia" w:ascii="宋体" w:hAnsi="宋体" w:cs="宋体"/>
                <w:b/>
                <w:bCs/>
                <w:color w:val="000000"/>
                <w:sz w:val="22"/>
                <w:szCs w:val="22"/>
                <w:highlight w:val="none"/>
              </w:rPr>
            </w:pPr>
          </w:p>
        </w:tc>
        <w:tc>
          <w:tcPr>
            <w:tcW w:w="1077" w:type="pct"/>
            <w:noWrap w:val="0"/>
            <w:vAlign w:val="center"/>
          </w:tcPr>
          <w:p>
            <w:pPr>
              <w:spacing w:line="380" w:lineRule="exact"/>
              <w:jc w:val="center"/>
              <w:rPr>
                <w:rFonts w:hint="eastAsia" w:ascii="宋体" w:hAnsi="宋体" w:cs="宋体"/>
                <w:b/>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8" w:type="pct"/>
            <w:noWrap w:val="0"/>
            <w:vAlign w:val="center"/>
          </w:tcPr>
          <w:p>
            <w:pPr>
              <w:spacing w:line="380" w:lineRule="exact"/>
              <w:jc w:val="center"/>
              <w:rPr>
                <w:rFonts w:hint="eastAsia" w:ascii="宋体" w:hAnsi="宋体" w:cs="宋体"/>
                <w:b/>
                <w:bCs/>
                <w:color w:val="000000"/>
                <w:sz w:val="22"/>
                <w:szCs w:val="22"/>
                <w:highlight w:val="none"/>
              </w:rPr>
            </w:pPr>
          </w:p>
        </w:tc>
        <w:tc>
          <w:tcPr>
            <w:tcW w:w="1052" w:type="pct"/>
            <w:noWrap w:val="0"/>
            <w:vAlign w:val="center"/>
          </w:tcPr>
          <w:p>
            <w:pPr>
              <w:spacing w:line="380" w:lineRule="exact"/>
              <w:jc w:val="center"/>
              <w:rPr>
                <w:rFonts w:hint="eastAsia" w:ascii="宋体" w:hAnsi="宋体" w:cs="宋体"/>
                <w:b/>
                <w:bCs/>
                <w:color w:val="000000"/>
                <w:sz w:val="22"/>
                <w:szCs w:val="22"/>
                <w:highlight w:val="none"/>
              </w:rPr>
            </w:pPr>
          </w:p>
        </w:tc>
        <w:tc>
          <w:tcPr>
            <w:tcW w:w="965" w:type="pct"/>
            <w:noWrap w:val="0"/>
            <w:vAlign w:val="center"/>
          </w:tcPr>
          <w:p>
            <w:pPr>
              <w:spacing w:line="380" w:lineRule="exact"/>
              <w:jc w:val="center"/>
              <w:rPr>
                <w:rFonts w:hint="eastAsia" w:ascii="宋体" w:hAnsi="宋体" w:cs="宋体"/>
                <w:b/>
                <w:bCs/>
                <w:color w:val="000000"/>
                <w:sz w:val="22"/>
                <w:szCs w:val="22"/>
                <w:highlight w:val="none"/>
              </w:rPr>
            </w:pPr>
          </w:p>
        </w:tc>
        <w:tc>
          <w:tcPr>
            <w:tcW w:w="965" w:type="pct"/>
            <w:noWrap w:val="0"/>
            <w:vAlign w:val="center"/>
          </w:tcPr>
          <w:p>
            <w:pPr>
              <w:spacing w:line="380" w:lineRule="exact"/>
              <w:jc w:val="center"/>
              <w:rPr>
                <w:rFonts w:hint="eastAsia" w:ascii="宋体" w:hAnsi="宋体" w:cs="宋体"/>
                <w:b/>
                <w:bCs/>
                <w:color w:val="000000"/>
                <w:sz w:val="22"/>
                <w:szCs w:val="22"/>
                <w:highlight w:val="none"/>
              </w:rPr>
            </w:pPr>
          </w:p>
        </w:tc>
        <w:tc>
          <w:tcPr>
            <w:tcW w:w="500" w:type="pct"/>
            <w:noWrap w:val="0"/>
            <w:vAlign w:val="center"/>
          </w:tcPr>
          <w:p>
            <w:pPr>
              <w:spacing w:line="380" w:lineRule="exact"/>
              <w:jc w:val="center"/>
              <w:rPr>
                <w:rFonts w:hint="eastAsia" w:ascii="宋体" w:hAnsi="宋体" w:cs="宋体"/>
                <w:b/>
                <w:bCs/>
                <w:color w:val="000000"/>
                <w:sz w:val="22"/>
                <w:szCs w:val="22"/>
                <w:highlight w:val="none"/>
              </w:rPr>
            </w:pPr>
          </w:p>
        </w:tc>
        <w:tc>
          <w:tcPr>
            <w:tcW w:w="1077" w:type="pct"/>
            <w:noWrap w:val="0"/>
            <w:vAlign w:val="center"/>
          </w:tcPr>
          <w:p>
            <w:pPr>
              <w:spacing w:line="380" w:lineRule="exact"/>
              <w:jc w:val="center"/>
              <w:rPr>
                <w:rFonts w:hint="eastAsia" w:ascii="宋体" w:hAnsi="宋体" w:cs="宋体"/>
                <w:b/>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8" w:type="pct"/>
            <w:noWrap w:val="0"/>
            <w:vAlign w:val="center"/>
          </w:tcPr>
          <w:p>
            <w:pPr>
              <w:spacing w:line="380" w:lineRule="exact"/>
              <w:jc w:val="center"/>
              <w:rPr>
                <w:rFonts w:hint="eastAsia" w:ascii="宋体" w:hAnsi="宋体" w:cs="宋体"/>
                <w:b/>
                <w:bCs/>
                <w:color w:val="000000"/>
                <w:sz w:val="22"/>
                <w:szCs w:val="22"/>
                <w:highlight w:val="none"/>
              </w:rPr>
            </w:pPr>
          </w:p>
        </w:tc>
        <w:tc>
          <w:tcPr>
            <w:tcW w:w="1052" w:type="pct"/>
            <w:noWrap w:val="0"/>
            <w:vAlign w:val="center"/>
          </w:tcPr>
          <w:p>
            <w:pPr>
              <w:spacing w:line="380" w:lineRule="exact"/>
              <w:jc w:val="center"/>
              <w:rPr>
                <w:rFonts w:hint="eastAsia" w:ascii="宋体" w:hAnsi="宋体" w:cs="宋体"/>
                <w:b/>
                <w:bCs/>
                <w:color w:val="000000"/>
                <w:sz w:val="22"/>
                <w:szCs w:val="22"/>
                <w:highlight w:val="none"/>
              </w:rPr>
            </w:pPr>
          </w:p>
        </w:tc>
        <w:tc>
          <w:tcPr>
            <w:tcW w:w="965" w:type="pct"/>
            <w:noWrap w:val="0"/>
            <w:vAlign w:val="center"/>
          </w:tcPr>
          <w:p>
            <w:pPr>
              <w:spacing w:line="380" w:lineRule="exact"/>
              <w:jc w:val="center"/>
              <w:rPr>
                <w:rFonts w:hint="eastAsia" w:ascii="宋体" w:hAnsi="宋体" w:cs="宋体"/>
                <w:b/>
                <w:bCs/>
                <w:color w:val="000000"/>
                <w:sz w:val="22"/>
                <w:szCs w:val="22"/>
                <w:highlight w:val="none"/>
              </w:rPr>
            </w:pPr>
          </w:p>
        </w:tc>
        <w:tc>
          <w:tcPr>
            <w:tcW w:w="965" w:type="pct"/>
            <w:noWrap w:val="0"/>
            <w:vAlign w:val="center"/>
          </w:tcPr>
          <w:p>
            <w:pPr>
              <w:spacing w:line="380" w:lineRule="exact"/>
              <w:jc w:val="center"/>
              <w:rPr>
                <w:rFonts w:hint="eastAsia" w:ascii="宋体" w:hAnsi="宋体" w:cs="宋体"/>
                <w:b/>
                <w:bCs/>
                <w:color w:val="000000"/>
                <w:sz w:val="22"/>
                <w:szCs w:val="22"/>
                <w:highlight w:val="none"/>
              </w:rPr>
            </w:pPr>
          </w:p>
        </w:tc>
        <w:tc>
          <w:tcPr>
            <w:tcW w:w="500" w:type="pct"/>
            <w:noWrap w:val="0"/>
            <w:vAlign w:val="center"/>
          </w:tcPr>
          <w:p>
            <w:pPr>
              <w:spacing w:line="380" w:lineRule="exact"/>
              <w:jc w:val="center"/>
              <w:rPr>
                <w:rFonts w:hint="eastAsia" w:ascii="宋体" w:hAnsi="宋体" w:cs="宋体"/>
                <w:b/>
                <w:bCs/>
                <w:color w:val="000000"/>
                <w:sz w:val="22"/>
                <w:szCs w:val="22"/>
                <w:highlight w:val="none"/>
              </w:rPr>
            </w:pPr>
          </w:p>
        </w:tc>
        <w:tc>
          <w:tcPr>
            <w:tcW w:w="1077" w:type="pct"/>
            <w:noWrap w:val="0"/>
            <w:vAlign w:val="center"/>
          </w:tcPr>
          <w:p>
            <w:pPr>
              <w:spacing w:line="380" w:lineRule="exact"/>
              <w:jc w:val="center"/>
              <w:rPr>
                <w:rFonts w:hint="eastAsia" w:ascii="宋体" w:hAnsi="宋体" w:cs="宋体"/>
                <w:b/>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8" w:type="pct"/>
            <w:noWrap w:val="0"/>
            <w:vAlign w:val="center"/>
          </w:tcPr>
          <w:p>
            <w:pPr>
              <w:spacing w:line="380" w:lineRule="exact"/>
              <w:jc w:val="center"/>
              <w:rPr>
                <w:rFonts w:hint="eastAsia" w:ascii="宋体" w:hAnsi="宋体" w:cs="宋体"/>
                <w:b/>
                <w:bCs/>
                <w:color w:val="000000"/>
                <w:sz w:val="22"/>
                <w:szCs w:val="22"/>
                <w:highlight w:val="none"/>
              </w:rPr>
            </w:pPr>
          </w:p>
        </w:tc>
        <w:tc>
          <w:tcPr>
            <w:tcW w:w="1052" w:type="pct"/>
            <w:noWrap w:val="0"/>
            <w:vAlign w:val="center"/>
          </w:tcPr>
          <w:p>
            <w:pPr>
              <w:spacing w:line="380" w:lineRule="exact"/>
              <w:jc w:val="center"/>
              <w:rPr>
                <w:rFonts w:hint="eastAsia" w:ascii="宋体" w:hAnsi="宋体" w:cs="宋体"/>
                <w:b/>
                <w:bCs/>
                <w:color w:val="000000"/>
                <w:sz w:val="22"/>
                <w:szCs w:val="22"/>
                <w:highlight w:val="none"/>
              </w:rPr>
            </w:pPr>
          </w:p>
        </w:tc>
        <w:tc>
          <w:tcPr>
            <w:tcW w:w="965" w:type="pct"/>
            <w:noWrap w:val="0"/>
            <w:vAlign w:val="center"/>
          </w:tcPr>
          <w:p>
            <w:pPr>
              <w:spacing w:line="380" w:lineRule="exact"/>
              <w:jc w:val="center"/>
              <w:rPr>
                <w:rFonts w:hint="eastAsia" w:ascii="宋体" w:hAnsi="宋体" w:cs="宋体"/>
                <w:b/>
                <w:bCs/>
                <w:color w:val="000000"/>
                <w:sz w:val="22"/>
                <w:szCs w:val="22"/>
                <w:highlight w:val="none"/>
              </w:rPr>
            </w:pPr>
          </w:p>
        </w:tc>
        <w:tc>
          <w:tcPr>
            <w:tcW w:w="965" w:type="pct"/>
            <w:noWrap w:val="0"/>
            <w:vAlign w:val="center"/>
          </w:tcPr>
          <w:p>
            <w:pPr>
              <w:spacing w:line="380" w:lineRule="exact"/>
              <w:jc w:val="center"/>
              <w:rPr>
                <w:rFonts w:hint="eastAsia" w:ascii="宋体" w:hAnsi="宋体" w:cs="宋体"/>
                <w:b/>
                <w:bCs/>
                <w:color w:val="000000"/>
                <w:sz w:val="22"/>
                <w:szCs w:val="22"/>
                <w:highlight w:val="none"/>
              </w:rPr>
            </w:pPr>
          </w:p>
        </w:tc>
        <w:tc>
          <w:tcPr>
            <w:tcW w:w="500" w:type="pct"/>
            <w:noWrap w:val="0"/>
            <w:vAlign w:val="center"/>
          </w:tcPr>
          <w:p>
            <w:pPr>
              <w:spacing w:line="380" w:lineRule="exact"/>
              <w:jc w:val="center"/>
              <w:rPr>
                <w:rFonts w:hint="eastAsia" w:ascii="宋体" w:hAnsi="宋体" w:cs="宋体"/>
                <w:b/>
                <w:bCs/>
                <w:color w:val="000000"/>
                <w:sz w:val="22"/>
                <w:szCs w:val="22"/>
                <w:highlight w:val="none"/>
              </w:rPr>
            </w:pPr>
          </w:p>
        </w:tc>
        <w:tc>
          <w:tcPr>
            <w:tcW w:w="1077" w:type="pct"/>
            <w:noWrap w:val="0"/>
            <w:vAlign w:val="center"/>
          </w:tcPr>
          <w:p>
            <w:pPr>
              <w:spacing w:line="380" w:lineRule="exact"/>
              <w:jc w:val="center"/>
              <w:rPr>
                <w:rFonts w:hint="eastAsia" w:ascii="宋体" w:hAnsi="宋体" w:cs="宋体"/>
                <w:b/>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8" w:type="pct"/>
            <w:noWrap w:val="0"/>
            <w:vAlign w:val="center"/>
          </w:tcPr>
          <w:p>
            <w:pPr>
              <w:spacing w:line="380" w:lineRule="exact"/>
              <w:jc w:val="center"/>
              <w:rPr>
                <w:rFonts w:hint="eastAsia" w:ascii="宋体" w:hAnsi="宋体" w:cs="宋体"/>
                <w:b/>
                <w:bCs/>
                <w:color w:val="000000"/>
                <w:sz w:val="22"/>
                <w:szCs w:val="22"/>
                <w:highlight w:val="none"/>
              </w:rPr>
            </w:pPr>
          </w:p>
        </w:tc>
        <w:tc>
          <w:tcPr>
            <w:tcW w:w="1052" w:type="pct"/>
            <w:noWrap w:val="0"/>
            <w:vAlign w:val="center"/>
          </w:tcPr>
          <w:p>
            <w:pPr>
              <w:spacing w:line="380" w:lineRule="exact"/>
              <w:jc w:val="center"/>
              <w:rPr>
                <w:rFonts w:hint="eastAsia" w:ascii="宋体" w:hAnsi="宋体" w:cs="宋体"/>
                <w:b/>
                <w:bCs/>
                <w:color w:val="000000"/>
                <w:sz w:val="22"/>
                <w:szCs w:val="22"/>
                <w:highlight w:val="none"/>
              </w:rPr>
            </w:pPr>
          </w:p>
        </w:tc>
        <w:tc>
          <w:tcPr>
            <w:tcW w:w="965" w:type="pct"/>
            <w:noWrap w:val="0"/>
            <w:vAlign w:val="center"/>
          </w:tcPr>
          <w:p>
            <w:pPr>
              <w:spacing w:line="380" w:lineRule="exact"/>
              <w:jc w:val="center"/>
              <w:rPr>
                <w:rFonts w:hint="eastAsia" w:ascii="宋体" w:hAnsi="宋体" w:cs="宋体"/>
                <w:b/>
                <w:bCs/>
                <w:color w:val="000000"/>
                <w:sz w:val="22"/>
                <w:szCs w:val="22"/>
                <w:highlight w:val="none"/>
              </w:rPr>
            </w:pPr>
          </w:p>
        </w:tc>
        <w:tc>
          <w:tcPr>
            <w:tcW w:w="965" w:type="pct"/>
            <w:noWrap w:val="0"/>
            <w:vAlign w:val="center"/>
          </w:tcPr>
          <w:p>
            <w:pPr>
              <w:spacing w:line="380" w:lineRule="exact"/>
              <w:jc w:val="center"/>
              <w:rPr>
                <w:rFonts w:hint="eastAsia" w:ascii="宋体" w:hAnsi="宋体" w:cs="宋体"/>
                <w:b/>
                <w:bCs/>
                <w:color w:val="000000"/>
                <w:sz w:val="22"/>
                <w:szCs w:val="22"/>
                <w:highlight w:val="none"/>
              </w:rPr>
            </w:pPr>
          </w:p>
        </w:tc>
        <w:tc>
          <w:tcPr>
            <w:tcW w:w="500" w:type="pct"/>
            <w:noWrap w:val="0"/>
            <w:vAlign w:val="center"/>
          </w:tcPr>
          <w:p>
            <w:pPr>
              <w:spacing w:line="380" w:lineRule="exact"/>
              <w:jc w:val="center"/>
              <w:rPr>
                <w:rFonts w:hint="eastAsia" w:ascii="宋体" w:hAnsi="宋体" w:cs="宋体"/>
                <w:b/>
                <w:bCs/>
                <w:color w:val="000000"/>
                <w:sz w:val="22"/>
                <w:szCs w:val="22"/>
                <w:highlight w:val="none"/>
              </w:rPr>
            </w:pPr>
          </w:p>
        </w:tc>
        <w:tc>
          <w:tcPr>
            <w:tcW w:w="1077" w:type="pct"/>
            <w:noWrap w:val="0"/>
            <w:vAlign w:val="center"/>
          </w:tcPr>
          <w:p>
            <w:pPr>
              <w:spacing w:line="380" w:lineRule="exact"/>
              <w:jc w:val="center"/>
              <w:rPr>
                <w:rFonts w:hint="eastAsia" w:ascii="宋体" w:hAnsi="宋体" w:cs="宋体"/>
                <w:b/>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8" w:type="pct"/>
            <w:noWrap w:val="0"/>
            <w:vAlign w:val="center"/>
          </w:tcPr>
          <w:p>
            <w:pPr>
              <w:spacing w:line="380" w:lineRule="exact"/>
              <w:jc w:val="center"/>
              <w:rPr>
                <w:rFonts w:hint="eastAsia" w:ascii="宋体" w:hAnsi="宋体" w:cs="宋体"/>
                <w:b/>
                <w:bCs/>
                <w:color w:val="000000"/>
                <w:sz w:val="22"/>
                <w:szCs w:val="22"/>
                <w:highlight w:val="none"/>
              </w:rPr>
            </w:pPr>
          </w:p>
        </w:tc>
        <w:tc>
          <w:tcPr>
            <w:tcW w:w="1052" w:type="pct"/>
            <w:noWrap w:val="0"/>
            <w:vAlign w:val="center"/>
          </w:tcPr>
          <w:p>
            <w:pPr>
              <w:spacing w:line="380" w:lineRule="exact"/>
              <w:jc w:val="center"/>
              <w:rPr>
                <w:rFonts w:hint="eastAsia" w:ascii="宋体" w:hAnsi="宋体" w:cs="宋体"/>
                <w:b/>
                <w:bCs/>
                <w:color w:val="000000"/>
                <w:sz w:val="22"/>
                <w:szCs w:val="22"/>
                <w:highlight w:val="none"/>
              </w:rPr>
            </w:pPr>
          </w:p>
        </w:tc>
        <w:tc>
          <w:tcPr>
            <w:tcW w:w="965" w:type="pct"/>
            <w:noWrap w:val="0"/>
            <w:vAlign w:val="center"/>
          </w:tcPr>
          <w:p>
            <w:pPr>
              <w:spacing w:line="380" w:lineRule="exact"/>
              <w:jc w:val="center"/>
              <w:rPr>
                <w:rFonts w:hint="eastAsia" w:ascii="宋体" w:hAnsi="宋体" w:cs="宋体"/>
                <w:b/>
                <w:bCs/>
                <w:color w:val="000000"/>
                <w:sz w:val="22"/>
                <w:szCs w:val="22"/>
                <w:highlight w:val="none"/>
              </w:rPr>
            </w:pPr>
          </w:p>
        </w:tc>
        <w:tc>
          <w:tcPr>
            <w:tcW w:w="965" w:type="pct"/>
            <w:noWrap w:val="0"/>
            <w:vAlign w:val="center"/>
          </w:tcPr>
          <w:p>
            <w:pPr>
              <w:spacing w:line="380" w:lineRule="exact"/>
              <w:jc w:val="center"/>
              <w:rPr>
                <w:rFonts w:hint="eastAsia" w:ascii="宋体" w:hAnsi="宋体" w:cs="宋体"/>
                <w:b/>
                <w:bCs/>
                <w:color w:val="000000"/>
                <w:sz w:val="22"/>
                <w:szCs w:val="22"/>
                <w:highlight w:val="none"/>
              </w:rPr>
            </w:pPr>
          </w:p>
        </w:tc>
        <w:tc>
          <w:tcPr>
            <w:tcW w:w="500" w:type="pct"/>
            <w:noWrap w:val="0"/>
            <w:vAlign w:val="center"/>
          </w:tcPr>
          <w:p>
            <w:pPr>
              <w:spacing w:line="380" w:lineRule="exact"/>
              <w:jc w:val="center"/>
              <w:rPr>
                <w:rFonts w:hint="eastAsia" w:ascii="宋体" w:hAnsi="宋体" w:cs="宋体"/>
                <w:b/>
                <w:bCs/>
                <w:color w:val="000000"/>
                <w:sz w:val="22"/>
                <w:szCs w:val="22"/>
                <w:highlight w:val="none"/>
              </w:rPr>
            </w:pPr>
          </w:p>
        </w:tc>
        <w:tc>
          <w:tcPr>
            <w:tcW w:w="1077" w:type="pct"/>
            <w:noWrap w:val="0"/>
            <w:vAlign w:val="center"/>
          </w:tcPr>
          <w:p>
            <w:pPr>
              <w:spacing w:line="380" w:lineRule="exact"/>
              <w:jc w:val="center"/>
              <w:rPr>
                <w:rFonts w:hint="eastAsia" w:ascii="宋体" w:hAnsi="宋体" w:cs="宋体"/>
                <w:b/>
                <w:bCs/>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38" w:type="pct"/>
            <w:noWrap w:val="0"/>
            <w:vAlign w:val="center"/>
          </w:tcPr>
          <w:p>
            <w:pPr>
              <w:spacing w:line="380" w:lineRule="exact"/>
              <w:jc w:val="center"/>
              <w:rPr>
                <w:rFonts w:hint="eastAsia" w:ascii="宋体" w:hAnsi="宋体" w:cs="宋体"/>
                <w:b/>
                <w:bCs/>
                <w:color w:val="000000"/>
                <w:sz w:val="22"/>
                <w:szCs w:val="22"/>
                <w:highlight w:val="none"/>
              </w:rPr>
            </w:pPr>
          </w:p>
        </w:tc>
        <w:tc>
          <w:tcPr>
            <w:tcW w:w="1052" w:type="pct"/>
            <w:noWrap w:val="0"/>
            <w:vAlign w:val="center"/>
          </w:tcPr>
          <w:p>
            <w:pPr>
              <w:spacing w:line="380" w:lineRule="exact"/>
              <w:jc w:val="center"/>
              <w:rPr>
                <w:rFonts w:hint="eastAsia" w:ascii="宋体" w:hAnsi="宋体" w:cs="宋体"/>
                <w:b/>
                <w:bCs/>
                <w:color w:val="000000"/>
                <w:sz w:val="22"/>
                <w:szCs w:val="22"/>
                <w:highlight w:val="none"/>
              </w:rPr>
            </w:pPr>
          </w:p>
        </w:tc>
        <w:tc>
          <w:tcPr>
            <w:tcW w:w="965" w:type="pct"/>
            <w:noWrap w:val="0"/>
            <w:vAlign w:val="center"/>
          </w:tcPr>
          <w:p>
            <w:pPr>
              <w:spacing w:line="380" w:lineRule="exact"/>
              <w:jc w:val="center"/>
              <w:rPr>
                <w:rFonts w:hint="eastAsia" w:ascii="宋体" w:hAnsi="宋体" w:cs="宋体"/>
                <w:b/>
                <w:bCs/>
                <w:color w:val="000000"/>
                <w:sz w:val="22"/>
                <w:szCs w:val="22"/>
                <w:highlight w:val="none"/>
              </w:rPr>
            </w:pPr>
          </w:p>
        </w:tc>
        <w:tc>
          <w:tcPr>
            <w:tcW w:w="965" w:type="pct"/>
            <w:noWrap w:val="0"/>
            <w:vAlign w:val="center"/>
          </w:tcPr>
          <w:p>
            <w:pPr>
              <w:spacing w:line="380" w:lineRule="exact"/>
              <w:jc w:val="center"/>
              <w:rPr>
                <w:rFonts w:hint="eastAsia" w:ascii="宋体" w:hAnsi="宋体" w:cs="宋体"/>
                <w:b/>
                <w:bCs/>
                <w:color w:val="000000"/>
                <w:sz w:val="22"/>
                <w:szCs w:val="22"/>
                <w:highlight w:val="none"/>
              </w:rPr>
            </w:pPr>
          </w:p>
        </w:tc>
        <w:tc>
          <w:tcPr>
            <w:tcW w:w="500" w:type="pct"/>
            <w:noWrap w:val="0"/>
            <w:vAlign w:val="center"/>
          </w:tcPr>
          <w:p>
            <w:pPr>
              <w:spacing w:line="380" w:lineRule="exact"/>
              <w:jc w:val="center"/>
              <w:rPr>
                <w:rFonts w:hint="eastAsia" w:ascii="宋体" w:hAnsi="宋体" w:cs="宋体"/>
                <w:b/>
                <w:bCs/>
                <w:color w:val="000000"/>
                <w:sz w:val="22"/>
                <w:szCs w:val="22"/>
                <w:highlight w:val="none"/>
              </w:rPr>
            </w:pPr>
          </w:p>
        </w:tc>
        <w:tc>
          <w:tcPr>
            <w:tcW w:w="1077" w:type="pct"/>
            <w:noWrap w:val="0"/>
            <w:vAlign w:val="center"/>
          </w:tcPr>
          <w:p>
            <w:pPr>
              <w:spacing w:line="380" w:lineRule="exact"/>
              <w:jc w:val="center"/>
              <w:rPr>
                <w:rFonts w:hint="eastAsia" w:ascii="宋体" w:hAnsi="宋体" w:cs="宋体"/>
                <w:b/>
                <w:bCs/>
                <w:color w:val="000000"/>
                <w:sz w:val="22"/>
                <w:szCs w:val="22"/>
                <w:highlight w:val="none"/>
              </w:rPr>
            </w:pPr>
          </w:p>
        </w:tc>
      </w:tr>
    </w:tbl>
    <w:p>
      <w:pPr>
        <w:rPr>
          <w:rFonts w:ascii="宋体" w:hAnsi="宋体" w:cs="Arial"/>
          <w:color w:val="000000"/>
          <w:sz w:val="24"/>
          <w:highlight w:val="none"/>
        </w:rPr>
      </w:pPr>
      <w:r>
        <w:rPr>
          <w:rFonts w:hint="eastAsia" w:ascii="宋体" w:hAnsi="宋体" w:cs="宋体"/>
          <w:color w:val="000000"/>
          <w:sz w:val="24"/>
          <w:highlight w:val="none"/>
        </w:rPr>
        <w:br w:type="textWrapping" w:clear="all"/>
      </w:r>
      <w:r>
        <w:rPr>
          <w:rFonts w:hint="eastAsia" w:ascii="宋体" w:hAnsi="宋体" w:cs="宋体"/>
          <w:color w:val="000000"/>
          <w:sz w:val="24"/>
          <w:highlight w:val="none"/>
        </w:rPr>
        <w:t>注：</w:t>
      </w:r>
      <w:r>
        <w:rPr>
          <w:rFonts w:ascii="宋体" w:hAnsi="宋体" w:cs="Arial"/>
          <w:color w:val="000000"/>
          <w:sz w:val="24"/>
          <w:highlight w:val="none"/>
        </w:rPr>
        <w:t>提供合同复印件</w:t>
      </w:r>
      <w:r>
        <w:rPr>
          <w:rFonts w:hint="eastAsia" w:ascii="宋体" w:hAnsi="宋体" w:cs="Arial"/>
          <w:color w:val="000000"/>
          <w:sz w:val="24"/>
          <w:highlight w:val="none"/>
        </w:rPr>
        <w:t>等</w:t>
      </w:r>
      <w:r>
        <w:rPr>
          <w:rFonts w:ascii="宋体" w:hAnsi="宋体" w:cs="Arial"/>
          <w:color w:val="000000"/>
          <w:sz w:val="24"/>
          <w:highlight w:val="none"/>
        </w:rPr>
        <w:t>作为</w:t>
      </w:r>
      <w:r>
        <w:rPr>
          <w:rFonts w:hint="eastAsia" w:ascii="宋体" w:hAnsi="宋体" w:cs="Arial"/>
          <w:color w:val="000000"/>
          <w:sz w:val="24"/>
          <w:highlight w:val="none"/>
          <w:lang w:val="en-US" w:eastAsia="zh-CN"/>
        </w:rPr>
        <w:t>说明</w:t>
      </w:r>
      <w:r>
        <w:rPr>
          <w:rFonts w:ascii="宋体" w:hAnsi="宋体" w:cs="Arial"/>
          <w:color w:val="000000"/>
          <w:sz w:val="24"/>
          <w:highlight w:val="none"/>
        </w:rPr>
        <w:t>材料。</w:t>
      </w:r>
    </w:p>
    <w:p>
      <w:pPr>
        <w:adjustRightInd w:val="0"/>
        <w:snapToGrid w:val="0"/>
        <w:spacing w:line="360" w:lineRule="auto"/>
        <w:rPr>
          <w:rFonts w:ascii="宋体" w:hAnsi="宋体" w:cs="Arial"/>
          <w:color w:val="000000"/>
          <w:sz w:val="24"/>
          <w:highlight w:val="none"/>
        </w:rPr>
      </w:pPr>
    </w:p>
    <w:p>
      <w:pPr>
        <w:adjustRightInd w:val="0"/>
        <w:snapToGrid w:val="0"/>
        <w:spacing w:line="360" w:lineRule="auto"/>
        <w:rPr>
          <w:rFonts w:hint="eastAsia" w:ascii="宋体" w:hAnsi="宋体" w:cs="Arial"/>
          <w:color w:val="000000"/>
          <w:sz w:val="24"/>
          <w:highlight w:val="none"/>
        </w:rPr>
      </w:pPr>
      <w:r>
        <w:rPr>
          <w:rFonts w:hint="eastAsia" w:ascii="宋体" w:hAnsi="宋体" w:cs="Arial"/>
          <w:color w:val="000000"/>
          <w:sz w:val="24"/>
          <w:highlight w:val="none"/>
        </w:rPr>
        <w:t>投标供应商(盖公章)：</w:t>
      </w:r>
    </w:p>
    <w:p>
      <w:pPr>
        <w:adjustRightInd w:val="0"/>
        <w:snapToGrid w:val="0"/>
        <w:spacing w:line="360" w:lineRule="auto"/>
        <w:rPr>
          <w:rFonts w:hint="eastAsia" w:ascii="宋体" w:hAnsi="宋体" w:cs="Arial"/>
          <w:color w:val="000000"/>
          <w:sz w:val="24"/>
          <w:highlight w:val="none"/>
        </w:rPr>
      </w:pPr>
      <w:r>
        <w:rPr>
          <w:rFonts w:hint="eastAsia" w:ascii="宋体" w:hAnsi="宋体" w:cs="Arial"/>
          <w:color w:val="000000"/>
          <w:sz w:val="24"/>
          <w:highlight w:val="none"/>
        </w:rPr>
        <w:t>法定代表人或全权代表(签字或盖章)：</w:t>
      </w:r>
    </w:p>
    <w:p>
      <w:pPr>
        <w:adjustRightInd w:val="0"/>
        <w:snapToGrid w:val="0"/>
        <w:spacing w:line="360" w:lineRule="auto"/>
        <w:rPr>
          <w:rFonts w:hint="eastAsia" w:ascii="宋体" w:hAnsi="宋体" w:cs="Arial"/>
          <w:color w:val="000000"/>
          <w:sz w:val="24"/>
          <w:highlight w:val="none"/>
        </w:rPr>
      </w:pPr>
      <w:r>
        <w:rPr>
          <w:rFonts w:ascii="宋体" w:hAnsi="宋体" w:cs="Arial"/>
          <w:color w:val="000000"/>
          <w:sz w:val="24"/>
          <w:highlight w:val="none"/>
        </w:rPr>
        <w:t>日</w:t>
      </w:r>
      <w:r>
        <w:rPr>
          <w:rFonts w:hint="eastAsia" w:ascii="宋体" w:hAnsi="宋体" w:cs="Arial"/>
          <w:color w:val="000000"/>
          <w:sz w:val="24"/>
          <w:highlight w:val="none"/>
        </w:rPr>
        <w:t xml:space="preserve">     </w:t>
      </w:r>
      <w:r>
        <w:rPr>
          <w:rFonts w:ascii="宋体" w:hAnsi="宋体" w:cs="Arial"/>
          <w:color w:val="000000"/>
          <w:sz w:val="24"/>
          <w:highlight w:val="none"/>
        </w:rPr>
        <w:t>期</w:t>
      </w:r>
      <w:r>
        <w:rPr>
          <w:rFonts w:hint="eastAsia" w:ascii="宋体" w:hAnsi="宋体" w:cs="Arial"/>
          <w:color w:val="000000"/>
          <w:sz w:val="24"/>
          <w:highlight w:val="none"/>
        </w:rPr>
        <w:t>：</w:t>
      </w:r>
    </w:p>
    <w:p>
      <w:pPr>
        <w:snapToGrid w:val="0"/>
        <w:spacing w:line="360" w:lineRule="auto"/>
        <w:rPr>
          <w:rFonts w:hint="eastAsia" w:ascii="宋体" w:hAnsi="宋体" w:cs="宋体"/>
          <w:b/>
          <w:color w:val="000000"/>
          <w:sz w:val="22"/>
          <w:highlight w:val="none"/>
        </w:rPr>
      </w:pPr>
    </w:p>
    <w:p>
      <w:pPr>
        <w:pStyle w:val="3"/>
        <w:rPr>
          <w:rFonts w:hint="eastAsia" w:ascii="宋体" w:hAnsi="宋体" w:cs="宋体"/>
          <w:b/>
          <w:color w:val="000000"/>
          <w:sz w:val="22"/>
          <w:highlight w:val="none"/>
        </w:rPr>
      </w:pPr>
    </w:p>
    <w:p>
      <w:pPr>
        <w:pStyle w:val="2"/>
        <w:rPr>
          <w:rFonts w:hint="eastAsia" w:ascii="宋体" w:hAnsi="宋体" w:cs="宋体"/>
          <w:b/>
          <w:color w:val="000000"/>
          <w:sz w:val="22"/>
          <w:highlight w:val="none"/>
        </w:rPr>
      </w:pPr>
    </w:p>
    <w:p>
      <w:pPr>
        <w:rPr>
          <w:rFonts w:hint="eastAsia" w:ascii="宋体" w:hAnsi="宋体" w:cs="宋体"/>
          <w:b/>
          <w:color w:val="000000"/>
          <w:sz w:val="22"/>
          <w:highlight w:val="none"/>
        </w:rPr>
      </w:pPr>
    </w:p>
    <w:p>
      <w:pPr>
        <w:pStyle w:val="3"/>
        <w:rPr>
          <w:rFonts w:hint="eastAsia" w:ascii="宋体" w:hAnsi="宋体" w:cs="宋体"/>
          <w:b/>
          <w:color w:val="000000"/>
          <w:sz w:val="22"/>
          <w:highlight w:val="none"/>
        </w:rPr>
      </w:pPr>
    </w:p>
    <w:p>
      <w:pPr>
        <w:pStyle w:val="2"/>
        <w:rPr>
          <w:rFonts w:hint="eastAsia" w:ascii="宋体" w:hAnsi="宋体" w:cs="宋体"/>
          <w:b/>
          <w:color w:val="000000"/>
          <w:sz w:val="22"/>
          <w:highlight w:val="none"/>
        </w:rPr>
      </w:pPr>
    </w:p>
    <w:p>
      <w:pPr>
        <w:rPr>
          <w:rFonts w:hint="eastAsia" w:ascii="宋体" w:hAnsi="宋体" w:cs="宋体"/>
          <w:b/>
          <w:color w:val="000000"/>
          <w:sz w:val="22"/>
          <w:highlight w:val="none"/>
        </w:rPr>
      </w:pPr>
    </w:p>
    <w:p>
      <w:pPr>
        <w:bidi w:val="0"/>
        <w:rPr>
          <w:rFonts w:hint="eastAsia"/>
          <w:highlight w:val="none"/>
        </w:rPr>
      </w:pPr>
    </w:p>
    <w:p>
      <w:pPr>
        <w:pStyle w:val="3"/>
        <w:rPr>
          <w:rFonts w:hint="eastAsia"/>
          <w:highlight w:val="none"/>
        </w:rPr>
      </w:pPr>
    </w:p>
    <w:p>
      <w:pPr>
        <w:bidi w:val="0"/>
        <w:rPr>
          <w:rFonts w:hint="eastAsia"/>
          <w:highlight w:val="none"/>
        </w:rPr>
      </w:pPr>
    </w:p>
    <w:p>
      <w:pPr>
        <w:spacing w:line="380" w:lineRule="exact"/>
        <w:jc w:val="center"/>
        <w:rPr>
          <w:rFonts w:hint="eastAsia" w:ascii="宋体" w:hAnsi="宋体" w:cs="宋体"/>
          <w:b/>
          <w:color w:val="000000"/>
          <w:sz w:val="30"/>
          <w:szCs w:val="30"/>
          <w:highlight w:val="none"/>
          <w:lang w:eastAsia="zh-CN"/>
        </w:rPr>
      </w:pPr>
    </w:p>
    <w:p>
      <w:pPr>
        <w:pStyle w:val="3"/>
        <w:rPr>
          <w:highlight w:val="none"/>
        </w:rPr>
      </w:pPr>
      <w:r>
        <w:rPr>
          <w:rFonts w:hint="eastAsia"/>
          <w:color w:val="000000"/>
          <w:sz w:val="36"/>
          <w:szCs w:val="36"/>
          <w:highlight w:val="none"/>
        </w:rPr>
        <w:t>项目负责人简历表</w:t>
      </w:r>
    </w:p>
    <w:tbl>
      <w:tblPr>
        <w:tblStyle w:val="53"/>
        <w:tblpPr w:leftFromText="180" w:rightFromText="180" w:vertAnchor="text" w:horzAnchor="page" w:tblpX="1391" w:tblpY="25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3354"/>
        <w:gridCol w:w="1664"/>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96" w:type="dxa"/>
            <w:noWrap w:val="0"/>
            <w:vAlign w:val="center"/>
          </w:tcPr>
          <w:p>
            <w:pPr>
              <w:tabs>
                <w:tab w:val="left" w:pos="360"/>
              </w:tabs>
              <w:spacing w:line="460" w:lineRule="exact"/>
              <w:jc w:val="center"/>
              <w:rPr>
                <w:color w:val="000000"/>
                <w:sz w:val="24"/>
                <w:highlight w:val="none"/>
              </w:rPr>
            </w:pPr>
            <w:r>
              <w:rPr>
                <w:rFonts w:hint="eastAsia"/>
                <w:color w:val="000000"/>
                <w:sz w:val="24"/>
                <w:highlight w:val="none"/>
              </w:rPr>
              <w:t>姓名</w:t>
            </w:r>
          </w:p>
        </w:tc>
        <w:tc>
          <w:tcPr>
            <w:tcW w:w="3354" w:type="dxa"/>
            <w:noWrap w:val="0"/>
            <w:vAlign w:val="center"/>
          </w:tcPr>
          <w:p>
            <w:pPr>
              <w:tabs>
                <w:tab w:val="left" w:pos="360"/>
              </w:tabs>
              <w:spacing w:line="460" w:lineRule="exact"/>
              <w:jc w:val="center"/>
              <w:rPr>
                <w:color w:val="000000"/>
                <w:sz w:val="24"/>
                <w:highlight w:val="none"/>
              </w:rPr>
            </w:pPr>
          </w:p>
        </w:tc>
        <w:tc>
          <w:tcPr>
            <w:tcW w:w="1664" w:type="dxa"/>
            <w:noWrap w:val="0"/>
            <w:vAlign w:val="center"/>
          </w:tcPr>
          <w:p>
            <w:pPr>
              <w:tabs>
                <w:tab w:val="left" w:pos="360"/>
              </w:tabs>
              <w:spacing w:line="460" w:lineRule="exact"/>
              <w:jc w:val="center"/>
              <w:rPr>
                <w:color w:val="000000"/>
                <w:sz w:val="24"/>
                <w:highlight w:val="none"/>
              </w:rPr>
            </w:pPr>
            <w:r>
              <w:rPr>
                <w:rFonts w:hint="eastAsia"/>
                <w:color w:val="000000"/>
                <w:sz w:val="24"/>
                <w:highlight w:val="none"/>
              </w:rPr>
              <w:t>性别</w:t>
            </w:r>
          </w:p>
        </w:tc>
        <w:tc>
          <w:tcPr>
            <w:tcW w:w="2790" w:type="dxa"/>
            <w:noWrap w:val="0"/>
            <w:vAlign w:val="top"/>
          </w:tcPr>
          <w:p>
            <w:pPr>
              <w:tabs>
                <w:tab w:val="left" w:pos="360"/>
              </w:tabs>
              <w:spacing w:line="460" w:lineRule="exac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596" w:type="dxa"/>
            <w:noWrap w:val="0"/>
            <w:vAlign w:val="center"/>
          </w:tcPr>
          <w:p>
            <w:pPr>
              <w:tabs>
                <w:tab w:val="left" w:pos="360"/>
              </w:tabs>
              <w:spacing w:line="460" w:lineRule="exact"/>
              <w:jc w:val="center"/>
              <w:rPr>
                <w:color w:val="000000"/>
                <w:sz w:val="24"/>
                <w:highlight w:val="none"/>
              </w:rPr>
            </w:pPr>
            <w:r>
              <w:rPr>
                <w:rFonts w:hint="eastAsia"/>
                <w:color w:val="000000"/>
                <w:sz w:val="24"/>
                <w:highlight w:val="none"/>
              </w:rPr>
              <w:t>出生年月</w:t>
            </w:r>
          </w:p>
        </w:tc>
        <w:tc>
          <w:tcPr>
            <w:tcW w:w="3354" w:type="dxa"/>
            <w:noWrap w:val="0"/>
            <w:vAlign w:val="center"/>
          </w:tcPr>
          <w:p>
            <w:pPr>
              <w:tabs>
                <w:tab w:val="left" w:pos="360"/>
              </w:tabs>
              <w:spacing w:line="460" w:lineRule="exact"/>
              <w:jc w:val="center"/>
              <w:rPr>
                <w:color w:val="000000"/>
                <w:sz w:val="24"/>
                <w:highlight w:val="none"/>
              </w:rPr>
            </w:pPr>
          </w:p>
        </w:tc>
        <w:tc>
          <w:tcPr>
            <w:tcW w:w="1664" w:type="dxa"/>
            <w:noWrap w:val="0"/>
            <w:vAlign w:val="center"/>
          </w:tcPr>
          <w:p>
            <w:pPr>
              <w:tabs>
                <w:tab w:val="left" w:pos="360"/>
              </w:tabs>
              <w:spacing w:line="460" w:lineRule="exact"/>
              <w:jc w:val="center"/>
              <w:rPr>
                <w:color w:val="000000"/>
                <w:sz w:val="24"/>
                <w:highlight w:val="none"/>
              </w:rPr>
            </w:pPr>
            <w:r>
              <w:rPr>
                <w:rFonts w:hint="eastAsia"/>
                <w:color w:val="000000"/>
                <w:sz w:val="24"/>
                <w:highlight w:val="none"/>
              </w:rPr>
              <w:t>职称</w:t>
            </w:r>
          </w:p>
        </w:tc>
        <w:tc>
          <w:tcPr>
            <w:tcW w:w="2790" w:type="dxa"/>
            <w:noWrap w:val="0"/>
            <w:vAlign w:val="top"/>
          </w:tcPr>
          <w:p>
            <w:pPr>
              <w:tabs>
                <w:tab w:val="left" w:pos="360"/>
              </w:tabs>
              <w:spacing w:line="460" w:lineRule="exac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596" w:type="dxa"/>
            <w:noWrap w:val="0"/>
            <w:vAlign w:val="center"/>
          </w:tcPr>
          <w:p>
            <w:pPr>
              <w:tabs>
                <w:tab w:val="left" w:pos="360"/>
              </w:tabs>
              <w:spacing w:line="460" w:lineRule="exact"/>
              <w:jc w:val="center"/>
              <w:rPr>
                <w:color w:val="000000"/>
                <w:sz w:val="24"/>
                <w:highlight w:val="none"/>
              </w:rPr>
            </w:pPr>
            <w:r>
              <w:rPr>
                <w:rFonts w:hint="eastAsia"/>
                <w:color w:val="000000"/>
                <w:sz w:val="24"/>
                <w:highlight w:val="none"/>
              </w:rPr>
              <w:t>学历</w:t>
            </w:r>
          </w:p>
        </w:tc>
        <w:tc>
          <w:tcPr>
            <w:tcW w:w="3354" w:type="dxa"/>
            <w:noWrap w:val="0"/>
            <w:vAlign w:val="center"/>
          </w:tcPr>
          <w:p>
            <w:pPr>
              <w:tabs>
                <w:tab w:val="left" w:pos="360"/>
              </w:tabs>
              <w:spacing w:line="460" w:lineRule="exact"/>
              <w:jc w:val="center"/>
              <w:rPr>
                <w:color w:val="000000"/>
                <w:sz w:val="24"/>
                <w:highlight w:val="none"/>
              </w:rPr>
            </w:pPr>
          </w:p>
        </w:tc>
        <w:tc>
          <w:tcPr>
            <w:tcW w:w="1664" w:type="dxa"/>
            <w:noWrap w:val="0"/>
            <w:vAlign w:val="center"/>
          </w:tcPr>
          <w:p>
            <w:pPr>
              <w:tabs>
                <w:tab w:val="left" w:pos="360"/>
              </w:tabs>
              <w:spacing w:line="460" w:lineRule="exact"/>
              <w:jc w:val="center"/>
              <w:rPr>
                <w:color w:val="000000"/>
                <w:sz w:val="24"/>
                <w:highlight w:val="none"/>
              </w:rPr>
            </w:pPr>
            <w:r>
              <w:rPr>
                <w:rFonts w:hint="eastAsia"/>
                <w:color w:val="000000"/>
                <w:sz w:val="24"/>
                <w:highlight w:val="none"/>
              </w:rPr>
              <w:t>从事工作年限</w:t>
            </w:r>
          </w:p>
        </w:tc>
        <w:tc>
          <w:tcPr>
            <w:tcW w:w="2790" w:type="dxa"/>
            <w:noWrap w:val="0"/>
            <w:vAlign w:val="top"/>
          </w:tcPr>
          <w:p>
            <w:pPr>
              <w:tabs>
                <w:tab w:val="left" w:pos="360"/>
              </w:tabs>
              <w:spacing w:line="460" w:lineRule="exact"/>
              <w:rPr>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8" w:hRule="atLeast"/>
        </w:trPr>
        <w:tc>
          <w:tcPr>
            <w:tcW w:w="1596" w:type="dxa"/>
            <w:noWrap w:val="0"/>
            <w:vAlign w:val="center"/>
          </w:tcPr>
          <w:p>
            <w:pPr>
              <w:tabs>
                <w:tab w:val="left" w:pos="360"/>
              </w:tabs>
              <w:spacing w:line="460" w:lineRule="exact"/>
              <w:jc w:val="center"/>
              <w:rPr>
                <w:color w:val="000000"/>
                <w:sz w:val="24"/>
                <w:highlight w:val="none"/>
              </w:rPr>
            </w:pPr>
            <w:r>
              <w:rPr>
                <w:rFonts w:hint="eastAsia"/>
                <w:color w:val="000000"/>
                <w:sz w:val="24"/>
                <w:highlight w:val="none"/>
              </w:rPr>
              <w:t>工作简历</w:t>
            </w:r>
          </w:p>
        </w:tc>
        <w:tc>
          <w:tcPr>
            <w:tcW w:w="7808" w:type="dxa"/>
            <w:gridSpan w:val="3"/>
            <w:noWrap w:val="0"/>
            <w:vAlign w:val="top"/>
          </w:tcPr>
          <w:p>
            <w:pPr>
              <w:pStyle w:val="48"/>
              <w:tabs>
                <w:tab w:val="left" w:pos="360"/>
              </w:tabs>
              <w:spacing w:line="460" w:lineRule="exact"/>
              <w:rPr>
                <w:color w:val="00000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8" w:hRule="atLeast"/>
        </w:trPr>
        <w:tc>
          <w:tcPr>
            <w:tcW w:w="1596" w:type="dxa"/>
            <w:noWrap w:val="0"/>
            <w:vAlign w:val="center"/>
          </w:tcPr>
          <w:p>
            <w:pPr>
              <w:tabs>
                <w:tab w:val="left" w:pos="360"/>
              </w:tabs>
              <w:spacing w:line="460" w:lineRule="exact"/>
              <w:jc w:val="center"/>
              <w:rPr>
                <w:color w:val="000000"/>
                <w:sz w:val="24"/>
                <w:highlight w:val="none"/>
              </w:rPr>
            </w:pPr>
            <w:r>
              <w:rPr>
                <w:rFonts w:hint="eastAsia"/>
                <w:color w:val="000000"/>
                <w:sz w:val="24"/>
                <w:highlight w:val="none"/>
              </w:rPr>
              <w:t>备注</w:t>
            </w:r>
          </w:p>
        </w:tc>
        <w:tc>
          <w:tcPr>
            <w:tcW w:w="7808" w:type="dxa"/>
            <w:gridSpan w:val="3"/>
            <w:noWrap w:val="0"/>
            <w:vAlign w:val="top"/>
          </w:tcPr>
          <w:p>
            <w:pPr>
              <w:tabs>
                <w:tab w:val="left" w:pos="360"/>
              </w:tabs>
              <w:spacing w:line="460" w:lineRule="exact"/>
              <w:rPr>
                <w:color w:val="000000"/>
                <w:sz w:val="24"/>
                <w:highlight w:val="none"/>
              </w:rPr>
            </w:pPr>
          </w:p>
        </w:tc>
      </w:tr>
    </w:tbl>
    <w:p>
      <w:pPr>
        <w:keepNext w:val="0"/>
        <w:keepLines w:val="0"/>
        <w:pageBreakBefore w:val="0"/>
        <w:widowControl w:val="0"/>
        <w:tabs>
          <w:tab w:val="left" w:pos="360"/>
        </w:tabs>
        <w:kinsoku/>
        <w:wordWrap/>
        <w:overflowPunct/>
        <w:topLinePunct w:val="0"/>
        <w:autoSpaceDE/>
        <w:autoSpaceDN/>
        <w:bidi w:val="0"/>
        <w:adjustRightInd/>
        <w:snapToGrid/>
        <w:spacing w:line="460" w:lineRule="exact"/>
        <w:textAlignment w:val="auto"/>
        <w:rPr>
          <w:color w:val="000000"/>
          <w:sz w:val="24"/>
          <w:szCs w:val="24"/>
          <w:highlight w:val="none"/>
        </w:rPr>
      </w:pPr>
      <w:r>
        <w:rPr>
          <w:rFonts w:hint="eastAsia"/>
          <w:color w:val="000000"/>
          <w:sz w:val="24"/>
          <w:szCs w:val="24"/>
          <w:highlight w:val="none"/>
        </w:rPr>
        <w:t>注：1</w:t>
      </w:r>
      <w:r>
        <w:rPr>
          <w:rFonts w:hint="eastAsia" w:ascii="Verdana" w:hAnsi="Verdana" w:cs="Arial"/>
          <w:color w:val="000000"/>
          <w:kern w:val="0"/>
          <w:sz w:val="24"/>
          <w:szCs w:val="24"/>
          <w:highlight w:val="none"/>
          <w:lang w:eastAsia="zh-CN"/>
        </w:rPr>
        <w:t>.</w:t>
      </w:r>
      <w:r>
        <w:rPr>
          <w:rFonts w:hint="eastAsia"/>
          <w:color w:val="000000"/>
          <w:sz w:val="24"/>
          <w:szCs w:val="24"/>
          <w:highlight w:val="none"/>
        </w:rPr>
        <w:t>此表在改变表式的情况下，可自行制作。</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80" w:firstLineChars="200"/>
        <w:textAlignment w:val="auto"/>
        <w:rPr>
          <w:color w:val="000000"/>
          <w:sz w:val="24"/>
          <w:szCs w:val="24"/>
          <w:highlight w:val="none"/>
        </w:rPr>
      </w:pPr>
      <w:r>
        <w:rPr>
          <w:rFonts w:hint="eastAsia"/>
          <w:color w:val="000000"/>
          <w:sz w:val="24"/>
          <w:szCs w:val="24"/>
          <w:highlight w:val="none"/>
        </w:rPr>
        <w:t>2</w:t>
      </w:r>
      <w:r>
        <w:rPr>
          <w:rFonts w:hint="eastAsia" w:ascii="Verdana" w:hAnsi="Verdana" w:cs="Arial"/>
          <w:color w:val="000000"/>
          <w:kern w:val="0"/>
          <w:sz w:val="24"/>
          <w:szCs w:val="24"/>
          <w:highlight w:val="none"/>
          <w:lang w:eastAsia="zh-CN"/>
        </w:rPr>
        <w:t>.</w:t>
      </w:r>
      <w:r>
        <w:rPr>
          <w:rFonts w:hint="eastAsia"/>
          <w:color w:val="000000"/>
          <w:sz w:val="24"/>
          <w:szCs w:val="24"/>
          <w:highlight w:val="none"/>
        </w:rPr>
        <w:t>须附相关职称证书和资格证书复印件。</w:t>
      </w:r>
    </w:p>
    <w:p>
      <w:pPr>
        <w:jc w:val="both"/>
        <w:rPr>
          <w:rFonts w:ascii="Times New Roman" w:hAnsi="Times New Roman" w:eastAsia="新宋体"/>
          <w:b/>
          <w:bCs/>
          <w:color w:val="auto"/>
          <w:sz w:val="36"/>
          <w:highlight w:val="none"/>
        </w:rPr>
      </w:pPr>
    </w:p>
    <w:p>
      <w:pPr>
        <w:adjustRightInd w:val="0"/>
        <w:snapToGrid w:val="0"/>
        <w:spacing w:line="360" w:lineRule="auto"/>
        <w:rPr>
          <w:rFonts w:hint="eastAsia" w:ascii="宋体" w:hAnsi="宋体" w:cs="Arial"/>
          <w:color w:val="000000"/>
          <w:sz w:val="24"/>
          <w:highlight w:val="none"/>
        </w:rPr>
      </w:pPr>
      <w:r>
        <w:rPr>
          <w:rFonts w:hint="eastAsia" w:ascii="宋体" w:hAnsi="宋体" w:cs="Arial"/>
          <w:color w:val="000000"/>
          <w:sz w:val="24"/>
          <w:highlight w:val="none"/>
        </w:rPr>
        <w:t>投标供应商(盖公章)：</w:t>
      </w:r>
    </w:p>
    <w:p>
      <w:pPr>
        <w:adjustRightInd w:val="0"/>
        <w:snapToGrid w:val="0"/>
        <w:spacing w:line="360" w:lineRule="auto"/>
        <w:rPr>
          <w:rFonts w:hint="eastAsia" w:ascii="宋体" w:hAnsi="宋体" w:cs="Arial"/>
          <w:color w:val="000000"/>
          <w:sz w:val="24"/>
          <w:highlight w:val="none"/>
        </w:rPr>
      </w:pPr>
      <w:r>
        <w:rPr>
          <w:rFonts w:hint="eastAsia" w:ascii="宋体" w:hAnsi="宋体" w:cs="Arial"/>
          <w:color w:val="000000"/>
          <w:sz w:val="24"/>
          <w:highlight w:val="none"/>
        </w:rPr>
        <w:t>法定代表人或全权代表(签字或盖章)：</w:t>
      </w:r>
    </w:p>
    <w:p>
      <w:pPr>
        <w:adjustRightInd w:val="0"/>
        <w:snapToGrid w:val="0"/>
        <w:spacing w:line="360" w:lineRule="auto"/>
        <w:rPr>
          <w:rFonts w:hint="eastAsia" w:ascii="宋体" w:hAnsi="宋体" w:cs="Arial"/>
          <w:color w:val="000000"/>
          <w:sz w:val="24"/>
          <w:highlight w:val="none"/>
        </w:rPr>
      </w:pPr>
      <w:r>
        <w:rPr>
          <w:rFonts w:ascii="宋体" w:hAnsi="宋体" w:cs="Arial"/>
          <w:color w:val="000000"/>
          <w:sz w:val="24"/>
          <w:highlight w:val="none"/>
        </w:rPr>
        <w:t>日</w:t>
      </w:r>
      <w:r>
        <w:rPr>
          <w:rFonts w:hint="eastAsia" w:ascii="宋体" w:hAnsi="宋体" w:cs="Arial"/>
          <w:color w:val="000000"/>
          <w:sz w:val="24"/>
          <w:highlight w:val="none"/>
        </w:rPr>
        <w:t xml:space="preserve">     </w:t>
      </w:r>
      <w:r>
        <w:rPr>
          <w:rFonts w:ascii="宋体" w:hAnsi="宋体" w:cs="Arial"/>
          <w:color w:val="000000"/>
          <w:sz w:val="24"/>
          <w:highlight w:val="none"/>
        </w:rPr>
        <w:t>期</w:t>
      </w:r>
      <w:r>
        <w:rPr>
          <w:rFonts w:hint="eastAsia" w:ascii="宋体" w:hAnsi="宋体" w:cs="Arial"/>
          <w:color w:val="000000"/>
          <w:sz w:val="24"/>
          <w:highlight w:val="none"/>
        </w:rPr>
        <w:t>：</w:t>
      </w:r>
    </w:p>
    <w:p>
      <w:pPr>
        <w:spacing w:line="380" w:lineRule="exact"/>
        <w:jc w:val="center"/>
        <w:rPr>
          <w:rFonts w:hint="eastAsia" w:ascii="宋体" w:hAnsi="宋体" w:cs="宋体"/>
          <w:b/>
          <w:color w:val="000000"/>
          <w:sz w:val="30"/>
          <w:szCs w:val="30"/>
          <w:highlight w:val="none"/>
          <w:lang w:eastAsia="zh-CN"/>
        </w:rPr>
      </w:pPr>
    </w:p>
    <w:p>
      <w:pPr>
        <w:spacing w:line="380" w:lineRule="exact"/>
        <w:jc w:val="center"/>
        <w:rPr>
          <w:rFonts w:hint="eastAsia" w:ascii="宋体" w:hAnsi="宋体" w:cs="宋体"/>
          <w:b/>
          <w:color w:val="000000"/>
          <w:sz w:val="30"/>
          <w:szCs w:val="30"/>
          <w:highlight w:val="none"/>
          <w:lang w:eastAsia="zh-CN"/>
        </w:rPr>
      </w:pPr>
    </w:p>
    <w:p>
      <w:pPr>
        <w:spacing w:line="380" w:lineRule="exact"/>
        <w:jc w:val="center"/>
        <w:rPr>
          <w:rFonts w:hint="eastAsia" w:ascii="宋体" w:hAnsi="宋体" w:cs="宋体"/>
          <w:b/>
          <w:color w:val="000000"/>
          <w:sz w:val="30"/>
          <w:szCs w:val="30"/>
          <w:highlight w:val="none"/>
          <w:lang w:eastAsia="zh-CN"/>
        </w:rPr>
      </w:pPr>
    </w:p>
    <w:p>
      <w:pPr>
        <w:spacing w:line="380" w:lineRule="exact"/>
        <w:jc w:val="center"/>
        <w:rPr>
          <w:rFonts w:hint="eastAsia" w:ascii="宋体" w:hAnsi="宋体" w:cs="宋体"/>
          <w:b/>
          <w:color w:val="000000"/>
          <w:sz w:val="30"/>
          <w:szCs w:val="30"/>
          <w:highlight w:val="none"/>
          <w:lang w:eastAsia="zh-CN"/>
        </w:rPr>
      </w:pPr>
    </w:p>
    <w:p>
      <w:pPr>
        <w:spacing w:line="380" w:lineRule="exact"/>
        <w:jc w:val="center"/>
        <w:rPr>
          <w:rFonts w:hint="eastAsia" w:ascii="宋体" w:hAnsi="宋体" w:cs="宋体"/>
          <w:b/>
          <w:color w:val="000000"/>
          <w:sz w:val="36"/>
          <w:szCs w:val="36"/>
          <w:highlight w:val="none"/>
        </w:rPr>
      </w:pPr>
      <w:r>
        <w:rPr>
          <w:rFonts w:hint="eastAsia" w:ascii="宋体" w:hAnsi="宋体" w:cs="宋体"/>
          <w:b/>
          <w:color w:val="000000"/>
          <w:sz w:val="36"/>
          <w:szCs w:val="36"/>
          <w:highlight w:val="none"/>
          <w:lang w:eastAsia="zh-CN"/>
        </w:rPr>
        <w:t>项目团队人员</w:t>
      </w:r>
      <w:r>
        <w:rPr>
          <w:rFonts w:hint="eastAsia" w:ascii="宋体" w:hAnsi="宋体" w:cs="宋体"/>
          <w:b/>
          <w:color w:val="000000"/>
          <w:sz w:val="36"/>
          <w:szCs w:val="36"/>
          <w:highlight w:val="none"/>
        </w:rPr>
        <w:t>配置一览表</w:t>
      </w:r>
    </w:p>
    <w:p>
      <w:pPr>
        <w:pStyle w:val="2"/>
        <w:rPr>
          <w:rFonts w:hint="eastAsia"/>
          <w:highlight w:val="none"/>
        </w:rPr>
      </w:pPr>
    </w:p>
    <w:tbl>
      <w:tblPr>
        <w:tblStyle w:val="5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6"/>
        <w:gridCol w:w="958"/>
        <w:gridCol w:w="958"/>
        <w:gridCol w:w="767"/>
        <w:gridCol w:w="767"/>
        <w:gridCol w:w="1340"/>
        <w:gridCol w:w="1326"/>
        <w:gridCol w:w="1825"/>
        <w:gridCol w:w="11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5" w:hRule="atLeast"/>
          <w:jc w:val="center"/>
        </w:trPr>
        <w:tc>
          <w:tcPr>
            <w:tcW w:w="766" w:type="dxa"/>
            <w:tcBorders>
              <w:top w:val="single" w:color="auto" w:sz="12" w:space="0"/>
            </w:tcBorders>
            <w:noWrap w:val="0"/>
            <w:vAlign w:val="center"/>
          </w:tcPr>
          <w:p>
            <w:pPr>
              <w:spacing w:line="360" w:lineRule="auto"/>
              <w:jc w:val="center"/>
              <w:rPr>
                <w:rFonts w:hint="eastAsia" w:ascii="宋体" w:hAnsi="宋体" w:cs="宋体"/>
                <w:color w:val="000000"/>
                <w:sz w:val="22"/>
                <w:highlight w:val="none"/>
              </w:rPr>
            </w:pPr>
            <w:r>
              <w:rPr>
                <w:rFonts w:hint="eastAsia" w:ascii="宋体" w:hAnsi="宋体" w:cs="宋体"/>
                <w:color w:val="000000"/>
                <w:sz w:val="22"/>
                <w:highlight w:val="none"/>
              </w:rPr>
              <w:t>序号</w:t>
            </w:r>
          </w:p>
        </w:tc>
        <w:tc>
          <w:tcPr>
            <w:tcW w:w="958" w:type="dxa"/>
            <w:tcBorders>
              <w:top w:val="single" w:color="auto" w:sz="12" w:space="0"/>
            </w:tcBorders>
            <w:noWrap w:val="0"/>
            <w:vAlign w:val="center"/>
          </w:tcPr>
          <w:p>
            <w:pPr>
              <w:spacing w:line="360" w:lineRule="auto"/>
              <w:jc w:val="center"/>
              <w:rPr>
                <w:rFonts w:hint="eastAsia" w:ascii="宋体" w:hAnsi="宋体" w:cs="宋体"/>
                <w:color w:val="000000"/>
                <w:sz w:val="22"/>
                <w:highlight w:val="none"/>
              </w:rPr>
            </w:pPr>
            <w:r>
              <w:rPr>
                <w:rFonts w:hint="eastAsia" w:ascii="宋体" w:hAnsi="宋体" w:cs="宋体"/>
                <w:color w:val="000000"/>
                <w:sz w:val="22"/>
                <w:highlight w:val="none"/>
              </w:rPr>
              <w:t>姓名</w:t>
            </w:r>
          </w:p>
        </w:tc>
        <w:tc>
          <w:tcPr>
            <w:tcW w:w="958" w:type="dxa"/>
            <w:tcBorders>
              <w:top w:val="single" w:color="auto" w:sz="12" w:space="0"/>
            </w:tcBorders>
            <w:noWrap w:val="0"/>
            <w:vAlign w:val="center"/>
          </w:tcPr>
          <w:p>
            <w:pPr>
              <w:spacing w:line="360" w:lineRule="auto"/>
              <w:jc w:val="center"/>
              <w:rPr>
                <w:rFonts w:hint="eastAsia" w:ascii="宋体" w:hAnsi="宋体" w:cs="宋体"/>
                <w:color w:val="000000"/>
                <w:sz w:val="22"/>
                <w:highlight w:val="none"/>
              </w:rPr>
            </w:pPr>
            <w:r>
              <w:rPr>
                <w:rFonts w:hint="eastAsia" w:ascii="宋体" w:hAnsi="宋体" w:cs="宋体"/>
                <w:color w:val="000000"/>
                <w:sz w:val="22"/>
                <w:highlight w:val="none"/>
              </w:rPr>
              <w:t>性别</w:t>
            </w:r>
          </w:p>
        </w:tc>
        <w:tc>
          <w:tcPr>
            <w:tcW w:w="767" w:type="dxa"/>
            <w:tcBorders>
              <w:top w:val="single" w:color="auto" w:sz="12" w:space="0"/>
            </w:tcBorders>
            <w:noWrap w:val="0"/>
            <w:vAlign w:val="center"/>
          </w:tcPr>
          <w:p>
            <w:pPr>
              <w:spacing w:line="360" w:lineRule="auto"/>
              <w:jc w:val="center"/>
              <w:rPr>
                <w:rFonts w:hint="eastAsia" w:ascii="宋体" w:hAnsi="宋体" w:cs="宋体"/>
                <w:color w:val="000000"/>
                <w:sz w:val="22"/>
                <w:highlight w:val="none"/>
              </w:rPr>
            </w:pPr>
            <w:r>
              <w:rPr>
                <w:rFonts w:hint="eastAsia" w:ascii="宋体" w:hAnsi="宋体" w:cs="宋体"/>
                <w:color w:val="000000"/>
                <w:sz w:val="22"/>
                <w:highlight w:val="none"/>
              </w:rPr>
              <w:t>年龄</w:t>
            </w:r>
          </w:p>
        </w:tc>
        <w:tc>
          <w:tcPr>
            <w:tcW w:w="767" w:type="dxa"/>
            <w:tcBorders>
              <w:top w:val="single" w:color="auto" w:sz="12" w:space="0"/>
            </w:tcBorders>
            <w:noWrap w:val="0"/>
            <w:vAlign w:val="center"/>
          </w:tcPr>
          <w:p>
            <w:pPr>
              <w:spacing w:line="360" w:lineRule="auto"/>
              <w:jc w:val="center"/>
              <w:rPr>
                <w:rFonts w:hint="eastAsia" w:ascii="宋体" w:hAnsi="宋体" w:cs="宋体"/>
                <w:color w:val="000000"/>
                <w:sz w:val="22"/>
                <w:highlight w:val="none"/>
              </w:rPr>
            </w:pPr>
            <w:r>
              <w:rPr>
                <w:rFonts w:hint="eastAsia" w:ascii="宋体" w:hAnsi="宋体" w:cs="宋体"/>
                <w:color w:val="000000"/>
                <w:sz w:val="22"/>
                <w:highlight w:val="none"/>
              </w:rPr>
              <w:t>学历</w:t>
            </w:r>
          </w:p>
        </w:tc>
        <w:tc>
          <w:tcPr>
            <w:tcW w:w="1340" w:type="dxa"/>
            <w:tcBorders>
              <w:top w:val="single" w:color="auto" w:sz="12" w:space="0"/>
            </w:tcBorders>
            <w:noWrap w:val="0"/>
            <w:vAlign w:val="center"/>
          </w:tcPr>
          <w:p>
            <w:pPr>
              <w:spacing w:line="280" w:lineRule="exact"/>
              <w:jc w:val="center"/>
              <w:rPr>
                <w:rFonts w:hint="eastAsia" w:ascii="宋体" w:hAnsi="宋体" w:cs="宋体"/>
                <w:color w:val="000000"/>
                <w:sz w:val="22"/>
                <w:highlight w:val="none"/>
              </w:rPr>
            </w:pPr>
            <w:r>
              <w:rPr>
                <w:rFonts w:hint="eastAsia" w:ascii="宋体" w:hAnsi="宋体" w:cs="宋体"/>
                <w:color w:val="000000"/>
                <w:sz w:val="22"/>
                <w:highlight w:val="none"/>
              </w:rPr>
              <w:t>职称/职务</w:t>
            </w:r>
          </w:p>
        </w:tc>
        <w:tc>
          <w:tcPr>
            <w:tcW w:w="1326" w:type="dxa"/>
            <w:tcBorders>
              <w:top w:val="single" w:color="auto" w:sz="12" w:space="0"/>
            </w:tcBorders>
            <w:noWrap w:val="0"/>
            <w:vAlign w:val="center"/>
          </w:tcPr>
          <w:p>
            <w:pPr>
              <w:spacing w:line="280" w:lineRule="exact"/>
              <w:jc w:val="center"/>
              <w:rPr>
                <w:rFonts w:hint="eastAsia" w:ascii="宋体" w:hAnsi="宋体" w:cs="宋体"/>
                <w:color w:val="000000"/>
                <w:sz w:val="22"/>
                <w:highlight w:val="none"/>
              </w:rPr>
            </w:pPr>
            <w:r>
              <w:rPr>
                <w:rFonts w:hint="eastAsia" w:ascii="宋体" w:hAnsi="宋体" w:cs="宋体"/>
                <w:color w:val="000000"/>
                <w:highlight w:val="none"/>
              </w:rPr>
              <w:t>本项目中的岗位</w:t>
            </w:r>
          </w:p>
        </w:tc>
        <w:tc>
          <w:tcPr>
            <w:tcW w:w="1825" w:type="dxa"/>
            <w:tcBorders>
              <w:top w:val="single" w:color="auto" w:sz="12" w:space="0"/>
            </w:tcBorders>
            <w:noWrap w:val="0"/>
            <w:vAlign w:val="center"/>
          </w:tcPr>
          <w:p>
            <w:pPr>
              <w:spacing w:line="360" w:lineRule="auto"/>
              <w:jc w:val="center"/>
              <w:rPr>
                <w:rFonts w:hint="eastAsia" w:ascii="宋体" w:hAnsi="宋体" w:cs="宋体"/>
                <w:color w:val="000000"/>
                <w:sz w:val="22"/>
                <w:highlight w:val="none"/>
              </w:rPr>
            </w:pPr>
            <w:r>
              <w:rPr>
                <w:rFonts w:hint="eastAsia" w:ascii="宋体" w:hAnsi="宋体" w:cs="宋体"/>
                <w:color w:val="000000"/>
                <w:sz w:val="22"/>
                <w:highlight w:val="none"/>
              </w:rPr>
              <w:t>从事专业年限</w:t>
            </w:r>
          </w:p>
        </w:tc>
        <w:tc>
          <w:tcPr>
            <w:tcW w:w="1147" w:type="dxa"/>
            <w:tcBorders>
              <w:top w:val="single" w:color="auto" w:sz="12" w:space="0"/>
            </w:tcBorders>
            <w:noWrap w:val="0"/>
            <w:vAlign w:val="center"/>
          </w:tcPr>
          <w:p>
            <w:pPr>
              <w:spacing w:line="360" w:lineRule="auto"/>
              <w:jc w:val="center"/>
              <w:rPr>
                <w:rFonts w:hint="eastAsia" w:ascii="宋体" w:hAnsi="宋体" w:cs="宋体"/>
                <w:color w:val="000000"/>
                <w:sz w:val="22"/>
                <w:highlight w:val="none"/>
              </w:rPr>
            </w:pPr>
            <w:r>
              <w:rPr>
                <w:rFonts w:hint="eastAsia" w:ascii="宋体" w:hAnsi="宋体" w:cs="宋体"/>
                <w:color w:val="000000"/>
                <w:sz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1340" w:type="dxa"/>
            <w:noWrap w:val="0"/>
            <w:vAlign w:val="center"/>
          </w:tcPr>
          <w:p>
            <w:pPr>
              <w:spacing w:line="360" w:lineRule="auto"/>
              <w:jc w:val="center"/>
              <w:rPr>
                <w:rFonts w:hint="eastAsia" w:ascii="宋体" w:hAnsi="宋体" w:cs="宋体"/>
                <w:color w:val="000000"/>
                <w:sz w:val="22"/>
                <w:highlight w:val="none"/>
              </w:rPr>
            </w:pPr>
          </w:p>
        </w:tc>
        <w:tc>
          <w:tcPr>
            <w:tcW w:w="1326" w:type="dxa"/>
            <w:noWrap w:val="0"/>
            <w:vAlign w:val="center"/>
          </w:tcPr>
          <w:p>
            <w:pPr>
              <w:spacing w:line="360" w:lineRule="auto"/>
              <w:jc w:val="center"/>
              <w:rPr>
                <w:rFonts w:hint="eastAsia" w:ascii="宋体" w:hAnsi="宋体" w:cs="宋体"/>
                <w:color w:val="000000"/>
                <w:sz w:val="22"/>
                <w:highlight w:val="none"/>
              </w:rPr>
            </w:pPr>
          </w:p>
        </w:tc>
        <w:tc>
          <w:tcPr>
            <w:tcW w:w="1825" w:type="dxa"/>
            <w:noWrap w:val="0"/>
            <w:vAlign w:val="top"/>
          </w:tcPr>
          <w:p>
            <w:pPr>
              <w:spacing w:line="360" w:lineRule="auto"/>
              <w:jc w:val="center"/>
              <w:rPr>
                <w:rFonts w:hint="eastAsia" w:ascii="宋体" w:hAnsi="宋体" w:cs="宋体"/>
                <w:color w:val="000000"/>
                <w:sz w:val="22"/>
                <w:highlight w:val="none"/>
              </w:rPr>
            </w:pPr>
          </w:p>
        </w:tc>
        <w:tc>
          <w:tcPr>
            <w:tcW w:w="1147" w:type="dxa"/>
            <w:noWrap w:val="0"/>
            <w:vAlign w:val="center"/>
          </w:tcPr>
          <w:p>
            <w:pPr>
              <w:spacing w:line="360" w:lineRule="auto"/>
              <w:jc w:val="center"/>
              <w:rPr>
                <w:rFonts w:hint="eastAsia" w:ascii="宋体" w:hAnsi="宋体" w:cs="宋体"/>
                <w:color w:val="000000"/>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1340" w:type="dxa"/>
            <w:noWrap w:val="0"/>
            <w:vAlign w:val="center"/>
          </w:tcPr>
          <w:p>
            <w:pPr>
              <w:spacing w:line="360" w:lineRule="auto"/>
              <w:jc w:val="center"/>
              <w:rPr>
                <w:rFonts w:hint="eastAsia" w:ascii="宋体" w:hAnsi="宋体" w:cs="宋体"/>
                <w:color w:val="000000"/>
                <w:sz w:val="22"/>
                <w:highlight w:val="none"/>
              </w:rPr>
            </w:pPr>
          </w:p>
        </w:tc>
        <w:tc>
          <w:tcPr>
            <w:tcW w:w="1326" w:type="dxa"/>
            <w:noWrap w:val="0"/>
            <w:vAlign w:val="center"/>
          </w:tcPr>
          <w:p>
            <w:pPr>
              <w:spacing w:line="360" w:lineRule="auto"/>
              <w:jc w:val="center"/>
              <w:rPr>
                <w:rFonts w:hint="eastAsia" w:ascii="宋体" w:hAnsi="宋体" w:cs="宋体"/>
                <w:color w:val="000000"/>
                <w:sz w:val="22"/>
                <w:highlight w:val="none"/>
              </w:rPr>
            </w:pPr>
          </w:p>
        </w:tc>
        <w:tc>
          <w:tcPr>
            <w:tcW w:w="1825" w:type="dxa"/>
            <w:noWrap w:val="0"/>
            <w:vAlign w:val="top"/>
          </w:tcPr>
          <w:p>
            <w:pPr>
              <w:spacing w:line="360" w:lineRule="auto"/>
              <w:jc w:val="center"/>
              <w:rPr>
                <w:rFonts w:hint="eastAsia" w:ascii="宋体" w:hAnsi="宋体" w:cs="宋体"/>
                <w:color w:val="000000"/>
                <w:sz w:val="22"/>
                <w:highlight w:val="none"/>
              </w:rPr>
            </w:pPr>
          </w:p>
        </w:tc>
        <w:tc>
          <w:tcPr>
            <w:tcW w:w="1147" w:type="dxa"/>
            <w:noWrap w:val="0"/>
            <w:vAlign w:val="center"/>
          </w:tcPr>
          <w:p>
            <w:pPr>
              <w:spacing w:line="360" w:lineRule="auto"/>
              <w:jc w:val="center"/>
              <w:rPr>
                <w:rFonts w:hint="eastAsia" w:ascii="宋体" w:hAnsi="宋体" w:cs="宋体"/>
                <w:color w:val="000000"/>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1340" w:type="dxa"/>
            <w:noWrap w:val="0"/>
            <w:vAlign w:val="center"/>
          </w:tcPr>
          <w:p>
            <w:pPr>
              <w:spacing w:line="360" w:lineRule="auto"/>
              <w:jc w:val="center"/>
              <w:rPr>
                <w:rFonts w:hint="eastAsia" w:ascii="宋体" w:hAnsi="宋体" w:cs="宋体"/>
                <w:color w:val="000000"/>
                <w:sz w:val="22"/>
                <w:highlight w:val="none"/>
              </w:rPr>
            </w:pPr>
          </w:p>
        </w:tc>
        <w:tc>
          <w:tcPr>
            <w:tcW w:w="1326" w:type="dxa"/>
            <w:noWrap w:val="0"/>
            <w:vAlign w:val="center"/>
          </w:tcPr>
          <w:p>
            <w:pPr>
              <w:spacing w:line="360" w:lineRule="auto"/>
              <w:jc w:val="center"/>
              <w:rPr>
                <w:rFonts w:hint="eastAsia" w:ascii="宋体" w:hAnsi="宋体" w:cs="宋体"/>
                <w:color w:val="000000"/>
                <w:sz w:val="22"/>
                <w:highlight w:val="none"/>
              </w:rPr>
            </w:pPr>
          </w:p>
        </w:tc>
        <w:tc>
          <w:tcPr>
            <w:tcW w:w="1825" w:type="dxa"/>
            <w:noWrap w:val="0"/>
            <w:vAlign w:val="top"/>
          </w:tcPr>
          <w:p>
            <w:pPr>
              <w:spacing w:line="360" w:lineRule="auto"/>
              <w:jc w:val="center"/>
              <w:rPr>
                <w:rFonts w:hint="eastAsia" w:ascii="宋体" w:hAnsi="宋体" w:cs="宋体"/>
                <w:color w:val="000000"/>
                <w:sz w:val="22"/>
                <w:highlight w:val="none"/>
              </w:rPr>
            </w:pPr>
          </w:p>
        </w:tc>
        <w:tc>
          <w:tcPr>
            <w:tcW w:w="1147" w:type="dxa"/>
            <w:noWrap w:val="0"/>
            <w:vAlign w:val="center"/>
          </w:tcPr>
          <w:p>
            <w:pPr>
              <w:spacing w:line="360" w:lineRule="auto"/>
              <w:jc w:val="center"/>
              <w:rPr>
                <w:rFonts w:hint="eastAsia" w:ascii="宋体" w:hAnsi="宋体" w:cs="宋体"/>
                <w:color w:val="000000"/>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1340" w:type="dxa"/>
            <w:noWrap w:val="0"/>
            <w:vAlign w:val="center"/>
          </w:tcPr>
          <w:p>
            <w:pPr>
              <w:spacing w:line="360" w:lineRule="auto"/>
              <w:jc w:val="center"/>
              <w:rPr>
                <w:rFonts w:hint="eastAsia" w:ascii="宋体" w:hAnsi="宋体" w:cs="宋体"/>
                <w:color w:val="000000"/>
                <w:sz w:val="22"/>
                <w:highlight w:val="none"/>
              </w:rPr>
            </w:pPr>
          </w:p>
        </w:tc>
        <w:tc>
          <w:tcPr>
            <w:tcW w:w="1326" w:type="dxa"/>
            <w:noWrap w:val="0"/>
            <w:vAlign w:val="center"/>
          </w:tcPr>
          <w:p>
            <w:pPr>
              <w:spacing w:line="360" w:lineRule="auto"/>
              <w:jc w:val="center"/>
              <w:rPr>
                <w:rFonts w:hint="eastAsia" w:ascii="宋体" w:hAnsi="宋体" w:cs="宋体"/>
                <w:color w:val="000000"/>
                <w:sz w:val="22"/>
                <w:highlight w:val="none"/>
              </w:rPr>
            </w:pPr>
          </w:p>
        </w:tc>
        <w:tc>
          <w:tcPr>
            <w:tcW w:w="1825" w:type="dxa"/>
            <w:noWrap w:val="0"/>
            <w:vAlign w:val="top"/>
          </w:tcPr>
          <w:p>
            <w:pPr>
              <w:spacing w:line="360" w:lineRule="auto"/>
              <w:jc w:val="center"/>
              <w:rPr>
                <w:rFonts w:hint="eastAsia" w:ascii="宋体" w:hAnsi="宋体" w:cs="宋体"/>
                <w:color w:val="000000"/>
                <w:sz w:val="22"/>
                <w:highlight w:val="none"/>
              </w:rPr>
            </w:pPr>
          </w:p>
        </w:tc>
        <w:tc>
          <w:tcPr>
            <w:tcW w:w="1147" w:type="dxa"/>
            <w:noWrap w:val="0"/>
            <w:vAlign w:val="center"/>
          </w:tcPr>
          <w:p>
            <w:pPr>
              <w:spacing w:line="360" w:lineRule="auto"/>
              <w:jc w:val="center"/>
              <w:rPr>
                <w:rFonts w:hint="eastAsia" w:ascii="宋体" w:hAnsi="宋体" w:cs="宋体"/>
                <w:color w:val="000000"/>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1340" w:type="dxa"/>
            <w:noWrap w:val="0"/>
            <w:vAlign w:val="center"/>
          </w:tcPr>
          <w:p>
            <w:pPr>
              <w:spacing w:line="360" w:lineRule="auto"/>
              <w:jc w:val="center"/>
              <w:rPr>
                <w:rFonts w:hint="eastAsia" w:ascii="宋体" w:hAnsi="宋体" w:cs="宋体"/>
                <w:color w:val="000000"/>
                <w:sz w:val="22"/>
                <w:highlight w:val="none"/>
              </w:rPr>
            </w:pPr>
          </w:p>
        </w:tc>
        <w:tc>
          <w:tcPr>
            <w:tcW w:w="1326" w:type="dxa"/>
            <w:noWrap w:val="0"/>
            <w:vAlign w:val="center"/>
          </w:tcPr>
          <w:p>
            <w:pPr>
              <w:spacing w:line="360" w:lineRule="auto"/>
              <w:jc w:val="center"/>
              <w:rPr>
                <w:rFonts w:hint="eastAsia" w:ascii="宋体" w:hAnsi="宋体" w:cs="宋体"/>
                <w:color w:val="000000"/>
                <w:sz w:val="22"/>
                <w:highlight w:val="none"/>
              </w:rPr>
            </w:pPr>
          </w:p>
        </w:tc>
        <w:tc>
          <w:tcPr>
            <w:tcW w:w="1825" w:type="dxa"/>
            <w:noWrap w:val="0"/>
            <w:vAlign w:val="top"/>
          </w:tcPr>
          <w:p>
            <w:pPr>
              <w:spacing w:line="360" w:lineRule="auto"/>
              <w:jc w:val="center"/>
              <w:rPr>
                <w:rFonts w:hint="eastAsia" w:ascii="宋体" w:hAnsi="宋体" w:cs="宋体"/>
                <w:color w:val="000000"/>
                <w:sz w:val="22"/>
                <w:highlight w:val="none"/>
              </w:rPr>
            </w:pPr>
          </w:p>
        </w:tc>
        <w:tc>
          <w:tcPr>
            <w:tcW w:w="1147" w:type="dxa"/>
            <w:noWrap w:val="0"/>
            <w:vAlign w:val="center"/>
          </w:tcPr>
          <w:p>
            <w:pPr>
              <w:spacing w:line="360" w:lineRule="auto"/>
              <w:jc w:val="center"/>
              <w:rPr>
                <w:rFonts w:hint="eastAsia" w:ascii="宋体" w:hAnsi="宋体" w:cs="宋体"/>
                <w:color w:val="000000"/>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1340" w:type="dxa"/>
            <w:noWrap w:val="0"/>
            <w:vAlign w:val="center"/>
          </w:tcPr>
          <w:p>
            <w:pPr>
              <w:spacing w:line="360" w:lineRule="auto"/>
              <w:jc w:val="center"/>
              <w:rPr>
                <w:rFonts w:hint="eastAsia" w:ascii="宋体" w:hAnsi="宋体" w:cs="宋体"/>
                <w:color w:val="000000"/>
                <w:sz w:val="22"/>
                <w:highlight w:val="none"/>
              </w:rPr>
            </w:pPr>
          </w:p>
        </w:tc>
        <w:tc>
          <w:tcPr>
            <w:tcW w:w="1326" w:type="dxa"/>
            <w:noWrap w:val="0"/>
            <w:vAlign w:val="center"/>
          </w:tcPr>
          <w:p>
            <w:pPr>
              <w:spacing w:line="360" w:lineRule="auto"/>
              <w:jc w:val="center"/>
              <w:rPr>
                <w:rFonts w:hint="eastAsia" w:ascii="宋体" w:hAnsi="宋体" w:cs="宋体"/>
                <w:color w:val="000000"/>
                <w:sz w:val="22"/>
                <w:highlight w:val="none"/>
              </w:rPr>
            </w:pPr>
          </w:p>
        </w:tc>
        <w:tc>
          <w:tcPr>
            <w:tcW w:w="1825" w:type="dxa"/>
            <w:noWrap w:val="0"/>
            <w:vAlign w:val="top"/>
          </w:tcPr>
          <w:p>
            <w:pPr>
              <w:spacing w:line="360" w:lineRule="auto"/>
              <w:jc w:val="center"/>
              <w:rPr>
                <w:rFonts w:hint="eastAsia" w:ascii="宋体" w:hAnsi="宋体" w:cs="宋体"/>
                <w:color w:val="000000"/>
                <w:sz w:val="22"/>
                <w:highlight w:val="none"/>
              </w:rPr>
            </w:pPr>
          </w:p>
        </w:tc>
        <w:tc>
          <w:tcPr>
            <w:tcW w:w="1147" w:type="dxa"/>
            <w:noWrap w:val="0"/>
            <w:vAlign w:val="center"/>
          </w:tcPr>
          <w:p>
            <w:pPr>
              <w:spacing w:line="360" w:lineRule="auto"/>
              <w:jc w:val="center"/>
              <w:rPr>
                <w:rFonts w:hint="eastAsia" w:ascii="宋体" w:hAnsi="宋体" w:cs="宋体"/>
                <w:color w:val="000000"/>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1340" w:type="dxa"/>
            <w:noWrap w:val="0"/>
            <w:vAlign w:val="center"/>
          </w:tcPr>
          <w:p>
            <w:pPr>
              <w:spacing w:line="360" w:lineRule="auto"/>
              <w:jc w:val="center"/>
              <w:rPr>
                <w:rFonts w:hint="eastAsia" w:ascii="宋体" w:hAnsi="宋体" w:cs="宋体"/>
                <w:color w:val="000000"/>
                <w:sz w:val="22"/>
                <w:highlight w:val="none"/>
              </w:rPr>
            </w:pPr>
          </w:p>
        </w:tc>
        <w:tc>
          <w:tcPr>
            <w:tcW w:w="1326" w:type="dxa"/>
            <w:noWrap w:val="0"/>
            <w:vAlign w:val="center"/>
          </w:tcPr>
          <w:p>
            <w:pPr>
              <w:spacing w:line="360" w:lineRule="auto"/>
              <w:jc w:val="center"/>
              <w:rPr>
                <w:rFonts w:hint="eastAsia" w:ascii="宋体" w:hAnsi="宋体" w:cs="宋体"/>
                <w:color w:val="000000"/>
                <w:sz w:val="22"/>
                <w:highlight w:val="none"/>
              </w:rPr>
            </w:pPr>
          </w:p>
        </w:tc>
        <w:tc>
          <w:tcPr>
            <w:tcW w:w="1825" w:type="dxa"/>
            <w:noWrap w:val="0"/>
            <w:vAlign w:val="top"/>
          </w:tcPr>
          <w:p>
            <w:pPr>
              <w:spacing w:line="360" w:lineRule="auto"/>
              <w:jc w:val="center"/>
              <w:rPr>
                <w:rFonts w:hint="eastAsia" w:ascii="宋体" w:hAnsi="宋体" w:cs="宋体"/>
                <w:color w:val="000000"/>
                <w:sz w:val="22"/>
                <w:highlight w:val="none"/>
              </w:rPr>
            </w:pPr>
          </w:p>
        </w:tc>
        <w:tc>
          <w:tcPr>
            <w:tcW w:w="1147" w:type="dxa"/>
            <w:noWrap w:val="0"/>
            <w:vAlign w:val="center"/>
          </w:tcPr>
          <w:p>
            <w:pPr>
              <w:spacing w:line="360" w:lineRule="auto"/>
              <w:jc w:val="center"/>
              <w:rPr>
                <w:rFonts w:hint="eastAsia" w:ascii="宋体" w:hAnsi="宋体" w:cs="宋体"/>
                <w:color w:val="000000"/>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1340" w:type="dxa"/>
            <w:noWrap w:val="0"/>
            <w:vAlign w:val="center"/>
          </w:tcPr>
          <w:p>
            <w:pPr>
              <w:spacing w:line="360" w:lineRule="auto"/>
              <w:jc w:val="center"/>
              <w:rPr>
                <w:rFonts w:hint="eastAsia" w:ascii="宋体" w:hAnsi="宋体" w:cs="宋体"/>
                <w:color w:val="000000"/>
                <w:sz w:val="22"/>
                <w:highlight w:val="none"/>
              </w:rPr>
            </w:pPr>
          </w:p>
        </w:tc>
        <w:tc>
          <w:tcPr>
            <w:tcW w:w="1326" w:type="dxa"/>
            <w:noWrap w:val="0"/>
            <w:vAlign w:val="center"/>
          </w:tcPr>
          <w:p>
            <w:pPr>
              <w:spacing w:line="360" w:lineRule="auto"/>
              <w:jc w:val="center"/>
              <w:rPr>
                <w:rFonts w:hint="eastAsia" w:ascii="宋体" w:hAnsi="宋体" w:cs="宋体"/>
                <w:color w:val="000000"/>
                <w:sz w:val="22"/>
                <w:highlight w:val="none"/>
              </w:rPr>
            </w:pPr>
          </w:p>
        </w:tc>
        <w:tc>
          <w:tcPr>
            <w:tcW w:w="1825" w:type="dxa"/>
            <w:noWrap w:val="0"/>
            <w:vAlign w:val="top"/>
          </w:tcPr>
          <w:p>
            <w:pPr>
              <w:spacing w:line="360" w:lineRule="auto"/>
              <w:jc w:val="center"/>
              <w:rPr>
                <w:rFonts w:hint="eastAsia" w:ascii="宋体" w:hAnsi="宋体" w:cs="宋体"/>
                <w:color w:val="000000"/>
                <w:sz w:val="22"/>
                <w:highlight w:val="none"/>
              </w:rPr>
            </w:pPr>
          </w:p>
        </w:tc>
        <w:tc>
          <w:tcPr>
            <w:tcW w:w="1147" w:type="dxa"/>
            <w:noWrap w:val="0"/>
            <w:vAlign w:val="center"/>
          </w:tcPr>
          <w:p>
            <w:pPr>
              <w:spacing w:line="360" w:lineRule="auto"/>
              <w:jc w:val="center"/>
              <w:rPr>
                <w:rFonts w:hint="eastAsia" w:ascii="宋体" w:hAnsi="宋体" w:cs="宋体"/>
                <w:color w:val="000000"/>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1340" w:type="dxa"/>
            <w:noWrap w:val="0"/>
            <w:vAlign w:val="center"/>
          </w:tcPr>
          <w:p>
            <w:pPr>
              <w:spacing w:line="360" w:lineRule="auto"/>
              <w:jc w:val="center"/>
              <w:rPr>
                <w:rFonts w:hint="eastAsia" w:ascii="宋体" w:hAnsi="宋体" w:cs="宋体"/>
                <w:color w:val="000000"/>
                <w:sz w:val="22"/>
                <w:highlight w:val="none"/>
              </w:rPr>
            </w:pPr>
          </w:p>
        </w:tc>
        <w:tc>
          <w:tcPr>
            <w:tcW w:w="1326" w:type="dxa"/>
            <w:noWrap w:val="0"/>
            <w:vAlign w:val="center"/>
          </w:tcPr>
          <w:p>
            <w:pPr>
              <w:spacing w:line="360" w:lineRule="auto"/>
              <w:jc w:val="center"/>
              <w:rPr>
                <w:rFonts w:hint="eastAsia" w:ascii="宋体" w:hAnsi="宋体" w:cs="宋体"/>
                <w:color w:val="000000"/>
                <w:sz w:val="22"/>
                <w:highlight w:val="none"/>
              </w:rPr>
            </w:pPr>
          </w:p>
        </w:tc>
        <w:tc>
          <w:tcPr>
            <w:tcW w:w="1825" w:type="dxa"/>
            <w:noWrap w:val="0"/>
            <w:vAlign w:val="top"/>
          </w:tcPr>
          <w:p>
            <w:pPr>
              <w:spacing w:line="360" w:lineRule="auto"/>
              <w:jc w:val="center"/>
              <w:rPr>
                <w:rFonts w:hint="eastAsia" w:ascii="宋体" w:hAnsi="宋体" w:cs="宋体"/>
                <w:color w:val="000000"/>
                <w:sz w:val="22"/>
                <w:highlight w:val="none"/>
              </w:rPr>
            </w:pPr>
          </w:p>
        </w:tc>
        <w:tc>
          <w:tcPr>
            <w:tcW w:w="1147" w:type="dxa"/>
            <w:noWrap w:val="0"/>
            <w:vAlign w:val="center"/>
          </w:tcPr>
          <w:p>
            <w:pPr>
              <w:spacing w:line="360" w:lineRule="auto"/>
              <w:jc w:val="center"/>
              <w:rPr>
                <w:rFonts w:hint="eastAsia" w:ascii="宋体" w:hAnsi="宋体" w:cs="宋体"/>
                <w:color w:val="000000"/>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1340" w:type="dxa"/>
            <w:noWrap w:val="0"/>
            <w:vAlign w:val="center"/>
          </w:tcPr>
          <w:p>
            <w:pPr>
              <w:spacing w:line="360" w:lineRule="auto"/>
              <w:jc w:val="center"/>
              <w:rPr>
                <w:rFonts w:hint="eastAsia" w:ascii="宋体" w:hAnsi="宋体" w:cs="宋体"/>
                <w:color w:val="000000"/>
                <w:sz w:val="22"/>
                <w:highlight w:val="none"/>
              </w:rPr>
            </w:pPr>
          </w:p>
        </w:tc>
        <w:tc>
          <w:tcPr>
            <w:tcW w:w="1326" w:type="dxa"/>
            <w:noWrap w:val="0"/>
            <w:vAlign w:val="center"/>
          </w:tcPr>
          <w:p>
            <w:pPr>
              <w:spacing w:line="360" w:lineRule="auto"/>
              <w:jc w:val="center"/>
              <w:rPr>
                <w:rFonts w:hint="eastAsia" w:ascii="宋体" w:hAnsi="宋体" w:cs="宋体"/>
                <w:color w:val="000000"/>
                <w:sz w:val="22"/>
                <w:highlight w:val="none"/>
              </w:rPr>
            </w:pPr>
          </w:p>
        </w:tc>
        <w:tc>
          <w:tcPr>
            <w:tcW w:w="1825" w:type="dxa"/>
            <w:noWrap w:val="0"/>
            <w:vAlign w:val="top"/>
          </w:tcPr>
          <w:p>
            <w:pPr>
              <w:spacing w:line="360" w:lineRule="auto"/>
              <w:jc w:val="center"/>
              <w:rPr>
                <w:rFonts w:hint="eastAsia" w:ascii="宋体" w:hAnsi="宋体" w:cs="宋体"/>
                <w:color w:val="000000"/>
                <w:sz w:val="22"/>
                <w:highlight w:val="none"/>
              </w:rPr>
            </w:pPr>
          </w:p>
        </w:tc>
        <w:tc>
          <w:tcPr>
            <w:tcW w:w="1147" w:type="dxa"/>
            <w:noWrap w:val="0"/>
            <w:vAlign w:val="center"/>
          </w:tcPr>
          <w:p>
            <w:pPr>
              <w:spacing w:line="360" w:lineRule="auto"/>
              <w:jc w:val="center"/>
              <w:rPr>
                <w:rFonts w:hint="eastAsia" w:ascii="宋体" w:hAnsi="宋体" w:cs="宋体"/>
                <w:color w:val="000000"/>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1340" w:type="dxa"/>
            <w:noWrap w:val="0"/>
            <w:vAlign w:val="center"/>
          </w:tcPr>
          <w:p>
            <w:pPr>
              <w:spacing w:line="360" w:lineRule="auto"/>
              <w:jc w:val="center"/>
              <w:rPr>
                <w:rFonts w:hint="eastAsia" w:ascii="宋体" w:hAnsi="宋体" w:cs="宋体"/>
                <w:color w:val="000000"/>
                <w:sz w:val="22"/>
                <w:highlight w:val="none"/>
              </w:rPr>
            </w:pPr>
          </w:p>
        </w:tc>
        <w:tc>
          <w:tcPr>
            <w:tcW w:w="1326" w:type="dxa"/>
            <w:noWrap w:val="0"/>
            <w:vAlign w:val="center"/>
          </w:tcPr>
          <w:p>
            <w:pPr>
              <w:spacing w:line="360" w:lineRule="auto"/>
              <w:jc w:val="center"/>
              <w:rPr>
                <w:rFonts w:hint="eastAsia" w:ascii="宋体" w:hAnsi="宋体" w:cs="宋体"/>
                <w:color w:val="000000"/>
                <w:sz w:val="22"/>
                <w:highlight w:val="none"/>
              </w:rPr>
            </w:pPr>
          </w:p>
        </w:tc>
        <w:tc>
          <w:tcPr>
            <w:tcW w:w="1825" w:type="dxa"/>
            <w:noWrap w:val="0"/>
            <w:vAlign w:val="top"/>
          </w:tcPr>
          <w:p>
            <w:pPr>
              <w:spacing w:line="360" w:lineRule="auto"/>
              <w:jc w:val="center"/>
              <w:rPr>
                <w:rFonts w:hint="eastAsia" w:ascii="宋体" w:hAnsi="宋体" w:cs="宋体"/>
                <w:color w:val="000000"/>
                <w:sz w:val="22"/>
                <w:highlight w:val="none"/>
              </w:rPr>
            </w:pPr>
          </w:p>
        </w:tc>
        <w:tc>
          <w:tcPr>
            <w:tcW w:w="1147" w:type="dxa"/>
            <w:noWrap w:val="0"/>
            <w:vAlign w:val="center"/>
          </w:tcPr>
          <w:p>
            <w:pPr>
              <w:spacing w:line="360" w:lineRule="auto"/>
              <w:jc w:val="center"/>
              <w:rPr>
                <w:rFonts w:hint="eastAsia" w:ascii="宋体" w:hAnsi="宋体" w:cs="宋体"/>
                <w:color w:val="000000"/>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1340" w:type="dxa"/>
            <w:noWrap w:val="0"/>
            <w:vAlign w:val="center"/>
          </w:tcPr>
          <w:p>
            <w:pPr>
              <w:spacing w:line="360" w:lineRule="auto"/>
              <w:jc w:val="center"/>
              <w:rPr>
                <w:rFonts w:hint="eastAsia" w:ascii="宋体" w:hAnsi="宋体" w:cs="宋体"/>
                <w:color w:val="000000"/>
                <w:sz w:val="22"/>
                <w:highlight w:val="none"/>
              </w:rPr>
            </w:pPr>
          </w:p>
        </w:tc>
        <w:tc>
          <w:tcPr>
            <w:tcW w:w="1326" w:type="dxa"/>
            <w:noWrap w:val="0"/>
            <w:vAlign w:val="center"/>
          </w:tcPr>
          <w:p>
            <w:pPr>
              <w:spacing w:line="360" w:lineRule="auto"/>
              <w:jc w:val="center"/>
              <w:rPr>
                <w:rFonts w:hint="eastAsia" w:ascii="宋体" w:hAnsi="宋体" w:cs="宋体"/>
                <w:color w:val="000000"/>
                <w:sz w:val="22"/>
                <w:highlight w:val="none"/>
              </w:rPr>
            </w:pPr>
          </w:p>
        </w:tc>
        <w:tc>
          <w:tcPr>
            <w:tcW w:w="1825" w:type="dxa"/>
            <w:noWrap w:val="0"/>
            <w:vAlign w:val="top"/>
          </w:tcPr>
          <w:p>
            <w:pPr>
              <w:spacing w:line="360" w:lineRule="auto"/>
              <w:jc w:val="center"/>
              <w:rPr>
                <w:rFonts w:hint="eastAsia" w:ascii="宋体" w:hAnsi="宋体" w:cs="宋体"/>
                <w:color w:val="000000"/>
                <w:sz w:val="22"/>
                <w:highlight w:val="none"/>
              </w:rPr>
            </w:pPr>
          </w:p>
        </w:tc>
        <w:tc>
          <w:tcPr>
            <w:tcW w:w="1147" w:type="dxa"/>
            <w:noWrap w:val="0"/>
            <w:vAlign w:val="center"/>
          </w:tcPr>
          <w:p>
            <w:pPr>
              <w:spacing w:line="360" w:lineRule="auto"/>
              <w:jc w:val="center"/>
              <w:rPr>
                <w:rFonts w:hint="eastAsia" w:ascii="宋体" w:hAnsi="宋体" w:cs="宋体"/>
                <w:color w:val="000000"/>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958"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767" w:type="dxa"/>
            <w:noWrap w:val="0"/>
            <w:vAlign w:val="center"/>
          </w:tcPr>
          <w:p>
            <w:pPr>
              <w:spacing w:line="360" w:lineRule="auto"/>
              <w:jc w:val="center"/>
              <w:rPr>
                <w:rFonts w:hint="eastAsia" w:ascii="宋体" w:hAnsi="宋体" w:cs="宋体"/>
                <w:color w:val="000000"/>
                <w:sz w:val="22"/>
                <w:highlight w:val="none"/>
              </w:rPr>
            </w:pPr>
          </w:p>
        </w:tc>
        <w:tc>
          <w:tcPr>
            <w:tcW w:w="1340" w:type="dxa"/>
            <w:noWrap w:val="0"/>
            <w:vAlign w:val="center"/>
          </w:tcPr>
          <w:p>
            <w:pPr>
              <w:spacing w:line="360" w:lineRule="auto"/>
              <w:jc w:val="center"/>
              <w:rPr>
                <w:rFonts w:hint="eastAsia" w:ascii="宋体" w:hAnsi="宋体" w:cs="宋体"/>
                <w:color w:val="000000"/>
                <w:sz w:val="22"/>
                <w:highlight w:val="none"/>
              </w:rPr>
            </w:pPr>
          </w:p>
        </w:tc>
        <w:tc>
          <w:tcPr>
            <w:tcW w:w="1326" w:type="dxa"/>
            <w:noWrap w:val="0"/>
            <w:vAlign w:val="center"/>
          </w:tcPr>
          <w:p>
            <w:pPr>
              <w:spacing w:line="360" w:lineRule="auto"/>
              <w:jc w:val="center"/>
              <w:rPr>
                <w:rFonts w:hint="eastAsia" w:ascii="宋体" w:hAnsi="宋体" w:cs="宋体"/>
                <w:color w:val="000000"/>
                <w:sz w:val="22"/>
                <w:highlight w:val="none"/>
              </w:rPr>
            </w:pPr>
          </w:p>
        </w:tc>
        <w:tc>
          <w:tcPr>
            <w:tcW w:w="1825" w:type="dxa"/>
            <w:noWrap w:val="0"/>
            <w:vAlign w:val="top"/>
          </w:tcPr>
          <w:p>
            <w:pPr>
              <w:spacing w:line="360" w:lineRule="auto"/>
              <w:jc w:val="center"/>
              <w:rPr>
                <w:rFonts w:hint="eastAsia" w:ascii="宋体" w:hAnsi="宋体" w:cs="宋体"/>
                <w:color w:val="000000"/>
                <w:sz w:val="22"/>
                <w:highlight w:val="none"/>
              </w:rPr>
            </w:pPr>
          </w:p>
        </w:tc>
        <w:tc>
          <w:tcPr>
            <w:tcW w:w="1147" w:type="dxa"/>
            <w:noWrap w:val="0"/>
            <w:vAlign w:val="center"/>
          </w:tcPr>
          <w:p>
            <w:pPr>
              <w:spacing w:line="360" w:lineRule="auto"/>
              <w:jc w:val="center"/>
              <w:rPr>
                <w:rFonts w:hint="eastAsia" w:ascii="宋体" w:hAnsi="宋体" w:cs="宋体"/>
                <w:color w:val="000000"/>
                <w:sz w:val="2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0" w:hRule="exact"/>
          <w:jc w:val="center"/>
        </w:trPr>
        <w:tc>
          <w:tcPr>
            <w:tcW w:w="766" w:type="dxa"/>
            <w:tcBorders>
              <w:bottom w:val="single" w:color="auto" w:sz="12" w:space="0"/>
            </w:tcBorders>
            <w:noWrap w:val="0"/>
            <w:vAlign w:val="center"/>
          </w:tcPr>
          <w:p>
            <w:pPr>
              <w:spacing w:line="360" w:lineRule="auto"/>
              <w:jc w:val="center"/>
              <w:rPr>
                <w:rFonts w:hint="eastAsia" w:ascii="宋体" w:hAnsi="宋体" w:cs="宋体"/>
                <w:color w:val="000000"/>
                <w:sz w:val="22"/>
                <w:highlight w:val="none"/>
              </w:rPr>
            </w:pPr>
          </w:p>
        </w:tc>
        <w:tc>
          <w:tcPr>
            <w:tcW w:w="958" w:type="dxa"/>
            <w:tcBorders>
              <w:bottom w:val="single" w:color="auto" w:sz="12" w:space="0"/>
            </w:tcBorders>
            <w:noWrap w:val="0"/>
            <w:vAlign w:val="center"/>
          </w:tcPr>
          <w:p>
            <w:pPr>
              <w:spacing w:line="360" w:lineRule="auto"/>
              <w:jc w:val="center"/>
              <w:rPr>
                <w:rFonts w:hint="eastAsia" w:ascii="宋体" w:hAnsi="宋体" w:cs="宋体"/>
                <w:color w:val="000000"/>
                <w:sz w:val="22"/>
                <w:highlight w:val="none"/>
              </w:rPr>
            </w:pPr>
          </w:p>
        </w:tc>
        <w:tc>
          <w:tcPr>
            <w:tcW w:w="958" w:type="dxa"/>
            <w:tcBorders>
              <w:bottom w:val="single" w:color="auto" w:sz="12" w:space="0"/>
            </w:tcBorders>
            <w:noWrap w:val="0"/>
            <w:vAlign w:val="center"/>
          </w:tcPr>
          <w:p>
            <w:pPr>
              <w:spacing w:line="360" w:lineRule="auto"/>
              <w:jc w:val="center"/>
              <w:rPr>
                <w:rFonts w:hint="eastAsia" w:ascii="宋体" w:hAnsi="宋体" w:cs="宋体"/>
                <w:color w:val="000000"/>
                <w:sz w:val="22"/>
                <w:highlight w:val="none"/>
              </w:rPr>
            </w:pPr>
          </w:p>
        </w:tc>
        <w:tc>
          <w:tcPr>
            <w:tcW w:w="767" w:type="dxa"/>
            <w:tcBorders>
              <w:bottom w:val="single" w:color="auto" w:sz="12" w:space="0"/>
            </w:tcBorders>
            <w:noWrap w:val="0"/>
            <w:vAlign w:val="center"/>
          </w:tcPr>
          <w:p>
            <w:pPr>
              <w:spacing w:line="360" w:lineRule="auto"/>
              <w:jc w:val="center"/>
              <w:rPr>
                <w:rFonts w:hint="eastAsia" w:ascii="宋体" w:hAnsi="宋体" w:cs="宋体"/>
                <w:color w:val="000000"/>
                <w:sz w:val="22"/>
                <w:highlight w:val="none"/>
              </w:rPr>
            </w:pPr>
          </w:p>
        </w:tc>
        <w:tc>
          <w:tcPr>
            <w:tcW w:w="767" w:type="dxa"/>
            <w:tcBorders>
              <w:bottom w:val="single" w:color="auto" w:sz="12" w:space="0"/>
            </w:tcBorders>
            <w:noWrap w:val="0"/>
            <w:vAlign w:val="center"/>
          </w:tcPr>
          <w:p>
            <w:pPr>
              <w:spacing w:line="360" w:lineRule="auto"/>
              <w:jc w:val="center"/>
              <w:rPr>
                <w:rFonts w:hint="eastAsia" w:ascii="宋体" w:hAnsi="宋体" w:cs="宋体"/>
                <w:color w:val="000000"/>
                <w:sz w:val="22"/>
                <w:highlight w:val="none"/>
              </w:rPr>
            </w:pPr>
          </w:p>
        </w:tc>
        <w:tc>
          <w:tcPr>
            <w:tcW w:w="1340" w:type="dxa"/>
            <w:tcBorders>
              <w:bottom w:val="single" w:color="auto" w:sz="12" w:space="0"/>
            </w:tcBorders>
            <w:noWrap w:val="0"/>
            <w:vAlign w:val="center"/>
          </w:tcPr>
          <w:p>
            <w:pPr>
              <w:spacing w:line="360" w:lineRule="auto"/>
              <w:jc w:val="center"/>
              <w:rPr>
                <w:rFonts w:hint="eastAsia" w:ascii="宋体" w:hAnsi="宋体" w:cs="宋体"/>
                <w:color w:val="000000"/>
                <w:sz w:val="22"/>
                <w:highlight w:val="none"/>
              </w:rPr>
            </w:pPr>
          </w:p>
        </w:tc>
        <w:tc>
          <w:tcPr>
            <w:tcW w:w="1326" w:type="dxa"/>
            <w:tcBorders>
              <w:bottom w:val="single" w:color="auto" w:sz="12" w:space="0"/>
            </w:tcBorders>
            <w:noWrap w:val="0"/>
            <w:vAlign w:val="center"/>
          </w:tcPr>
          <w:p>
            <w:pPr>
              <w:spacing w:line="360" w:lineRule="auto"/>
              <w:jc w:val="center"/>
              <w:rPr>
                <w:rFonts w:hint="eastAsia" w:ascii="宋体" w:hAnsi="宋体" w:cs="宋体"/>
                <w:color w:val="000000"/>
                <w:sz w:val="22"/>
                <w:highlight w:val="none"/>
              </w:rPr>
            </w:pPr>
          </w:p>
        </w:tc>
        <w:tc>
          <w:tcPr>
            <w:tcW w:w="1825" w:type="dxa"/>
            <w:tcBorders>
              <w:bottom w:val="single" w:color="auto" w:sz="12" w:space="0"/>
            </w:tcBorders>
            <w:noWrap w:val="0"/>
            <w:vAlign w:val="top"/>
          </w:tcPr>
          <w:p>
            <w:pPr>
              <w:spacing w:line="360" w:lineRule="auto"/>
              <w:jc w:val="center"/>
              <w:rPr>
                <w:rFonts w:hint="eastAsia" w:ascii="宋体" w:hAnsi="宋体" w:cs="宋体"/>
                <w:color w:val="000000"/>
                <w:sz w:val="22"/>
                <w:highlight w:val="none"/>
              </w:rPr>
            </w:pPr>
          </w:p>
        </w:tc>
        <w:tc>
          <w:tcPr>
            <w:tcW w:w="1147" w:type="dxa"/>
            <w:tcBorders>
              <w:bottom w:val="single" w:color="auto" w:sz="12" w:space="0"/>
            </w:tcBorders>
            <w:noWrap w:val="0"/>
            <w:vAlign w:val="center"/>
          </w:tcPr>
          <w:p>
            <w:pPr>
              <w:spacing w:line="360" w:lineRule="auto"/>
              <w:jc w:val="center"/>
              <w:rPr>
                <w:rFonts w:hint="eastAsia" w:ascii="宋体" w:hAnsi="宋体" w:cs="宋体"/>
                <w:color w:val="000000"/>
                <w:sz w:val="22"/>
                <w:highlight w:val="none"/>
              </w:rPr>
            </w:pPr>
          </w:p>
        </w:tc>
      </w:tr>
    </w:tbl>
    <w:p>
      <w:pPr>
        <w:spacing w:line="380" w:lineRule="exact"/>
        <w:rPr>
          <w:rFonts w:hint="eastAsia" w:ascii="宋体" w:hAnsi="宋体" w:cs="宋体"/>
          <w:color w:val="000000"/>
          <w:sz w:val="22"/>
          <w:szCs w:val="22"/>
          <w:highlight w:val="none"/>
        </w:rPr>
      </w:pPr>
      <w:r>
        <w:rPr>
          <w:rFonts w:hint="eastAsia" w:ascii="宋体" w:hAnsi="宋体" w:cs="宋体"/>
          <w:b/>
          <w:color w:val="000000"/>
          <w:sz w:val="22"/>
          <w:szCs w:val="22"/>
          <w:highlight w:val="none"/>
        </w:rPr>
        <w:t>注：</w:t>
      </w:r>
      <w:r>
        <w:rPr>
          <w:rFonts w:hint="eastAsia" w:ascii="宋体" w:hAnsi="宋体" w:cs="宋体"/>
          <w:color w:val="000000"/>
          <w:sz w:val="22"/>
          <w:szCs w:val="22"/>
          <w:highlight w:val="none"/>
        </w:rPr>
        <w:t>本表中提供的人员名单应与实际投入项目的人员一致，如有变更应事先与采购人沟通，经采购人同意后才可变更人员，供应商不可擅自变更人员。</w:t>
      </w:r>
    </w:p>
    <w:p>
      <w:pPr>
        <w:spacing w:line="380" w:lineRule="exact"/>
        <w:ind w:firstLine="4400" w:firstLineChars="2000"/>
        <w:rPr>
          <w:rFonts w:hint="eastAsia" w:ascii="宋体" w:hAnsi="宋体" w:cs="宋体"/>
          <w:color w:val="000000"/>
          <w:sz w:val="22"/>
          <w:szCs w:val="22"/>
          <w:highlight w:val="none"/>
        </w:rPr>
      </w:pPr>
    </w:p>
    <w:p>
      <w:pPr>
        <w:adjustRightInd w:val="0"/>
        <w:snapToGrid w:val="0"/>
        <w:spacing w:line="360" w:lineRule="auto"/>
        <w:rPr>
          <w:rFonts w:hint="eastAsia" w:ascii="宋体" w:hAnsi="宋体" w:cs="Arial"/>
          <w:color w:val="000000"/>
          <w:sz w:val="24"/>
          <w:highlight w:val="none"/>
        </w:rPr>
      </w:pPr>
    </w:p>
    <w:p>
      <w:pPr>
        <w:adjustRightInd w:val="0"/>
        <w:snapToGrid w:val="0"/>
        <w:spacing w:line="360" w:lineRule="auto"/>
        <w:rPr>
          <w:rFonts w:hint="eastAsia" w:ascii="宋体" w:hAnsi="宋体" w:cs="Arial"/>
          <w:color w:val="000000"/>
          <w:sz w:val="24"/>
          <w:highlight w:val="none"/>
        </w:rPr>
      </w:pPr>
      <w:r>
        <w:rPr>
          <w:rFonts w:hint="eastAsia" w:ascii="宋体" w:hAnsi="宋体" w:cs="Arial"/>
          <w:color w:val="000000"/>
          <w:sz w:val="24"/>
          <w:highlight w:val="none"/>
        </w:rPr>
        <w:t>投标供应商(盖公章)：</w:t>
      </w:r>
    </w:p>
    <w:p>
      <w:pPr>
        <w:adjustRightInd w:val="0"/>
        <w:snapToGrid w:val="0"/>
        <w:spacing w:line="360" w:lineRule="auto"/>
        <w:rPr>
          <w:rFonts w:hint="eastAsia" w:ascii="宋体" w:hAnsi="宋体" w:cs="Arial"/>
          <w:color w:val="000000"/>
          <w:sz w:val="24"/>
          <w:highlight w:val="none"/>
        </w:rPr>
      </w:pPr>
      <w:r>
        <w:rPr>
          <w:rFonts w:hint="eastAsia" w:ascii="宋体" w:hAnsi="宋体" w:cs="Arial"/>
          <w:color w:val="000000"/>
          <w:sz w:val="24"/>
          <w:highlight w:val="none"/>
        </w:rPr>
        <w:t>法定代表人或全权代表(签字或盖章)：</w:t>
      </w:r>
    </w:p>
    <w:p>
      <w:pPr>
        <w:adjustRightInd w:val="0"/>
        <w:snapToGrid w:val="0"/>
        <w:spacing w:line="360" w:lineRule="auto"/>
        <w:rPr>
          <w:rFonts w:hint="eastAsia" w:ascii="宋体" w:hAnsi="宋体" w:cs="Arial"/>
          <w:color w:val="000000"/>
          <w:sz w:val="24"/>
          <w:highlight w:val="none"/>
        </w:rPr>
      </w:pPr>
      <w:r>
        <w:rPr>
          <w:rFonts w:ascii="宋体" w:hAnsi="宋体" w:cs="Arial"/>
          <w:color w:val="000000"/>
          <w:sz w:val="24"/>
          <w:highlight w:val="none"/>
        </w:rPr>
        <w:t>日</w:t>
      </w:r>
      <w:r>
        <w:rPr>
          <w:rFonts w:hint="eastAsia" w:ascii="宋体" w:hAnsi="宋体" w:cs="Arial"/>
          <w:color w:val="000000"/>
          <w:sz w:val="24"/>
          <w:highlight w:val="none"/>
        </w:rPr>
        <w:t xml:space="preserve">     </w:t>
      </w:r>
      <w:r>
        <w:rPr>
          <w:rFonts w:ascii="宋体" w:hAnsi="宋体" w:cs="Arial"/>
          <w:color w:val="000000"/>
          <w:sz w:val="24"/>
          <w:highlight w:val="none"/>
        </w:rPr>
        <w:t>期</w:t>
      </w:r>
      <w:r>
        <w:rPr>
          <w:rFonts w:hint="eastAsia" w:ascii="宋体" w:hAnsi="宋体" w:cs="Arial"/>
          <w:color w:val="000000"/>
          <w:sz w:val="24"/>
          <w:highlight w:val="none"/>
        </w:rPr>
        <w:t>：</w:t>
      </w:r>
    </w:p>
    <w:p>
      <w:pPr>
        <w:pStyle w:val="48"/>
        <w:widowControl w:val="0"/>
        <w:spacing w:before="0" w:beforeAutospacing="0" w:after="0" w:afterAutospacing="0" w:line="400" w:lineRule="exact"/>
        <w:ind w:left="246" w:hanging="28"/>
        <w:jc w:val="center"/>
        <w:rPr>
          <w:rFonts w:ascii="Times New Roman" w:hAnsi="Times New Roman"/>
          <w:color w:val="auto"/>
          <w:kern w:val="1"/>
          <w:sz w:val="32"/>
          <w:highlight w:val="none"/>
        </w:rPr>
      </w:pPr>
    </w:p>
    <w:p>
      <w:pPr>
        <w:pStyle w:val="48"/>
        <w:widowControl w:val="0"/>
        <w:spacing w:before="0" w:beforeAutospacing="0" w:after="0" w:afterAutospacing="0" w:line="400" w:lineRule="exact"/>
        <w:jc w:val="both"/>
        <w:rPr>
          <w:rFonts w:ascii="Times New Roman" w:hAnsi="Times New Roman"/>
          <w:color w:val="auto"/>
          <w:kern w:val="1"/>
          <w:sz w:val="32"/>
          <w:highlight w:val="none"/>
        </w:rPr>
      </w:pPr>
    </w:p>
    <w:p>
      <w:pPr>
        <w:pStyle w:val="48"/>
        <w:widowControl w:val="0"/>
        <w:spacing w:before="0" w:beforeAutospacing="0" w:after="0" w:afterAutospacing="0" w:line="400" w:lineRule="exact"/>
        <w:jc w:val="both"/>
        <w:rPr>
          <w:rFonts w:ascii="Times New Roman" w:hAnsi="Times New Roman"/>
          <w:color w:val="auto"/>
          <w:kern w:val="1"/>
          <w:sz w:val="32"/>
          <w:highlight w:val="none"/>
        </w:rPr>
      </w:pPr>
    </w:p>
    <w:p>
      <w:pPr>
        <w:pStyle w:val="48"/>
        <w:widowControl w:val="0"/>
        <w:spacing w:before="0" w:beforeAutospacing="0" w:after="0" w:afterAutospacing="0" w:line="400" w:lineRule="exact"/>
        <w:ind w:left="246" w:hanging="28"/>
        <w:jc w:val="center"/>
        <w:rPr>
          <w:rFonts w:ascii="Times New Roman" w:hAnsi="Times New Roman"/>
          <w:color w:val="auto"/>
          <w:kern w:val="1"/>
          <w:sz w:val="32"/>
          <w:highlight w:val="none"/>
        </w:rPr>
      </w:pPr>
      <w:r>
        <w:rPr>
          <w:rFonts w:ascii="Times New Roman" w:hAnsi="Times New Roman"/>
          <w:color w:val="auto"/>
          <w:kern w:val="1"/>
          <w:sz w:val="32"/>
          <w:highlight w:val="none"/>
        </w:rPr>
        <w:t>义乌市政府采购项目投标承诺书</w:t>
      </w:r>
    </w:p>
    <w:p>
      <w:pPr>
        <w:pStyle w:val="48"/>
        <w:widowControl w:val="0"/>
        <w:spacing w:before="0" w:beforeAutospacing="0" w:after="0" w:afterAutospacing="0" w:line="400" w:lineRule="exact"/>
        <w:ind w:left="246" w:hanging="28"/>
        <w:jc w:val="center"/>
        <w:rPr>
          <w:rFonts w:ascii="Times New Roman" w:hAnsi="Times New Roman"/>
          <w:color w:val="auto"/>
          <w:kern w:val="1"/>
          <w:sz w:val="32"/>
          <w:highlight w:val="none"/>
        </w:rPr>
      </w:pPr>
    </w:p>
    <w:p>
      <w:pPr>
        <w:spacing w:line="320" w:lineRule="exact"/>
        <w:ind w:firstLine="420"/>
        <w:rPr>
          <w:rFonts w:ascii="Times New Roman" w:hAnsi="Times New Roman"/>
          <w:color w:val="auto"/>
          <w:kern w:val="1"/>
          <w:highlight w:val="none"/>
        </w:rPr>
      </w:pPr>
      <w:r>
        <w:rPr>
          <w:rFonts w:ascii="Times New Roman" w:hAnsi="Times New Roman"/>
          <w:color w:val="auto"/>
          <w:kern w:val="1"/>
          <w:highlight w:val="none"/>
        </w:rPr>
        <w:t>1、我单位已认真阅读了本项目的采购公告、招标文件、技术要求、图纸、招标补充（答疑）文件及相关资料，对其全部内容和要求有实质性了解，并对这些内容表示理解且无任何异议，接受其全部内容及要求，承诺本单位的投标文件已经完全响应并符合其全部条件和要求，愿意参加投标并愿意中标；</w:t>
      </w:r>
    </w:p>
    <w:p>
      <w:pPr>
        <w:pStyle w:val="48"/>
        <w:spacing w:before="0" w:beforeAutospacing="0" w:after="0" w:afterAutospacing="0" w:line="320" w:lineRule="exact"/>
        <w:ind w:firstLine="420"/>
        <w:rPr>
          <w:rFonts w:ascii="Times New Roman" w:hAnsi="Times New Roman"/>
          <w:color w:val="auto"/>
          <w:sz w:val="21"/>
          <w:highlight w:val="none"/>
        </w:rPr>
      </w:pPr>
      <w:r>
        <w:rPr>
          <w:rFonts w:ascii="Times New Roman" w:hAnsi="Times New Roman"/>
          <w:color w:val="auto"/>
          <w:sz w:val="21"/>
          <w:highlight w:val="none"/>
        </w:rPr>
        <w:t>2、自愿接受义乌市财政局（以下简称财政局）的管理，并严格遵守财政局制定的招投标管理制度、规范和纪律。</w:t>
      </w:r>
    </w:p>
    <w:p>
      <w:pPr>
        <w:spacing w:line="320" w:lineRule="exact"/>
        <w:ind w:left="-34" w:firstLine="420"/>
        <w:rPr>
          <w:rFonts w:ascii="Times New Roman" w:hAnsi="Times New Roman"/>
          <w:color w:val="auto"/>
          <w:kern w:val="1"/>
          <w:highlight w:val="none"/>
        </w:rPr>
      </w:pPr>
      <w:r>
        <w:rPr>
          <w:rFonts w:ascii="Times New Roman" w:hAnsi="Times New Roman"/>
          <w:color w:val="auto"/>
          <w:kern w:val="1"/>
          <w:highlight w:val="none"/>
        </w:rPr>
        <w:t>3、我单位承诺参与本次投标的资格符合《中华人民共和国政府采购法》的规定，并承诺近三年内，在经营活动中没有重大违法记录。我单位承诺财务状况良好，并已依法按时缴纳税收和社会保障资金。我单位承诺具备履行本项目合同所必需的设备和专业技术能力。</w:t>
      </w:r>
    </w:p>
    <w:p>
      <w:pPr>
        <w:spacing w:line="320" w:lineRule="exact"/>
        <w:ind w:firstLine="420"/>
        <w:rPr>
          <w:rFonts w:ascii="Times New Roman" w:hAnsi="Times New Roman"/>
          <w:color w:val="auto"/>
          <w:kern w:val="1"/>
          <w:highlight w:val="none"/>
        </w:rPr>
      </w:pPr>
      <w:r>
        <w:rPr>
          <w:rFonts w:ascii="Times New Roman" w:hAnsi="Times New Roman"/>
          <w:color w:val="auto"/>
          <w:kern w:val="1"/>
          <w:highlight w:val="none"/>
        </w:rPr>
        <w:t>4、积极主动配合财政局的调查。及时、如实、全面地回答财政局提出的问题，并在调查笔录中签字确认。如拒绝签字确认的，则视为我单位及有关工作人员认可调查笔录中的全部内容，并对最终的调查结果无任何异议，且自愿放弃一切救济途径。</w:t>
      </w:r>
    </w:p>
    <w:p>
      <w:pPr>
        <w:spacing w:line="320" w:lineRule="exact"/>
        <w:ind w:firstLine="420"/>
        <w:rPr>
          <w:rFonts w:ascii="Times New Roman" w:hAnsi="Times New Roman"/>
          <w:color w:val="auto"/>
          <w:kern w:val="1"/>
          <w:highlight w:val="none"/>
        </w:rPr>
      </w:pPr>
      <w:r>
        <w:rPr>
          <w:rFonts w:ascii="Times New Roman" w:hAnsi="Times New Roman"/>
          <w:color w:val="auto"/>
          <w:kern w:val="1"/>
          <w:highlight w:val="none"/>
        </w:rPr>
        <w:t>5、不转让、出借、涂改、伪造资质（资格）证书或者以其他方式允许其他单位（个人）以我单位（本人）名义承接业务。</w:t>
      </w:r>
    </w:p>
    <w:p>
      <w:pPr>
        <w:spacing w:line="320" w:lineRule="exact"/>
        <w:ind w:left="-34" w:firstLine="420"/>
        <w:rPr>
          <w:rFonts w:ascii="Times New Roman" w:hAnsi="Times New Roman"/>
          <w:color w:val="auto"/>
          <w:kern w:val="1"/>
          <w:highlight w:val="none"/>
        </w:rPr>
      </w:pPr>
      <w:r>
        <w:rPr>
          <w:rFonts w:ascii="Times New Roman" w:hAnsi="Times New Roman"/>
          <w:color w:val="auto"/>
          <w:kern w:val="1"/>
          <w:highlight w:val="none"/>
        </w:rPr>
        <w:t>6、不与采购人或者其他供应商相互串通投标，围标，不以行贿等不正当手段谋取中标。</w:t>
      </w:r>
    </w:p>
    <w:p>
      <w:pPr>
        <w:spacing w:line="320" w:lineRule="exact"/>
        <w:ind w:left="-34" w:firstLine="420"/>
        <w:rPr>
          <w:rFonts w:ascii="Times New Roman" w:hAnsi="Times New Roman"/>
          <w:color w:val="auto"/>
          <w:kern w:val="1"/>
          <w:highlight w:val="none"/>
        </w:rPr>
      </w:pPr>
      <w:r>
        <w:rPr>
          <w:rFonts w:ascii="Times New Roman" w:hAnsi="Times New Roman"/>
          <w:color w:val="auto"/>
          <w:kern w:val="1"/>
          <w:highlight w:val="none"/>
        </w:rPr>
        <w:t>7、在备案、招标、投标、开标、评标、询标、中标、签订合同、合同备案等招投标预备和进行的全过程中提供的资料均真实、有效，不弄虚作假。</w:t>
      </w:r>
    </w:p>
    <w:p>
      <w:pPr>
        <w:spacing w:line="320" w:lineRule="exact"/>
        <w:ind w:firstLine="420"/>
        <w:rPr>
          <w:rFonts w:ascii="Times New Roman" w:hAnsi="Times New Roman"/>
          <w:color w:val="auto"/>
          <w:kern w:val="1"/>
          <w:highlight w:val="none"/>
        </w:rPr>
      </w:pPr>
      <w:r>
        <w:rPr>
          <w:rFonts w:ascii="Times New Roman" w:hAnsi="Times New Roman"/>
          <w:color w:val="auto"/>
          <w:kern w:val="1"/>
          <w:highlight w:val="none"/>
        </w:rPr>
        <w:t xml:space="preserve">8、我方已详细审核全部招标文件，包括修改文件(如果有的话)，及有关附件，我方同意放弃提出含糊不清或误解的权力。 </w:t>
      </w:r>
    </w:p>
    <w:p>
      <w:pPr>
        <w:spacing w:line="320" w:lineRule="exact"/>
        <w:ind w:firstLine="420"/>
        <w:rPr>
          <w:rFonts w:ascii="Times New Roman" w:hAnsi="Times New Roman"/>
          <w:color w:val="auto"/>
          <w:kern w:val="1"/>
          <w:highlight w:val="none"/>
        </w:rPr>
      </w:pPr>
      <w:r>
        <w:rPr>
          <w:rFonts w:ascii="Times New Roman" w:hAnsi="Times New Roman"/>
          <w:color w:val="auto"/>
          <w:kern w:val="1"/>
          <w:highlight w:val="none"/>
        </w:rPr>
        <w:t>9、我方同意所递交的投标文件在招标期内有效，在此期间内我方有可能中标，我方将受此约束。</w:t>
      </w:r>
    </w:p>
    <w:p>
      <w:pPr>
        <w:spacing w:line="320" w:lineRule="exact"/>
        <w:ind w:firstLine="420"/>
        <w:rPr>
          <w:rFonts w:ascii="Times New Roman" w:hAnsi="Times New Roman"/>
          <w:color w:val="auto"/>
          <w:kern w:val="1"/>
          <w:highlight w:val="none"/>
        </w:rPr>
      </w:pPr>
      <w:r>
        <w:rPr>
          <w:rFonts w:ascii="Times New Roman" w:hAnsi="Times New Roman"/>
          <w:color w:val="auto"/>
          <w:kern w:val="1"/>
          <w:highlight w:val="none"/>
        </w:rPr>
        <w:t xml:space="preserve">10、我方相信贵方的招标结果是公正、合法的，无论我方中标还是落标，我方将接受这一结果。 </w:t>
      </w:r>
    </w:p>
    <w:p>
      <w:pPr>
        <w:spacing w:line="320" w:lineRule="exact"/>
        <w:ind w:firstLine="420"/>
        <w:rPr>
          <w:rFonts w:ascii="Times New Roman" w:hAnsi="Times New Roman"/>
          <w:color w:val="auto"/>
          <w:kern w:val="1"/>
          <w:highlight w:val="none"/>
        </w:rPr>
      </w:pPr>
      <w:r>
        <w:rPr>
          <w:rFonts w:ascii="Times New Roman" w:hAnsi="Times New Roman"/>
          <w:color w:val="auto"/>
          <w:kern w:val="1"/>
          <w:highlight w:val="none"/>
        </w:rPr>
        <w:t>11、一旦我方中标，我方将严格依照招标文件中的相关规定与采购人签订合同。</w:t>
      </w:r>
    </w:p>
    <w:p>
      <w:pPr>
        <w:spacing w:line="320" w:lineRule="exact"/>
        <w:ind w:left="-34" w:firstLine="420"/>
        <w:rPr>
          <w:rFonts w:ascii="Times New Roman" w:hAnsi="Times New Roman"/>
          <w:color w:val="auto"/>
          <w:kern w:val="1"/>
          <w:highlight w:val="none"/>
        </w:rPr>
      </w:pPr>
      <w:r>
        <w:rPr>
          <w:rFonts w:ascii="Times New Roman" w:hAnsi="Times New Roman"/>
          <w:color w:val="auto"/>
          <w:kern w:val="1"/>
          <w:highlight w:val="none"/>
        </w:rPr>
        <w:t>12、不低于企业成本价投标，不恶意过高报价，不扰乱招投标的正常秩序。</w:t>
      </w:r>
    </w:p>
    <w:p>
      <w:pPr>
        <w:spacing w:line="320" w:lineRule="exact"/>
        <w:ind w:left="-34" w:firstLine="420"/>
        <w:rPr>
          <w:rFonts w:ascii="Times New Roman" w:hAnsi="Times New Roman"/>
          <w:color w:val="auto"/>
          <w:kern w:val="1"/>
          <w:highlight w:val="none"/>
        </w:rPr>
      </w:pPr>
      <w:r>
        <w:rPr>
          <w:rFonts w:ascii="Times New Roman" w:hAnsi="Times New Roman"/>
          <w:color w:val="auto"/>
          <w:kern w:val="1"/>
          <w:highlight w:val="none"/>
        </w:rPr>
        <w:t>13、严格遵守开标会议纪律，不在开标会场吵闹、滋事，服从工作人员指挥。</w:t>
      </w:r>
    </w:p>
    <w:p>
      <w:pPr>
        <w:spacing w:line="320" w:lineRule="exact"/>
        <w:ind w:firstLine="420"/>
        <w:rPr>
          <w:rFonts w:ascii="Times New Roman" w:hAnsi="Times New Roman"/>
          <w:color w:val="auto"/>
          <w:kern w:val="1"/>
          <w:highlight w:val="none"/>
        </w:rPr>
      </w:pPr>
      <w:r>
        <w:rPr>
          <w:rFonts w:ascii="Times New Roman" w:hAnsi="Times New Roman"/>
          <w:color w:val="auto"/>
          <w:kern w:val="1"/>
          <w:highlight w:val="none"/>
        </w:rPr>
        <w:t>14、按照法律法规和本项目招标文件规定的程序和方式进行异议和投诉，不越级投诉，不无理投诉。如捏造事实、伪造材料或者以非法手段取得材料进行投诉，给他人造成损失的，依法承担赔偿责任。</w:t>
      </w:r>
    </w:p>
    <w:p>
      <w:pPr>
        <w:spacing w:line="320" w:lineRule="exact"/>
        <w:ind w:firstLine="420"/>
        <w:rPr>
          <w:rFonts w:ascii="Times New Roman" w:hAnsi="Times New Roman"/>
          <w:color w:val="auto"/>
          <w:kern w:val="1"/>
          <w:highlight w:val="none"/>
        </w:rPr>
      </w:pPr>
      <w:r>
        <w:rPr>
          <w:rFonts w:ascii="Times New Roman" w:hAnsi="Times New Roman"/>
          <w:color w:val="auto"/>
          <w:kern w:val="1"/>
          <w:highlight w:val="none"/>
        </w:rPr>
        <w:t>上述承诺事项已认真逐项核对，均表达我单位真实意见，愿承担任何责任。若有任何弄虚作假内容或未遵守上述约定的，经查实后，愿意放弃投标及中标资格，如由于我单位被判失去中标权而给采购人造成报价的差额损失的，同意对差额损失予以赔偿。如我单位违反上述承诺事项，无条件接受政府采购监督部门作出的任何管理和处理决定，并自愿承担一切不利的后果。</w:t>
      </w:r>
    </w:p>
    <w:p>
      <w:pPr>
        <w:spacing w:line="320" w:lineRule="exact"/>
        <w:rPr>
          <w:rFonts w:ascii="Times New Roman" w:hAnsi="Times New Roman"/>
          <w:color w:val="auto"/>
          <w:kern w:val="1"/>
          <w:highlight w:val="none"/>
        </w:rPr>
      </w:pPr>
      <w:r>
        <w:rPr>
          <w:rFonts w:ascii="Times New Roman" w:hAnsi="Times New Roman"/>
          <w:color w:val="auto"/>
          <w:kern w:val="1"/>
          <w:highlight w:val="none"/>
        </w:rPr>
        <w:t xml:space="preserve"> </w:t>
      </w:r>
    </w:p>
    <w:p>
      <w:pPr>
        <w:adjustRightInd w:val="0"/>
        <w:spacing w:line="360" w:lineRule="auto"/>
        <w:ind w:right="880" w:firstLine="440" w:firstLineChars="200"/>
        <w:jc w:val="left"/>
        <w:rPr>
          <w:rFonts w:ascii="Arial" w:hAnsi="Arial" w:cs="Arial"/>
          <w:color w:val="auto"/>
          <w:sz w:val="22"/>
          <w:szCs w:val="22"/>
          <w:highlight w:val="none"/>
          <w:u w:val="single"/>
        </w:rPr>
      </w:pPr>
      <w:r>
        <w:rPr>
          <w:rFonts w:ascii="Arial" w:hAnsi="Arial" w:cs="Arial"/>
          <w:color w:val="auto"/>
          <w:sz w:val="22"/>
          <w:szCs w:val="22"/>
          <w:highlight w:val="none"/>
        </w:rPr>
        <w:t>投标人</w:t>
      </w:r>
      <w:r>
        <w:rPr>
          <w:rFonts w:hint="eastAsia" w:ascii="Arial" w:hAnsi="Arial" w:cs="Arial"/>
          <w:color w:val="auto"/>
          <w:sz w:val="22"/>
          <w:szCs w:val="22"/>
          <w:highlight w:val="none"/>
        </w:rPr>
        <w:t>名</w:t>
      </w:r>
      <w:r>
        <w:rPr>
          <w:rFonts w:ascii="Arial" w:hAnsi="Arial" w:cs="Arial"/>
          <w:color w:val="auto"/>
          <w:sz w:val="22"/>
          <w:szCs w:val="22"/>
          <w:highlight w:val="none"/>
        </w:rPr>
        <w:t>称（</w:t>
      </w:r>
      <w:r>
        <w:rPr>
          <w:rFonts w:hint="eastAsia" w:ascii="Arial" w:hAnsi="Arial" w:cs="Arial"/>
          <w:color w:val="auto"/>
          <w:sz w:val="22"/>
          <w:szCs w:val="22"/>
          <w:highlight w:val="none"/>
        </w:rPr>
        <w:t>签</w:t>
      </w:r>
      <w:r>
        <w:rPr>
          <w:rFonts w:ascii="Arial" w:hAnsi="Arial" w:cs="Arial"/>
          <w:color w:val="auto"/>
          <w:sz w:val="22"/>
          <w:szCs w:val="22"/>
          <w:highlight w:val="none"/>
        </w:rPr>
        <w:t>章）：</w:t>
      </w:r>
      <w:r>
        <w:rPr>
          <w:rFonts w:hint="eastAsia" w:ascii="Arial" w:hAnsi="Arial" w:cs="Arial"/>
          <w:color w:val="auto"/>
          <w:sz w:val="22"/>
          <w:szCs w:val="22"/>
          <w:highlight w:val="none"/>
          <w:u w:val="single"/>
        </w:rPr>
        <w:t xml:space="preserve"> </w:t>
      </w:r>
      <w:r>
        <w:rPr>
          <w:rFonts w:ascii="Arial" w:hAnsi="Arial" w:cs="Arial"/>
          <w:color w:val="auto"/>
          <w:sz w:val="22"/>
          <w:szCs w:val="22"/>
          <w:highlight w:val="none"/>
          <w:u w:val="single"/>
        </w:rPr>
        <w:t xml:space="preserve">                 </w:t>
      </w:r>
    </w:p>
    <w:p>
      <w:pPr>
        <w:adjustRightInd w:val="0"/>
        <w:spacing w:line="360" w:lineRule="auto"/>
        <w:jc w:val="left"/>
        <w:rPr>
          <w:rFonts w:hint="eastAsia" w:ascii="Arial" w:hAnsi="Arial" w:cs="Arial"/>
          <w:color w:val="auto"/>
          <w:sz w:val="22"/>
          <w:szCs w:val="22"/>
          <w:highlight w:val="none"/>
        </w:rPr>
      </w:pPr>
    </w:p>
    <w:p>
      <w:pPr>
        <w:adjustRightInd w:val="0"/>
        <w:spacing w:line="360" w:lineRule="auto"/>
        <w:ind w:right="420" w:firstLine="440" w:firstLineChars="200"/>
        <w:jc w:val="left"/>
        <w:rPr>
          <w:rFonts w:ascii="Arial" w:hAnsi="Arial" w:cs="Arial"/>
          <w:color w:val="auto"/>
          <w:sz w:val="22"/>
          <w:szCs w:val="22"/>
          <w:highlight w:val="none"/>
          <w:u w:val="single"/>
        </w:rPr>
      </w:pPr>
      <w:r>
        <w:rPr>
          <w:rFonts w:ascii="Arial" w:hAnsi="Arial" w:cs="Arial"/>
          <w:color w:val="auto"/>
          <w:sz w:val="22"/>
          <w:szCs w:val="22"/>
          <w:highlight w:val="none"/>
        </w:rPr>
        <w:t>日</w:t>
      </w:r>
      <w:r>
        <w:rPr>
          <w:rFonts w:hint="eastAsia" w:ascii="Arial" w:hAnsi="Arial" w:cs="Arial"/>
          <w:color w:val="auto"/>
          <w:sz w:val="22"/>
          <w:szCs w:val="22"/>
          <w:highlight w:val="none"/>
        </w:rPr>
        <w:t xml:space="preserve"> </w:t>
      </w:r>
      <w:r>
        <w:rPr>
          <w:rFonts w:ascii="Arial" w:hAnsi="Arial" w:cs="Arial"/>
          <w:color w:val="auto"/>
          <w:sz w:val="22"/>
          <w:szCs w:val="22"/>
          <w:highlight w:val="none"/>
        </w:rPr>
        <w:t xml:space="preserve"> 期：</w:t>
      </w:r>
      <w:r>
        <w:rPr>
          <w:rFonts w:hint="eastAsia" w:ascii="Arial" w:hAnsi="Arial" w:cs="Arial"/>
          <w:color w:val="auto"/>
          <w:sz w:val="22"/>
          <w:szCs w:val="22"/>
          <w:highlight w:val="none"/>
          <w:u w:val="single"/>
        </w:rPr>
        <w:t xml:space="preserve"> </w:t>
      </w:r>
      <w:r>
        <w:rPr>
          <w:rFonts w:ascii="Arial" w:hAnsi="Arial" w:cs="Arial"/>
          <w:color w:val="auto"/>
          <w:sz w:val="22"/>
          <w:szCs w:val="22"/>
          <w:highlight w:val="none"/>
          <w:u w:val="single"/>
        </w:rPr>
        <w:t xml:space="preserve">                  </w:t>
      </w:r>
    </w:p>
    <w:p>
      <w:pPr>
        <w:spacing w:line="320" w:lineRule="exact"/>
        <w:rPr>
          <w:rFonts w:ascii="Times New Roman" w:hAnsi="Times New Roman"/>
          <w:color w:val="auto"/>
          <w:kern w:val="1"/>
          <w:highlight w:val="none"/>
        </w:rPr>
      </w:pPr>
    </w:p>
    <w:p>
      <w:pPr>
        <w:spacing w:line="320" w:lineRule="exact"/>
        <w:rPr>
          <w:rFonts w:ascii="Times New Roman" w:hAnsi="Times New Roman"/>
          <w:color w:val="auto"/>
          <w:kern w:val="1"/>
          <w:highlight w:val="none"/>
        </w:rPr>
        <w:sectPr>
          <w:headerReference r:id="rId9" w:type="first"/>
          <w:footerReference r:id="rId11" w:type="first"/>
          <w:headerReference r:id="rId8" w:type="default"/>
          <w:footerReference r:id="rId10" w:type="default"/>
          <w:pgSz w:w="11906" w:h="16838"/>
          <w:pgMar w:top="1417" w:right="1020" w:bottom="1417" w:left="1020" w:header="851" w:footer="992" w:gutter="0"/>
          <w:pgBorders>
            <w:top w:val="none" w:sz="0" w:space="0"/>
            <w:left w:val="none" w:sz="0" w:space="0"/>
            <w:bottom w:val="none" w:sz="0" w:space="0"/>
            <w:right w:val="none" w:sz="0" w:space="0"/>
          </w:pgBorders>
          <w:pgNumType w:fmt="numberInDash" w:start="1"/>
          <w:cols w:space="720" w:num="1"/>
          <w:titlePg/>
        </w:sectPr>
      </w:pPr>
    </w:p>
    <w:p>
      <w:pPr>
        <w:spacing w:line="360" w:lineRule="auto"/>
        <w:jc w:val="center"/>
        <w:rPr>
          <w:rFonts w:ascii="Times New Roman" w:hAnsi="Times New Roman"/>
          <w:b/>
          <w:color w:val="auto"/>
          <w:kern w:val="1"/>
          <w:sz w:val="36"/>
          <w:highlight w:val="none"/>
        </w:rPr>
      </w:pPr>
      <w:r>
        <w:rPr>
          <w:rFonts w:ascii="Times New Roman" w:hAnsi="Times New Roman"/>
          <w:b/>
          <w:color w:val="auto"/>
          <w:kern w:val="1"/>
          <w:sz w:val="36"/>
          <w:highlight w:val="none"/>
        </w:rPr>
        <w:t>投标函（格式）</w:t>
      </w:r>
    </w:p>
    <w:p>
      <w:pPr>
        <w:pStyle w:val="48"/>
        <w:widowControl w:val="0"/>
        <w:spacing w:before="0" w:beforeAutospacing="0" w:after="0" w:afterAutospacing="0" w:line="312" w:lineRule="auto"/>
        <w:jc w:val="both"/>
        <w:rPr>
          <w:rFonts w:ascii="Times New Roman" w:hAnsi="Times New Roman"/>
          <w:color w:val="auto"/>
          <w:kern w:val="1"/>
          <w:highlight w:val="none"/>
        </w:rPr>
      </w:pPr>
      <w:r>
        <w:rPr>
          <w:rFonts w:ascii="Times New Roman" w:hAnsi="Times New Roman"/>
          <w:color w:val="auto"/>
          <w:kern w:val="1"/>
          <w:highlight w:val="none"/>
        </w:rPr>
        <w:t>致：</w:t>
      </w:r>
      <w:r>
        <w:rPr>
          <w:rFonts w:ascii="Times New Roman" w:hAnsi="Times New Roman"/>
          <w:color w:val="auto"/>
          <w:kern w:val="1"/>
          <w:highlight w:val="none"/>
          <w:u w:val="single"/>
        </w:rPr>
        <w:t xml:space="preserve">                  </w:t>
      </w:r>
    </w:p>
    <w:p>
      <w:pPr>
        <w:pStyle w:val="48"/>
        <w:widowControl w:val="0"/>
        <w:spacing w:before="0" w:beforeAutospacing="0" w:after="0" w:afterAutospacing="0" w:line="312" w:lineRule="auto"/>
        <w:jc w:val="both"/>
        <w:rPr>
          <w:rFonts w:ascii="Times New Roman" w:hAnsi="Times New Roman"/>
          <w:color w:val="auto"/>
          <w:kern w:val="1"/>
          <w:szCs w:val="24"/>
          <w:highlight w:val="none"/>
        </w:rPr>
      </w:pPr>
      <w:r>
        <w:rPr>
          <w:rFonts w:ascii="Times New Roman" w:hAnsi="Times New Roman"/>
          <w:color w:val="auto"/>
          <w:kern w:val="1"/>
          <w:highlight w:val="none"/>
        </w:rPr>
        <w:t xml:space="preserve">     _________________________（供应商全称）授权_________________（全名、职</w:t>
      </w:r>
      <w:r>
        <w:rPr>
          <w:rFonts w:ascii="Times New Roman" w:hAnsi="Times New Roman"/>
          <w:color w:val="auto"/>
          <w:kern w:val="1"/>
          <w:szCs w:val="24"/>
          <w:highlight w:val="none"/>
        </w:rPr>
        <w:t>务）为全权代表参加贵方组织的_________________________</w:t>
      </w:r>
      <w:r>
        <w:rPr>
          <w:rFonts w:ascii="Times New Roman" w:hAnsi="Times New Roman"/>
          <w:color w:val="auto"/>
          <w:kern w:val="1"/>
          <w:szCs w:val="24"/>
          <w:highlight w:val="none"/>
          <w:u w:val="single"/>
        </w:rPr>
        <w:t xml:space="preserve">              </w:t>
      </w:r>
      <w:r>
        <w:rPr>
          <w:rFonts w:ascii="Times New Roman" w:hAnsi="Times New Roman"/>
          <w:color w:val="auto"/>
          <w:kern w:val="1"/>
          <w:szCs w:val="24"/>
          <w:highlight w:val="none"/>
        </w:rPr>
        <w:t>项目（招标项目名称、招标编号）的招标、响应询标等有关活动，为此提交下述文件：</w:t>
      </w:r>
    </w:p>
    <w:p>
      <w:pPr>
        <w:spacing w:line="312" w:lineRule="auto"/>
        <w:ind w:firstLine="480"/>
        <w:rPr>
          <w:rFonts w:ascii="Times New Roman" w:hAnsi="Times New Roman"/>
          <w:color w:val="auto"/>
          <w:kern w:val="1"/>
          <w:sz w:val="24"/>
          <w:szCs w:val="24"/>
          <w:highlight w:val="none"/>
        </w:rPr>
      </w:pPr>
      <w:r>
        <w:rPr>
          <w:rFonts w:ascii="Times New Roman" w:hAnsi="Times New Roman"/>
          <w:color w:val="auto"/>
          <w:kern w:val="1"/>
          <w:sz w:val="24"/>
          <w:szCs w:val="24"/>
          <w:highlight w:val="none"/>
        </w:rPr>
        <w:t>1、</w:t>
      </w:r>
      <w:r>
        <w:rPr>
          <w:rFonts w:hint="eastAsia" w:ascii="Times New Roman" w:hAnsi="Times New Roman"/>
          <w:color w:val="auto"/>
          <w:kern w:val="1"/>
          <w:sz w:val="24"/>
          <w:szCs w:val="24"/>
          <w:highlight w:val="none"/>
        </w:rPr>
        <w:t>电子投标文件一份</w:t>
      </w:r>
      <w:r>
        <w:rPr>
          <w:rFonts w:ascii="Times New Roman" w:hAnsi="Times New Roman"/>
          <w:color w:val="auto"/>
          <w:kern w:val="1"/>
          <w:sz w:val="24"/>
          <w:szCs w:val="24"/>
          <w:highlight w:val="none"/>
        </w:rPr>
        <w:t>；</w:t>
      </w:r>
    </w:p>
    <w:p>
      <w:pPr>
        <w:spacing w:line="312" w:lineRule="auto"/>
        <w:ind w:firstLine="480"/>
        <w:rPr>
          <w:rFonts w:ascii="Times New Roman" w:hAnsi="Times New Roman"/>
          <w:color w:val="auto"/>
          <w:kern w:val="1"/>
          <w:sz w:val="24"/>
          <w:szCs w:val="24"/>
          <w:highlight w:val="none"/>
        </w:rPr>
      </w:pPr>
      <w:r>
        <w:rPr>
          <w:rFonts w:ascii="Times New Roman" w:hAnsi="Times New Roman"/>
          <w:color w:val="auto"/>
          <w:kern w:val="1"/>
          <w:sz w:val="24"/>
          <w:szCs w:val="24"/>
          <w:highlight w:val="none"/>
        </w:rPr>
        <w:t>2、其他：</w:t>
      </w:r>
    </w:p>
    <w:p>
      <w:pPr>
        <w:spacing w:line="312" w:lineRule="auto"/>
        <w:ind w:firstLine="480"/>
        <w:rPr>
          <w:rFonts w:ascii="Times New Roman" w:hAnsi="Times New Roman"/>
          <w:color w:val="auto"/>
          <w:kern w:val="1"/>
          <w:sz w:val="24"/>
          <w:szCs w:val="24"/>
          <w:highlight w:val="none"/>
        </w:rPr>
      </w:pPr>
      <w:r>
        <w:rPr>
          <w:rFonts w:ascii="Times New Roman" w:hAnsi="Times New Roman"/>
          <w:color w:val="auto"/>
          <w:kern w:val="1"/>
          <w:sz w:val="24"/>
          <w:szCs w:val="24"/>
          <w:highlight w:val="none"/>
        </w:rPr>
        <w:t>3、据此函，宣布同意如下：</w:t>
      </w:r>
    </w:p>
    <w:p>
      <w:pPr>
        <w:spacing w:line="312" w:lineRule="auto"/>
        <w:ind w:firstLine="480"/>
        <w:rPr>
          <w:rFonts w:ascii="Times New Roman" w:hAnsi="Times New Roman"/>
          <w:color w:val="auto"/>
          <w:kern w:val="1"/>
          <w:sz w:val="24"/>
          <w:szCs w:val="24"/>
          <w:highlight w:val="none"/>
        </w:rPr>
      </w:pPr>
      <w:r>
        <w:rPr>
          <w:rFonts w:ascii="Times New Roman" w:hAnsi="Times New Roman"/>
          <w:color w:val="auto"/>
          <w:kern w:val="1"/>
          <w:sz w:val="24"/>
          <w:szCs w:val="24"/>
          <w:highlight w:val="none"/>
        </w:rPr>
        <w:t>1）</w:t>
      </w:r>
      <w:r>
        <w:rPr>
          <w:color w:val="auto"/>
          <w:spacing w:val="12"/>
          <w:sz w:val="24"/>
          <w:szCs w:val="24"/>
          <w:highlight w:val="none"/>
        </w:rPr>
        <w:t>所附投标报价表中规定的应提供和支付的货物和服务投标总价为（人民币</w:t>
      </w:r>
      <w:r>
        <w:rPr>
          <w:rFonts w:hint="eastAsia"/>
          <w:color w:val="auto"/>
          <w:spacing w:val="12"/>
          <w:sz w:val="24"/>
          <w:szCs w:val="24"/>
          <w:highlight w:val="none"/>
          <w:u w:val="single"/>
        </w:rPr>
        <w:t xml:space="preserve"> </w:t>
      </w:r>
      <w:r>
        <w:rPr>
          <w:color w:val="auto"/>
          <w:spacing w:val="12"/>
          <w:sz w:val="24"/>
          <w:szCs w:val="24"/>
          <w:highlight w:val="none"/>
          <w:u w:val="single"/>
        </w:rPr>
        <w:t xml:space="preserve">                  </w:t>
      </w:r>
      <w:r>
        <w:rPr>
          <w:color w:val="auto"/>
          <w:spacing w:val="12"/>
          <w:sz w:val="24"/>
          <w:szCs w:val="24"/>
          <w:highlight w:val="none"/>
        </w:rPr>
        <w:t>）</w:t>
      </w:r>
      <w:r>
        <w:rPr>
          <w:color w:val="auto"/>
          <w:sz w:val="24"/>
          <w:szCs w:val="24"/>
          <w:highlight w:val="none"/>
        </w:rPr>
        <w:t>，即 __________________________________（大写）。（企业成本价为</w:t>
      </w:r>
      <w:r>
        <w:rPr>
          <w:rFonts w:hint="eastAsia"/>
          <w:color w:val="auto"/>
          <w:sz w:val="24"/>
          <w:szCs w:val="24"/>
          <w:highlight w:val="none"/>
          <w:u w:val="single"/>
        </w:rPr>
        <w:t xml:space="preserve"> </w:t>
      </w:r>
      <w:r>
        <w:rPr>
          <w:color w:val="auto"/>
          <w:sz w:val="24"/>
          <w:szCs w:val="24"/>
          <w:highlight w:val="none"/>
          <w:u w:val="single"/>
        </w:rPr>
        <w:t xml:space="preserve">                </w:t>
      </w:r>
      <w:r>
        <w:rPr>
          <w:color w:val="auto"/>
          <w:sz w:val="24"/>
          <w:szCs w:val="24"/>
          <w:highlight w:val="none"/>
        </w:rPr>
        <w:t>元）</w:t>
      </w:r>
      <w:r>
        <w:rPr>
          <w:rFonts w:ascii="Times New Roman" w:hAnsi="Times New Roman"/>
          <w:color w:val="auto"/>
          <w:kern w:val="1"/>
          <w:sz w:val="24"/>
          <w:szCs w:val="24"/>
          <w:highlight w:val="none"/>
        </w:rPr>
        <w:t>。</w:t>
      </w:r>
    </w:p>
    <w:p>
      <w:pPr>
        <w:spacing w:line="312" w:lineRule="auto"/>
        <w:ind w:firstLine="480"/>
        <w:rPr>
          <w:rFonts w:ascii="Times New Roman" w:hAnsi="Times New Roman"/>
          <w:color w:val="auto"/>
          <w:kern w:val="1"/>
          <w:sz w:val="24"/>
          <w:szCs w:val="24"/>
          <w:highlight w:val="none"/>
        </w:rPr>
      </w:pPr>
      <w:r>
        <w:rPr>
          <w:rFonts w:ascii="Times New Roman" w:hAnsi="Times New Roman"/>
          <w:color w:val="auto"/>
          <w:kern w:val="1"/>
          <w:sz w:val="24"/>
          <w:szCs w:val="24"/>
          <w:highlight w:val="none"/>
        </w:rPr>
        <w:t>2）供应商已详细审查全部招标文件，我们完全理解并同意放弃对这方面有不明及误解的权利。</w:t>
      </w:r>
    </w:p>
    <w:p>
      <w:pPr>
        <w:spacing w:line="312" w:lineRule="auto"/>
        <w:ind w:firstLine="480"/>
        <w:rPr>
          <w:rFonts w:ascii="Times New Roman" w:hAnsi="Times New Roman"/>
          <w:color w:val="auto"/>
          <w:kern w:val="1"/>
          <w:sz w:val="24"/>
          <w:szCs w:val="24"/>
          <w:highlight w:val="none"/>
        </w:rPr>
      </w:pPr>
      <w:r>
        <w:rPr>
          <w:rFonts w:ascii="Times New Roman" w:hAnsi="Times New Roman"/>
          <w:color w:val="auto"/>
          <w:kern w:val="1"/>
          <w:sz w:val="24"/>
          <w:szCs w:val="24"/>
          <w:highlight w:val="none"/>
        </w:rPr>
        <w:t>3）供应商将按招标文件规定履行合同责任和义务。</w:t>
      </w:r>
    </w:p>
    <w:p>
      <w:pPr>
        <w:spacing w:line="312" w:lineRule="auto"/>
        <w:ind w:firstLine="480"/>
        <w:rPr>
          <w:rFonts w:ascii="Times New Roman" w:hAnsi="Times New Roman"/>
          <w:color w:val="auto"/>
          <w:kern w:val="1"/>
          <w:sz w:val="24"/>
          <w:szCs w:val="24"/>
          <w:highlight w:val="none"/>
        </w:rPr>
      </w:pPr>
      <w:r>
        <w:rPr>
          <w:rFonts w:ascii="Times New Roman" w:hAnsi="Times New Roman"/>
          <w:color w:val="auto"/>
          <w:kern w:val="1"/>
          <w:sz w:val="24"/>
          <w:szCs w:val="24"/>
          <w:highlight w:val="none"/>
        </w:rPr>
        <w:t>4）其投标自开标之日起有效期____个日历天。</w:t>
      </w:r>
    </w:p>
    <w:p>
      <w:pPr>
        <w:spacing w:line="312" w:lineRule="auto"/>
        <w:ind w:firstLine="480"/>
        <w:rPr>
          <w:rFonts w:ascii="Times New Roman" w:hAnsi="Times New Roman"/>
          <w:color w:val="auto"/>
          <w:kern w:val="1"/>
          <w:sz w:val="24"/>
          <w:szCs w:val="24"/>
          <w:highlight w:val="none"/>
        </w:rPr>
      </w:pPr>
      <w:r>
        <w:rPr>
          <w:rFonts w:ascii="Times New Roman" w:hAnsi="Times New Roman"/>
          <w:color w:val="auto"/>
          <w:kern w:val="1"/>
          <w:sz w:val="24"/>
          <w:szCs w:val="24"/>
          <w:highlight w:val="none"/>
        </w:rPr>
        <w:t>5）供应商同意提供按照贵方可能要求的与其投标有关的一切数据或资料，理解贵方不一定要接受最低价的投标或收到的任何投标。</w:t>
      </w:r>
    </w:p>
    <w:p>
      <w:pPr>
        <w:spacing w:line="312" w:lineRule="auto"/>
        <w:ind w:firstLine="480"/>
        <w:rPr>
          <w:rFonts w:ascii="Times New Roman" w:hAnsi="Times New Roman"/>
          <w:color w:val="auto"/>
          <w:kern w:val="1"/>
          <w:sz w:val="24"/>
          <w:szCs w:val="24"/>
          <w:highlight w:val="none"/>
        </w:rPr>
      </w:pPr>
      <w:r>
        <w:rPr>
          <w:rFonts w:ascii="Times New Roman" w:hAnsi="Times New Roman"/>
          <w:color w:val="auto"/>
          <w:kern w:val="1"/>
          <w:sz w:val="24"/>
          <w:szCs w:val="24"/>
          <w:highlight w:val="none"/>
        </w:rPr>
        <w:t>6）投标文件中未明确的事项，一律按招标文件规定执行。</w:t>
      </w:r>
    </w:p>
    <w:p>
      <w:pPr>
        <w:spacing w:line="312" w:lineRule="auto"/>
        <w:ind w:firstLine="480"/>
        <w:rPr>
          <w:rFonts w:ascii="Times New Roman" w:hAnsi="Times New Roman"/>
          <w:color w:val="auto"/>
          <w:kern w:val="1"/>
          <w:sz w:val="24"/>
          <w:szCs w:val="24"/>
          <w:highlight w:val="none"/>
        </w:rPr>
      </w:pPr>
      <w:r>
        <w:rPr>
          <w:rFonts w:ascii="Times New Roman" w:hAnsi="Times New Roman"/>
          <w:color w:val="auto"/>
          <w:kern w:val="1"/>
          <w:sz w:val="24"/>
          <w:szCs w:val="24"/>
          <w:highlight w:val="none"/>
        </w:rPr>
        <w:t>7）与本投标有关的一切正式往来通讯请寄：</w:t>
      </w:r>
    </w:p>
    <w:p>
      <w:pPr>
        <w:spacing w:line="312" w:lineRule="auto"/>
        <w:rPr>
          <w:rFonts w:ascii="Times New Roman" w:hAnsi="Times New Roman"/>
          <w:color w:val="auto"/>
          <w:kern w:val="1"/>
          <w:sz w:val="24"/>
          <w:szCs w:val="24"/>
          <w:highlight w:val="none"/>
        </w:rPr>
      </w:pPr>
      <w:r>
        <w:rPr>
          <w:rFonts w:ascii="Times New Roman" w:hAnsi="Times New Roman"/>
          <w:color w:val="auto"/>
          <w:kern w:val="1"/>
          <w:sz w:val="24"/>
          <w:szCs w:val="24"/>
          <w:highlight w:val="none"/>
        </w:rPr>
        <w:t>地址：______________________</w:t>
      </w:r>
      <w:r>
        <w:rPr>
          <w:rFonts w:ascii="Times New Roman" w:hAnsi="Times New Roman"/>
          <w:color w:val="auto"/>
          <w:kern w:val="1"/>
          <w:sz w:val="24"/>
          <w:szCs w:val="24"/>
          <w:highlight w:val="none"/>
          <w:u w:val="single"/>
        </w:rPr>
        <w:t xml:space="preserve">      </w:t>
      </w:r>
      <w:r>
        <w:rPr>
          <w:rFonts w:ascii="Times New Roman" w:hAnsi="Times New Roman"/>
          <w:color w:val="auto"/>
          <w:kern w:val="1"/>
          <w:sz w:val="24"/>
          <w:szCs w:val="24"/>
          <w:highlight w:val="none"/>
        </w:rPr>
        <w:t xml:space="preserve">       邮编：______________________  </w:t>
      </w:r>
    </w:p>
    <w:p>
      <w:pPr>
        <w:spacing w:line="312" w:lineRule="auto"/>
        <w:rPr>
          <w:rFonts w:ascii="Times New Roman" w:hAnsi="Times New Roman"/>
          <w:color w:val="auto"/>
          <w:kern w:val="1"/>
          <w:sz w:val="24"/>
          <w:szCs w:val="24"/>
          <w:highlight w:val="none"/>
        </w:rPr>
      </w:pPr>
      <w:r>
        <w:rPr>
          <w:rFonts w:ascii="Times New Roman" w:hAnsi="Times New Roman"/>
          <w:color w:val="auto"/>
          <w:kern w:val="1"/>
          <w:sz w:val="24"/>
          <w:szCs w:val="24"/>
          <w:highlight w:val="none"/>
        </w:rPr>
        <w:t>电话：______________________</w:t>
      </w:r>
      <w:r>
        <w:rPr>
          <w:rFonts w:ascii="Times New Roman" w:hAnsi="Times New Roman"/>
          <w:color w:val="auto"/>
          <w:kern w:val="1"/>
          <w:sz w:val="24"/>
          <w:szCs w:val="24"/>
          <w:highlight w:val="none"/>
          <w:u w:val="single"/>
        </w:rPr>
        <w:t xml:space="preserve">   </w:t>
      </w:r>
      <w:r>
        <w:rPr>
          <w:rFonts w:ascii="Times New Roman" w:hAnsi="Times New Roman"/>
          <w:color w:val="auto"/>
          <w:kern w:val="1"/>
          <w:sz w:val="24"/>
          <w:szCs w:val="24"/>
          <w:highlight w:val="none"/>
        </w:rPr>
        <w:t xml:space="preserve">         传真：______________________ </w:t>
      </w:r>
    </w:p>
    <w:p>
      <w:pPr>
        <w:spacing w:line="312" w:lineRule="auto"/>
        <w:rPr>
          <w:rFonts w:ascii="Times New Roman" w:hAnsi="Times New Roman"/>
          <w:color w:val="auto"/>
          <w:kern w:val="1"/>
          <w:sz w:val="24"/>
          <w:szCs w:val="24"/>
          <w:highlight w:val="none"/>
        </w:rPr>
      </w:pPr>
      <w:r>
        <w:rPr>
          <w:rFonts w:ascii="Times New Roman" w:hAnsi="Times New Roman"/>
          <w:color w:val="auto"/>
          <w:kern w:val="1"/>
          <w:sz w:val="24"/>
          <w:szCs w:val="24"/>
          <w:highlight w:val="none"/>
        </w:rPr>
        <w:t>供应商名称：__________________________ （</w:t>
      </w:r>
      <w:r>
        <w:rPr>
          <w:rFonts w:hint="eastAsia" w:ascii="Times New Roman" w:hAnsi="Times New Roman"/>
          <w:color w:val="auto"/>
          <w:kern w:val="1"/>
          <w:sz w:val="24"/>
          <w:szCs w:val="24"/>
          <w:highlight w:val="none"/>
        </w:rPr>
        <w:t>签</w:t>
      </w:r>
      <w:r>
        <w:rPr>
          <w:rFonts w:ascii="Times New Roman" w:hAnsi="Times New Roman"/>
          <w:color w:val="auto"/>
          <w:kern w:val="1"/>
          <w:sz w:val="24"/>
          <w:szCs w:val="24"/>
          <w:highlight w:val="none"/>
        </w:rPr>
        <w:t>章）</w:t>
      </w:r>
    </w:p>
    <w:p>
      <w:pPr>
        <w:spacing w:line="312" w:lineRule="auto"/>
        <w:jc w:val="left"/>
        <w:rPr>
          <w:rFonts w:ascii="Times New Roman" w:hAnsi="Times New Roman"/>
          <w:color w:val="auto"/>
          <w:kern w:val="1"/>
          <w:sz w:val="24"/>
          <w:szCs w:val="24"/>
          <w:highlight w:val="none"/>
        </w:rPr>
      </w:pPr>
      <w:r>
        <w:rPr>
          <w:rFonts w:ascii="Times New Roman" w:hAnsi="Times New Roman"/>
          <w:color w:val="auto"/>
          <w:kern w:val="1"/>
          <w:sz w:val="24"/>
          <w:szCs w:val="24"/>
          <w:highlight w:val="none"/>
        </w:rPr>
        <w:t xml:space="preserve">投标日期： _______年____月____日       </w:t>
      </w:r>
    </w:p>
    <w:p>
      <w:pPr>
        <w:jc w:val="center"/>
        <w:rPr>
          <w:rFonts w:ascii="Times New Roman" w:hAnsi="Times New Roman"/>
          <w:b/>
          <w:color w:val="auto"/>
          <w:kern w:val="1"/>
          <w:sz w:val="24"/>
          <w:szCs w:val="24"/>
          <w:highlight w:val="none"/>
        </w:rPr>
      </w:pPr>
    </w:p>
    <w:p>
      <w:pPr>
        <w:jc w:val="center"/>
        <w:rPr>
          <w:rFonts w:ascii="Times New Roman" w:hAnsi="Times New Roman"/>
          <w:b/>
          <w:color w:val="auto"/>
          <w:kern w:val="1"/>
          <w:sz w:val="36"/>
          <w:highlight w:val="none"/>
        </w:rPr>
      </w:pPr>
    </w:p>
    <w:p>
      <w:pPr>
        <w:jc w:val="center"/>
        <w:rPr>
          <w:rFonts w:ascii="Times New Roman" w:hAnsi="Times New Roman"/>
          <w:b/>
          <w:color w:val="auto"/>
          <w:kern w:val="1"/>
          <w:sz w:val="36"/>
          <w:highlight w:val="none"/>
        </w:rPr>
      </w:pPr>
    </w:p>
    <w:p>
      <w:pPr>
        <w:jc w:val="center"/>
        <w:rPr>
          <w:rFonts w:ascii="Times New Roman" w:hAnsi="Times New Roman"/>
          <w:b/>
          <w:color w:val="auto"/>
          <w:kern w:val="1"/>
          <w:sz w:val="36"/>
          <w:highlight w:val="none"/>
        </w:rPr>
      </w:pPr>
    </w:p>
    <w:p>
      <w:pPr>
        <w:jc w:val="center"/>
        <w:rPr>
          <w:rFonts w:ascii="Times New Roman" w:hAnsi="Times New Roman"/>
          <w:b/>
          <w:color w:val="auto"/>
          <w:kern w:val="1"/>
          <w:sz w:val="36"/>
          <w:highlight w:val="none"/>
        </w:rPr>
      </w:pPr>
    </w:p>
    <w:p>
      <w:pPr>
        <w:jc w:val="center"/>
        <w:rPr>
          <w:rFonts w:ascii="Times New Roman" w:hAnsi="Times New Roman"/>
          <w:b/>
          <w:color w:val="auto"/>
          <w:kern w:val="1"/>
          <w:sz w:val="36"/>
          <w:highlight w:val="none"/>
        </w:rPr>
      </w:pPr>
    </w:p>
    <w:p>
      <w:pPr>
        <w:jc w:val="center"/>
        <w:rPr>
          <w:rFonts w:ascii="Times New Roman" w:hAnsi="Times New Roman"/>
          <w:b/>
          <w:color w:val="auto"/>
          <w:kern w:val="1"/>
          <w:sz w:val="36"/>
          <w:highlight w:val="none"/>
        </w:rPr>
      </w:pPr>
    </w:p>
    <w:p>
      <w:pPr>
        <w:jc w:val="center"/>
        <w:rPr>
          <w:rFonts w:ascii="Times New Roman" w:hAnsi="Times New Roman"/>
          <w:b/>
          <w:color w:val="auto"/>
          <w:kern w:val="1"/>
          <w:sz w:val="36"/>
          <w:highlight w:val="none"/>
        </w:rPr>
      </w:pPr>
    </w:p>
    <w:p>
      <w:pPr>
        <w:jc w:val="center"/>
        <w:rPr>
          <w:rFonts w:hint="eastAsia" w:ascii="Times New Roman" w:hAnsi="Times New Roman"/>
          <w:b/>
          <w:color w:val="auto"/>
          <w:kern w:val="1"/>
          <w:sz w:val="36"/>
          <w:highlight w:val="none"/>
        </w:rPr>
      </w:pPr>
    </w:p>
    <w:p>
      <w:pPr>
        <w:pStyle w:val="146"/>
        <w:rPr>
          <w:rFonts w:ascii="Times New Roman"/>
          <w:b/>
          <w:color w:val="auto"/>
          <w:kern w:val="1"/>
          <w:sz w:val="36"/>
          <w:highlight w:val="none"/>
        </w:rPr>
      </w:pPr>
    </w:p>
    <w:p>
      <w:pPr>
        <w:snapToGrid w:val="0"/>
        <w:spacing w:line="600" w:lineRule="exact"/>
        <w:jc w:val="center"/>
        <w:rPr>
          <w:sz w:val="24"/>
          <w:highlight w:val="none"/>
        </w:rPr>
      </w:pPr>
      <w:r>
        <w:rPr>
          <w:b/>
          <w:sz w:val="36"/>
          <w:highlight w:val="none"/>
        </w:rPr>
        <w:t>报价一览表</w:t>
      </w:r>
    </w:p>
    <w:p>
      <w:pPr>
        <w:snapToGrid w:val="0"/>
        <w:rPr>
          <w:sz w:val="24"/>
          <w:highlight w:val="none"/>
        </w:rPr>
      </w:pPr>
    </w:p>
    <w:p>
      <w:pPr>
        <w:snapToGrid w:val="0"/>
        <w:rPr>
          <w:sz w:val="24"/>
          <w:highlight w:val="none"/>
        </w:rPr>
      </w:pPr>
      <w:r>
        <w:rPr>
          <w:sz w:val="24"/>
          <w:highlight w:val="none"/>
        </w:rPr>
        <w:t>投标人名称（盖章）：</w:t>
      </w:r>
      <w:r>
        <w:rPr>
          <w:sz w:val="24"/>
          <w:highlight w:val="none"/>
          <w:u w:val="single"/>
        </w:rPr>
        <w:t xml:space="preserve">                    </w:t>
      </w:r>
      <w:r>
        <w:rPr>
          <w:sz w:val="24"/>
          <w:highlight w:val="none"/>
        </w:rPr>
        <w:t xml:space="preserve">      </w:t>
      </w:r>
    </w:p>
    <w:p>
      <w:pPr>
        <w:snapToGrid w:val="0"/>
        <w:rPr>
          <w:sz w:val="24"/>
          <w:highlight w:val="none"/>
        </w:rPr>
      </w:pPr>
      <w:r>
        <w:rPr>
          <w:sz w:val="24"/>
          <w:highlight w:val="none"/>
        </w:rPr>
        <w:t>采购编号：</w:t>
      </w:r>
      <w:r>
        <w:rPr>
          <w:sz w:val="24"/>
          <w:highlight w:val="none"/>
          <w:u w:val="single"/>
        </w:rPr>
        <w:t xml:space="preserve">                             </w:t>
      </w:r>
      <w:r>
        <w:rPr>
          <w:sz w:val="24"/>
          <w:highlight w:val="none"/>
        </w:rPr>
        <w:t xml:space="preserve">      </w:t>
      </w:r>
    </w:p>
    <w:p>
      <w:pPr>
        <w:snapToGrid w:val="0"/>
        <w:rPr>
          <w:sz w:val="24"/>
          <w:highlight w:val="none"/>
          <w:u w:val="single"/>
        </w:rPr>
      </w:pPr>
    </w:p>
    <w:p>
      <w:pPr>
        <w:snapToGrid w:val="0"/>
        <w:rPr>
          <w:sz w:val="24"/>
          <w:highlight w:val="none"/>
          <w:u w:val="single"/>
        </w:rPr>
      </w:pPr>
    </w:p>
    <w:p>
      <w:pPr>
        <w:snapToGrid w:val="0"/>
        <w:rPr>
          <w:sz w:val="24"/>
          <w:highlight w:val="none"/>
          <w:u w:val="single"/>
        </w:rPr>
      </w:pPr>
    </w:p>
    <w:tbl>
      <w:tblPr>
        <w:tblStyle w:val="53"/>
        <w:tblW w:w="0" w:type="auto"/>
        <w:tblInd w:w="108" w:type="dxa"/>
        <w:tblLayout w:type="fixed"/>
        <w:tblCellMar>
          <w:top w:w="0" w:type="dxa"/>
          <w:left w:w="108" w:type="dxa"/>
          <w:bottom w:w="0" w:type="dxa"/>
          <w:right w:w="108" w:type="dxa"/>
        </w:tblCellMar>
      </w:tblPr>
      <w:tblGrid>
        <w:gridCol w:w="985"/>
        <w:gridCol w:w="3473"/>
        <w:gridCol w:w="4756"/>
      </w:tblGrid>
      <w:tr>
        <w:tblPrEx>
          <w:tblCellMar>
            <w:top w:w="0" w:type="dxa"/>
            <w:left w:w="108" w:type="dxa"/>
            <w:bottom w:w="0" w:type="dxa"/>
            <w:right w:w="108" w:type="dxa"/>
          </w:tblCellMar>
        </w:tblPrEx>
        <w:trPr>
          <w:trHeight w:val="614" w:hRule="atLeast"/>
        </w:trPr>
        <w:tc>
          <w:tcPr>
            <w:tcW w:w="9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jc w:val="center"/>
              <w:rPr>
                <w:sz w:val="24"/>
                <w:highlight w:val="none"/>
              </w:rPr>
            </w:pPr>
            <w:r>
              <w:rPr>
                <w:sz w:val="24"/>
                <w:highlight w:val="none"/>
              </w:rPr>
              <w:t>项</w:t>
            </w:r>
          </w:p>
        </w:tc>
        <w:tc>
          <w:tcPr>
            <w:tcW w:w="347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jc w:val="center"/>
              <w:rPr>
                <w:sz w:val="24"/>
                <w:highlight w:val="none"/>
              </w:rPr>
            </w:pPr>
            <w:r>
              <w:rPr>
                <w:sz w:val="24"/>
                <w:highlight w:val="none"/>
              </w:rPr>
              <w:t>项目名称</w:t>
            </w:r>
          </w:p>
        </w:tc>
        <w:tc>
          <w:tcPr>
            <w:tcW w:w="47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jc w:val="center"/>
              <w:rPr>
                <w:sz w:val="24"/>
                <w:highlight w:val="none"/>
              </w:rPr>
            </w:pPr>
            <w:r>
              <w:rPr>
                <w:sz w:val="24"/>
                <w:highlight w:val="none"/>
              </w:rPr>
              <w:t>投标价（人民币）</w:t>
            </w:r>
          </w:p>
        </w:tc>
      </w:tr>
      <w:tr>
        <w:tblPrEx>
          <w:tblCellMar>
            <w:top w:w="0" w:type="dxa"/>
            <w:left w:w="108" w:type="dxa"/>
            <w:bottom w:w="0" w:type="dxa"/>
            <w:right w:w="108" w:type="dxa"/>
          </w:tblCellMar>
        </w:tblPrEx>
        <w:trPr>
          <w:trHeight w:val="1162" w:hRule="atLeast"/>
        </w:trPr>
        <w:tc>
          <w:tcPr>
            <w:tcW w:w="9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jc w:val="center"/>
              <w:rPr>
                <w:sz w:val="24"/>
                <w:highlight w:val="none"/>
              </w:rPr>
            </w:pPr>
            <w:r>
              <w:rPr>
                <w:sz w:val="24"/>
                <w:highlight w:val="none"/>
              </w:rPr>
              <w:t>1</w:t>
            </w:r>
          </w:p>
        </w:tc>
        <w:tc>
          <w:tcPr>
            <w:tcW w:w="3473"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jc w:val="center"/>
              <w:rPr>
                <w:rFonts w:hint="eastAsia" w:eastAsia="宋体"/>
                <w:sz w:val="24"/>
                <w:highlight w:val="none"/>
                <w:lang w:eastAsia="zh-CN"/>
              </w:rPr>
            </w:pPr>
            <w:r>
              <w:rPr>
                <w:rFonts w:hint="eastAsia"/>
                <w:sz w:val="24"/>
                <w:highlight w:val="none"/>
                <w:lang w:eastAsia="zh-CN"/>
              </w:rPr>
              <w:t>2022年义乌国际电子竞技大赛服务采购项目</w:t>
            </w:r>
          </w:p>
        </w:tc>
        <w:tc>
          <w:tcPr>
            <w:tcW w:w="475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jc w:val="center"/>
              <w:rPr>
                <w:sz w:val="24"/>
                <w:highlight w:val="none"/>
              </w:rPr>
            </w:pPr>
            <w:r>
              <w:rPr>
                <w:sz w:val="24"/>
                <w:highlight w:val="none"/>
                <w:u w:val="single"/>
              </w:rPr>
              <w:t xml:space="preserve">   </w:t>
            </w:r>
            <w:r>
              <w:rPr>
                <w:rFonts w:hint="eastAsia"/>
                <w:sz w:val="24"/>
                <w:highlight w:val="none"/>
                <w:u w:val="single"/>
                <w:lang w:val="en-US" w:eastAsia="zh-CN"/>
              </w:rPr>
              <w:t xml:space="preserve">  </w:t>
            </w:r>
            <w:r>
              <w:rPr>
                <w:sz w:val="24"/>
                <w:highlight w:val="none"/>
                <w:u w:val="single"/>
              </w:rPr>
              <w:t xml:space="preserve">  </w:t>
            </w:r>
            <w:r>
              <w:rPr>
                <w:sz w:val="24"/>
                <w:highlight w:val="none"/>
              </w:rPr>
              <w:t>元</w:t>
            </w:r>
          </w:p>
        </w:tc>
      </w:tr>
      <w:tr>
        <w:tblPrEx>
          <w:tblCellMar>
            <w:top w:w="0" w:type="dxa"/>
            <w:left w:w="108" w:type="dxa"/>
            <w:bottom w:w="0" w:type="dxa"/>
            <w:right w:w="108" w:type="dxa"/>
          </w:tblCellMar>
        </w:tblPrEx>
        <w:trPr>
          <w:trHeight w:val="1556" w:hRule="atLeast"/>
        </w:trPr>
        <w:tc>
          <w:tcPr>
            <w:tcW w:w="985"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jc w:val="center"/>
              <w:rPr>
                <w:sz w:val="24"/>
                <w:highlight w:val="none"/>
              </w:rPr>
            </w:pPr>
            <w:r>
              <w:rPr>
                <w:sz w:val="24"/>
                <w:highlight w:val="none"/>
              </w:rPr>
              <w:t>2</w:t>
            </w:r>
          </w:p>
        </w:tc>
        <w:tc>
          <w:tcPr>
            <w:tcW w:w="8229"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napToGrid w:val="0"/>
              <w:spacing w:line="400" w:lineRule="exact"/>
              <w:rPr>
                <w:sz w:val="24"/>
                <w:highlight w:val="none"/>
                <w:u w:val="single"/>
              </w:rPr>
            </w:pPr>
            <w:r>
              <w:rPr>
                <w:sz w:val="24"/>
                <w:highlight w:val="none"/>
              </w:rPr>
              <w:t>投标总价：</w:t>
            </w:r>
            <w:r>
              <w:rPr>
                <w:sz w:val="24"/>
                <w:highlight w:val="none"/>
                <w:u w:val="single"/>
              </w:rPr>
              <w:t xml:space="preserve">            </w:t>
            </w:r>
            <w:r>
              <w:rPr>
                <w:sz w:val="24"/>
                <w:highlight w:val="none"/>
              </w:rPr>
              <w:t>元人民币</w:t>
            </w:r>
          </w:p>
          <w:p>
            <w:pPr>
              <w:snapToGrid w:val="0"/>
              <w:spacing w:line="400" w:lineRule="exact"/>
              <w:rPr>
                <w:sz w:val="24"/>
                <w:highlight w:val="none"/>
              </w:rPr>
            </w:pPr>
            <w:r>
              <w:rPr>
                <w:sz w:val="24"/>
                <w:highlight w:val="none"/>
              </w:rPr>
              <w:t xml:space="preserve">    大写：</w:t>
            </w:r>
            <w:r>
              <w:rPr>
                <w:sz w:val="24"/>
                <w:highlight w:val="none"/>
                <w:u w:val="single"/>
              </w:rPr>
              <w:t xml:space="preserve">                    </w:t>
            </w:r>
          </w:p>
        </w:tc>
      </w:tr>
    </w:tbl>
    <w:p>
      <w:pPr>
        <w:snapToGrid w:val="0"/>
        <w:rPr>
          <w:sz w:val="24"/>
          <w:highlight w:val="none"/>
        </w:rPr>
      </w:pPr>
    </w:p>
    <w:p>
      <w:pPr>
        <w:snapToGrid w:val="0"/>
        <w:rPr>
          <w:sz w:val="24"/>
          <w:highlight w:val="none"/>
        </w:rPr>
      </w:pPr>
    </w:p>
    <w:p>
      <w:pPr>
        <w:snapToGrid w:val="0"/>
        <w:rPr>
          <w:sz w:val="24"/>
          <w:highlight w:val="none"/>
        </w:rPr>
      </w:pPr>
    </w:p>
    <w:p>
      <w:pPr>
        <w:snapToGrid w:val="0"/>
        <w:rPr>
          <w:sz w:val="24"/>
          <w:highlight w:val="none"/>
        </w:rPr>
      </w:pPr>
    </w:p>
    <w:p>
      <w:pPr>
        <w:snapToGrid w:val="0"/>
        <w:spacing w:line="500" w:lineRule="exact"/>
        <w:rPr>
          <w:sz w:val="24"/>
          <w:highlight w:val="none"/>
        </w:rPr>
      </w:pPr>
      <w:r>
        <w:rPr>
          <w:sz w:val="24"/>
          <w:highlight w:val="none"/>
        </w:rPr>
        <w:t xml:space="preserve">全权代表签字：                   </w:t>
      </w:r>
    </w:p>
    <w:p>
      <w:pPr>
        <w:snapToGrid w:val="0"/>
        <w:spacing w:line="500" w:lineRule="exact"/>
        <w:rPr>
          <w:sz w:val="24"/>
          <w:highlight w:val="none"/>
        </w:rPr>
      </w:pPr>
      <w:r>
        <w:rPr>
          <w:sz w:val="24"/>
          <w:highlight w:val="none"/>
        </w:rPr>
        <w:t xml:space="preserve">日 期：           </w:t>
      </w:r>
    </w:p>
    <w:p>
      <w:pPr>
        <w:snapToGrid w:val="0"/>
        <w:spacing w:line="400" w:lineRule="exact"/>
        <w:ind w:left="480" w:hanging="480"/>
        <w:rPr>
          <w:sz w:val="24"/>
          <w:highlight w:val="none"/>
        </w:rPr>
      </w:pPr>
      <w:r>
        <w:rPr>
          <w:sz w:val="24"/>
          <w:highlight w:val="none"/>
        </w:rPr>
        <w:t>注：</w:t>
      </w:r>
    </w:p>
    <w:p>
      <w:pPr>
        <w:snapToGrid w:val="0"/>
        <w:spacing w:line="460" w:lineRule="exact"/>
        <w:rPr>
          <w:b/>
          <w:sz w:val="24"/>
          <w:highlight w:val="none"/>
        </w:rPr>
      </w:pPr>
      <w:r>
        <w:rPr>
          <w:sz w:val="24"/>
          <w:highlight w:val="none"/>
        </w:rPr>
        <w:t>1、投标人应根据国家的有关规定和</w:t>
      </w:r>
      <w:r>
        <w:rPr>
          <w:b/>
          <w:sz w:val="24"/>
          <w:highlight w:val="none"/>
          <w:shd w:val="pct10" w:color="000000" w:fill="FFFFFF"/>
        </w:rPr>
        <w:t>实际情况</w:t>
      </w:r>
      <w:r>
        <w:rPr>
          <w:sz w:val="24"/>
          <w:highlight w:val="none"/>
        </w:rPr>
        <w:t>并结合企业的实际情况进行投标报价。</w:t>
      </w:r>
      <w:r>
        <w:rPr>
          <w:b/>
          <w:sz w:val="24"/>
          <w:highlight w:val="none"/>
        </w:rPr>
        <w:t>投标报价为投标人所能承受的最低、最终一次性报价。</w:t>
      </w:r>
    </w:p>
    <w:p>
      <w:pPr>
        <w:snapToGrid w:val="0"/>
        <w:spacing w:line="460" w:lineRule="exact"/>
        <w:rPr>
          <w:b/>
          <w:sz w:val="24"/>
          <w:highlight w:val="none"/>
        </w:rPr>
      </w:pPr>
      <w:r>
        <w:rPr>
          <w:b/>
          <w:sz w:val="24"/>
          <w:highlight w:val="none"/>
        </w:rPr>
        <w:t>2、投标报价低于自报成本价的，投标将被拒绝。</w:t>
      </w:r>
    </w:p>
    <w:p>
      <w:pPr>
        <w:snapToGrid w:val="0"/>
        <w:spacing w:line="460" w:lineRule="exact"/>
        <w:ind w:left="240" w:hanging="240"/>
        <w:rPr>
          <w:sz w:val="24"/>
          <w:highlight w:val="none"/>
        </w:rPr>
      </w:pPr>
      <w:r>
        <w:rPr>
          <w:sz w:val="24"/>
          <w:highlight w:val="none"/>
        </w:rPr>
        <w:t>3、此表在不改变表式内容的情况下，可自行制作。</w:t>
      </w:r>
    </w:p>
    <w:p>
      <w:pPr>
        <w:pStyle w:val="48"/>
        <w:ind w:left="210" w:hanging="210"/>
        <w:jc w:val="center"/>
        <w:rPr>
          <w:rFonts w:ascii="Times New Roman" w:hAnsi="Times New Roman"/>
          <w:b/>
          <w:color w:val="auto"/>
          <w:sz w:val="36"/>
          <w:highlight w:val="none"/>
        </w:rPr>
      </w:pPr>
    </w:p>
    <w:p>
      <w:pPr>
        <w:pStyle w:val="48"/>
        <w:ind w:left="210" w:hanging="210"/>
        <w:jc w:val="center"/>
        <w:rPr>
          <w:rFonts w:ascii="Times New Roman" w:hAnsi="Times New Roman"/>
          <w:b/>
          <w:color w:val="auto"/>
          <w:sz w:val="36"/>
          <w:highlight w:val="none"/>
        </w:rPr>
      </w:pPr>
    </w:p>
    <w:p>
      <w:pPr>
        <w:pStyle w:val="48"/>
        <w:ind w:left="210" w:hanging="210"/>
        <w:jc w:val="center"/>
        <w:rPr>
          <w:rFonts w:ascii="Times New Roman" w:hAnsi="Times New Roman"/>
          <w:b/>
          <w:color w:val="auto"/>
          <w:sz w:val="36"/>
          <w:highlight w:val="none"/>
        </w:rPr>
      </w:pPr>
    </w:p>
    <w:p>
      <w:pPr>
        <w:pStyle w:val="48"/>
        <w:ind w:left="210" w:hanging="210"/>
        <w:jc w:val="center"/>
        <w:rPr>
          <w:rFonts w:ascii="Times New Roman" w:hAnsi="Times New Roman"/>
          <w:b/>
          <w:color w:val="auto"/>
          <w:sz w:val="36"/>
          <w:highlight w:val="none"/>
        </w:rPr>
      </w:pPr>
    </w:p>
    <w:p>
      <w:pPr>
        <w:pStyle w:val="48"/>
        <w:ind w:left="210" w:hanging="210"/>
        <w:jc w:val="center"/>
        <w:rPr>
          <w:rFonts w:ascii="Times New Roman" w:hAnsi="Times New Roman"/>
          <w:b/>
          <w:color w:val="auto"/>
          <w:sz w:val="36"/>
          <w:highlight w:val="none"/>
        </w:rPr>
      </w:pPr>
    </w:p>
    <w:p>
      <w:pPr>
        <w:bidi w:val="0"/>
        <w:jc w:val="center"/>
        <w:rPr>
          <w:rFonts w:ascii="Arial" w:hAnsi="Arial" w:cs="Arial"/>
          <w:b/>
          <w:bCs/>
          <w:szCs w:val="21"/>
          <w:highlight w:val="none"/>
        </w:rPr>
      </w:pPr>
      <w:r>
        <w:rPr>
          <w:rFonts w:hint="eastAsia" w:hAnsi="宋体"/>
          <w:b/>
          <w:bCs/>
          <w:sz w:val="36"/>
          <w:szCs w:val="36"/>
          <w:highlight w:val="none"/>
        </w:rPr>
        <w:t>中小企业声明函（服务）</w:t>
      </w:r>
      <w:r>
        <w:rPr>
          <w:rFonts w:ascii="宋体" w:cs="宋体"/>
          <w:sz w:val="36"/>
          <w:szCs w:val="36"/>
          <w:highlight w:val="none"/>
        </w:rPr>
        <w:br w:type="textWrapping"/>
      </w:r>
    </w:p>
    <w:p>
      <w:pPr>
        <w:adjustRightInd w:val="0"/>
        <w:snapToGrid w:val="0"/>
        <w:spacing w:line="300" w:lineRule="auto"/>
        <w:jc w:val="center"/>
        <w:rPr>
          <w:rFonts w:ascii="Arial" w:hAnsi="Arial" w:cs="Arial"/>
          <w:b/>
          <w:bCs/>
          <w:szCs w:val="21"/>
          <w:highlight w:val="none"/>
        </w:rPr>
      </w:pPr>
      <w:r>
        <w:rPr>
          <w:rFonts w:hint="eastAsia" w:ascii="Arial" w:hAnsi="Arial" w:cs="Arial"/>
          <w:b/>
          <w:bCs/>
          <w:sz w:val="24"/>
          <w:szCs w:val="24"/>
          <w:highlight w:val="none"/>
        </w:rPr>
        <w:t>【非小微企业不用提供】</w:t>
      </w:r>
    </w:p>
    <w:p>
      <w:pPr>
        <w:pStyle w:val="156"/>
        <w:spacing w:after="0" w:line="360" w:lineRule="auto"/>
        <w:jc w:val="center"/>
        <w:rPr>
          <w:rFonts w:ascii="宋体" w:hAnsi="Times New Roman" w:eastAsia="宋体" w:cs="宋体"/>
          <w:highlight w:val="none"/>
        </w:rPr>
      </w:pPr>
    </w:p>
    <w:p>
      <w:pPr>
        <w:pStyle w:val="157"/>
        <w:spacing w:line="360" w:lineRule="auto"/>
        <w:ind w:firstLine="480" w:firstLineChars="200"/>
        <w:rPr>
          <w:rFonts w:hint="eastAsia" w:ascii="宋体" w:hAnsi="宋体" w:eastAsia="宋体" w:cs="仿宋"/>
          <w:highlight w:val="none"/>
          <w:lang w:eastAsia="zh-CN"/>
        </w:rPr>
      </w:pPr>
      <w:r>
        <w:rPr>
          <w:rFonts w:hint="eastAsia" w:ascii="宋体" w:hAnsi="宋体" w:eastAsia="宋体" w:cs="仿宋"/>
          <w:highlight w:val="none"/>
        </w:rPr>
        <w:t>本公司（联合体）郑重声明，根据《政府采购促进中小企业发展管理办法》（财库（2020）46号）的规定，本公司（联合体）参加</w:t>
      </w:r>
      <w:r>
        <w:rPr>
          <w:rFonts w:hint="eastAsia" w:ascii="宋体" w:hAnsi="宋体" w:eastAsia="宋体" w:cs="仿宋"/>
          <w:highlight w:val="none"/>
          <w:u w:val="single"/>
        </w:rPr>
        <w:t>（采购单位名称）</w:t>
      </w:r>
      <w:r>
        <w:rPr>
          <w:rFonts w:hint="eastAsia" w:ascii="宋体" w:hAnsi="宋体" w:eastAsia="宋体" w:cs="仿宋"/>
          <w:highlight w:val="none"/>
        </w:rPr>
        <w:t>的</w:t>
      </w:r>
      <w:r>
        <w:rPr>
          <w:rFonts w:hint="eastAsia" w:ascii="宋体" w:hAnsi="宋体" w:eastAsia="宋体" w:cs="仿宋"/>
          <w:highlight w:val="none"/>
          <w:u w:val="single"/>
        </w:rPr>
        <w:t>（项目名称）</w:t>
      </w:r>
      <w:r>
        <w:rPr>
          <w:rFonts w:hint="eastAsia" w:ascii="宋体" w:hAnsi="宋体" w:eastAsia="宋体" w:cs="仿宋"/>
          <w:highlight w:val="none"/>
        </w:rPr>
        <w:t>采购活动，服务全部由符合政策要求的中小企业承接，相关企业（含联合体中的中小企业）的具体情况如下</w:t>
      </w:r>
      <w:r>
        <w:rPr>
          <w:rFonts w:hint="eastAsia" w:ascii="宋体" w:hAnsi="宋体" w:eastAsia="宋体" w:cs="仿宋"/>
          <w:highlight w:val="none"/>
          <w:lang w:eastAsia="zh-CN"/>
        </w:rPr>
        <w:t>：</w:t>
      </w:r>
    </w:p>
    <w:p>
      <w:pPr>
        <w:pStyle w:val="158"/>
        <w:spacing w:after="0" w:line="360" w:lineRule="auto"/>
        <w:ind w:firstLine="480" w:firstLineChars="200"/>
        <w:rPr>
          <w:rFonts w:ascii="宋体" w:hAnsi="宋体" w:eastAsia="宋体"/>
          <w:highlight w:val="none"/>
        </w:rPr>
      </w:pPr>
      <w:r>
        <w:rPr>
          <w:rFonts w:ascii="宋体" w:hAnsi="宋体" w:eastAsia="宋体" w:cs="仿宋"/>
          <w:highlight w:val="none"/>
        </w:rPr>
        <w:t xml:space="preserve">1. </w:t>
      </w:r>
      <w:r>
        <w:rPr>
          <w:rFonts w:hint="eastAsia" w:ascii="宋体" w:hAnsi="宋体" w:eastAsia="宋体" w:cs="仿宋"/>
          <w:highlight w:val="none"/>
          <w:u w:val="single"/>
        </w:rPr>
        <w:t>（标的名称）</w:t>
      </w:r>
      <w:r>
        <w:rPr>
          <w:rFonts w:hint="eastAsia" w:ascii="宋体" w:hAnsi="宋体" w:eastAsia="宋体" w:cs="仿宋"/>
          <w:highlight w:val="none"/>
        </w:rPr>
        <w:t>，属于</w:t>
      </w:r>
      <w:r>
        <w:rPr>
          <w:rFonts w:hint="eastAsia" w:ascii="宋体" w:hAnsi="宋体" w:eastAsia="宋体" w:cs="仿宋"/>
          <w:highlight w:val="none"/>
          <w:u w:val="single"/>
        </w:rPr>
        <w:t>（采购文件中明确的所属行业）行业</w:t>
      </w:r>
      <w:r>
        <w:rPr>
          <w:rFonts w:hint="eastAsia" w:ascii="宋体" w:hAnsi="宋体" w:eastAsia="宋体" w:cs="仿宋"/>
          <w:highlight w:val="none"/>
        </w:rPr>
        <w:t>；承建（承接）企业为</w:t>
      </w:r>
      <w:r>
        <w:rPr>
          <w:rFonts w:hint="eastAsia" w:ascii="宋体" w:hAnsi="宋体" w:eastAsia="宋体" w:cs="仿宋"/>
          <w:highlight w:val="none"/>
          <w:u w:val="single"/>
        </w:rPr>
        <w:t>（企业名称）</w:t>
      </w:r>
      <w:r>
        <w:rPr>
          <w:rFonts w:hint="eastAsia" w:ascii="宋体" w:hAnsi="宋体" w:eastAsia="宋体" w:cs="仿宋"/>
          <w:highlight w:val="none"/>
        </w:rPr>
        <w:t>，从业人员</w:t>
      </w:r>
      <w:r>
        <w:rPr>
          <w:rFonts w:hint="eastAsia" w:ascii="宋体" w:hAnsi="宋体" w:eastAsia="宋体" w:cs="仿宋"/>
          <w:highlight w:val="none"/>
          <w:u w:val="single"/>
          <w:lang w:val="en-US" w:eastAsia="zh-CN"/>
        </w:rPr>
        <w:t xml:space="preserve">    </w:t>
      </w:r>
      <w:r>
        <w:rPr>
          <w:rFonts w:hint="eastAsia" w:ascii="宋体" w:hAnsi="宋体" w:eastAsia="宋体" w:cs="仿宋"/>
          <w:highlight w:val="none"/>
        </w:rPr>
        <w:t>人，营业收</w:t>
      </w:r>
      <w:r>
        <w:rPr>
          <w:rFonts w:hint="eastAsia" w:ascii="宋体" w:hAnsi="宋体" w:eastAsia="宋体"/>
          <w:highlight w:val="none"/>
        </w:rPr>
        <w:t>入为</w:t>
      </w:r>
      <w:r>
        <w:rPr>
          <w:rFonts w:hint="eastAsia" w:ascii="宋体" w:hAnsi="宋体" w:eastAsia="宋体" w:cs="仿宋"/>
          <w:highlight w:val="none"/>
          <w:u w:val="single"/>
          <w:lang w:val="en-US" w:eastAsia="zh-CN"/>
        </w:rPr>
        <w:t xml:space="preserve">    </w:t>
      </w:r>
      <w:r>
        <w:rPr>
          <w:rFonts w:hint="eastAsia" w:ascii="宋体" w:hAnsi="宋体" w:eastAsia="宋体"/>
          <w:highlight w:val="none"/>
        </w:rPr>
        <w:t>万元，资产总额为</w:t>
      </w:r>
      <w:r>
        <w:rPr>
          <w:rFonts w:hint="eastAsia" w:ascii="宋体" w:hAnsi="宋体" w:eastAsia="宋体" w:cs="仿宋"/>
          <w:highlight w:val="none"/>
          <w:u w:val="single"/>
          <w:lang w:val="en-US" w:eastAsia="zh-CN"/>
        </w:rPr>
        <w:t xml:space="preserve">    </w:t>
      </w:r>
      <w:r>
        <w:rPr>
          <w:rFonts w:hint="eastAsia" w:ascii="宋体" w:hAnsi="宋体" w:eastAsia="宋体"/>
          <w:highlight w:val="none"/>
        </w:rPr>
        <w:t>万元，属于</w:t>
      </w:r>
      <w:r>
        <w:rPr>
          <w:rFonts w:hint="eastAsia" w:ascii="宋体" w:hAnsi="宋体" w:eastAsia="宋体"/>
          <w:highlight w:val="none"/>
          <w:u w:val="single"/>
        </w:rPr>
        <w:t>（中型企业、小型企业、微型企业）</w:t>
      </w:r>
      <w:r>
        <w:rPr>
          <w:rFonts w:hint="eastAsia" w:ascii="宋体" w:hAnsi="宋体" w:eastAsia="宋体"/>
          <w:highlight w:val="none"/>
        </w:rPr>
        <w:t>；</w:t>
      </w:r>
    </w:p>
    <w:p>
      <w:pPr>
        <w:pStyle w:val="158"/>
        <w:spacing w:after="0" w:line="360" w:lineRule="auto"/>
        <w:ind w:firstLine="480" w:firstLineChars="200"/>
        <w:rPr>
          <w:rFonts w:ascii="宋体" w:hAnsi="宋体" w:eastAsia="宋体" w:cs="仿宋"/>
          <w:highlight w:val="none"/>
        </w:rPr>
      </w:pPr>
      <w:r>
        <w:rPr>
          <w:rFonts w:ascii="宋体" w:hAnsi="宋体" w:eastAsia="宋体" w:cs="仿宋"/>
          <w:highlight w:val="none"/>
        </w:rPr>
        <w:t xml:space="preserve">2. </w:t>
      </w:r>
      <w:r>
        <w:rPr>
          <w:rFonts w:hint="eastAsia" w:ascii="宋体" w:hAnsi="宋体" w:eastAsia="宋体" w:cs="仿宋"/>
          <w:highlight w:val="none"/>
          <w:u w:val="single"/>
        </w:rPr>
        <w:t>（标的名称）</w:t>
      </w:r>
      <w:r>
        <w:rPr>
          <w:rFonts w:hint="eastAsia" w:ascii="宋体" w:hAnsi="宋体" w:eastAsia="宋体" w:cs="仿宋"/>
          <w:highlight w:val="none"/>
        </w:rPr>
        <w:t>，属于</w:t>
      </w:r>
      <w:r>
        <w:rPr>
          <w:rFonts w:hint="eastAsia" w:ascii="宋体" w:hAnsi="宋体" w:eastAsia="宋体" w:cs="仿宋"/>
          <w:highlight w:val="none"/>
          <w:u w:val="single"/>
        </w:rPr>
        <w:t>（采购文件中明确的所属行业）行业</w:t>
      </w:r>
      <w:r>
        <w:rPr>
          <w:rFonts w:hint="eastAsia" w:ascii="宋体" w:hAnsi="宋体" w:eastAsia="宋体" w:cs="仿宋"/>
          <w:highlight w:val="none"/>
        </w:rPr>
        <w:t>；承建（承接）企业为</w:t>
      </w:r>
      <w:r>
        <w:rPr>
          <w:rFonts w:hint="eastAsia" w:ascii="宋体" w:hAnsi="宋体" w:eastAsia="宋体" w:cs="仿宋"/>
          <w:highlight w:val="none"/>
          <w:u w:val="single"/>
        </w:rPr>
        <w:t>（企业名称）</w:t>
      </w:r>
      <w:r>
        <w:rPr>
          <w:rFonts w:hint="eastAsia" w:ascii="宋体" w:hAnsi="宋体" w:eastAsia="宋体" w:cs="仿宋"/>
          <w:highlight w:val="none"/>
        </w:rPr>
        <w:t>，从业人员</w:t>
      </w:r>
      <w:r>
        <w:rPr>
          <w:rFonts w:hint="eastAsia" w:ascii="宋体" w:hAnsi="宋体" w:eastAsia="宋体" w:cs="仿宋"/>
          <w:highlight w:val="none"/>
          <w:u w:val="single"/>
          <w:lang w:val="en-US" w:eastAsia="zh-CN"/>
        </w:rPr>
        <w:t xml:space="preserve">    </w:t>
      </w:r>
      <w:r>
        <w:rPr>
          <w:rFonts w:hint="eastAsia" w:ascii="宋体" w:hAnsi="宋体" w:eastAsia="宋体" w:cs="仿宋"/>
          <w:highlight w:val="none"/>
        </w:rPr>
        <w:t>人，营业收入为</w:t>
      </w:r>
      <w:r>
        <w:rPr>
          <w:rFonts w:hint="eastAsia" w:ascii="宋体" w:hAnsi="宋体" w:eastAsia="宋体" w:cs="仿宋"/>
          <w:highlight w:val="none"/>
          <w:u w:val="single"/>
          <w:lang w:val="en-US" w:eastAsia="zh-CN"/>
        </w:rPr>
        <w:t xml:space="preserve">    </w:t>
      </w:r>
      <w:r>
        <w:rPr>
          <w:rFonts w:hint="eastAsia" w:ascii="宋体" w:hAnsi="宋体" w:eastAsia="宋体" w:cs="仿宋"/>
          <w:highlight w:val="none"/>
        </w:rPr>
        <w:t>万元，资产总额为</w:t>
      </w:r>
      <w:r>
        <w:rPr>
          <w:rFonts w:hint="eastAsia" w:ascii="宋体" w:hAnsi="宋体" w:eastAsia="宋体" w:cs="仿宋"/>
          <w:highlight w:val="none"/>
          <w:u w:val="single"/>
          <w:lang w:val="en-US" w:eastAsia="zh-CN"/>
        </w:rPr>
        <w:t xml:space="preserve">    </w:t>
      </w:r>
      <w:r>
        <w:rPr>
          <w:rFonts w:hint="eastAsia" w:ascii="宋体" w:hAnsi="宋体" w:eastAsia="宋体" w:cs="仿宋"/>
          <w:highlight w:val="none"/>
        </w:rPr>
        <w:t>万元，属于</w:t>
      </w:r>
      <w:r>
        <w:rPr>
          <w:rFonts w:hint="eastAsia" w:ascii="宋体" w:hAnsi="宋体" w:eastAsia="宋体" w:cs="仿宋"/>
          <w:highlight w:val="none"/>
          <w:u w:val="single"/>
        </w:rPr>
        <w:t>（中型企业、小型企业、微型企业）</w:t>
      </w:r>
      <w:r>
        <w:rPr>
          <w:rFonts w:hint="eastAsia" w:ascii="宋体" w:hAnsi="宋体" w:eastAsia="宋体" w:cs="仿宋"/>
          <w:highlight w:val="none"/>
        </w:rPr>
        <w:t>；</w:t>
      </w:r>
    </w:p>
    <w:p>
      <w:pPr>
        <w:pStyle w:val="158"/>
        <w:spacing w:after="0" w:line="360" w:lineRule="auto"/>
        <w:ind w:firstLine="480" w:firstLineChars="200"/>
        <w:rPr>
          <w:rFonts w:ascii="宋体" w:hAnsi="宋体" w:eastAsia="宋体"/>
          <w:highlight w:val="none"/>
        </w:rPr>
      </w:pPr>
      <w:r>
        <w:rPr>
          <w:rFonts w:hint="eastAsia" w:ascii="宋体" w:hAnsi="宋体" w:eastAsia="宋体" w:cs="仿宋"/>
          <w:highlight w:val="none"/>
        </w:rPr>
        <w:t>……</w:t>
      </w:r>
    </w:p>
    <w:p>
      <w:pPr>
        <w:pStyle w:val="158"/>
        <w:spacing w:after="0" w:line="360" w:lineRule="auto"/>
        <w:ind w:firstLine="480" w:firstLineChars="200"/>
        <w:rPr>
          <w:rFonts w:ascii="宋体" w:hAnsi="宋体" w:eastAsia="宋体" w:cs="仿宋"/>
          <w:highlight w:val="none"/>
        </w:rPr>
      </w:pPr>
      <w:r>
        <w:rPr>
          <w:rFonts w:hint="eastAsia" w:ascii="宋体" w:hAnsi="宋体" w:eastAsia="宋体" w:cs="仿宋"/>
          <w:highlight w:val="none"/>
        </w:rPr>
        <w:t>以上企业，不属于大企业的分支机构，不存在控股股东为大企业的情形，也不存在与大企业的负责人为同一人的情形。</w:t>
      </w:r>
    </w:p>
    <w:p>
      <w:pPr>
        <w:pStyle w:val="158"/>
        <w:spacing w:after="0" w:line="360" w:lineRule="auto"/>
        <w:ind w:firstLine="480" w:firstLineChars="200"/>
        <w:rPr>
          <w:rFonts w:ascii="宋体" w:hAnsi="宋体" w:eastAsia="宋体" w:cs="仿宋"/>
          <w:highlight w:val="none"/>
        </w:rPr>
      </w:pPr>
      <w:r>
        <w:rPr>
          <w:rFonts w:hint="eastAsia" w:ascii="宋体" w:hAnsi="宋体" w:eastAsia="宋体" w:cs="仿宋"/>
          <w:highlight w:val="none"/>
        </w:rPr>
        <w:t>本企业对上述声明内容的真实性负责。如有虚假，将依法承担相应责任。</w:t>
      </w:r>
    </w:p>
    <w:p>
      <w:pPr>
        <w:pStyle w:val="158"/>
        <w:spacing w:after="0" w:line="360" w:lineRule="auto"/>
        <w:ind w:firstLine="480" w:firstLineChars="200"/>
        <w:rPr>
          <w:rFonts w:ascii="宋体" w:hAnsi="宋体" w:eastAsia="宋体" w:cs="仿宋"/>
          <w:highlight w:val="none"/>
        </w:rPr>
      </w:pPr>
    </w:p>
    <w:p>
      <w:pPr>
        <w:snapToGrid w:val="0"/>
        <w:spacing w:line="360" w:lineRule="auto"/>
        <w:ind w:firstLine="5040" w:firstLineChars="2100"/>
        <w:rPr>
          <w:rFonts w:hint="default" w:ascii="宋体" w:hAnsi="宋体" w:eastAsia="宋体" w:cs="仿宋"/>
          <w:color w:val="auto"/>
          <w:sz w:val="24"/>
          <w:szCs w:val="24"/>
          <w:highlight w:val="none"/>
          <w:lang w:val="en-US" w:eastAsia="zh-CN" w:bidi="ar-SA"/>
        </w:rPr>
      </w:pPr>
      <w:r>
        <w:rPr>
          <w:rFonts w:hint="eastAsia" w:ascii="宋体" w:hAnsi="宋体" w:eastAsia="宋体" w:cs="仿宋"/>
          <w:color w:val="auto"/>
          <w:sz w:val="24"/>
          <w:szCs w:val="24"/>
          <w:highlight w:val="none"/>
          <w:lang w:val="en-US" w:eastAsia="zh-CN" w:bidi="ar-SA"/>
        </w:rPr>
        <w:t>投标人名称（盖章）：</w:t>
      </w:r>
      <w:r>
        <w:rPr>
          <w:rFonts w:hint="eastAsia" w:ascii="宋体" w:hAnsi="宋体" w:eastAsia="宋体" w:cs="仿宋"/>
          <w:color w:val="auto"/>
          <w:sz w:val="24"/>
          <w:szCs w:val="24"/>
          <w:highlight w:val="none"/>
          <w:u w:val="single"/>
          <w:lang w:val="en-US" w:eastAsia="zh-CN" w:bidi="ar-SA"/>
        </w:rPr>
        <w:t xml:space="preserve">              </w:t>
      </w:r>
      <w:r>
        <w:rPr>
          <w:rFonts w:hint="eastAsia" w:ascii="宋体" w:hAnsi="宋体" w:eastAsia="宋体" w:cs="仿宋"/>
          <w:color w:val="auto"/>
          <w:sz w:val="24"/>
          <w:szCs w:val="24"/>
          <w:highlight w:val="none"/>
          <w:lang w:val="en-US" w:eastAsia="zh-CN" w:bidi="ar-SA"/>
        </w:rPr>
        <w:t xml:space="preserve"> </w:t>
      </w:r>
    </w:p>
    <w:p>
      <w:pPr>
        <w:snapToGrid w:val="0"/>
        <w:spacing w:line="360" w:lineRule="auto"/>
        <w:ind w:firstLine="6720" w:firstLineChars="2800"/>
        <w:rPr>
          <w:rFonts w:hint="default"/>
          <w:color w:val="auto"/>
          <w:highlight w:val="none"/>
          <w:u w:val="single"/>
          <w:lang w:val="en-US"/>
        </w:rPr>
      </w:pPr>
      <w:r>
        <w:rPr>
          <w:rFonts w:hint="eastAsia" w:ascii="宋体" w:hAnsi="宋体" w:eastAsia="宋体" w:cs="仿宋"/>
          <w:color w:val="auto"/>
          <w:sz w:val="24"/>
          <w:szCs w:val="24"/>
          <w:highlight w:val="none"/>
          <w:lang w:val="en-US" w:eastAsia="zh-CN" w:bidi="ar-SA"/>
        </w:rPr>
        <w:t>日 期：</w:t>
      </w:r>
      <w:r>
        <w:rPr>
          <w:rFonts w:hint="eastAsia" w:ascii="宋体" w:hAnsi="宋体" w:eastAsia="宋体" w:cs="仿宋"/>
          <w:color w:val="auto"/>
          <w:sz w:val="24"/>
          <w:szCs w:val="24"/>
          <w:highlight w:val="none"/>
          <w:u w:val="single"/>
          <w:lang w:val="en-US" w:eastAsia="zh-CN" w:bidi="ar-SA"/>
        </w:rPr>
        <w:t xml:space="preserve">             </w:t>
      </w:r>
    </w:p>
    <w:p>
      <w:pPr>
        <w:pStyle w:val="146"/>
        <w:spacing w:line="360" w:lineRule="auto"/>
        <w:ind w:firstLine="420" w:firstLineChars="200"/>
        <w:rPr>
          <w:color w:val="auto"/>
          <w:sz w:val="21"/>
          <w:szCs w:val="21"/>
          <w:highlight w:val="none"/>
        </w:rPr>
      </w:pPr>
      <w:r>
        <w:rPr>
          <w:rFonts w:hint="eastAsia"/>
          <w:color w:val="auto"/>
          <w:sz w:val="21"/>
          <w:szCs w:val="21"/>
          <w:highlight w:val="none"/>
        </w:rPr>
        <w:t>备注：</w:t>
      </w:r>
    </w:p>
    <w:p>
      <w:pPr>
        <w:pStyle w:val="146"/>
        <w:spacing w:line="360" w:lineRule="auto"/>
        <w:ind w:firstLine="420" w:firstLineChars="200"/>
        <w:rPr>
          <w:color w:val="auto"/>
          <w:sz w:val="21"/>
          <w:szCs w:val="21"/>
          <w:highlight w:val="none"/>
        </w:rPr>
      </w:pPr>
      <w:r>
        <w:rPr>
          <w:rFonts w:hint="eastAsia"/>
          <w:color w:val="auto"/>
          <w:sz w:val="21"/>
          <w:szCs w:val="21"/>
          <w:highlight w:val="none"/>
        </w:rPr>
        <w:t>1、从业人员、营业收入、资产总额填报上一年度数据，无上一年度数据的新成立企业可不填报。</w:t>
      </w:r>
    </w:p>
    <w:p>
      <w:pPr>
        <w:snapToGrid w:val="0"/>
        <w:spacing w:line="360" w:lineRule="auto"/>
        <w:ind w:firstLine="420" w:firstLineChars="200"/>
        <w:rPr>
          <w:rFonts w:hint="eastAsia" w:ascii="宋体" w:hAnsi="宋体"/>
          <w:b/>
          <w:color w:val="auto"/>
          <w:sz w:val="22"/>
          <w:szCs w:val="22"/>
          <w:highlight w:val="none"/>
        </w:rPr>
      </w:pPr>
      <w:r>
        <w:rPr>
          <w:rFonts w:hint="eastAsia"/>
          <w:color w:val="auto"/>
          <w:sz w:val="21"/>
          <w:szCs w:val="21"/>
          <w:highlight w:val="none"/>
        </w:rPr>
        <w:t>2、一旦中标，本声明函将与中标、成交结果公告时一起公开。</w:t>
      </w:r>
    </w:p>
    <w:p>
      <w:pPr>
        <w:adjustRightInd w:val="0"/>
        <w:snapToGrid w:val="0"/>
        <w:spacing w:line="360" w:lineRule="auto"/>
        <w:ind w:firstLine="480" w:firstLineChars="200"/>
        <w:rPr>
          <w:rFonts w:ascii="Times New Roman" w:hAnsi="Times New Roman"/>
          <w:color w:val="auto"/>
          <w:sz w:val="24"/>
          <w:highlight w:val="none"/>
        </w:rPr>
      </w:pPr>
    </w:p>
    <w:p>
      <w:pPr>
        <w:spacing w:line="360" w:lineRule="auto"/>
        <w:ind w:firstLine="480"/>
        <w:rPr>
          <w:rFonts w:ascii="Times New Roman" w:hAnsi="Times New Roman"/>
          <w:color w:val="auto"/>
          <w:sz w:val="24"/>
          <w:highlight w:val="none"/>
        </w:rPr>
      </w:pPr>
    </w:p>
    <w:p>
      <w:pPr>
        <w:pStyle w:val="28"/>
        <w:adjustRightInd w:val="0"/>
        <w:snapToGrid w:val="0"/>
        <w:spacing w:line="360" w:lineRule="auto"/>
        <w:ind w:firstLine="480" w:firstLineChars="200"/>
        <w:rPr>
          <w:rFonts w:ascii="Times New Roman" w:hAnsi="Times New Roman"/>
          <w:color w:val="auto"/>
          <w:sz w:val="24"/>
          <w:highlight w:val="none"/>
        </w:rPr>
      </w:pPr>
    </w:p>
    <w:p>
      <w:pPr>
        <w:spacing w:line="300" w:lineRule="auto"/>
        <w:jc w:val="center"/>
        <w:rPr>
          <w:rFonts w:ascii="Times New Roman" w:hAnsi="Times New Roman"/>
          <w:b/>
          <w:color w:val="auto"/>
          <w:sz w:val="36"/>
          <w:highlight w:val="none"/>
        </w:rPr>
      </w:pPr>
      <w:r>
        <w:rPr>
          <w:rFonts w:ascii="Times New Roman" w:hAnsi="Times New Roman"/>
          <w:color w:val="auto"/>
          <w:highlight w:val="none"/>
        </w:rPr>
        <w:br w:type="page"/>
      </w:r>
      <w:bookmarkStart w:id="73" w:name="OLE_LINK14"/>
      <w:bookmarkStart w:id="74" w:name="OLE_LINK13"/>
      <w:r>
        <w:rPr>
          <w:rFonts w:ascii="Times New Roman" w:hAnsi="Times New Roman"/>
          <w:b/>
          <w:color w:val="auto"/>
          <w:sz w:val="36"/>
          <w:highlight w:val="none"/>
        </w:rPr>
        <w:t>残疾人福利性单位声明函</w:t>
      </w:r>
    </w:p>
    <w:bookmarkEnd w:id="73"/>
    <w:bookmarkEnd w:id="74"/>
    <w:p>
      <w:pPr>
        <w:snapToGrid w:val="0"/>
        <w:spacing w:line="300" w:lineRule="auto"/>
        <w:ind w:firstLine="444" w:firstLineChars="200"/>
        <w:rPr>
          <w:rFonts w:ascii="Times New Roman" w:hAnsi="Times New Roman"/>
          <w:color w:val="auto"/>
          <w:spacing w:val="6"/>
          <w:highlight w:val="none"/>
        </w:rPr>
      </w:pPr>
    </w:p>
    <w:p>
      <w:pPr>
        <w:snapToGrid w:val="0"/>
        <w:spacing w:line="360" w:lineRule="auto"/>
        <w:ind w:firstLine="504" w:firstLineChars="200"/>
        <w:rPr>
          <w:rFonts w:ascii="Times New Roman" w:hAnsi="Times New Roman"/>
          <w:color w:val="auto"/>
          <w:spacing w:val="6"/>
          <w:sz w:val="24"/>
          <w:highlight w:val="none"/>
        </w:rPr>
      </w:pPr>
      <w:r>
        <w:rPr>
          <w:rFonts w:ascii="Times New Roman" w:hAnsi="Times New Roman"/>
          <w:color w:val="auto"/>
          <w:spacing w:val="6"/>
          <w:sz w:val="24"/>
          <w:highlight w:val="none"/>
        </w:rPr>
        <w:t>本单位郑重声明，根据《财政部 民政部 中国残疾人联合会关于促进残疾人就业政府采购政策的通知》（财库</w:t>
      </w:r>
      <w:r>
        <w:rPr>
          <w:rFonts w:ascii="Times New Roman" w:hAnsi="Times New Roman"/>
          <w:color w:val="auto"/>
          <w:sz w:val="24"/>
          <w:highlight w:val="none"/>
        </w:rPr>
        <w:t>〔2017〕141</w:t>
      </w:r>
      <w:r>
        <w:rPr>
          <w:rFonts w:ascii="Times New Roman" w:hAnsi="Times New Roman"/>
          <w:color w:val="auto"/>
          <w:spacing w:val="6"/>
          <w:sz w:val="24"/>
          <w:highlight w:val="none"/>
        </w:rPr>
        <w:t>号）的规定，本单位为符合条件的残疾人福利性单位，且本单位参加</w:t>
      </w:r>
      <w:r>
        <w:rPr>
          <w:rFonts w:ascii="Times New Roman" w:hAnsi="Times New Roman"/>
          <w:color w:val="auto"/>
          <w:spacing w:val="6"/>
          <w:sz w:val="24"/>
          <w:highlight w:val="none"/>
          <w:u w:val="single"/>
        </w:rPr>
        <w:t xml:space="preserve"> （采购人名称）  </w:t>
      </w:r>
      <w:r>
        <w:rPr>
          <w:rFonts w:ascii="Times New Roman" w:hAnsi="Times New Roman"/>
          <w:color w:val="auto"/>
          <w:spacing w:val="6"/>
          <w:sz w:val="24"/>
          <w:highlight w:val="none"/>
        </w:rPr>
        <w:t>单位的</w:t>
      </w:r>
      <w:r>
        <w:rPr>
          <w:rFonts w:ascii="Times New Roman" w:hAnsi="Times New Roman"/>
          <w:color w:val="auto"/>
          <w:spacing w:val="6"/>
          <w:sz w:val="24"/>
          <w:highlight w:val="none"/>
          <w:u w:val="single"/>
        </w:rPr>
        <w:t xml:space="preserve">   （项目名称）    </w:t>
      </w:r>
      <w:r>
        <w:rPr>
          <w:rFonts w:ascii="Times New Roman" w:hAnsi="Times New Roman"/>
          <w:color w:val="auto"/>
          <w:spacing w:val="6"/>
          <w:sz w:val="24"/>
          <w:highlight w:val="none"/>
        </w:rPr>
        <w:t>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06" w:firstLineChars="200"/>
        <w:rPr>
          <w:rFonts w:ascii="Times New Roman" w:hAnsi="Times New Roman"/>
          <w:color w:val="auto"/>
          <w:spacing w:val="6"/>
          <w:sz w:val="24"/>
          <w:highlight w:val="none"/>
        </w:rPr>
      </w:pPr>
      <w:r>
        <w:rPr>
          <w:rFonts w:ascii="Times New Roman" w:hAnsi="Times New Roman"/>
          <w:b/>
          <w:color w:val="auto"/>
          <w:spacing w:val="6"/>
          <w:sz w:val="24"/>
          <w:highlight w:val="none"/>
          <w:u w:val="single"/>
        </w:rPr>
        <w:t>本单位对上述声明的真实性负责。如有虚假，将依法承担相应责任</w:t>
      </w:r>
      <w:r>
        <w:rPr>
          <w:rFonts w:ascii="Times New Roman" w:hAnsi="Times New Roman"/>
          <w:color w:val="auto"/>
          <w:spacing w:val="6"/>
          <w:sz w:val="24"/>
          <w:highlight w:val="none"/>
        </w:rPr>
        <w:t>。</w:t>
      </w:r>
    </w:p>
    <w:p>
      <w:pPr>
        <w:snapToGrid w:val="0"/>
        <w:spacing w:line="360" w:lineRule="auto"/>
        <w:ind w:firstLine="504" w:firstLineChars="200"/>
        <w:rPr>
          <w:rFonts w:ascii="Times New Roman" w:hAnsi="Times New Roman"/>
          <w:color w:val="auto"/>
          <w:spacing w:val="6"/>
          <w:sz w:val="24"/>
          <w:highlight w:val="none"/>
        </w:rPr>
      </w:pPr>
    </w:p>
    <w:p>
      <w:pPr>
        <w:snapToGrid w:val="0"/>
        <w:spacing w:line="360" w:lineRule="auto"/>
        <w:ind w:firstLine="504" w:firstLineChars="200"/>
        <w:rPr>
          <w:rFonts w:ascii="Times New Roman" w:hAnsi="Times New Roman"/>
          <w:color w:val="auto"/>
          <w:spacing w:val="6"/>
          <w:sz w:val="24"/>
          <w:highlight w:val="none"/>
        </w:rPr>
      </w:pPr>
    </w:p>
    <w:p>
      <w:pPr>
        <w:adjustRightInd w:val="0"/>
        <w:snapToGrid w:val="0"/>
        <w:spacing w:line="360" w:lineRule="auto"/>
        <w:ind w:firstLine="480" w:firstLineChars="200"/>
        <w:rPr>
          <w:rFonts w:ascii="Times New Roman" w:hAnsi="Times New Roman"/>
          <w:color w:val="auto"/>
          <w:sz w:val="24"/>
          <w:highlight w:val="none"/>
          <w:u w:val="single"/>
        </w:rPr>
      </w:pPr>
      <w:r>
        <w:rPr>
          <w:rFonts w:ascii="Times New Roman" w:hAnsi="Times New Roman"/>
          <w:color w:val="auto"/>
          <w:sz w:val="24"/>
          <w:highlight w:val="none"/>
        </w:rPr>
        <w:t>供应商名称（</w:t>
      </w:r>
      <w:r>
        <w:rPr>
          <w:rFonts w:hint="eastAsia" w:ascii="Times New Roman" w:hAnsi="Times New Roman"/>
          <w:color w:val="auto"/>
          <w:sz w:val="24"/>
          <w:highlight w:val="none"/>
        </w:rPr>
        <w:t>签</w:t>
      </w:r>
      <w:r>
        <w:rPr>
          <w:rFonts w:ascii="Times New Roman" w:hAnsi="Times New Roman"/>
          <w:color w:val="auto"/>
          <w:sz w:val="24"/>
          <w:highlight w:val="none"/>
        </w:rPr>
        <w:t>章）：</w:t>
      </w:r>
      <w:r>
        <w:rPr>
          <w:rFonts w:ascii="Times New Roman" w:hAnsi="Times New Roman"/>
          <w:color w:val="auto"/>
          <w:sz w:val="24"/>
          <w:highlight w:val="none"/>
          <w:u w:val="single"/>
        </w:rPr>
        <w:t xml:space="preserve">            </w:t>
      </w:r>
    </w:p>
    <w:p>
      <w:pPr>
        <w:adjustRightInd w:val="0"/>
        <w:snapToGrid w:val="0"/>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日期：   年  月  日</w:t>
      </w:r>
    </w:p>
    <w:p>
      <w:pPr>
        <w:pStyle w:val="28"/>
        <w:adjustRightInd w:val="0"/>
        <w:snapToGrid w:val="0"/>
        <w:spacing w:line="300" w:lineRule="auto"/>
        <w:ind w:firstLine="420" w:firstLineChars="200"/>
        <w:rPr>
          <w:rFonts w:ascii="Times New Roman" w:hAnsi="Times New Roman"/>
          <w:color w:val="auto"/>
          <w:highlight w:val="none"/>
        </w:rPr>
      </w:pPr>
    </w:p>
    <w:p>
      <w:pPr>
        <w:spacing w:line="320" w:lineRule="exact"/>
        <w:jc w:val="center"/>
        <w:rPr>
          <w:rFonts w:ascii="Times New Roman" w:hAnsi="Times New Roman"/>
          <w:b/>
          <w:color w:val="auto"/>
          <w:sz w:val="28"/>
          <w:highlight w:val="none"/>
        </w:rPr>
      </w:pPr>
    </w:p>
    <w:p>
      <w:pPr>
        <w:spacing w:line="320" w:lineRule="exact"/>
        <w:jc w:val="center"/>
        <w:rPr>
          <w:rFonts w:ascii="Times New Roman" w:hAnsi="Times New Roman"/>
          <w:b/>
          <w:color w:val="auto"/>
          <w:sz w:val="28"/>
          <w:highlight w:val="none"/>
        </w:rPr>
      </w:pPr>
    </w:p>
    <w:p>
      <w:pPr>
        <w:spacing w:line="320" w:lineRule="exact"/>
        <w:jc w:val="center"/>
        <w:rPr>
          <w:rFonts w:ascii="Times New Roman" w:hAnsi="Times New Roman"/>
          <w:b/>
          <w:color w:val="auto"/>
          <w:sz w:val="28"/>
          <w:highlight w:val="none"/>
        </w:rPr>
      </w:pPr>
    </w:p>
    <w:p>
      <w:pPr>
        <w:spacing w:line="320" w:lineRule="exact"/>
        <w:jc w:val="center"/>
        <w:rPr>
          <w:rFonts w:ascii="Times New Roman" w:hAnsi="Times New Roman"/>
          <w:b/>
          <w:color w:val="auto"/>
          <w:sz w:val="28"/>
          <w:highlight w:val="none"/>
        </w:rPr>
      </w:pPr>
    </w:p>
    <w:p>
      <w:pPr>
        <w:spacing w:line="320" w:lineRule="exact"/>
        <w:jc w:val="center"/>
        <w:rPr>
          <w:rFonts w:ascii="Times New Roman" w:hAnsi="Times New Roman"/>
          <w:b/>
          <w:color w:val="auto"/>
          <w:sz w:val="28"/>
          <w:highlight w:val="none"/>
        </w:rPr>
      </w:pPr>
    </w:p>
    <w:p>
      <w:pPr>
        <w:spacing w:line="320" w:lineRule="exact"/>
        <w:jc w:val="center"/>
        <w:rPr>
          <w:rFonts w:ascii="Times New Roman" w:hAnsi="Times New Roman"/>
          <w:b/>
          <w:color w:val="auto"/>
          <w:sz w:val="28"/>
          <w:highlight w:val="none"/>
        </w:rPr>
      </w:pPr>
    </w:p>
    <w:p>
      <w:pPr>
        <w:spacing w:line="320" w:lineRule="exact"/>
        <w:jc w:val="center"/>
        <w:rPr>
          <w:rFonts w:ascii="Times New Roman" w:hAnsi="Times New Roman"/>
          <w:b/>
          <w:color w:val="auto"/>
          <w:sz w:val="28"/>
          <w:highlight w:val="none"/>
        </w:rPr>
      </w:pPr>
    </w:p>
    <w:p>
      <w:pPr>
        <w:pStyle w:val="51"/>
        <w:rPr>
          <w:rFonts w:ascii="Times New Roman" w:hAnsi="Times New Roman"/>
          <w:color w:val="auto"/>
          <w:highlight w:val="none"/>
        </w:rPr>
      </w:pPr>
    </w:p>
    <w:p>
      <w:pPr>
        <w:spacing w:line="320" w:lineRule="exact"/>
        <w:jc w:val="center"/>
        <w:rPr>
          <w:rFonts w:ascii="Times New Roman" w:hAnsi="Times New Roman"/>
          <w:b/>
          <w:color w:val="auto"/>
          <w:sz w:val="28"/>
          <w:highlight w:val="none"/>
        </w:rPr>
      </w:pPr>
    </w:p>
    <w:p>
      <w:pPr>
        <w:spacing w:line="320" w:lineRule="exact"/>
        <w:jc w:val="center"/>
        <w:rPr>
          <w:rFonts w:ascii="Times New Roman" w:hAnsi="Times New Roman"/>
          <w:b/>
          <w:color w:val="auto"/>
          <w:sz w:val="28"/>
          <w:highlight w:val="none"/>
        </w:rPr>
      </w:pPr>
    </w:p>
    <w:p>
      <w:pPr>
        <w:spacing w:line="320" w:lineRule="exact"/>
        <w:jc w:val="center"/>
        <w:rPr>
          <w:rFonts w:ascii="Times New Roman" w:hAnsi="Times New Roman"/>
          <w:b/>
          <w:color w:val="auto"/>
          <w:sz w:val="28"/>
          <w:highlight w:val="none"/>
        </w:rPr>
      </w:pPr>
    </w:p>
    <w:p>
      <w:pPr>
        <w:spacing w:line="320" w:lineRule="exact"/>
        <w:jc w:val="center"/>
        <w:rPr>
          <w:rFonts w:ascii="Times New Roman" w:hAnsi="Times New Roman"/>
          <w:b/>
          <w:color w:val="auto"/>
          <w:sz w:val="28"/>
          <w:highlight w:val="none"/>
        </w:rPr>
      </w:pPr>
    </w:p>
    <w:p>
      <w:pPr>
        <w:spacing w:line="320" w:lineRule="exact"/>
        <w:jc w:val="center"/>
        <w:rPr>
          <w:rFonts w:ascii="Times New Roman" w:hAnsi="Times New Roman"/>
          <w:b/>
          <w:color w:val="auto"/>
          <w:sz w:val="28"/>
          <w:highlight w:val="none"/>
        </w:rPr>
      </w:pPr>
    </w:p>
    <w:p>
      <w:pPr>
        <w:spacing w:line="320" w:lineRule="exact"/>
        <w:jc w:val="center"/>
        <w:rPr>
          <w:rFonts w:ascii="Times New Roman" w:hAnsi="Times New Roman"/>
          <w:b/>
          <w:color w:val="auto"/>
          <w:sz w:val="28"/>
          <w:highlight w:val="none"/>
        </w:rPr>
      </w:pPr>
    </w:p>
    <w:p>
      <w:pPr>
        <w:spacing w:line="320" w:lineRule="exact"/>
        <w:jc w:val="center"/>
        <w:rPr>
          <w:rFonts w:ascii="Times New Roman" w:hAnsi="Times New Roman"/>
          <w:b/>
          <w:color w:val="auto"/>
          <w:sz w:val="28"/>
          <w:highlight w:val="none"/>
        </w:rPr>
      </w:pPr>
    </w:p>
    <w:p>
      <w:pPr>
        <w:spacing w:line="320" w:lineRule="exact"/>
        <w:jc w:val="center"/>
        <w:rPr>
          <w:rFonts w:ascii="Times New Roman" w:hAnsi="Times New Roman"/>
          <w:b/>
          <w:color w:val="auto"/>
          <w:sz w:val="28"/>
          <w:highlight w:val="none"/>
        </w:rPr>
      </w:pPr>
    </w:p>
    <w:p>
      <w:pPr>
        <w:spacing w:line="320" w:lineRule="exact"/>
        <w:jc w:val="center"/>
        <w:rPr>
          <w:rFonts w:ascii="Times New Roman" w:hAnsi="Times New Roman"/>
          <w:b/>
          <w:color w:val="auto"/>
          <w:sz w:val="28"/>
          <w:highlight w:val="none"/>
        </w:rPr>
      </w:pPr>
    </w:p>
    <w:p>
      <w:pPr>
        <w:spacing w:line="320" w:lineRule="exact"/>
        <w:rPr>
          <w:rFonts w:ascii="Times New Roman" w:hAnsi="Times New Roman"/>
          <w:color w:val="auto"/>
          <w:kern w:val="1"/>
          <w:highlight w:val="none"/>
        </w:rPr>
      </w:pPr>
    </w:p>
    <w:p>
      <w:pPr>
        <w:pStyle w:val="51"/>
        <w:rPr>
          <w:rFonts w:ascii="Times New Roman" w:hAnsi="Times New Roman"/>
          <w:color w:val="auto"/>
          <w:kern w:val="1"/>
          <w:highlight w:val="none"/>
        </w:rPr>
      </w:pPr>
    </w:p>
    <w:p>
      <w:pPr>
        <w:pStyle w:val="51"/>
        <w:rPr>
          <w:rFonts w:ascii="Times New Roman" w:hAnsi="Times New Roman"/>
          <w:color w:val="auto"/>
          <w:kern w:val="1"/>
          <w:highlight w:val="none"/>
        </w:rPr>
      </w:pPr>
    </w:p>
    <w:p>
      <w:pPr>
        <w:pStyle w:val="51"/>
        <w:rPr>
          <w:rFonts w:ascii="Times New Roman" w:hAnsi="Times New Roman"/>
          <w:color w:val="auto"/>
          <w:kern w:val="1"/>
          <w:highlight w:val="none"/>
        </w:rPr>
      </w:pPr>
    </w:p>
    <w:p>
      <w:pPr>
        <w:pStyle w:val="51"/>
        <w:rPr>
          <w:rFonts w:ascii="Times New Roman" w:hAnsi="Times New Roman"/>
          <w:color w:val="auto"/>
          <w:kern w:val="1"/>
          <w:highlight w:val="none"/>
        </w:rPr>
      </w:pPr>
    </w:p>
    <w:p>
      <w:pPr>
        <w:pStyle w:val="51"/>
        <w:rPr>
          <w:rFonts w:ascii="Times New Roman" w:hAnsi="Times New Roman"/>
          <w:color w:val="auto"/>
          <w:kern w:val="1"/>
          <w:highlight w:val="none"/>
        </w:rPr>
      </w:pPr>
    </w:p>
    <w:p>
      <w:pPr>
        <w:pStyle w:val="51"/>
        <w:rPr>
          <w:rFonts w:ascii="Times New Roman" w:hAnsi="Times New Roman"/>
          <w:color w:val="auto"/>
          <w:kern w:val="1"/>
          <w:highlight w:val="none"/>
        </w:rPr>
      </w:pPr>
    </w:p>
    <w:p>
      <w:pPr>
        <w:pStyle w:val="51"/>
        <w:rPr>
          <w:rFonts w:ascii="Times New Roman" w:hAnsi="Times New Roman"/>
          <w:color w:val="auto"/>
          <w:kern w:val="1"/>
          <w:highlight w:val="none"/>
        </w:rPr>
      </w:pPr>
    </w:p>
    <w:p>
      <w:pPr>
        <w:spacing w:line="300" w:lineRule="auto"/>
        <w:jc w:val="center"/>
        <w:rPr>
          <w:rFonts w:ascii="Times New Roman" w:hAnsi="Times New Roman"/>
          <w:b/>
          <w:color w:val="auto"/>
          <w:sz w:val="36"/>
          <w:highlight w:val="none"/>
        </w:rPr>
      </w:pPr>
      <w:r>
        <w:rPr>
          <w:rFonts w:ascii="Times New Roman" w:hAnsi="Times New Roman"/>
          <w:b/>
          <w:color w:val="auto"/>
          <w:sz w:val="36"/>
          <w:highlight w:val="none"/>
        </w:rPr>
        <w:t>监狱企业声明函</w:t>
      </w:r>
    </w:p>
    <w:p>
      <w:pPr>
        <w:adjustRightInd w:val="0"/>
        <w:snapToGrid w:val="0"/>
        <w:spacing w:line="300" w:lineRule="auto"/>
        <w:jc w:val="center"/>
        <w:rPr>
          <w:rFonts w:ascii="Times New Roman" w:hAnsi="Times New Roman"/>
          <w:b/>
          <w:color w:val="auto"/>
          <w:sz w:val="24"/>
          <w:highlight w:val="none"/>
        </w:rPr>
      </w:pPr>
      <w:r>
        <w:rPr>
          <w:rFonts w:ascii="Times New Roman" w:hAnsi="Times New Roman"/>
          <w:b/>
          <w:color w:val="auto"/>
          <w:sz w:val="24"/>
          <w:highlight w:val="none"/>
        </w:rPr>
        <w:t>【非监狱企业不用提供】</w:t>
      </w:r>
    </w:p>
    <w:p>
      <w:pPr>
        <w:widowControl/>
        <w:adjustRightInd w:val="0"/>
        <w:snapToGrid w:val="0"/>
        <w:spacing w:line="300" w:lineRule="auto"/>
        <w:ind w:firstLine="480" w:firstLineChars="200"/>
        <w:rPr>
          <w:rFonts w:ascii="Times New Roman" w:hAnsi="Times New Roman"/>
          <w:color w:val="auto"/>
          <w:sz w:val="24"/>
          <w:highlight w:val="none"/>
        </w:rPr>
      </w:pPr>
    </w:p>
    <w:p>
      <w:pPr>
        <w:widowControl/>
        <w:adjustRightInd w:val="0"/>
        <w:snapToGrid w:val="0"/>
        <w:spacing w:line="360" w:lineRule="auto"/>
        <w:ind w:firstLine="480" w:firstLineChars="200"/>
        <w:jc w:val="left"/>
        <w:rPr>
          <w:rFonts w:ascii="Times New Roman" w:hAnsi="Times New Roman"/>
          <w:color w:val="auto"/>
          <w:sz w:val="24"/>
          <w:highlight w:val="none"/>
        </w:rPr>
      </w:pPr>
      <w:r>
        <w:rPr>
          <w:rFonts w:ascii="Times New Roman" w:hAnsi="Times New Roman"/>
          <w:color w:val="auto"/>
          <w:sz w:val="24"/>
          <w:highlight w:val="none"/>
        </w:rPr>
        <w:t>本企业郑重声明，根据《关于政府采购支持监狱企业发展有关问题的通知》（财库[2014]68号）的规定，本企业为</w:t>
      </w:r>
      <w:r>
        <w:rPr>
          <w:rFonts w:ascii="Times New Roman" w:hAnsi="Times New Roman"/>
          <w:color w:val="auto"/>
          <w:sz w:val="24"/>
          <w:highlight w:val="none"/>
          <w:u w:val="single"/>
        </w:rPr>
        <w:t>监狱企业</w:t>
      </w:r>
      <w:r>
        <w:rPr>
          <w:rFonts w:ascii="Times New Roman" w:hAnsi="Times New Roman"/>
          <w:color w:val="auto"/>
          <w:sz w:val="24"/>
          <w:highlight w:val="none"/>
        </w:rPr>
        <w:t>。</w:t>
      </w:r>
    </w:p>
    <w:p>
      <w:pPr>
        <w:widowControl/>
        <w:adjustRightInd w:val="0"/>
        <w:snapToGrid w:val="0"/>
        <w:spacing w:line="360" w:lineRule="auto"/>
        <w:ind w:firstLine="480" w:firstLineChars="200"/>
        <w:jc w:val="left"/>
        <w:rPr>
          <w:rFonts w:ascii="Times New Roman" w:hAnsi="Times New Roman"/>
          <w:color w:val="auto"/>
          <w:sz w:val="24"/>
          <w:highlight w:val="none"/>
        </w:rPr>
      </w:pPr>
      <w:r>
        <w:rPr>
          <w:rFonts w:ascii="Times New Roman" w:hAnsi="Times New Roman"/>
          <w:color w:val="auto"/>
          <w:sz w:val="24"/>
          <w:highlight w:val="none"/>
        </w:rPr>
        <w:t>根据上述标准，我企业属于</w:t>
      </w:r>
      <w:r>
        <w:rPr>
          <w:rFonts w:ascii="Times New Roman" w:hAnsi="Times New Roman"/>
          <w:color w:val="auto"/>
          <w:sz w:val="24"/>
          <w:highlight w:val="none"/>
          <w:u w:val="single"/>
        </w:rPr>
        <w:t>监狱企业</w:t>
      </w:r>
      <w:r>
        <w:rPr>
          <w:rFonts w:ascii="Times New Roman" w:hAnsi="Times New Roman"/>
          <w:color w:val="auto"/>
          <w:sz w:val="24"/>
          <w:highlight w:val="none"/>
        </w:rPr>
        <w:t>的理由为：</w:t>
      </w:r>
      <w:r>
        <w:rPr>
          <w:rFonts w:ascii="Times New Roman" w:hAnsi="Times New Roman"/>
          <w:color w:val="auto"/>
          <w:sz w:val="24"/>
          <w:highlight w:val="none"/>
          <w:u w:val="single"/>
        </w:rPr>
        <w:t xml:space="preserve">        </w:t>
      </w:r>
      <w:r>
        <w:rPr>
          <w:rFonts w:ascii="Times New Roman" w:hAnsi="Times New Roman"/>
          <w:color w:val="auto"/>
          <w:sz w:val="24"/>
          <w:highlight w:val="none"/>
        </w:rPr>
        <w:t xml:space="preserve"> 。</w:t>
      </w:r>
    </w:p>
    <w:p>
      <w:pPr>
        <w:widowControl/>
        <w:adjustRightInd w:val="0"/>
        <w:snapToGrid w:val="0"/>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本企业为参加（项目名称：</w:t>
      </w:r>
      <w:r>
        <w:rPr>
          <w:rFonts w:ascii="Times New Roman" w:hAnsi="Times New Roman"/>
          <w:color w:val="auto"/>
          <w:sz w:val="24"/>
          <w:highlight w:val="none"/>
          <w:u w:val="single"/>
        </w:rPr>
        <w:t xml:space="preserve">     </w:t>
      </w:r>
      <w:r>
        <w:rPr>
          <w:rFonts w:ascii="Times New Roman" w:hAnsi="Times New Roman"/>
          <w:color w:val="auto"/>
          <w:sz w:val="24"/>
          <w:highlight w:val="none"/>
        </w:rPr>
        <w:t>）（项目编号：</w:t>
      </w:r>
      <w:r>
        <w:rPr>
          <w:rFonts w:ascii="Times New Roman" w:hAnsi="Times New Roman"/>
          <w:color w:val="auto"/>
          <w:sz w:val="24"/>
          <w:highlight w:val="none"/>
          <w:u w:val="single"/>
        </w:rPr>
        <w:t xml:space="preserve">    </w:t>
      </w:r>
      <w:r>
        <w:rPr>
          <w:rFonts w:ascii="Times New Roman" w:hAnsi="Times New Roman"/>
          <w:color w:val="auto"/>
          <w:sz w:val="24"/>
          <w:highlight w:val="none"/>
        </w:rPr>
        <w:t>）采购活动提供本企业</w:t>
      </w:r>
      <w:r>
        <w:rPr>
          <w:rFonts w:ascii="Times New Roman" w:hAnsi="Times New Roman"/>
          <w:color w:val="auto"/>
          <w:sz w:val="24"/>
          <w:highlight w:val="none"/>
          <w:u w:val="single"/>
        </w:rPr>
        <w:t>的服务</w:t>
      </w:r>
      <w:r>
        <w:rPr>
          <w:rFonts w:ascii="Times New Roman" w:hAnsi="Times New Roman"/>
          <w:color w:val="auto"/>
          <w:sz w:val="24"/>
          <w:highlight w:val="none"/>
        </w:rPr>
        <w:t>。</w:t>
      </w:r>
    </w:p>
    <w:p>
      <w:pPr>
        <w:widowControl/>
        <w:adjustRightInd w:val="0"/>
        <w:snapToGrid w:val="0"/>
        <w:spacing w:line="360" w:lineRule="auto"/>
        <w:ind w:firstLine="482" w:firstLineChars="200"/>
        <w:rPr>
          <w:rFonts w:ascii="Times New Roman" w:hAnsi="Times New Roman"/>
          <w:color w:val="auto"/>
          <w:sz w:val="24"/>
          <w:highlight w:val="none"/>
        </w:rPr>
      </w:pPr>
      <w:r>
        <w:rPr>
          <w:rFonts w:ascii="Times New Roman" w:hAnsi="Times New Roman"/>
          <w:b/>
          <w:color w:val="auto"/>
          <w:sz w:val="24"/>
          <w:highlight w:val="none"/>
          <w:u w:val="single"/>
        </w:rPr>
        <w:t>本企业对上述声明的真实性负责。如有虚假，将依法承担相应责任</w:t>
      </w:r>
      <w:r>
        <w:rPr>
          <w:rFonts w:ascii="Times New Roman" w:hAnsi="Times New Roman"/>
          <w:color w:val="auto"/>
          <w:sz w:val="24"/>
          <w:highlight w:val="none"/>
        </w:rPr>
        <w:t>。</w:t>
      </w:r>
    </w:p>
    <w:p>
      <w:pPr>
        <w:adjustRightInd w:val="0"/>
        <w:snapToGrid w:val="0"/>
        <w:spacing w:line="360" w:lineRule="auto"/>
        <w:ind w:firstLine="480" w:firstLineChars="200"/>
        <w:jc w:val="center"/>
        <w:rPr>
          <w:rFonts w:ascii="Times New Roman" w:hAnsi="Times New Roman"/>
          <w:color w:val="auto"/>
          <w:sz w:val="24"/>
          <w:highlight w:val="none"/>
        </w:rPr>
      </w:pPr>
    </w:p>
    <w:p>
      <w:pPr>
        <w:adjustRightInd w:val="0"/>
        <w:snapToGrid w:val="0"/>
        <w:spacing w:line="360" w:lineRule="auto"/>
        <w:ind w:firstLine="480" w:firstLineChars="200"/>
        <w:rPr>
          <w:rFonts w:ascii="Times New Roman" w:hAnsi="Times New Roman"/>
          <w:color w:val="auto"/>
          <w:sz w:val="24"/>
          <w:highlight w:val="none"/>
          <w:u w:val="single"/>
        </w:rPr>
      </w:pPr>
      <w:r>
        <w:rPr>
          <w:rFonts w:ascii="Times New Roman" w:hAnsi="Times New Roman"/>
          <w:color w:val="auto"/>
          <w:sz w:val="24"/>
          <w:highlight w:val="none"/>
        </w:rPr>
        <w:t>供应商名称（</w:t>
      </w:r>
      <w:r>
        <w:rPr>
          <w:rFonts w:hint="eastAsia" w:ascii="Times New Roman" w:hAnsi="Times New Roman"/>
          <w:color w:val="auto"/>
          <w:sz w:val="24"/>
          <w:highlight w:val="none"/>
        </w:rPr>
        <w:t>签</w:t>
      </w:r>
      <w:r>
        <w:rPr>
          <w:rFonts w:ascii="Times New Roman" w:hAnsi="Times New Roman"/>
          <w:color w:val="auto"/>
          <w:sz w:val="24"/>
          <w:highlight w:val="none"/>
        </w:rPr>
        <w:t>章）：</w:t>
      </w:r>
      <w:r>
        <w:rPr>
          <w:rFonts w:ascii="Times New Roman" w:hAnsi="Times New Roman"/>
          <w:color w:val="auto"/>
          <w:sz w:val="24"/>
          <w:highlight w:val="none"/>
          <w:u w:val="single"/>
        </w:rPr>
        <w:t xml:space="preserve">            </w:t>
      </w:r>
    </w:p>
    <w:p>
      <w:pPr>
        <w:adjustRightInd w:val="0"/>
        <w:snapToGrid w:val="0"/>
        <w:spacing w:line="360" w:lineRule="auto"/>
        <w:ind w:firstLine="480" w:firstLineChars="200"/>
        <w:rPr>
          <w:rFonts w:ascii="Times New Roman" w:hAnsi="Times New Roman"/>
          <w:color w:val="auto"/>
          <w:sz w:val="24"/>
          <w:highlight w:val="none"/>
        </w:rPr>
      </w:pPr>
      <w:r>
        <w:rPr>
          <w:rFonts w:ascii="Times New Roman" w:hAnsi="Times New Roman"/>
          <w:color w:val="auto"/>
          <w:sz w:val="24"/>
          <w:highlight w:val="none"/>
        </w:rPr>
        <w:t>日期：   年  月  日</w:t>
      </w:r>
    </w:p>
    <w:p>
      <w:pPr>
        <w:widowControl/>
        <w:snapToGrid w:val="0"/>
        <w:spacing w:line="360" w:lineRule="auto"/>
        <w:ind w:firstLine="480" w:firstLineChars="200"/>
        <w:rPr>
          <w:rFonts w:ascii="Times New Roman" w:hAnsi="Times New Roman"/>
          <w:color w:val="auto"/>
          <w:sz w:val="24"/>
          <w:highlight w:val="none"/>
        </w:rPr>
      </w:pP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textAlignment w:val="auto"/>
        <w:rPr>
          <w:rFonts w:ascii="Times New Roman" w:hAnsi="Times New Roman"/>
          <w:color w:val="auto"/>
          <w:sz w:val="24"/>
          <w:highlight w:val="none"/>
        </w:rPr>
      </w:pPr>
      <w:r>
        <w:rPr>
          <w:rFonts w:ascii="Times New Roman" w:hAnsi="Times New Roman"/>
          <w:color w:val="auto"/>
          <w:sz w:val="24"/>
          <w:highlight w:val="none"/>
        </w:rPr>
        <w:t>监狱企业参加政府采购活动时，应当提供由省级以上监狱管理局、戒毒管理局（含新疆生产建设兵团）出具的属于监狱企业的文件或网页资料。</w:t>
      </w:r>
    </w:p>
    <w:p>
      <w:pPr>
        <w:pStyle w:val="51"/>
        <w:keepNext w:val="0"/>
        <w:keepLines w:val="0"/>
        <w:pageBreakBefore w:val="0"/>
        <w:kinsoku/>
        <w:wordWrap/>
        <w:overflowPunct/>
        <w:topLinePunct w:val="0"/>
        <w:autoSpaceDE/>
        <w:autoSpaceDN/>
        <w:bidi w:val="0"/>
        <w:adjustRightInd/>
        <w:spacing w:line="360" w:lineRule="auto"/>
        <w:ind w:left="0" w:leftChars="0" w:firstLine="480" w:firstLineChars="200"/>
        <w:textAlignment w:val="auto"/>
        <w:rPr>
          <w:rFonts w:ascii="Times New Roman" w:hAnsi="Times New Roman"/>
          <w:color w:val="auto"/>
          <w:kern w:val="1"/>
          <w:highlight w:val="none"/>
        </w:rPr>
      </w:pPr>
      <w:r>
        <w:rPr>
          <w:rFonts w:ascii="Times New Roman" w:hAnsi="Times New Roman"/>
          <w:color w:val="auto"/>
          <w:sz w:val="24"/>
          <w:highlight w:val="none"/>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sectPr>
      <w:footerReference r:id="rId14" w:type="first"/>
      <w:headerReference r:id="rId12" w:type="default"/>
      <w:footerReference r:id="rId13" w:type="default"/>
      <w:pgSz w:w="11906" w:h="16838"/>
      <w:pgMar w:top="1247" w:right="1361" w:bottom="1247" w:left="1247" w:header="851" w:footer="992" w:gutter="0"/>
      <w:pgBorders>
        <w:top w:val="none" w:sz="0" w:space="0"/>
        <w:left w:val="none" w:sz="0" w:space="0"/>
        <w:bottom w:val="none" w:sz="0" w:space="0"/>
        <w:right w:val="none" w:sz="0" w:space="0"/>
      </w:pgBorders>
      <w:pgNumType w:fmt="numberInDash"/>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新宋体">
    <w:panose1 w:val="02010609030101010101"/>
    <w:charset w:val="86"/>
    <w:family w:val="modern"/>
    <w:pitch w:val="default"/>
    <w:sig w:usb0="00000203" w:usb1="288F0000" w:usb2="00000006" w:usb3="00000000" w:csb0="00040001"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Light">
    <w:panose1 w:val="020B0502040204020203"/>
    <w:charset w:val="86"/>
    <w:family w:val="swiss"/>
    <w:pitch w:val="default"/>
    <w:sig w:usb0="80000287" w:usb1="2ACF0010"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kern w:val="1"/>
        <w:sz w:val="18"/>
      </w:rPr>
    </w:pPr>
  </w:p>
  <w:p>
    <w:pPr>
      <w:pStyle w:val="34"/>
      <w:framePr w:wrap="around" w:vAnchor="text" w:hAnchor="page" w:x="5919" w:y="16"/>
    </w:pPr>
  </w:p>
  <w:p>
    <w:pPr>
      <w:pStyle w:val="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6872"/>
        <w:tab w:val="clear" w:pos="4153"/>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- 25 -</w:t>
                          </w:r>
                          <w:r>
                            <w:rPr>
                              <w:rFonts w:hint="eastAsia"/>
                            </w:rPr>
                            <w:fldChar w:fldCharType="end"/>
                          </w:r>
                        </w:p>
                      </w:txbxContent>
                    </wps:txbx>
                    <wps:bodyPr wrap="none" lIns="0" tIns="0" rIns="0" bIns="0" upright="0">
                      <a:spAutoFit/>
                    </wps:bodyPr>
                  </wps:wsp>
                </a:graphicData>
              </a:graphic>
            </wp:anchor>
          </w:drawing>
        </mc:Choice>
        <mc:Fallback>
          <w:pict>
            <v:shape id="文本框 3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TZAjLMkBAACaAwAADgAAAGRycy9lMm9Eb2MueG1srVPNjtMwEL4j8Q6W 79RpkVAVNV3tqlqEhABp4QFcx24s+U8et0lfAN6AExfuPFefg7GTdGG57IGLM54ZfzPfN5PNzWAN OckI2ruGLhcVJdIJ32p3aOiXz/ev1pRA4q7lxjvZ0LMEerN9+WLTh1qufOdNKyNBEAd1HxrapRRq xkB00nJY+CAdBpWPlie8xgNrI+8R3Rq2qqo3rPexDdELCYDe3RikE2J8DqBXSgu58+JopUsjapSG J6QEnQ5At6VbpaRIH5UCmYhpKDJN5cQiaO/zybYbXh8iD50WUwv8OS084WS5dlj0CrXjiZNj1P9A WS2iB6/SQnjLRiJFEWSxrJ5o89DxIAsXlBrCVXT4f7Diw+lTJLrFTaDEcYsDv3z/dvnx6/LzK3m9 zPr0AWpMewiYmIY7P+TcyQ/ozLQHFW3+IiGCcVT3fFVXDomI/Gi9Wq8rDAmMzRfEYY/PQ4T0VnpL stHQiOMrqvLTe0hj6pySqzl/r41BP6+N+8uBmNnDcu9jj9lKw36YGt/79ox8epx8Qx0uOiXmnUNh 85LMRpyN/WwcQ9SHrmxRrgfh9piwidJbrjDCToVxZIXdtF55J/68l6zHX2r7G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BNkCMsyQEAAJoDAAAOAAAAAAAAAAEAIAAAAB4BAABkcnMvZTJvRG9j LnhtbFBLBQYAAAAABgAGAFkBAABZBQAAAAA= ">
              <v:fill on="f" focussize="0,0"/>
              <v:stroke on="f"/>
              <v:imagedata o:title=""/>
              <o:lock v:ext="edit" aspectratio="f"/>
              <v:textbox inset="0mm,0mm,0mm,0mm" style="mso-fit-shape-to-text:t;">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- 25 -</w:t>
                    </w:r>
                    <w:r>
                      <w:rPr>
                        <w:rFonts w:hint="eastAsia"/>
                      </w:rPr>
                      <w:fldChar w:fldCharType="end"/>
                    </w:r>
                  </w:p>
                </w:txbxContent>
              </v:textbox>
            </v:shape>
          </w:pict>
        </mc:Fallback>
      </mc:AlternateContent>
    </w:r>
    <w:r>
      <w:rPr>
        <w:rFonts w:hint="eastAsia" w:ascii="黑体" w:hAnsi="黑体" w:eastAsia="黑体"/>
      </w:rPr>
      <w:t>诚实信用/专业规范/科学严谨/服务社会</w:t>
    </w:r>
    <w:r>
      <w:rPr>
        <w:rFonts w:hint="eastAsia"/>
      </w:rPr>
      <w:t xml:space="preserve">                                              </w:t>
    </w:r>
    <w:r>
      <w:rPr>
        <w:rFonts w:hint="eastAsia" w:ascii="黑体" w:hAnsi="黑体" w:eastAsia="黑体"/>
      </w:rPr>
      <w:t>浙江省成套招标代理有限公司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6872"/>
        <w:tab w:val="clear" w:pos="4153"/>
      </w:tabs>
      <w:rPr>
        <w:kern w:val="1"/>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- 1 -</w:t>
                          </w:r>
                          <w:r>
                            <w:rPr>
                              <w:rFonts w:hint="eastAsia"/>
                            </w:rPr>
                            <w:fldChar w:fldCharType="end"/>
                          </w:r>
                        </w:p>
                      </w:txbxContent>
                    </wps:txbx>
                    <wps:bodyPr wrap="none" lIns="0" tIns="0" rIns="0" bIns="0" upright="0">
                      <a:spAutoFit/>
                    </wps:bodyPr>
                  </wps:wsp>
                </a:graphicData>
              </a:graphic>
            </wp:anchor>
          </w:drawing>
        </mc:Choice>
        <mc:Fallback>
          <w:pict>
            <v:shape id="文本框 2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LLZuBcgBAACaAwAADgAAAGRycy9lMm9Eb2MueG1srVPNjtMwEL4j8Q6W 79TZHFCJmq5A1SIkBEgLD+A6dmPJf/K4TfoC8AacuHDnufocjJ2kC8tlD1yc8cz4m/m+mWxuR2vI SUbQ3rX0ZlVRIp3wnXaHln75fPdiTQkk7jpuvJMtPUugt9vnzzZDaGTte286GQmCOGiG0NI+pdAw BqKXlsPKB+kwqHy0POE1HlgX+YDo1rC6ql6ywccuRC8kAHp3U5DOiPEpgF4pLeTOi6OVLk2oURqe kBL0OgDdlm6VkiJ9VApkIqalyDSVE4ugvc8n2254c4g89FrMLfCntPCIk+XaYdEr1I4nTo5R/wNl tYgevEor4S2biBRFkMVN9Uib+54HWbig1BCuosP/gxUfTp8i0V1La0octzjwy/dvlx+/Lj+/kvpV 1mcI0GDafcDENL7xI27N4gd0ZtqjijZ/kRDBOKp7vqorx0REfrSu1+sKQwJjywXx2cPzECG9ld6S bLQ04viKqvz0HtKUuqTkas7faWPKCI37y4GY2cNy71OP2UrjfpwJ7X13Rj4DTr6lDhedEvPOobB5 SRYjLsZ+MY4h6kNftijXg/D6mLCJ0luuMMHOhXFkhd28Xnkn/ryXrIdfavsb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Cy2bgXIAQAAmgMAAA4AAAAAAAAAAQAgAAAAHgEAAGRycy9lMm9Eb2Mu eG1sUEsFBgAAAAAGAAYAWQEAAFgFAAAAAA== ">
              <v:fill on="f" focussize="0,0"/>
              <v:stroke on="f"/>
              <v:imagedata o:title=""/>
              <o:lock v:ext="edit" aspectratio="f"/>
              <v:textbox inset="0mm,0mm,0mm,0mm" style="mso-fit-shape-to-text:t;">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- 1 -</w:t>
                    </w:r>
                    <w:r>
                      <w:rPr>
                        <w:rFonts w:hint="eastAsia"/>
                      </w:rPr>
                      <w:fldChar w:fldCharType="end"/>
                    </w:r>
                  </w:p>
                </w:txbxContent>
              </v:textbox>
            </v:shape>
          </w:pict>
        </mc:Fallback>
      </mc:AlternateContent>
    </w:r>
    <w:r>
      <w:rPr>
        <w:rFonts w:hint="eastAsia" w:ascii="黑体" w:hAnsi="黑体" w:eastAsia="黑体"/>
      </w:rPr>
      <w:t>诚实信用/专业规范/科学严谨/服务社会</w:t>
    </w:r>
    <w:r>
      <w:rPr>
        <w:rFonts w:hint="eastAsia"/>
      </w:rPr>
      <w:t xml:space="preserve">                                            </w:t>
    </w:r>
    <w:r>
      <w:rPr>
        <w:rFonts w:hint="eastAsia" w:ascii="黑体" w:hAnsi="黑体" w:eastAsia="黑体"/>
      </w:rPr>
      <w:t>浙江省成套招标代理有限公司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6872"/>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- 43 -</w:t>
                          </w:r>
                          <w:r>
                            <w:rPr>
                              <w:rFonts w:hint="eastAsia"/>
                            </w:rPr>
                            <w:fldChar w:fldCharType="end"/>
                          </w:r>
                        </w:p>
                      </w:txbxContent>
                    </wps:txbx>
                    <wps:bodyPr wrap="none" lIns="0" tIns="0" rIns="0" bIns="0" upright="0">
                      <a:spAutoFit/>
                    </wps:bodyPr>
                  </wps:wsp>
                </a:graphicData>
              </a:graphic>
            </wp:anchor>
          </w:drawing>
        </mc:Choice>
        <mc:Fallback>
          <w:pict>
            <v:shape id="文本框 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iyaJTskBAACaAwAADgAAAGRycy9lMm9Eb2MueG1srVPNjtMwEL4j8Q6W 79TZIkEVNV2BqkVICJCWfQDXsRtL/pPHbdIXgDfgxIU7z9XnYOwkXdi97GEvznhm/M1830zW14M1 5CgjaO8aerWoKJFO+Fa7fUPvvt28WlECibuWG+9kQ08S6PXm5Yt1H2q59J03rYwEQRzUfWhol1Ko GQPRScth4YN0GFQ+Wp7wGvesjbxHdGvYsqresN7HNkQvJAB6t2OQTojxKYBeKS3k1ouDlS6NqFEa npASdDoA3ZRulZIifVEKZCKmocg0lROLoL3LJ9useb2PPHRaTC3wp7TwgJPl2mHRC9SWJ04OUT+C slpED16lhfCWjUSKIsjiqnqgzW3HgyxcUGoIF9Hh+WDF5+PXSHTb0NeUOG5x4OefP86//px/fyfL t1mfPkCNabcBE9Pw3g+4NbMf0JlpDyra/EVCBOOo7umirhwSEfnRarlaVRgSGJsviM/un4cI6YP0 lmSjoRHHV1Tlx0+QxtQ5JVdz/kYbU0Zo3H8OxMwelnsfe8xWGnbDRGjn2xPy6XHyDXW46JSYjw6F zUsyG3E2drNxCFHvu7JFuR6Ed4eETZTecoURdiqMIyvspvXKO/HvvWTd/1Kbv1BLAwQKAAAAAACH TuJAAAAAAAAAAAAAAAAABgAAAF9yZWxzL1BLAwQUAAAACACHTuJAihRmPNEAAACUAQAACwAAAF9y ZWxzLy5yZWxzpZDBasMwDIbvg72D0X1xmsMYo04vo9Br6R7A2IpjGltGMtn69vMOg2X0tqN+oe8T //7wmRa1IkukbGDX9aAwO/IxBwPvl+PTCyipNnu7UEYDNxQ4jI8P+zMutrYjmWMR1ShZDMy1llet xc2YrHRUMLfNRJxsbSMHXay72oB66Ptnzb8ZMG6Y6uQN8MkPoC630sx/2Ck6JqGpdo6SpmmK7h5V B7Zlju7INuEbuUazHLAa8CwaB2pZ134EfV+/+6fe00c+47rVfoeM649Xb7ocvwBQSwMEFAAAAAgA h07iQH7m5SD3AAAA4QEAABMAAABbQ29udGVudF9UeXBlc10ueG1slZFBTsMwEEX3SNzB8hYlTrtA CCXpgrRLQKgcYGRPEotkbHlMaG+Pk7YbRJFY2jP/vye73BzGQUwY2Dqq5CovpEDSzljqKvm+32UP UnAEMjA4wkoekeWmvr0p90ePLFKauJJ9jP5RKdY9jsC580hp0rowQkzH0CkP+gM6VOuiuFfaUUSK WZw7ZF022MLnEMX2kK5PJgEHluLptDizKgneD1ZDTKZqIvODkp0JeUouO9xbz3dJQ6pfCfPkOuCc e0lPE6xB8QohPsOYNJQJrIz7ooBT/nfJbDly5trWasybwE2KveF0sbrWjmvXOP3f8u2SunSr5YPq b1BLAQIUABQAAAAIAIdO4kB+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M6pebnPAAAABQEAAA8AAAAAAAAAAQAgAAAAIgAAAGRycy9kb3ducmV2Lnht bFBLAQIUABQAAAAIAIdO4kCLJolOyQEAAJoDAAAOAAAAAAAAAAEAIAAAAB4BAABkcnMvZTJvRG9j LnhtbFBLBQYAAAAABgAGAFkBAABZBQAAAAA= ">
              <v:fill on="f" focussize="0,0"/>
              <v:stroke on="f"/>
              <v:imagedata o:title=""/>
              <o:lock v:ext="edit" aspectratio="f"/>
              <v:textbox inset="0mm,0mm,0mm,0mm" style="mso-fit-shape-to-text:t;">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- 43 -</w:t>
                    </w:r>
                    <w:r>
                      <w:rPr>
                        <w:rFonts w:hint="eastAsia"/>
                      </w:rPr>
                      <w:fldChar w:fldCharType="end"/>
                    </w:r>
                  </w:p>
                </w:txbxContent>
              </v:textbox>
            </v:shape>
          </w:pict>
        </mc:Fallback>
      </mc:AlternateContent>
    </w:r>
    <w:r>
      <w:rPr>
        <w:rFonts w:hint="eastAsia" w:ascii="黑体" w:hAnsi="黑体" w:eastAsia="黑体"/>
      </w:rPr>
      <w:t>诚实信用/专业规范/科学严谨/服务社会</w:t>
    </w:r>
    <w:r>
      <w:rPr>
        <w:rFonts w:hint="eastAsia"/>
      </w:rPr>
      <w:t xml:space="preserve">                                       </w:t>
    </w:r>
    <w:r>
      <w:rPr>
        <w:rFonts w:hint="eastAsia" w:ascii="黑体" w:hAnsi="黑体" w:eastAsia="黑体"/>
      </w:rPr>
      <w:t>浙江省成套招标代理有限公司</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left" w:pos="6872"/>
        <w:tab w:val="clear" w:pos="4153"/>
      </w:tabs>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- 41 -</w:t>
                          </w:r>
                          <w:r>
                            <w:rPr>
                              <w:rFonts w:hint="eastAsia"/>
                            </w:rPr>
                            <w:fldChar w:fldCharType="end"/>
                          </w:r>
                        </w:p>
                      </w:txbxContent>
                    </wps:txbx>
                    <wps:bodyPr wrap="none" lIns="0" tIns="0" rIns="0" bIns="0" upright="0">
                      <a:spAutoFit/>
                    </wps:bodyPr>
                  </wps:wsp>
                </a:graphicData>
              </a:graphic>
            </wp:anchor>
          </w:drawing>
        </mc:Choice>
        <mc:Fallback>
          <w:pict>
            <v:shape id="文本框 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 AQAADwAAAGRycy9kb3ducmV2LnhtbE2PMWvDMBCF90L/g7hAt0ZOhtY4ljMEsnRLWgrdFOtimUgn IymO/e9zLYV2Oe7xjnffq7eTd2LEmPpAClbLAgRSG0xPnYKP9/1zCSJlTUa7QKhgxgTb5vGh1pUJ NzrgeMyd4BBKlVZgcx4qKVNr0eu0DAMSe+cQvc4sYydN1DcO906ui+JFet0Tf7B6wJ3F9nK8egWv 02fAIeEOv85jG20/l+5tVuppsSo2IDJO+e8YvvEZHRpmOoUrmSScAi6SfyZ767JkefpdZFPL//TN HVBLAwQUAAAACACHTuJAGC7azMgBAACaAwAADgAAAGRycy9lMm9Eb2MueG1srVPNjtMwEL4j8Q6W 79TZCqEoaroCVYuQECAtPIDr2I0l/8njNukLwBtw4sKd5+pzMHaSLiyXPXBxxjPjb+b7ZrK5Ha0h JxlBe9fSm1VFiXTCd9odWvrl892LmhJI3HXceCdbepZAb7fPn22G0Mi1773pZCQI4qAZQkv7lELD GIheWg4rH6TDoPLR8oTXeGBd5AOiW8PWVfWKDT52IXohAdC7m4J0RoxPAfRKaSF3XhytdGlCjdLw hJSg1wHotnSrlBTpo1IgEzEtRaapnFgE7X0+2XbDm0PkoddiboE/pYVHnCzXDoteoXY8cXKM+h8o q0X04FVaCW/ZRKQogixuqkfa3Pc8yMIFpYZwFR3+H6z4cPoUie5a+pISxy0O/PL92+XHr8vPr2Rd Z32GAA2m3QdMTOMbP+LWLH5AZ6Y9qmjzFwkRjKO656u6ckxE5Ef1uq4rDAmMLRfEZw/PQ4T0VnpL stHSiOMrqvLTe0hT6pKSqzl/p40pIzTuLwdiZg/LvU89ZiuN+3EmtPfdGfkMOPmWOlx0Ssw7h8Lm JVmMuBj7xTiGqA992aJcD8LrY8ImSm+5wgQ7F8aRFXbzeuWd+PNesh5+qe1vUEsDBAoAAAAAAIdO 4kAAAAAAAAAAAAAAAAAGAAAAX3JlbHMvUEsDBBQAAAAIAIdO4kCKFGY80QAAAJQBAAALAAAAX3Jl bHMvLnJlbHOlkMFqwzAMhu+DvYPRfXGawxijTi+j0GvpHsDYimMaW0Yy2fr28w6DZfS2o36h7xP/ /vCZFrUiS6RsYNf1oDA78jEHA++X49MLKKk2e7tQRgM3FDiMjw/7My62tiOZYxHVKFkMzLWWV63F zZisdFQwt81EnGxtIwddrLvagHro+2fNvxkwbpjq5A3wyQ+gLrfSzH/YKTomoal2jpKmaYruHlUH tmWO7sg24Ru5RrMcsBrwLBoHalnXfgR9X7/7p97TRz7jutV+h4zrj1dvuhy/AFBLAwQUAAAACACH TuJAfublIPcAAADhAQAAEwAAAFtDb250ZW50X1R5cGVzXS54bWyVkUFOwzAQRfdI3MHyFiVOu0AI JemCtEtAqBxgZE8Si2RseUxob4+TthtEkVjaM/+/J7vcHMZBTBjYOqrkKi+kQNLOWOoq+b7fZQ9S cAQyMDjCSh6R5aa+vSn3R48sUpq4kn2M/lEp1j2OwLnzSGnSujBCTMfQKQ/6AzpU66K4V9pRRIpZ nDtkXTbYwucQxfaQrk8mAQeW4um0OLMqCd4PVkNMpmoi84OSnQl5Si473FvPd0lDql8J8+Q64Jx7 SU8TrEHxCiE+w5g0lAmsjPuigFP+d8lsOXLm2tZqzJvATYq94XSxutaOa9c4/d/y7ZK6dKvlg+pv UEsBAhQAFAAAAAgAh07iQH7m5SD3AAAA4QEAABMAAAAAAAAAAQAgAAAAMAQAAFtDb250ZW50X1R5 cGVzXS54bWxQSwECFAAKAAAAAACHTuJAAAAAAAAAAAAAAAAABgAAAAAAAAAAABAAAAASAwAAX3Jl bHMvUEsBAhQAFAAAAAgAh07iQIoUZjzRAAAAlAEAAAsAAAAAAAAAAQAgAAAANgMAAF9yZWxzLy5y ZWxzUEsBAhQACgAAAAAAh07iQAAAAAAAAAAAAAAAAAQAAAAAAAAAAAAQAAAAAAAAAGRycy9QSwEC FAAUAAAACACHTuJAzql5uc8AAAAFAQAADwAAAAAAAAABACAAAAAiAAAAZHJzL2Rvd25yZXYueG1s UEsBAhQAFAAAAAgAh07iQBgu2szIAQAAmgMAAA4AAAAAAAAAAQAgAAAAHgEAAGRycy9lMm9Eb2Mu eG1sUEsFBgAAAAAGAAYAWQEAAFgFAAAAAA== ">
              <v:fill on="f" focussize="0,0"/>
              <v:stroke on="f"/>
              <v:imagedata o:title=""/>
              <o:lock v:ext="edit" aspectratio="f"/>
              <v:textbox inset="0mm,0mm,0mm,0mm" style="mso-fit-shape-to-text:t;">
                <w:txbxContent>
                  <w:p>
                    <w:pPr>
                      <w:pStyle w:val="34"/>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- 41 -</w:t>
                    </w:r>
                    <w:r>
                      <w:rPr>
                        <w:rFonts w:hint="eastAsia"/>
                      </w:rPr>
                      <w:fldChar w:fldCharType="end"/>
                    </w:r>
                  </w:p>
                </w:txbxContent>
              </v:textbox>
            </v:shape>
          </w:pict>
        </mc:Fallback>
      </mc:AlternateContent>
    </w:r>
    <w:r>
      <w:rPr>
        <w:rFonts w:hint="eastAsia" w:ascii="黑体" w:hAnsi="黑体" w:eastAsia="黑体"/>
      </w:rPr>
      <w:t>诚实信用/专业规范/科学严谨/服务社会</w:t>
    </w:r>
    <w:r>
      <w:rPr>
        <w:rFonts w:hint="eastAsia"/>
      </w:rPr>
      <w:t xml:space="preserve">                                  </w:t>
    </w:r>
    <w:r>
      <w:rPr>
        <w:rFonts w:hint="eastAsia" w:ascii="黑体" w:hAnsi="黑体" w:eastAsia="黑体"/>
      </w:rPr>
      <w:t>浙江省成套招标代理有限公司</w:t>
    </w:r>
  </w:p>
  <w:p>
    <w:pPr>
      <w:rPr>
        <w:kern w:val="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Fonts w:hint="eastAsia"/>
        <w:u w:val="single"/>
      </w:rPr>
    </w:pPr>
    <w:r>
      <w:rPr>
        <w:rFonts w:hint="eastAsia" w:ascii="宋体" w:hAnsi="宋体"/>
      </w:rPr>
      <w:t xml:space="preserve"> </w:t>
    </w:r>
    <w:r>
      <w:rPr>
        <w:rFonts w:hint="eastAsia" w:ascii="宋体" w:hAnsi="宋体" w:cs="Arial"/>
        <w:b/>
        <w:u w:val="single"/>
      </w:rPr>
      <w:drawing>
        <wp:inline distT="0" distB="0" distL="114300" distR="114300">
          <wp:extent cx="290830" cy="294005"/>
          <wp:effectExtent l="0" t="0" r="13970" b="10795"/>
          <wp:docPr id="5" name="图片 21" descr="成套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1" descr="成套新logo"/>
                  <pic:cNvPicPr>
                    <a:picLocks noChangeAspect="1"/>
                  </pic:cNvPicPr>
                </pic:nvPicPr>
                <pic:blipFill>
                  <a:blip r:embed="rId1"/>
                  <a:stretch>
                    <a:fillRect/>
                  </a:stretch>
                </pic:blipFill>
                <pic:spPr>
                  <a:xfrm>
                    <a:off x="0" y="0"/>
                    <a:ext cx="290830" cy="294005"/>
                  </a:xfrm>
                  <a:prstGeom prst="rect">
                    <a:avLst/>
                  </a:prstGeom>
                  <a:noFill/>
                  <a:ln>
                    <a:noFill/>
                  </a:ln>
                </pic:spPr>
              </pic:pic>
            </a:graphicData>
          </a:graphic>
        </wp:inline>
      </w:drawing>
    </w:r>
    <w:r>
      <w:rPr>
        <w:rFonts w:ascii="宋体" w:hAnsi="宋体" w:cs="Arial"/>
        <w:b/>
        <w:u w:val="single"/>
      </w:rPr>
      <w:t xml:space="preserve"> </w:t>
    </w:r>
    <w:r>
      <w:rPr>
        <w:rFonts w:hint="eastAsia"/>
        <w:u w:val="single"/>
        <w:lang w:eastAsia="zh-CN"/>
      </w:rPr>
      <w:t>2022年义乌国际电子竞技大赛服务采购项目</w:t>
    </w:r>
    <w:r>
      <w:rPr>
        <w:u w:val="single"/>
      </w:rPr>
      <w:t xml:space="preserve">     </w:t>
    </w:r>
    <w:r>
      <w:rPr>
        <w:rFonts w:hint="eastAsia"/>
        <w:u w:val="single"/>
      </w:rPr>
      <w:t xml:space="preserve">   </w:t>
    </w:r>
    <w:r>
      <w:rPr>
        <w:u w:val="single"/>
      </w:rPr>
      <w:t xml:space="preserve">         </w:t>
    </w:r>
    <w:r>
      <w:rPr>
        <w:rFonts w:hint="eastAsia"/>
        <w:u w:val="single"/>
      </w:rPr>
      <w:t>采购</w:t>
    </w:r>
    <w:r>
      <w:rPr>
        <w:u w:val="single"/>
      </w:rPr>
      <w:t>编号：</w:t>
    </w:r>
    <w:r>
      <w:rPr>
        <w:rFonts w:hint="eastAsia"/>
        <w:u w:val="single"/>
        <w:lang w:eastAsia="zh-CN"/>
      </w:rPr>
      <w:t>CTZB-2022050161</w:t>
    </w:r>
    <w:r>
      <w:rPr>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Fonts w:hint="eastAsia"/>
        <w:u w:val="single"/>
      </w:rPr>
    </w:pPr>
    <w:r>
      <w:rPr>
        <w:rFonts w:hint="eastAsia" w:ascii="宋体" w:hAnsi="宋体"/>
      </w:rPr>
      <w:t xml:space="preserve"> </w:t>
    </w:r>
    <w:r>
      <w:rPr>
        <w:rFonts w:hint="eastAsia" w:ascii="宋体" w:hAnsi="宋体" w:cs="Arial"/>
        <w:b/>
        <w:u w:val="single"/>
      </w:rPr>
      <w:drawing>
        <wp:inline distT="0" distB="0" distL="114300" distR="114300">
          <wp:extent cx="290830" cy="294005"/>
          <wp:effectExtent l="0" t="0" r="13970" b="10795"/>
          <wp:docPr id="6" name="图片 3" descr="成套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成套新logo"/>
                  <pic:cNvPicPr>
                    <a:picLocks noChangeAspect="1"/>
                  </pic:cNvPicPr>
                </pic:nvPicPr>
                <pic:blipFill>
                  <a:blip r:embed="rId1"/>
                  <a:stretch>
                    <a:fillRect/>
                  </a:stretch>
                </pic:blipFill>
                <pic:spPr>
                  <a:xfrm>
                    <a:off x="0" y="0"/>
                    <a:ext cx="290830" cy="294005"/>
                  </a:xfrm>
                  <a:prstGeom prst="rect">
                    <a:avLst/>
                  </a:prstGeom>
                  <a:noFill/>
                  <a:ln>
                    <a:noFill/>
                  </a:ln>
                </pic:spPr>
              </pic:pic>
            </a:graphicData>
          </a:graphic>
        </wp:inline>
      </w:drawing>
    </w:r>
    <w:r>
      <w:rPr>
        <w:rFonts w:ascii="宋体" w:hAnsi="宋体" w:cs="Arial"/>
        <w:b/>
        <w:u w:val="single"/>
      </w:rPr>
      <w:t xml:space="preserve"> </w:t>
    </w:r>
    <w:r>
      <w:rPr>
        <w:rFonts w:hint="eastAsia"/>
        <w:u w:val="single"/>
        <w:lang w:eastAsia="zh-CN"/>
      </w:rPr>
      <w:t>2022年义乌国际电子竞技大赛服务采购项目</w:t>
    </w:r>
    <w:r>
      <w:rPr>
        <w:u w:val="single"/>
      </w:rPr>
      <w:t xml:space="preserve">   </w:t>
    </w:r>
    <w:r>
      <w:rPr>
        <w:rFonts w:hint="eastAsia"/>
        <w:u w:val="single"/>
        <w:lang w:val="en-US" w:eastAsia="zh-CN"/>
      </w:rPr>
      <w:t xml:space="preserve">                                   </w:t>
    </w:r>
    <w:r>
      <w:rPr>
        <w:rFonts w:hint="eastAsia"/>
        <w:u w:val="single"/>
      </w:rPr>
      <w:t>采购</w:t>
    </w:r>
    <w:r>
      <w:rPr>
        <w:u w:val="single"/>
      </w:rPr>
      <w:t>编号：</w:t>
    </w:r>
    <w:r>
      <w:rPr>
        <w:rFonts w:hint="eastAsia"/>
        <w:u w:val="single"/>
        <w:lang w:eastAsia="zh-CN"/>
      </w:rPr>
      <w:t>CTZB-2022050161</w:t>
    </w:r>
    <w:r>
      <w:rPr>
        <w:u w:val="single"/>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u w:val="single"/>
      </w:rPr>
    </w:pPr>
    <w:r>
      <w:rPr>
        <w:rFonts w:hint="eastAsia" w:ascii="宋体" w:hAnsi="宋体" w:cs="Arial"/>
        <w:b/>
        <w:u w:val="single"/>
      </w:rPr>
      <w:drawing>
        <wp:inline distT="0" distB="0" distL="114300" distR="114300">
          <wp:extent cx="290830" cy="294005"/>
          <wp:effectExtent l="0" t="0" r="13970" b="10795"/>
          <wp:docPr id="7" name="图片 21" descr="成套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1" descr="成套新logo"/>
                  <pic:cNvPicPr>
                    <a:picLocks noChangeAspect="1"/>
                  </pic:cNvPicPr>
                </pic:nvPicPr>
                <pic:blipFill>
                  <a:blip r:embed="rId1"/>
                  <a:stretch>
                    <a:fillRect/>
                  </a:stretch>
                </pic:blipFill>
                <pic:spPr>
                  <a:xfrm>
                    <a:off x="0" y="0"/>
                    <a:ext cx="290830" cy="294005"/>
                  </a:xfrm>
                  <a:prstGeom prst="rect">
                    <a:avLst/>
                  </a:prstGeom>
                  <a:noFill/>
                  <a:ln>
                    <a:noFill/>
                  </a:ln>
                </pic:spPr>
              </pic:pic>
            </a:graphicData>
          </a:graphic>
        </wp:inline>
      </w:drawing>
    </w:r>
    <w:r>
      <w:rPr>
        <w:rFonts w:ascii="宋体" w:hAnsi="宋体" w:cs="Arial"/>
        <w:b/>
        <w:u w:val="single"/>
      </w:rPr>
      <w:t xml:space="preserve"> </w:t>
    </w:r>
    <w:r>
      <w:rPr>
        <w:rFonts w:hint="eastAsia"/>
        <w:u w:val="single"/>
        <w:lang w:eastAsia="zh-CN"/>
      </w:rPr>
      <w:t>2022年义乌国际电子竞技大赛服务采购项目</w:t>
    </w:r>
    <w:r>
      <w:rPr>
        <w:u w:val="single"/>
      </w:rPr>
      <w:t xml:space="preserve">      </w:t>
    </w:r>
    <w:r>
      <w:rPr>
        <w:rFonts w:hint="eastAsia"/>
        <w:u w:val="single"/>
        <w:lang w:val="en-US" w:eastAsia="zh-CN"/>
      </w:rPr>
      <w:t xml:space="preserve">                          </w:t>
    </w:r>
    <w:r>
      <w:rPr>
        <w:rFonts w:hint="eastAsia"/>
        <w:u w:val="single"/>
      </w:rPr>
      <w:t>采购</w:t>
    </w:r>
    <w:r>
      <w:rPr>
        <w:u w:val="single"/>
      </w:rPr>
      <w:t>编号：</w:t>
    </w:r>
    <w:r>
      <w:rPr>
        <w:rFonts w:hint="eastAsia"/>
        <w:u w:val="single"/>
        <w:lang w:eastAsia="zh-CN"/>
      </w:rPr>
      <w:t>CTZB-2022050161</w:t>
    </w:r>
    <w:r>
      <w:rPr>
        <w:u w:val="single"/>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Fonts w:hint="eastAsia"/>
        <w:u w:val="single"/>
      </w:rPr>
    </w:pPr>
    <w:r>
      <w:rPr>
        <w:rFonts w:hint="eastAsia" w:ascii="宋体" w:hAnsi="宋体"/>
      </w:rPr>
      <w:t xml:space="preserve"> </w:t>
    </w:r>
    <w:r>
      <w:rPr>
        <w:rFonts w:hint="eastAsia" w:ascii="宋体" w:hAnsi="宋体" w:cs="Arial"/>
        <w:b/>
        <w:u w:val="single"/>
      </w:rPr>
      <w:drawing>
        <wp:inline distT="0" distB="0" distL="114300" distR="114300">
          <wp:extent cx="290830" cy="294005"/>
          <wp:effectExtent l="0" t="0" r="13970" b="10795"/>
          <wp:docPr id="8" name="图片 4" descr="成套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成套新logo"/>
                  <pic:cNvPicPr>
                    <a:picLocks noChangeAspect="1"/>
                  </pic:cNvPicPr>
                </pic:nvPicPr>
                <pic:blipFill>
                  <a:blip r:embed="rId1"/>
                  <a:stretch>
                    <a:fillRect/>
                  </a:stretch>
                </pic:blipFill>
                <pic:spPr>
                  <a:xfrm>
                    <a:off x="0" y="0"/>
                    <a:ext cx="290830" cy="294005"/>
                  </a:xfrm>
                  <a:prstGeom prst="rect">
                    <a:avLst/>
                  </a:prstGeom>
                  <a:noFill/>
                  <a:ln>
                    <a:noFill/>
                  </a:ln>
                </pic:spPr>
              </pic:pic>
            </a:graphicData>
          </a:graphic>
        </wp:inline>
      </w:drawing>
    </w:r>
    <w:r>
      <w:rPr>
        <w:rFonts w:ascii="宋体" w:hAnsi="宋体" w:cs="Arial"/>
        <w:b/>
        <w:u w:val="single"/>
      </w:rPr>
      <w:t xml:space="preserve"> </w:t>
    </w:r>
    <w:r>
      <w:rPr>
        <w:rFonts w:hint="eastAsia"/>
        <w:u w:val="single"/>
        <w:lang w:eastAsia="zh-CN"/>
      </w:rPr>
      <w:t>2022年义乌国际电子竞技大赛服务采购项目</w:t>
    </w:r>
    <w:r>
      <w:rPr>
        <w:u w:val="single"/>
      </w:rPr>
      <w:t xml:space="preserve">    </w:t>
    </w:r>
    <w:r>
      <w:rPr>
        <w:rFonts w:hint="eastAsia"/>
        <w:u w:val="single"/>
        <w:lang w:val="en-US" w:eastAsia="zh-CN"/>
      </w:rPr>
      <w:t xml:space="preserve">                           </w:t>
    </w:r>
    <w:r>
      <w:rPr>
        <w:rFonts w:hint="eastAsia"/>
        <w:u w:val="single"/>
      </w:rPr>
      <w:t>采购</w:t>
    </w:r>
    <w:r>
      <w:rPr>
        <w:u w:val="single"/>
      </w:rPr>
      <w:t>编号：</w:t>
    </w:r>
    <w:r>
      <w:rPr>
        <w:rFonts w:hint="eastAsia"/>
        <w:u w:val="single"/>
        <w:lang w:eastAsia="zh-CN"/>
      </w:rPr>
      <w:t>CTZB-2022050161</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000000B"/>
    <w:multiLevelType w:val="multilevel"/>
    <w:tmpl w:val="0000000B"/>
    <w:lvl w:ilvl="0" w:tentative="0">
      <w:start w:val="0"/>
      <w:numFmt w:val="decimal"/>
      <w:pStyle w:val="15"/>
      <w:lvlText w:val=""/>
      <w:lvlJc w:val="left"/>
    </w:lvl>
    <w:lvl w:ilvl="1" w:tentative="0">
      <w:start w:val="0"/>
      <w:numFmt w:val="decimal"/>
      <w:lvlText w:val=""/>
      <w:lvlJc w:val="left"/>
    </w:lvl>
    <w:lvl w:ilvl="2" w:tentative="0">
      <w:start w:val="0"/>
      <w:numFmt w:val="decimal"/>
      <w:lvlText w:val=""/>
      <w:lvlJc w:val="left"/>
    </w:lvl>
    <w:lvl w:ilvl="3" w:tentative="0">
      <w:start w:val="1572864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none"/>
      <w:lvlText w:val=""/>
      <w:lvlJc w:val="left"/>
      <w:pPr>
        <w:tabs>
          <w:tab w:val="left" w:pos="360"/>
        </w:tabs>
      </w:p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decimal"/>
      <w:pStyle w:val="132"/>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5FA73711"/>
    <w:multiLevelType w:val="singleLevel"/>
    <w:tmpl w:val="5FA73711"/>
    <w:lvl w:ilvl="0" w:tentative="0">
      <w:start w:val="1"/>
      <w:numFmt w:val="decimal"/>
      <w:suff w:val="nothing"/>
      <w:lvlText w:val="（%1）"/>
      <w:lvlJc w:val="left"/>
    </w:lvl>
  </w:abstractNum>
  <w:abstractNum w:abstractNumId="4">
    <w:nsid w:val="60A146D1"/>
    <w:multiLevelType w:val="singleLevel"/>
    <w:tmpl w:val="60A146D1"/>
    <w:lvl w:ilvl="0" w:tentative="0">
      <w:start w:val="1"/>
      <w:numFmt w:val="decimal"/>
      <w:suff w:val="nothing"/>
      <w:lvlText w:val="（%1）"/>
      <w:lvlJc w:val="left"/>
    </w:lvl>
  </w:abstractNum>
  <w:abstractNum w:abstractNumId="5">
    <w:nsid w:val="65F439A1"/>
    <w:multiLevelType w:val="singleLevel"/>
    <w:tmpl w:val="65F439A1"/>
    <w:lvl w:ilvl="0" w:tentative="0">
      <w:start w:val="1"/>
      <w:numFmt w:val="ideographTraditional"/>
      <w:suff w:val="nothing"/>
      <w:lvlText w:val="%1、"/>
      <w:lvlJc w:val="left"/>
      <w:rPr>
        <w:rFonts w:hint="eastAsia"/>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0"/>
  <w:displayHorizontalDrawingGridEvery w:val="1"/>
  <w:displayVerticalDrawingGridEvery w:val="1"/>
  <w:doNotUseMarginsForDrawingGridOrigin w:val="1"/>
  <w:drawingGridHorizontalOrigin w:val="0"/>
  <w:drawingGridVerticalOrigin w:val="0"/>
  <w:noPunctuationKerning w:val="1"/>
  <w:characterSpacingControl w:val="doNotCompress"/>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xYTQzNjQwOTI1ZDQyZWZhMDc3YjAzNzFhNTE0YjAifQ=="/>
  </w:docVars>
  <w:rsids>
    <w:rsidRoot w:val="00172A27"/>
    <w:rsid w:val="00002B4C"/>
    <w:rsid w:val="0001798C"/>
    <w:rsid w:val="00041C67"/>
    <w:rsid w:val="00053E24"/>
    <w:rsid w:val="000B71E6"/>
    <w:rsid w:val="000B7FBC"/>
    <w:rsid w:val="000E507C"/>
    <w:rsid w:val="0010542E"/>
    <w:rsid w:val="00110AB2"/>
    <w:rsid w:val="00141935"/>
    <w:rsid w:val="00163B8D"/>
    <w:rsid w:val="00167C2B"/>
    <w:rsid w:val="00167EF1"/>
    <w:rsid w:val="00173BDA"/>
    <w:rsid w:val="001A3EED"/>
    <w:rsid w:val="001A4E00"/>
    <w:rsid w:val="001B2224"/>
    <w:rsid w:val="001B3B40"/>
    <w:rsid w:val="001B5FA7"/>
    <w:rsid w:val="001C144A"/>
    <w:rsid w:val="001C7953"/>
    <w:rsid w:val="001D3224"/>
    <w:rsid w:val="001D35FF"/>
    <w:rsid w:val="001E591C"/>
    <w:rsid w:val="002103FC"/>
    <w:rsid w:val="00214BED"/>
    <w:rsid w:val="0022181C"/>
    <w:rsid w:val="0022362A"/>
    <w:rsid w:val="002246C4"/>
    <w:rsid w:val="00227646"/>
    <w:rsid w:val="00247C0A"/>
    <w:rsid w:val="00255F20"/>
    <w:rsid w:val="0026200C"/>
    <w:rsid w:val="00264899"/>
    <w:rsid w:val="00293160"/>
    <w:rsid w:val="002B0285"/>
    <w:rsid w:val="002B56EA"/>
    <w:rsid w:val="002C42CA"/>
    <w:rsid w:val="002C4FBF"/>
    <w:rsid w:val="002D257E"/>
    <w:rsid w:val="002D7803"/>
    <w:rsid w:val="002F607F"/>
    <w:rsid w:val="0032589D"/>
    <w:rsid w:val="003271FA"/>
    <w:rsid w:val="00345F16"/>
    <w:rsid w:val="00353A20"/>
    <w:rsid w:val="0037741F"/>
    <w:rsid w:val="00385861"/>
    <w:rsid w:val="00394CE4"/>
    <w:rsid w:val="003B2CAF"/>
    <w:rsid w:val="003E409F"/>
    <w:rsid w:val="00400039"/>
    <w:rsid w:val="0040591C"/>
    <w:rsid w:val="00405978"/>
    <w:rsid w:val="00412BAC"/>
    <w:rsid w:val="00416102"/>
    <w:rsid w:val="00433BFF"/>
    <w:rsid w:val="00456107"/>
    <w:rsid w:val="004738B2"/>
    <w:rsid w:val="004800D5"/>
    <w:rsid w:val="00483A13"/>
    <w:rsid w:val="004910B2"/>
    <w:rsid w:val="004A68C4"/>
    <w:rsid w:val="004B14AF"/>
    <w:rsid w:val="004C2643"/>
    <w:rsid w:val="004D3562"/>
    <w:rsid w:val="004F7FEA"/>
    <w:rsid w:val="00530CBF"/>
    <w:rsid w:val="00541C17"/>
    <w:rsid w:val="00542E02"/>
    <w:rsid w:val="00550FB4"/>
    <w:rsid w:val="00553E7E"/>
    <w:rsid w:val="00560B94"/>
    <w:rsid w:val="00572F86"/>
    <w:rsid w:val="0057496A"/>
    <w:rsid w:val="00576CCF"/>
    <w:rsid w:val="00583C11"/>
    <w:rsid w:val="00583F90"/>
    <w:rsid w:val="00592FCC"/>
    <w:rsid w:val="00593B82"/>
    <w:rsid w:val="005A6A56"/>
    <w:rsid w:val="005B4822"/>
    <w:rsid w:val="005B66E3"/>
    <w:rsid w:val="005D3681"/>
    <w:rsid w:val="005D4AC1"/>
    <w:rsid w:val="005E6128"/>
    <w:rsid w:val="00635A50"/>
    <w:rsid w:val="00661694"/>
    <w:rsid w:val="0066795B"/>
    <w:rsid w:val="006729AD"/>
    <w:rsid w:val="00676E10"/>
    <w:rsid w:val="00684643"/>
    <w:rsid w:val="006B2003"/>
    <w:rsid w:val="006B6D1F"/>
    <w:rsid w:val="006B746B"/>
    <w:rsid w:val="006F010A"/>
    <w:rsid w:val="006F105B"/>
    <w:rsid w:val="00705650"/>
    <w:rsid w:val="007062A6"/>
    <w:rsid w:val="00706F74"/>
    <w:rsid w:val="007630AB"/>
    <w:rsid w:val="00775049"/>
    <w:rsid w:val="00777203"/>
    <w:rsid w:val="00783680"/>
    <w:rsid w:val="007A2BD7"/>
    <w:rsid w:val="007B7DD8"/>
    <w:rsid w:val="007C7DEC"/>
    <w:rsid w:val="00801BC6"/>
    <w:rsid w:val="00801E1B"/>
    <w:rsid w:val="00807F01"/>
    <w:rsid w:val="00821828"/>
    <w:rsid w:val="008313B7"/>
    <w:rsid w:val="00837804"/>
    <w:rsid w:val="00841471"/>
    <w:rsid w:val="008748A7"/>
    <w:rsid w:val="008B1041"/>
    <w:rsid w:val="008E5F5A"/>
    <w:rsid w:val="008F2291"/>
    <w:rsid w:val="008F59B3"/>
    <w:rsid w:val="00906FA7"/>
    <w:rsid w:val="009231B4"/>
    <w:rsid w:val="009321D9"/>
    <w:rsid w:val="009367B0"/>
    <w:rsid w:val="00950855"/>
    <w:rsid w:val="00954BA2"/>
    <w:rsid w:val="00971D69"/>
    <w:rsid w:val="00987BA7"/>
    <w:rsid w:val="0099251E"/>
    <w:rsid w:val="00995B29"/>
    <w:rsid w:val="00996407"/>
    <w:rsid w:val="009B0542"/>
    <w:rsid w:val="009B5EE1"/>
    <w:rsid w:val="009D09F8"/>
    <w:rsid w:val="009D1B7C"/>
    <w:rsid w:val="00A0419A"/>
    <w:rsid w:val="00A24457"/>
    <w:rsid w:val="00A274DE"/>
    <w:rsid w:val="00A338E9"/>
    <w:rsid w:val="00A37FCE"/>
    <w:rsid w:val="00A46CEE"/>
    <w:rsid w:val="00A67D57"/>
    <w:rsid w:val="00A82383"/>
    <w:rsid w:val="00A97D1E"/>
    <w:rsid w:val="00AA3C9E"/>
    <w:rsid w:val="00AB0163"/>
    <w:rsid w:val="00AC12F2"/>
    <w:rsid w:val="00AC466C"/>
    <w:rsid w:val="00B167B6"/>
    <w:rsid w:val="00B30A6E"/>
    <w:rsid w:val="00B52847"/>
    <w:rsid w:val="00B87931"/>
    <w:rsid w:val="00B9219D"/>
    <w:rsid w:val="00B921C9"/>
    <w:rsid w:val="00BA62A8"/>
    <w:rsid w:val="00BB0DD2"/>
    <w:rsid w:val="00BB2E87"/>
    <w:rsid w:val="00BC115A"/>
    <w:rsid w:val="00BC67F8"/>
    <w:rsid w:val="00BC75BA"/>
    <w:rsid w:val="00BD7D7E"/>
    <w:rsid w:val="00C04CE5"/>
    <w:rsid w:val="00C20154"/>
    <w:rsid w:val="00C3374F"/>
    <w:rsid w:val="00C47198"/>
    <w:rsid w:val="00C62D20"/>
    <w:rsid w:val="00C64862"/>
    <w:rsid w:val="00C7772D"/>
    <w:rsid w:val="00C87D40"/>
    <w:rsid w:val="00CA23E7"/>
    <w:rsid w:val="00CA5791"/>
    <w:rsid w:val="00CA686B"/>
    <w:rsid w:val="00CC149C"/>
    <w:rsid w:val="00D00332"/>
    <w:rsid w:val="00D01B86"/>
    <w:rsid w:val="00D04F69"/>
    <w:rsid w:val="00D0641B"/>
    <w:rsid w:val="00D14F50"/>
    <w:rsid w:val="00D278F7"/>
    <w:rsid w:val="00D37503"/>
    <w:rsid w:val="00D76ECA"/>
    <w:rsid w:val="00D911EE"/>
    <w:rsid w:val="00DB465A"/>
    <w:rsid w:val="00DB6280"/>
    <w:rsid w:val="00DC7C1D"/>
    <w:rsid w:val="00DE067A"/>
    <w:rsid w:val="00DF3315"/>
    <w:rsid w:val="00E14B14"/>
    <w:rsid w:val="00E15473"/>
    <w:rsid w:val="00E2062E"/>
    <w:rsid w:val="00E34734"/>
    <w:rsid w:val="00E456AF"/>
    <w:rsid w:val="00E46CA2"/>
    <w:rsid w:val="00E51BCA"/>
    <w:rsid w:val="00E808A4"/>
    <w:rsid w:val="00E865C2"/>
    <w:rsid w:val="00E90F3E"/>
    <w:rsid w:val="00E96312"/>
    <w:rsid w:val="00EA2BAF"/>
    <w:rsid w:val="00EE0ECB"/>
    <w:rsid w:val="00EF3052"/>
    <w:rsid w:val="00EF4D24"/>
    <w:rsid w:val="00EF603C"/>
    <w:rsid w:val="00F00274"/>
    <w:rsid w:val="00F0227F"/>
    <w:rsid w:val="00F202CB"/>
    <w:rsid w:val="00F32BB6"/>
    <w:rsid w:val="00F3515D"/>
    <w:rsid w:val="00F43FEE"/>
    <w:rsid w:val="00F479BB"/>
    <w:rsid w:val="00F506E3"/>
    <w:rsid w:val="00F53B15"/>
    <w:rsid w:val="00F70777"/>
    <w:rsid w:val="00F775DE"/>
    <w:rsid w:val="00F80D69"/>
    <w:rsid w:val="00F8364F"/>
    <w:rsid w:val="00F86915"/>
    <w:rsid w:val="00F94D50"/>
    <w:rsid w:val="00FA4BD4"/>
    <w:rsid w:val="00FA5240"/>
    <w:rsid w:val="00FB556B"/>
    <w:rsid w:val="00FC0BFF"/>
    <w:rsid w:val="00FD32B7"/>
    <w:rsid w:val="00FE4974"/>
    <w:rsid w:val="00FE4A0C"/>
    <w:rsid w:val="00FF5EC9"/>
    <w:rsid w:val="01002E1F"/>
    <w:rsid w:val="0101534D"/>
    <w:rsid w:val="01053392"/>
    <w:rsid w:val="0107300D"/>
    <w:rsid w:val="010936AA"/>
    <w:rsid w:val="010D1E8B"/>
    <w:rsid w:val="010F7FF3"/>
    <w:rsid w:val="01126BCE"/>
    <w:rsid w:val="011B46BC"/>
    <w:rsid w:val="01205216"/>
    <w:rsid w:val="01281EA9"/>
    <w:rsid w:val="012D167A"/>
    <w:rsid w:val="012D6617"/>
    <w:rsid w:val="012F1EA1"/>
    <w:rsid w:val="01302089"/>
    <w:rsid w:val="013953F3"/>
    <w:rsid w:val="013D28D6"/>
    <w:rsid w:val="014207BE"/>
    <w:rsid w:val="01423F24"/>
    <w:rsid w:val="01457570"/>
    <w:rsid w:val="0147153B"/>
    <w:rsid w:val="01487EB3"/>
    <w:rsid w:val="014937A1"/>
    <w:rsid w:val="014D4677"/>
    <w:rsid w:val="014F0579"/>
    <w:rsid w:val="014F634E"/>
    <w:rsid w:val="015734B9"/>
    <w:rsid w:val="015B3B1E"/>
    <w:rsid w:val="0162462E"/>
    <w:rsid w:val="016F5953"/>
    <w:rsid w:val="017000C1"/>
    <w:rsid w:val="01717E55"/>
    <w:rsid w:val="01726B7B"/>
    <w:rsid w:val="01753D62"/>
    <w:rsid w:val="0177252B"/>
    <w:rsid w:val="01772809"/>
    <w:rsid w:val="018067FB"/>
    <w:rsid w:val="018502B5"/>
    <w:rsid w:val="01860F22"/>
    <w:rsid w:val="019B5545"/>
    <w:rsid w:val="019C638A"/>
    <w:rsid w:val="01A55049"/>
    <w:rsid w:val="01B14C06"/>
    <w:rsid w:val="01B666C0"/>
    <w:rsid w:val="01B91D0C"/>
    <w:rsid w:val="01CE4BB6"/>
    <w:rsid w:val="01DB1C83"/>
    <w:rsid w:val="01DB63B0"/>
    <w:rsid w:val="01DC7B00"/>
    <w:rsid w:val="01E36FD8"/>
    <w:rsid w:val="01E60644"/>
    <w:rsid w:val="01E60E93"/>
    <w:rsid w:val="01E7610B"/>
    <w:rsid w:val="01EB27F8"/>
    <w:rsid w:val="01FA47FF"/>
    <w:rsid w:val="0202258E"/>
    <w:rsid w:val="020743B3"/>
    <w:rsid w:val="020E2940"/>
    <w:rsid w:val="02170E40"/>
    <w:rsid w:val="02206ACF"/>
    <w:rsid w:val="022847BF"/>
    <w:rsid w:val="022E0E70"/>
    <w:rsid w:val="02333FE7"/>
    <w:rsid w:val="023870D5"/>
    <w:rsid w:val="023E44A5"/>
    <w:rsid w:val="023F5D40"/>
    <w:rsid w:val="02405F8A"/>
    <w:rsid w:val="024117AA"/>
    <w:rsid w:val="024375B3"/>
    <w:rsid w:val="02455B24"/>
    <w:rsid w:val="025024C1"/>
    <w:rsid w:val="0253066C"/>
    <w:rsid w:val="025325E2"/>
    <w:rsid w:val="025428F8"/>
    <w:rsid w:val="025B6D15"/>
    <w:rsid w:val="025D08EA"/>
    <w:rsid w:val="025D2E5E"/>
    <w:rsid w:val="026003DA"/>
    <w:rsid w:val="02686B62"/>
    <w:rsid w:val="028D7D46"/>
    <w:rsid w:val="02960040"/>
    <w:rsid w:val="02A57DA8"/>
    <w:rsid w:val="02AE55E9"/>
    <w:rsid w:val="02B250DA"/>
    <w:rsid w:val="02B96468"/>
    <w:rsid w:val="02BF4439"/>
    <w:rsid w:val="02C46EA8"/>
    <w:rsid w:val="02C646E1"/>
    <w:rsid w:val="02C70929"/>
    <w:rsid w:val="02D05D94"/>
    <w:rsid w:val="02D1729F"/>
    <w:rsid w:val="02D45050"/>
    <w:rsid w:val="02D738BE"/>
    <w:rsid w:val="02D823F9"/>
    <w:rsid w:val="02E4100B"/>
    <w:rsid w:val="02F021B8"/>
    <w:rsid w:val="02FB3771"/>
    <w:rsid w:val="02FC0103"/>
    <w:rsid w:val="02FD5CB2"/>
    <w:rsid w:val="030376E3"/>
    <w:rsid w:val="03060F81"/>
    <w:rsid w:val="03077119"/>
    <w:rsid w:val="031A4A2D"/>
    <w:rsid w:val="031F2043"/>
    <w:rsid w:val="031F6CB3"/>
    <w:rsid w:val="03231D69"/>
    <w:rsid w:val="03285AC8"/>
    <w:rsid w:val="03314309"/>
    <w:rsid w:val="033A5B7B"/>
    <w:rsid w:val="033E16D8"/>
    <w:rsid w:val="033E4BBF"/>
    <w:rsid w:val="0341628F"/>
    <w:rsid w:val="03456212"/>
    <w:rsid w:val="03465B3C"/>
    <w:rsid w:val="034C3922"/>
    <w:rsid w:val="034D095E"/>
    <w:rsid w:val="034E1BDF"/>
    <w:rsid w:val="034F155F"/>
    <w:rsid w:val="03580EFB"/>
    <w:rsid w:val="03587102"/>
    <w:rsid w:val="035903B5"/>
    <w:rsid w:val="035A3D6E"/>
    <w:rsid w:val="035C551A"/>
    <w:rsid w:val="036034DE"/>
    <w:rsid w:val="036274A3"/>
    <w:rsid w:val="03653EFA"/>
    <w:rsid w:val="037939C2"/>
    <w:rsid w:val="037F3509"/>
    <w:rsid w:val="03810EB8"/>
    <w:rsid w:val="038A4051"/>
    <w:rsid w:val="03974505"/>
    <w:rsid w:val="03981F66"/>
    <w:rsid w:val="039842CF"/>
    <w:rsid w:val="0399741B"/>
    <w:rsid w:val="039C5609"/>
    <w:rsid w:val="03A8028B"/>
    <w:rsid w:val="03AD58A1"/>
    <w:rsid w:val="03B26B40"/>
    <w:rsid w:val="03B705CE"/>
    <w:rsid w:val="03B92498"/>
    <w:rsid w:val="03B95EF0"/>
    <w:rsid w:val="03C055D4"/>
    <w:rsid w:val="03C67C06"/>
    <w:rsid w:val="03C92813"/>
    <w:rsid w:val="03CB7E2B"/>
    <w:rsid w:val="03D33559"/>
    <w:rsid w:val="03D6113B"/>
    <w:rsid w:val="03D913E8"/>
    <w:rsid w:val="03D91E8E"/>
    <w:rsid w:val="03D94130"/>
    <w:rsid w:val="03D963A2"/>
    <w:rsid w:val="03E844A2"/>
    <w:rsid w:val="03F22CF7"/>
    <w:rsid w:val="040129DD"/>
    <w:rsid w:val="040207E4"/>
    <w:rsid w:val="04030137"/>
    <w:rsid w:val="040A2F6A"/>
    <w:rsid w:val="040C1DC3"/>
    <w:rsid w:val="040C4BE7"/>
    <w:rsid w:val="040E47DC"/>
    <w:rsid w:val="0410167A"/>
    <w:rsid w:val="04126870"/>
    <w:rsid w:val="041B608F"/>
    <w:rsid w:val="04267ACB"/>
    <w:rsid w:val="042A50F2"/>
    <w:rsid w:val="042F20BC"/>
    <w:rsid w:val="04304CEC"/>
    <w:rsid w:val="04350E39"/>
    <w:rsid w:val="04365E23"/>
    <w:rsid w:val="04392D33"/>
    <w:rsid w:val="043C24A1"/>
    <w:rsid w:val="0440123E"/>
    <w:rsid w:val="04453931"/>
    <w:rsid w:val="0449342D"/>
    <w:rsid w:val="044C0C16"/>
    <w:rsid w:val="04507877"/>
    <w:rsid w:val="04545D1C"/>
    <w:rsid w:val="045C0A3E"/>
    <w:rsid w:val="04615004"/>
    <w:rsid w:val="04656EB0"/>
    <w:rsid w:val="046600E0"/>
    <w:rsid w:val="04665D53"/>
    <w:rsid w:val="046D304D"/>
    <w:rsid w:val="04724DC2"/>
    <w:rsid w:val="047332D1"/>
    <w:rsid w:val="047D78CD"/>
    <w:rsid w:val="048A6A32"/>
    <w:rsid w:val="048B7007"/>
    <w:rsid w:val="048F3160"/>
    <w:rsid w:val="049248BC"/>
    <w:rsid w:val="04A549DC"/>
    <w:rsid w:val="04A9250C"/>
    <w:rsid w:val="04AF534C"/>
    <w:rsid w:val="04B73DBB"/>
    <w:rsid w:val="04BE5FB8"/>
    <w:rsid w:val="04C42B98"/>
    <w:rsid w:val="04C9302F"/>
    <w:rsid w:val="04CD571F"/>
    <w:rsid w:val="04F124C2"/>
    <w:rsid w:val="04F513EC"/>
    <w:rsid w:val="04F574FF"/>
    <w:rsid w:val="04FD5571"/>
    <w:rsid w:val="05015EA4"/>
    <w:rsid w:val="05051B92"/>
    <w:rsid w:val="05060044"/>
    <w:rsid w:val="05084715"/>
    <w:rsid w:val="050B4E1F"/>
    <w:rsid w:val="050D4E65"/>
    <w:rsid w:val="050F3035"/>
    <w:rsid w:val="050F4B3A"/>
    <w:rsid w:val="05126300"/>
    <w:rsid w:val="051A0D14"/>
    <w:rsid w:val="051C6E38"/>
    <w:rsid w:val="05237BC9"/>
    <w:rsid w:val="05247770"/>
    <w:rsid w:val="05251A4C"/>
    <w:rsid w:val="052B4CCF"/>
    <w:rsid w:val="05332243"/>
    <w:rsid w:val="053462D2"/>
    <w:rsid w:val="05360D72"/>
    <w:rsid w:val="05384BAD"/>
    <w:rsid w:val="053C512E"/>
    <w:rsid w:val="053E2C54"/>
    <w:rsid w:val="05431CFC"/>
    <w:rsid w:val="054752E5"/>
    <w:rsid w:val="05502988"/>
    <w:rsid w:val="055C3942"/>
    <w:rsid w:val="0568776F"/>
    <w:rsid w:val="056C4231"/>
    <w:rsid w:val="056D7096"/>
    <w:rsid w:val="056F2E0E"/>
    <w:rsid w:val="05777F14"/>
    <w:rsid w:val="05791EDF"/>
    <w:rsid w:val="057C552B"/>
    <w:rsid w:val="058276BC"/>
    <w:rsid w:val="058315C7"/>
    <w:rsid w:val="05876736"/>
    <w:rsid w:val="05895D6D"/>
    <w:rsid w:val="058B076F"/>
    <w:rsid w:val="058C543E"/>
    <w:rsid w:val="058D7738"/>
    <w:rsid w:val="058F1702"/>
    <w:rsid w:val="0591438F"/>
    <w:rsid w:val="05946D18"/>
    <w:rsid w:val="059A5AF8"/>
    <w:rsid w:val="05A032A7"/>
    <w:rsid w:val="05A70BDB"/>
    <w:rsid w:val="05A826F8"/>
    <w:rsid w:val="05AE6D48"/>
    <w:rsid w:val="05AF76AE"/>
    <w:rsid w:val="05B718A7"/>
    <w:rsid w:val="05B8536C"/>
    <w:rsid w:val="05BE3D95"/>
    <w:rsid w:val="05C16CC3"/>
    <w:rsid w:val="05C527FD"/>
    <w:rsid w:val="05C54253"/>
    <w:rsid w:val="05C649F8"/>
    <w:rsid w:val="05C73000"/>
    <w:rsid w:val="05CD3FD8"/>
    <w:rsid w:val="05CE5F72"/>
    <w:rsid w:val="05D35F52"/>
    <w:rsid w:val="05D3638A"/>
    <w:rsid w:val="05DB7389"/>
    <w:rsid w:val="05DC110C"/>
    <w:rsid w:val="05DF6A79"/>
    <w:rsid w:val="05EF531B"/>
    <w:rsid w:val="05F45A09"/>
    <w:rsid w:val="05FD2B10"/>
    <w:rsid w:val="05FE0636"/>
    <w:rsid w:val="0600337A"/>
    <w:rsid w:val="06012078"/>
    <w:rsid w:val="060126BB"/>
    <w:rsid w:val="06046F6E"/>
    <w:rsid w:val="0605344E"/>
    <w:rsid w:val="06071298"/>
    <w:rsid w:val="060E7E2C"/>
    <w:rsid w:val="061402B1"/>
    <w:rsid w:val="061670A6"/>
    <w:rsid w:val="06183FA0"/>
    <w:rsid w:val="061A4843"/>
    <w:rsid w:val="06285EDF"/>
    <w:rsid w:val="063E4D3E"/>
    <w:rsid w:val="06423E0C"/>
    <w:rsid w:val="0646121D"/>
    <w:rsid w:val="06470321"/>
    <w:rsid w:val="065074B8"/>
    <w:rsid w:val="06593A78"/>
    <w:rsid w:val="065B7355"/>
    <w:rsid w:val="065D35AE"/>
    <w:rsid w:val="066248D2"/>
    <w:rsid w:val="06640499"/>
    <w:rsid w:val="066749F7"/>
    <w:rsid w:val="0673692E"/>
    <w:rsid w:val="06756D2B"/>
    <w:rsid w:val="067D1C03"/>
    <w:rsid w:val="068C0843"/>
    <w:rsid w:val="0691025E"/>
    <w:rsid w:val="069A210C"/>
    <w:rsid w:val="069A6C7D"/>
    <w:rsid w:val="06A45777"/>
    <w:rsid w:val="06A967F3"/>
    <w:rsid w:val="06AD3213"/>
    <w:rsid w:val="06B01930"/>
    <w:rsid w:val="06B5599F"/>
    <w:rsid w:val="06BA3758"/>
    <w:rsid w:val="06BB6A0F"/>
    <w:rsid w:val="06BF1891"/>
    <w:rsid w:val="06C42D77"/>
    <w:rsid w:val="06CA6E1A"/>
    <w:rsid w:val="06CC2D98"/>
    <w:rsid w:val="06CF1675"/>
    <w:rsid w:val="06CF4CD9"/>
    <w:rsid w:val="06D25D4A"/>
    <w:rsid w:val="06D3561E"/>
    <w:rsid w:val="06D862A4"/>
    <w:rsid w:val="06D870D9"/>
    <w:rsid w:val="06DA0D59"/>
    <w:rsid w:val="06DC2725"/>
    <w:rsid w:val="06DE1994"/>
    <w:rsid w:val="06DF54EB"/>
    <w:rsid w:val="06E97061"/>
    <w:rsid w:val="06F02B20"/>
    <w:rsid w:val="06FE7F64"/>
    <w:rsid w:val="06FF3913"/>
    <w:rsid w:val="07046E64"/>
    <w:rsid w:val="07055909"/>
    <w:rsid w:val="070752C8"/>
    <w:rsid w:val="0709189B"/>
    <w:rsid w:val="070A43E9"/>
    <w:rsid w:val="070E48A8"/>
    <w:rsid w:val="070E6657"/>
    <w:rsid w:val="07114802"/>
    <w:rsid w:val="07175F72"/>
    <w:rsid w:val="071A1A68"/>
    <w:rsid w:val="071F7B65"/>
    <w:rsid w:val="07251029"/>
    <w:rsid w:val="0729019D"/>
    <w:rsid w:val="072E1C35"/>
    <w:rsid w:val="072F67C0"/>
    <w:rsid w:val="07306D42"/>
    <w:rsid w:val="073748D8"/>
    <w:rsid w:val="07375BAD"/>
    <w:rsid w:val="073C0A1C"/>
    <w:rsid w:val="073E5E4B"/>
    <w:rsid w:val="07443A60"/>
    <w:rsid w:val="074966E4"/>
    <w:rsid w:val="074A7253"/>
    <w:rsid w:val="074D43FC"/>
    <w:rsid w:val="0753186A"/>
    <w:rsid w:val="07545086"/>
    <w:rsid w:val="075B4043"/>
    <w:rsid w:val="07630750"/>
    <w:rsid w:val="07667B0F"/>
    <w:rsid w:val="07711AD1"/>
    <w:rsid w:val="077A2D0C"/>
    <w:rsid w:val="077D259F"/>
    <w:rsid w:val="077F40D1"/>
    <w:rsid w:val="07807236"/>
    <w:rsid w:val="07887041"/>
    <w:rsid w:val="078D3A1F"/>
    <w:rsid w:val="078F59E9"/>
    <w:rsid w:val="07921036"/>
    <w:rsid w:val="07A4393B"/>
    <w:rsid w:val="07AC35FC"/>
    <w:rsid w:val="07AF6885"/>
    <w:rsid w:val="07B05255"/>
    <w:rsid w:val="07B0770E"/>
    <w:rsid w:val="07BA1C01"/>
    <w:rsid w:val="07BB67DE"/>
    <w:rsid w:val="07C05BA3"/>
    <w:rsid w:val="07C23E1F"/>
    <w:rsid w:val="07C61AD4"/>
    <w:rsid w:val="07CD62A6"/>
    <w:rsid w:val="07CD7BA4"/>
    <w:rsid w:val="07D619D9"/>
    <w:rsid w:val="07DB434F"/>
    <w:rsid w:val="07E6312F"/>
    <w:rsid w:val="07EA2099"/>
    <w:rsid w:val="07ED4795"/>
    <w:rsid w:val="07F40751"/>
    <w:rsid w:val="07F535D9"/>
    <w:rsid w:val="07FC3C2A"/>
    <w:rsid w:val="07FC5709"/>
    <w:rsid w:val="08033CE1"/>
    <w:rsid w:val="08072B61"/>
    <w:rsid w:val="080754B9"/>
    <w:rsid w:val="0808579C"/>
    <w:rsid w:val="080B587D"/>
    <w:rsid w:val="08114650"/>
    <w:rsid w:val="081B41E1"/>
    <w:rsid w:val="081C1FAF"/>
    <w:rsid w:val="081F4B6F"/>
    <w:rsid w:val="08206641"/>
    <w:rsid w:val="0824473B"/>
    <w:rsid w:val="082C3238"/>
    <w:rsid w:val="08313F7D"/>
    <w:rsid w:val="08334037"/>
    <w:rsid w:val="08371EAD"/>
    <w:rsid w:val="083F7B06"/>
    <w:rsid w:val="085B3F2A"/>
    <w:rsid w:val="085B52C0"/>
    <w:rsid w:val="085E4CA5"/>
    <w:rsid w:val="08626123"/>
    <w:rsid w:val="086329D2"/>
    <w:rsid w:val="086A12A3"/>
    <w:rsid w:val="086F7F0C"/>
    <w:rsid w:val="08703240"/>
    <w:rsid w:val="08720030"/>
    <w:rsid w:val="08730990"/>
    <w:rsid w:val="08730B64"/>
    <w:rsid w:val="08766FF8"/>
    <w:rsid w:val="087A5A94"/>
    <w:rsid w:val="087B39FF"/>
    <w:rsid w:val="08873D3F"/>
    <w:rsid w:val="089112ED"/>
    <w:rsid w:val="08940DDD"/>
    <w:rsid w:val="089C44D9"/>
    <w:rsid w:val="089E67D5"/>
    <w:rsid w:val="089F4360"/>
    <w:rsid w:val="08A37CDC"/>
    <w:rsid w:val="08B24197"/>
    <w:rsid w:val="08B27A4A"/>
    <w:rsid w:val="08B3595C"/>
    <w:rsid w:val="08C77405"/>
    <w:rsid w:val="08CE609D"/>
    <w:rsid w:val="08DE04F5"/>
    <w:rsid w:val="08EC3521"/>
    <w:rsid w:val="08F13107"/>
    <w:rsid w:val="08F54E27"/>
    <w:rsid w:val="08F55B5C"/>
    <w:rsid w:val="08F655F4"/>
    <w:rsid w:val="08F875BE"/>
    <w:rsid w:val="09181E5F"/>
    <w:rsid w:val="09185E9A"/>
    <w:rsid w:val="09197621"/>
    <w:rsid w:val="0923288D"/>
    <w:rsid w:val="092E1A43"/>
    <w:rsid w:val="0946032A"/>
    <w:rsid w:val="09475D37"/>
    <w:rsid w:val="094B19B4"/>
    <w:rsid w:val="094E2332"/>
    <w:rsid w:val="09507665"/>
    <w:rsid w:val="095C102E"/>
    <w:rsid w:val="095C516D"/>
    <w:rsid w:val="096933D9"/>
    <w:rsid w:val="096A4039"/>
    <w:rsid w:val="097C1BEE"/>
    <w:rsid w:val="097C4D9A"/>
    <w:rsid w:val="097D3598"/>
    <w:rsid w:val="097E2CFA"/>
    <w:rsid w:val="09952D49"/>
    <w:rsid w:val="099617A0"/>
    <w:rsid w:val="09984FF0"/>
    <w:rsid w:val="09A30749"/>
    <w:rsid w:val="09C03CCA"/>
    <w:rsid w:val="09C3197A"/>
    <w:rsid w:val="09C62EAC"/>
    <w:rsid w:val="09C72E76"/>
    <w:rsid w:val="09C8679C"/>
    <w:rsid w:val="09CB7E31"/>
    <w:rsid w:val="09CC7134"/>
    <w:rsid w:val="09D5345C"/>
    <w:rsid w:val="09DE21AB"/>
    <w:rsid w:val="09E60AC7"/>
    <w:rsid w:val="09E63021"/>
    <w:rsid w:val="09E81258"/>
    <w:rsid w:val="09F01A61"/>
    <w:rsid w:val="09F64277"/>
    <w:rsid w:val="09F75AC8"/>
    <w:rsid w:val="0A0A3616"/>
    <w:rsid w:val="0A0B5FED"/>
    <w:rsid w:val="0A106088"/>
    <w:rsid w:val="0A140428"/>
    <w:rsid w:val="0A147516"/>
    <w:rsid w:val="0A1E12A6"/>
    <w:rsid w:val="0A2A7EE0"/>
    <w:rsid w:val="0A3317DD"/>
    <w:rsid w:val="0A342878"/>
    <w:rsid w:val="0A3E6D75"/>
    <w:rsid w:val="0A3F3030"/>
    <w:rsid w:val="0A4354EC"/>
    <w:rsid w:val="0A475719"/>
    <w:rsid w:val="0A4A3E4A"/>
    <w:rsid w:val="0A514441"/>
    <w:rsid w:val="0A544CC8"/>
    <w:rsid w:val="0A566D52"/>
    <w:rsid w:val="0A573AAD"/>
    <w:rsid w:val="0A5C7051"/>
    <w:rsid w:val="0A5E7876"/>
    <w:rsid w:val="0A6543C3"/>
    <w:rsid w:val="0A6767AA"/>
    <w:rsid w:val="0A6770E6"/>
    <w:rsid w:val="0A70743F"/>
    <w:rsid w:val="0A760892"/>
    <w:rsid w:val="0A7D734F"/>
    <w:rsid w:val="0A89670C"/>
    <w:rsid w:val="0A8B4D06"/>
    <w:rsid w:val="0A9B4683"/>
    <w:rsid w:val="0A9B6453"/>
    <w:rsid w:val="0A9E5F43"/>
    <w:rsid w:val="0AA06AE2"/>
    <w:rsid w:val="0AA21DF1"/>
    <w:rsid w:val="0AAC17DA"/>
    <w:rsid w:val="0AAF559C"/>
    <w:rsid w:val="0AB31886"/>
    <w:rsid w:val="0AC05EBA"/>
    <w:rsid w:val="0AC46F06"/>
    <w:rsid w:val="0ACB0EA6"/>
    <w:rsid w:val="0ACB42D4"/>
    <w:rsid w:val="0ACC4420"/>
    <w:rsid w:val="0AD479BE"/>
    <w:rsid w:val="0AD876A7"/>
    <w:rsid w:val="0ADF5289"/>
    <w:rsid w:val="0AE74C0B"/>
    <w:rsid w:val="0AF618DB"/>
    <w:rsid w:val="0AFC6CC8"/>
    <w:rsid w:val="0AFD2E20"/>
    <w:rsid w:val="0B0D7D13"/>
    <w:rsid w:val="0B0E30C9"/>
    <w:rsid w:val="0B150A23"/>
    <w:rsid w:val="0B16508E"/>
    <w:rsid w:val="0B1773AE"/>
    <w:rsid w:val="0B1B5950"/>
    <w:rsid w:val="0B244548"/>
    <w:rsid w:val="0B33109E"/>
    <w:rsid w:val="0B372620"/>
    <w:rsid w:val="0B416FFB"/>
    <w:rsid w:val="0B451945"/>
    <w:rsid w:val="0B4538F3"/>
    <w:rsid w:val="0B494101"/>
    <w:rsid w:val="0B52245A"/>
    <w:rsid w:val="0B557570"/>
    <w:rsid w:val="0B5B779B"/>
    <w:rsid w:val="0B5D1483"/>
    <w:rsid w:val="0B6555FE"/>
    <w:rsid w:val="0B680A2B"/>
    <w:rsid w:val="0B6C48B8"/>
    <w:rsid w:val="0B6F0124"/>
    <w:rsid w:val="0B700F94"/>
    <w:rsid w:val="0B73721B"/>
    <w:rsid w:val="0B772D52"/>
    <w:rsid w:val="0B786794"/>
    <w:rsid w:val="0B786CCB"/>
    <w:rsid w:val="0B845848"/>
    <w:rsid w:val="0B9D08BF"/>
    <w:rsid w:val="0B9E269F"/>
    <w:rsid w:val="0BA80E28"/>
    <w:rsid w:val="0BAA19D5"/>
    <w:rsid w:val="0BAD3BDC"/>
    <w:rsid w:val="0BB70FFB"/>
    <w:rsid w:val="0BB94618"/>
    <w:rsid w:val="0BC106F2"/>
    <w:rsid w:val="0BC3092A"/>
    <w:rsid w:val="0BC45B37"/>
    <w:rsid w:val="0BC67C44"/>
    <w:rsid w:val="0BCB433A"/>
    <w:rsid w:val="0BDB7DA5"/>
    <w:rsid w:val="0BDF05C2"/>
    <w:rsid w:val="0BE00EBE"/>
    <w:rsid w:val="0BE109C9"/>
    <w:rsid w:val="0BE34556"/>
    <w:rsid w:val="0BE51376"/>
    <w:rsid w:val="0BE545BF"/>
    <w:rsid w:val="0BE86DAC"/>
    <w:rsid w:val="0BEA58E4"/>
    <w:rsid w:val="0BEB6F66"/>
    <w:rsid w:val="0BF217D5"/>
    <w:rsid w:val="0BF806B2"/>
    <w:rsid w:val="0BF85AD6"/>
    <w:rsid w:val="0BFD7E84"/>
    <w:rsid w:val="0BFE313E"/>
    <w:rsid w:val="0C01704A"/>
    <w:rsid w:val="0C027073"/>
    <w:rsid w:val="0C085D6A"/>
    <w:rsid w:val="0C157530"/>
    <w:rsid w:val="0C175FAD"/>
    <w:rsid w:val="0C18259B"/>
    <w:rsid w:val="0C250279"/>
    <w:rsid w:val="0C2C1FA8"/>
    <w:rsid w:val="0C326AA4"/>
    <w:rsid w:val="0C396D9C"/>
    <w:rsid w:val="0C3F4450"/>
    <w:rsid w:val="0C584C92"/>
    <w:rsid w:val="0C594353"/>
    <w:rsid w:val="0C76102C"/>
    <w:rsid w:val="0C7F6533"/>
    <w:rsid w:val="0C90575D"/>
    <w:rsid w:val="0C9B273A"/>
    <w:rsid w:val="0CAE0DD5"/>
    <w:rsid w:val="0CB04768"/>
    <w:rsid w:val="0CB35CD6"/>
    <w:rsid w:val="0CBA18B4"/>
    <w:rsid w:val="0CBC2D9A"/>
    <w:rsid w:val="0CC07E31"/>
    <w:rsid w:val="0CC62C3A"/>
    <w:rsid w:val="0CC954FA"/>
    <w:rsid w:val="0CD3017E"/>
    <w:rsid w:val="0CD778B2"/>
    <w:rsid w:val="0CDA64C4"/>
    <w:rsid w:val="0CE326A0"/>
    <w:rsid w:val="0CE44D1B"/>
    <w:rsid w:val="0CEC48B7"/>
    <w:rsid w:val="0CF14214"/>
    <w:rsid w:val="0CF14A50"/>
    <w:rsid w:val="0D024D45"/>
    <w:rsid w:val="0D0520BA"/>
    <w:rsid w:val="0D08358D"/>
    <w:rsid w:val="0D16530B"/>
    <w:rsid w:val="0D1D0185"/>
    <w:rsid w:val="0D1D1C6E"/>
    <w:rsid w:val="0D2603DD"/>
    <w:rsid w:val="0D301068"/>
    <w:rsid w:val="0D323EA7"/>
    <w:rsid w:val="0D377F4C"/>
    <w:rsid w:val="0D395D65"/>
    <w:rsid w:val="0D3D5052"/>
    <w:rsid w:val="0D3F756A"/>
    <w:rsid w:val="0D417786"/>
    <w:rsid w:val="0D4D37E7"/>
    <w:rsid w:val="0D584ACF"/>
    <w:rsid w:val="0D593D9D"/>
    <w:rsid w:val="0D5A11C0"/>
    <w:rsid w:val="0D5A43A4"/>
    <w:rsid w:val="0D5B1161"/>
    <w:rsid w:val="0D6166BF"/>
    <w:rsid w:val="0D6671EC"/>
    <w:rsid w:val="0D6913BE"/>
    <w:rsid w:val="0D6C562F"/>
    <w:rsid w:val="0D7251D1"/>
    <w:rsid w:val="0D796E2B"/>
    <w:rsid w:val="0D7B2574"/>
    <w:rsid w:val="0D7B2C47"/>
    <w:rsid w:val="0D806591"/>
    <w:rsid w:val="0D857DE3"/>
    <w:rsid w:val="0D896A37"/>
    <w:rsid w:val="0D8A648E"/>
    <w:rsid w:val="0D8E72AD"/>
    <w:rsid w:val="0D925AF7"/>
    <w:rsid w:val="0D97071C"/>
    <w:rsid w:val="0D9C49BC"/>
    <w:rsid w:val="0DA04BC6"/>
    <w:rsid w:val="0DA11FD2"/>
    <w:rsid w:val="0DA754C9"/>
    <w:rsid w:val="0DA9532B"/>
    <w:rsid w:val="0DAA0CA4"/>
    <w:rsid w:val="0DAF4209"/>
    <w:rsid w:val="0DB06E31"/>
    <w:rsid w:val="0DB735A4"/>
    <w:rsid w:val="0DBF14ED"/>
    <w:rsid w:val="0DBF577B"/>
    <w:rsid w:val="0DC223E0"/>
    <w:rsid w:val="0DC4128E"/>
    <w:rsid w:val="0DC64A07"/>
    <w:rsid w:val="0DC7755F"/>
    <w:rsid w:val="0DCF4D92"/>
    <w:rsid w:val="0DD307E4"/>
    <w:rsid w:val="0DD539F0"/>
    <w:rsid w:val="0DDA1BE3"/>
    <w:rsid w:val="0DE34399"/>
    <w:rsid w:val="0DE4786C"/>
    <w:rsid w:val="0DEF0A31"/>
    <w:rsid w:val="0DF32DFA"/>
    <w:rsid w:val="0DF43593"/>
    <w:rsid w:val="0DFA7935"/>
    <w:rsid w:val="0E0028BD"/>
    <w:rsid w:val="0E0033D4"/>
    <w:rsid w:val="0E014D6B"/>
    <w:rsid w:val="0E06404D"/>
    <w:rsid w:val="0E0C7EA2"/>
    <w:rsid w:val="0E132EC0"/>
    <w:rsid w:val="0E15286A"/>
    <w:rsid w:val="0E2536D7"/>
    <w:rsid w:val="0E261EF0"/>
    <w:rsid w:val="0E2A1FC8"/>
    <w:rsid w:val="0E2A3D30"/>
    <w:rsid w:val="0E2D0C52"/>
    <w:rsid w:val="0E34104C"/>
    <w:rsid w:val="0E367C03"/>
    <w:rsid w:val="0E405625"/>
    <w:rsid w:val="0E45392E"/>
    <w:rsid w:val="0E490E58"/>
    <w:rsid w:val="0E4A199B"/>
    <w:rsid w:val="0E4B0190"/>
    <w:rsid w:val="0E4B4257"/>
    <w:rsid w:val="0E5A03D3"/>
    <w:rsid w:val="0E63197E"/>
    <w:rsid w:val="0E653000"/>
    <w:rsid w:val="0E6739EB"/>
    <w:rsid w:val="0E803CD8"/>
    <w:rsid w:val="0E81108F"/>
    <w:rsid w:val="0E8518F4"/>
    <w:rsid w:val="0E873E74"/>
    <w:rsid w:val="0E8F2773"/>
    <w:rsid w:val="0E9D046F"/>
    <w:rsid w:val="0E9D1C9F"/>
    <w:rsid w:val="0EA1013B"/>
    <w:rsid w:val="0EA31D7A"/>
    <w:rsid w:val="0EAD672A"/>
    <w:rsid w:val="0EBB561B"/>
    <w:rsid w:val="0EBC1F62"/>
    <w:rsid w:val="0ECC4649"/>
    <w:rsid w:val="0ED32660"/>
    <w:rsid w:val="0EDC06C1"/>
    <w:rsid w:val="0EDF2254"/>
    <w:rsid w:val="0EE06BF5"/>
    <w:rsid w:val="0EE116B1"/>
    <w:rsid w:val="0EE91E83"/>
    <w:rsid w:val="0EE91F10"/>
    <w:rsid w:val="0EEC54CF"/>
    <w:rsid w:val="0EF95831"/>
    <w:rsid w:val="0F0329A2"/>
    <w:rsid w:val="0F0407F2"/>
    <w:rsid w:val="0F040A6B"/>
    <w:rsid w:val="0F071200"/>
    <w:rsid w:val="0F093DB3"/>
    <w:rsid w:val="0F0A1DF9"/>
    <w:rsid w:val="0F107382"/>
    <w:rsid w:val="0F16254C"/>
    <w:rsid w:val="0F263AEF"/>
    <w:rsid w:val="0F2F1860"/>
    <w:rsid w:val="0F39638D"/>
    <w:rsid w:val="0F3C5ABD"/>
    <w:rsid w:val="0F3E5A46"/>
    <w:rsid w:val="0F4072FB"/>
    <w:rsid w:val="0F425746"/>
    <w:rsid w:val="0F451F0F"/>
    <w:rsid w:val="0F465634"/>
    <w:rsid w:val="0F5117D6"/>
    <w:rsid w:val="0F534FBE"/>
    <w:rsid w:val="0F650423"/>
    <w:rsid w:val="0F6E43F2"/>
    <w:rsid w:val="0F78505F"/>
    <w:rsid w:val="0F787358"/>
    <w:rsid w:val="0F7900FD"/>
    <w:rsid w:val="0F7E7ACC"/>
    <w:rsid w:val="0F8E6586"/>
    <w:rsid w:val="0F8F4BC9"/>
    <w:rsid w:val="0F990E1A"/>
    <w:rsid w:val="0F9F2542"/>
    <w:rsid w:val="0FA2578F"/>
    <w:rsid w:val="0FA43FFC"/>
    <w:rsid w:val="0FAC3AC1"/>
    <w:rsid w:val="0FAD64E0"/>
    <w:rsid w:val="0FB87673"/>
    <w:rsid w:val="0FC4644C"/>
    <w:rsid w:val="0FC53D74"/>
    <w:rsid w:val="0FD3043D"/>
    <w:rsid w:val="0FD77943"/>
    <w:rsid w:val="0FD91482"/>
    <w:rsid w:val="0FDC24EE"/>
    <w:rsid w:val="0FE12B5A"/>
    <w:rsid w:val="0FE34B24"/>
    <w:rsid w:val="0FE549F7"/>
    <w:rsid w:val="0FEA5DAF"/>
    <w:rsid w:val="0FFF4C86"/>
    <w:rsid w:val="10023020"/>
    <w:rsid w:val="10046256"/>
    <w:rsid w:val="10110E27"/>
    <w:rsid w:val="1019126D"/>
    <w:rsid w:val="101A4192"/>
    <w:rsid w:val="101B18AC"/>
    <w:rsid w:val="101D4107"/>
    <w:rsid w:val="102820B0"/>
    <w:rsid w:val="10296AE5"/>
    <w:rsid w:val="10321608"/>
    <w:rsid w:val="10323D02"/>
    <w:rsid w:val="10352EA6"/>
    <w:rsid w:val="10355FF8"/>
    <w:rsid w:val="10384181"/>
    <w:rsid w:val="104734D5"/>
    <w:rsid w:val="10516B8A"/>
    <w:rsid w:val="10554D6F"/>
    <w:rsid w:val="106B1A3E"/>
    <w:rsid w:val="106C3E58"/>
    <w:rsid w:val="107C690A"/>
    <w:rsid w:val="10881228"/>
    <w:rsid w:val="10895AD5"/>
    <w:rsid w:val="108A147D"/>
    <w:rsid w:val="108E0A1E"/>
    <w:rsid w:val="1098280E"/>
    <w:rsid w:val="10992724"/>
    <w:rsid w:val="109A7B98"/>
    <w:rsid w:val="10A30F8E"/>
    <w:rsid w:val="10A36062"/>
    <w:rsid w:val="10B026F0"/>
    <w:rsid w:val="10B11A3F"/>
    <w:rsid w:val="10B9430E"/>
    <w:rsid w:val="10BA66E4"/>
    <w:rsid w:val="10BF1DF4"/>
    <w:rsid w:val="10C0065F"/>
    <w:rsid w:val="10C00B2C"/>
    <w:rsid w:val="10C06C14"/>
    <w:rsid w:val="10C409B3"/>
    <w:rsid w:val="10C460C3"/>
    <w:rsid w:val="10CF6060"/>
    <w:rsid w:val="10D5238B"/>
    <w:rsid w:val="10D66437"/>
    <w:rsid w:val="10D92C55"/>
    <w:rsid w:val="10E03184"/>
    <w:rsid w:val="10E14235"/>
    <w:rsid w:val="10E70DCB"/>
    <w:rsid w:val="10EA0134"/>
    <w:rsid w:val="10EE3146"/>
    <w:rsid w:val="10F06FEC"/>
    <w:rsid w:val="10FF353E"/>
    <w:rsid w:val="11002D76"/>
    <w:rsid w:val="11011109"/>
    <w:rsid w:val="11032E44"/>
    <w:rsid w:val="1106401C"/>
    <w:rsid w:val="110805BA"/>
    <w:rsid w:val="1109680C"/>
    <w:rsid w:val="11165360"/>
    <w:rsid w:val="111D4724"/>
    <w:rsid w:val="111D5E14"/>
    <w:rsid w:val="111D7BC2"/>
    <w:rsid w:val="11252051"/>
    <w:rsid w:val="11267F5B"/>
    <w:rsid w:val="11284A64"/>
    <w:rsid w:val="112D14A8"/>
    <w:rsid w:val="112F225C"/>
    <w:rsid w:val="11363038"/>
    <w:rsid w:val="113C7D63"/>
    <w:rsid w:val="114F064D"/>
    <w:rsid w:val="114F068B"/>
    <w:rsid w:val="114F07BA"/>
    <w:rsid w:val="115867D4"/>
    <w:rsid w:val="11615246"/>
    <w:rsid w:val="11645155"/>
    <w:rsid w:val="11653414"/>
    <w:rsid w:val="116B3D58"/>
    <w:rsid w:val="1170063A"/>
    <w:rsid w:val="11774830"/>
    <w:rsid w:val="117F6F95"/>
    <w:rsid w:val="11894D57"/>
    <w:rsid w:val="11895257"/>
    <w:rsid w:val="11A470C0"/>
    <w:rsid w:val="11A8275B"/>
    <w:rsid w:val="11A94BB9"/>
    <w:rsid w:val="11AC0F46"/>
    <w:rsid w:val="11B75789"/>
    <w:rsid w:val="11B90151"/>
    <w:rsid w:val="11BC7E6E"/>
    <w:rsid w:val="11C13758"/>
    <w:rsid w:val="11C226AD"/>
    <w:rsid w:val="11C61CB0"/>
    <w:rsid w:val="11CA015F"/>
    <w:rsid w:val="11CA4E7E"/>
    <w:rsid w:val="11CC15E8"/>
    <w:rsid w:val="11CD18D6"/>
    <w:rsid w:val="11D50284"/>
    <w:rsid w:val="11D82B8A"/>
    <w:rsid w:val="11E3705D"/>
    <w:rsid w:val="11E43A17"/>
    <w:rsid w:val="11EC0A4D"/>
    <w:rsid w:val="11EE3AA9"/>
    <w:rsid w:val="11EF30C7"/>
    <w:rsid w:val="11F17F9A"/>
    <w:rsid w:val="11F87727"/>
    <w:rsid w:val="12011292"/>
    <w:rsid w:val="12012F41"/>
    <w:rsid w:val="12027CA0"/>
    <w:rsid w:val="12027CD8"/>
    <w:rsid w:val="12062D4C"/>
    <w:rsid w:val="1208386C"/>
    <w:rsid w:val="12083A2B"/>
    <w:rsid w:val="12094DB4"/>
    <w:rsid w:val="120B5866"/>
    <w:rsid w:val="12151733"/>
    <w:rsid w:val="12163FA3"/>
    <w:rsid w:val="12190D5B"/>
    <w:rsid w:val="122356AC"/>
    <w:rsid w:val="12236F6C"/>
    <w:rsid w:val="12296A3A"/>
    <w:rsid w:val="123603D9"/>
    <w:rsid w:val="12365860"/>
    <w:rsid w:val="123A572F"/>
    <w:rsid w:val="12422AF3"/>
    <w:rsid w:val="12483364"/>
    <w:rsid w:val="124A11C7"/>
    <w:rsid w:val="124B2A11"/>
    <w:rsid w:val="124D5D84"/>
    <w:rsid w:val="12502933"/>
    <w:rsid w:val="125335FD"/>
    <w:rsid w:val="12564FE5"/>
    <w:rsid w:val="125B52F5"/>
    <w:rsid w:val="12616D44"/>
    <w:rsid w:val="12686021"/>
    <w:rsid w:val="126B0E01"/>
    <w:rsid w:val="12725B84"/>
    <w:rsid w:val="12742CE3"/>
    <w:rsid w:val="12766FEC"/>
    <w:rsid w:val="127D054C"/>
    <w:rsid w:val="12872ED4"/>
    <w:rsid w:val="128D5667"/>
    <w:rsid w:val="128E26E5"/>
    <w:rsid w:val="128E689D"/>
    <w:rsid w:val="12965FB7"/>
    <w:rsid w:val="129C545E"/>
    <w:rsid w:val="129E0579"/>
    <w:rsid w:val="12A07E1F"/>
    <w:rsid w:val="12A85BB1"/>
    <w:rsid w:val="12A96142"/>
    <w:rsid w:val="12B86D4F"/>
    <w:rsid w:val="12C40819"/>
    <w:rsid w:val="12C915AD"/>
    <w:rsid w:val="12C95A47"/>
    <w:rsid w:val="12CD1ABC"/>
    <w:rsid w:val="12CE4A46"/>
    <w:rsid w:val="12D2563E"/>
    <w:rsid w:val="12DD7BAD"/>
    <w:rsid w:val="12DE15D3"/>
    <w:rsid w:val="12E10387"/>
    <w:rsid w:val="12E772D4"/>
    <w:rsid w:val="12EA3DB0"/>
    <w:rsid w:val="12EC55CC"/>
    <w:rsid w:val="12F04B04"/>
    <w:rsid w:val="12F34AD8"/>
    <w:rsid w:val="12F72695"/>
    <w:rsid w:val="12FB4B46"/>
    <w:rsid w:val="130B7EEE"/>
    <w:rsid w:val="130F3E82"/>
    <w:rsid w:val="13110F94"/>
    <w:rsid w:val="13240085"/>
    <w:rsid w:val="132A0CBC"/>
    <w:rsid w:val="132F1635"/>
    <w:rsid w:val="133E76E6"/>
    <w:rsid w:val="13404E20"/>
    <w:rsid w:val="13433B2C"/>
    <w:rsid w:val="134E6759"/>
    <w:rsid w:val="134F5657"/>
    <w:rsid w:val="13573133"/>
    <w:rsid w:val="135875D7"/>
    <w:rsid w:val="13587FD5"/>
    <w:rsid w:val="135D7940"/>
    <w:rsid w:val="135E17E2"/>
    <w:rsid w:val="13607D9D"/>
    <w:rsid w:val="13620263"/>
    <w:rsid w:val="13624238"/>
    <w:rsid w:val="13670F36"/>
    <w:rsid w:val="136A5632"/>
    <w:rsid w:val="13715775"/>
    <w:rsid w:val="13743CE5"/>
    <w:rsid w:val="1377142B"/>
    <w:rsid w:val="13781A9B"/>
    <w:rsid w:val="13781E95"/>
    <w:rsid w:val="137A3411"/>
    <w:rsid w:val="138008DC"/>
    <w:rsid w:val="138972EB"/>
    <w:rsid w:val="138B6A2F"/>
    <w:rsid w:val="1391354B"/>
    <w:rsid w:val="13923A78"/>
    <w:rsid w:val="13944E8E"/>
    <w:rsid w:val="13983E78"/>
    <w:rsid w:val="13994095"/>
    <w:rsid w:val="139C150D"/>
    <w:rsid w:val="139D0FF1"/>
    <w:rsid w:val="13AB4CF2"/>
    <w:rsid w:val="13B1052B"/>
    <w:rsid w:val="13B15378"/>
    <w:rsid w:val="13B419EA"/>
    <w:rsid w:val="13B567D8"/>
    <w:rsid w:val="13B722E8"/>
    <w:rsid w:val="13B72D15"/>
    <w:rsid w:val="13B95BF1"/>
    <w:rsid w:val="13C02BA2"/>
    <w:rsid w:val="13C14C32"/>
    <w:rsid w:val="13C25F6C"/>
    <w:rsid w:val="13CF1A01"/>
    <w:rsid w:val="13D44781"/>
    <w:rsid w:val="13D544B8"/>
    <w:rsid w:val="13DB18BC"/>
    <w:rsid w:val="13E46322"/>
    <w:rsid w:val="13ED01CE"/>
    <w:rsid w:val="13ED72ED"/>
    <w:rsid w:val="13F10708"/>
    <w:rsid w:val="13F37300"/>
    <w:rsid w:val="13F41659"/>
    <w:rsid w:val="140552F5"/>
    <w:rsid w:val="1409293B"/>
    <w:rsid w:val="140B464A"/>
    <w:rsid w:val="141334FE"/>
    <w:rsid w:val="141E3025"/>
    <w:rsid w:val="14213E6D"/>
    <w:rsid w:val="14260D24"/>
    <w:rsid w:val="14290CE2"/>
    <w:rsid w:val="142C3001"/>
    <w:rsid w:val="142C45C0"/>
    <w:rsid w:val="1432744D"/>
    <w:rsid w:val="143426EA"/>
    <w:rsid w:val="14447B5C"/>
    <w:rsid w:val="1448357A"/>
    <w:rsid w:val="144C74AC"/>
    <w:rsid w:val="14633A10"/>
    <w:rsid w:val="146F4DBA"/>
    <w:rsid w:val="14743284"/>
    <w:rsid w:val="14752BA3"/>
    <w:rsid w:val="147541B9"/>
    <w:rsid w:val="14773A8D"/>
    <w:rsid w:val="14795A57"/>
    <w:rsid w:val="147E1869"/>
    <w:rsid w:val="147E5C4A"/>
    <w:rsid w:val="148E7205"/>
    <w:rsid w:val="148F3D09"/>
    <w:rsid w:val="149029CD"/>
    <w:rsid w:val="14902DA1"/>
    <w:rsid w:val="14913781"/>
    <w:rsid w:val="14956609"/>
    <w:rsid w:val="149A17F0"/>
    <w:rsid w:val="14A03B74"/>
    <w:rsid w:val="14A80F5B"/>
    <w:rsid w:val="14A96112"/>
    <w:rsid w:val="14AE1C3D"/>
    <w:rsid w:val="14B00D4D"/>
    <w:rsid w:val="14B976A4"/>
    <w:rsid w:val="14C0595D"/>
    <w:rsid w:val="14C50C55"/>
    <w:rsid w:val="14CA0409"/>
    <w:rsid w:val="14CE4F60"/>
    <w:rsid w:val="14D26020"/>
    <w:rsid w:val="14D260DC"/>
    <w:rsid w:val="14DC149E"/>
    <w:rsid w:val="14DC7F4C"/>
    <w:rsid w:val="14E023D3"/>
    <w:rsid w:val="14ED01F3"/>
    <w:rsid w:val="14ED79B2"/>
    <w:rsid w:val="14F14CBE"/>
    <w:rsid w:val="14F14E3A"/>
    <w:rsid w:val="14F926F4"/>
    <w:rsid w:val="15127C5A"/>
    <w:rsid w:val="15211C4B"/>
    <w:rsid w:val="15343E32"/>
    <w:rsid w:val="153440A5"/>
    <w:rsid w:val="153640BD"/>
    <w:rsid w:val="153C18C2"/>
    <w:rsid w:val="15431BC1"/>
    <w:rsid w:val="1546198E"/>
    <w:rsid w:val="154948DC"/>
    <w:rsid w:val="15495AF7"/>
    <w:rsid w:val="154D148C"/>
    <w:rsid w:val="155079C4"/>
    <w:rsid w:val="1556255B"/>
    <w:rsid w:val="155B3718"/>
    <w:rsid w:val="156003E7"/>
    <w:rsid w:val="1563055E"/>
    <w:rsid w:val="156B0945"/>
    <w:rsid w:val="15704FBF"/>
    <w:rsid w:val="15732FBC"/>
    <w:rsid w:val="15741806"/>
    <w:rsid w:val="15745899"/>
    <w:rsid w:val="15792B57"/>
    <w:rsid w:val="158147AD"/>
    <w:rsid w:val="15832CD0"/>
    <w:rsid w:val="15842905"/>
    <w:rsid w:val="158B527A"/>
    <w:rsid w:val="159348F7"/>
    <w:rsid w:val="15950CC4"/>
    <w:rsid w:val="15AA7E92"/>
    <w:rsid w:val="15AB07F6"/>
    <w:rsid w:val="15AB5903"/>
    <w:rsid w:val="15AC3C0A"/>
    <w:rsid w:val="15AE44CE"/>
    <w:rsid w:val="15AF72A9"/>
    <w:rsid w:val="15BD0A67"/>
    <w:rsid w:val="15BD7BC5"/>
    <w:rsid w:val="15BF7150"/>
    <w:rsid w:val="15C26F8A"/>
    <w:rsid w:val="15C9656A"/>
    <w:rsid w:val="15CA56A4"/>
    <w:rsid w:val="15DD51DA"/>
    <w:rsid w:val="15EE59CF"/>
    <w:rsid w:val="15F35A4E"/>
    <w:rsid w:val="160708CC"/>
    <w:rsid w:val="16073E11"/>
    <w:rsid w:val="16092209"/>
    <w:rsid w:val="160D36C7"/>
    <w:rsid w:val="16102068"/>
    <w:rsid w:val="16103387"/>
    <w:rsid w:val="1618304E"/>
    <w:rsid w:val="161B3123"/>
    <w:rsid w:val="16235DDC"/>
    <w:rsid w:val="16260F8E"/>
    <w:rsid w:val="162A3D88"/>
    <w:rsid w:val="162C63BB"/>
    <w:rsid w:val="16357E53"/>
    <w:rsid w:val="163A7468"/>
    <w:rsid w:val="163C4F8E"/>
    <w:rsid w:val="165555AF"/>
    <w:rsid w:val="16556050"/>
    <w:rsid w:val="16564EF5"/>
    <w:rsid w:val="165874EE"/>
    <w:rsid w:val="16597298"/>
    <w:rsid w:val="165A6848"/>
    <w:rsid w:val="165E4FD6"/>
    <w:rsid w:val="166737D7"/>
    <w:rsid w:val="16675356"/>
    <w:rsid w:val="166D339A"/>
    <w:rsid w:val="16812BDF"/>
    <w:rsid w:val="168612B1"/>
    <w:rsid w:val="168626AD"/>
    <w:rsid w:val="168B6593"/>
    <w:rsid w:val="168F6232"/>
    <w:rsid w:val="16915D14"/>
    <w:rsid w:val="169752E7"/>
    <w:rsid w:val="169F1079"/>
    <w:rsid w:val="16A83F2F"/>
    <w:rsid w:val="16AD09AA"/>
    <w:rsid w:val="16AE368B"/>
    <w:rsid w:val="16AF0937"/>
    <w:rsid w:val="16B26A33"/>
    <w:rsid w:val="16B54D41"/>
    <w:rsid w:val="16B74E97"/>
    <w:rsid w:val="16B8593D"/>
    <w:rsid w:val="16BD1525"/>
    <w:rsid w:val="16C14996"/>
    <w:rsid w:val="16C72E70"/>
    <w:rsid w:val="16C7394F"/>
    <w:rsid w:val="16D11B4C"/>
    <w:rsid w:val="16D43419"/>
    <w:rsid w:val="16D82ABA"/>
    <w:rsid w:val="16DC0763"/>
    <w:rsid w:val="16E42F30"/>
    <w:rsid w:val="16E56848"/>
    <w:rsid w:val="16E772BE"/>
    <w:rsid w:val="16E913C4"/>
    <w:rsid w:val="16F05D79"/>
    <w:rsid w:val="16F7088C"/>
    <w:rsid w:val="16F81370"/>
    <w:rsid w:val="16FA2753"/>
    <w:rsid w:val="16FD04A1"/>
    <w:rsid w:val="17020D2F"/>
    <w:rsid w:val="1704401B"/>
    <w:rsid w:val="170B36F9"/>
    <w:rsid w:val="170D29F7"/>
    <w:rsid w:val="170E5744"/>
    <w:rsid w:val="17154740"/>
    <w:rsid w:val="171E28E6"/>
    <w:rsid w:val="171F411D"/>
    <w:rsid w:val="17205B1B"/>
    <w:rsid w:val="17232CD3"/>
    <w:rsid w:val="17314DF5"/>
    <w:rsid w:val="17326B69"/>
    <w:rsid w:val="17381BF1"/>
    <w:rsid w:val="17396734"/>
    <w:rsid w:val="173C7011"/>
    <w:rsid w:val="17406FE2"/>
    <w:rsid w:val="17411F5E"/>
    <w:rsid w:val="174338FB"/>
    <w:rsid w:val="17487963"/>
    <w:rsid w:val="174D5E04"/>
    <w:rsid w:val="17526B9B"/>
    <w:rsid w:val="176C45B5"/>
    <w:rsid w:val="176E0F1C"/>
    <w:rsid w:val="17704197"/>
    <w:rsid w:val="177B2D92"/>
    <w:rsid w:val="177B57AF"/>
    <w:rsid w:val="177D2101"/>
    <w:rsid w:val="177E5953"/>
    <w:rsid w:val="17833554"/>
    <w:rsid w:val="179112BC"/>
    <w:rsid w:val="179D4BB9"/>
    <w:rsid w:val="179F7397"/>
    <w:rsid w:val="17A54826"/>
    <w:rsid w:val="17AE0230"/>
    <w:rsid w:val="17AF774A"/>
    <w:rsid w:val="17B40B54"/>
    <w:rsid w:val="17B66FC1"/>
    <w:rsid w:val="17B70B5E"/>
    <w:rsid w:val="17BA1396"/>
    <w:rsid w:val="17BB1D1F"/>
    <w:rsid w:val="17C40E7E"/>
    <w:rsid w:val="17D74121"/>
    <w:rsid w:val="17D8686B"/>
    <w:rsid w:val="17DC2984"/>
    <w:rsid w:val="17E027E9"/>
    <w:rsid w:val="17E92EAB"/>
    <w:rsid w:val="17E94CA2"/>
    <w:rsid w:val="17EF5EE0"/>
    <w:rsid w:val="17F10B0B"/>
    <w:rsid w:val="180172D8"/>
    <w:rsid w:val="18044AE1"/>
    <w:rsid w:val="180D55AE"/>
    <w:rsid w:val="180F6255"/>
    <w:rsid w:val="18150053"/>
    <w:rsid w:val="18180ECC"/>
    <w:rsid w:val="181F50D6"/>
    <w:rsid w:val="182436C2"/>
    <w:rsid w:val="1824433A"/>
    <w:rsid w:val="18267CA4"/>
    <w:rsid w:val="18277035"/>
    <w:rsid w:val="18280364"/>
    <w:rsid w:val="18334C68"/>
    <w:rsid w:val="18342F6B"/>
    <w:rsid w:val="185842D4"/>
    <w:rsid w:val="185B5474"/>
    <w:rsid w:val="185D05DF"/>
    <w:rsid w:val="185D740B"/>
    <w:rsid w:val="1867206B"/>
    <w:rsid w:val="18694035"/>
    <w:rsid w:val="186B3909"/>
    <w:rsid w:val="186B4465"/>
    <w:rsid w:val="18700F1F"/>
    <w:rsid w:val="18724307"/>
    <w:rsid w:val="18731A63"/>
    <w:rsid w:val="18745CB8"/>
    <w:rsid w:val="187D4B69"/>
    <w:rsid w:val="188C119D"/>
    <w:rsid w:val="1894636C"/>
    <w:rsid w:val="189A0F52"/>
    <w:rsid w:val="189B0F98"/>
    <w:rsid w:val="189E56FD"/>
    <w:rsid w:val="18A0090C"/>
    <w:rsid w:val="18B2328F"/>
    <w:rsid w:val="18B828C6"/>
    <w:rsid w:val="18C30868"/>
    <w:rsid w:val="18C85881"/>
    <w:rsid w:val="18CB084B"/>
    <w:rsid w:val="18CC243C"/>
    <w:rsid w:val="18D1050C"/>
    <w:rsid w:val="18D171C8"/>
    <w:rsid w:val="18D43196"/>
    <w:rsid w:val="18DB288B"/>
    <w:rsid w:val="18DC4807"/>
    <w:rsid w:val="18DC5145"/>
    <w:rsid w:val="18E06C78"/>
    <w:rsid w:val="18EB1DD0"/>
    <w:rsid w:val="18F03E0E"/>
    <w:rsid w:val="18F069B0"/>
    <w:rsid w:val="18F132BC"/>
    <w:rsid w:val="18F22BF8"/>
    <w:rsid w:val="19090E5D"/>
    <w:rsid w:val="190E0BF0"/>
    <w:rsid w:val="19105F7F"/>
    <w:rsid w:val="191133E8"/>
    <w:rsid w:val="19137AFC"/>
    <w:rsid w:val="1915172A"/>
    <w:rsid w:val="19304169"/>
    <w:rsid w:val="1936774B"/>
    <w:rsid w:val="19467ED2"/>
    <w:rsid w:val="19484B8A"/>
    <w:rsid w:val="194B064D"/>
    <w:rsid w:val="19552BBE"/>
    <w:rsid w:val="195642B9"/>
    <w:rsid w:val="195A7B0C"/>
    <w:rsid w:val="19632832"/>
    <w:rsid w:val="196547FC"/>
    <w:rsid w:val="196A438F"/>
    <w:rsid w:val="19771664"/>
    <w:rsid w:val="197E7AAB"/>
    <w:rsid w:val="19815397"/>
    <w:rsid w:val="19831052"/>
    <w:rsid w:val="19882AFE"/>
    <w:rsid w:val="198A5379"/>
    <w:rsid w:val="19901F2A"/>
    <w:rsid w:val="199417DD"/>
    <w:rsid w:val="19A607AD"/>
    <w:rsid w:val="19AB368D"/>
    <w:rsid w:val="19AC2868"/>
    <w:rsid w:val="19AF3E79"/>
    <w:rsid w:val="19B5222D"/>
    <w:rsid w:val="19B71253"/>
    <w:rsid w:val="19C06CAA"/>
    <w:rsid w:val="19C22440"/>
    <w:rsid w:val="19C808E7"/>
    <w:rsid w:val="19C859C6"/>
    <w:rsid w:val="19C86B39"/>
    <w:rsid w:val="19C92FDD"/>
    <w:rsid w:val="19C960AD"/>
    <w:rsid w:val="19D00567"/>
    <w:rsid w:val="19D05A6F"/>
    <w:rsid w:val="19D06A74"/>
    <w:rsid w:val="19D93BB3"/>
    <w:rsid w:val="19DE5C86"/>
    <w:rsid w:val="19E00B32"/>
    <w:rsid w:val="19E14E2A"/>
    <w:rsid w:val="19E31B37"/>
    <w:rsid w:val="19E86C83"/>
    <w:rsid w:val="19F17E3E"/>
    <w:rsid w:val="19FB6F0E"/>
    <w:rsid w:val="19FF6342"/>
    <w:rsid w:val="1A0A39D4"/>
    <w:rsid w:val="1A0C435C"/>
    <w:rsid w:val="1A1C3F38"/>
    <w:rsid w:val="1A1D08A0"/>
    <w:rsid w:val="1A1E648D"/>
    <w:rsid w:val="1A2C54D2"/>
    <w:rsid w:val="1A3008A6"/>
    <w:rsid w:val="1A352420"/>
    <w:rsid w:val="1A3D7AAA"/>
    <w:rsid w:val="1A3E7E47"/>
    <w:rsid w:val="1A43704A"/>
    <w:rsid w:val="1A452EA9"/>
    <w:rsid w:val="1A4C59BC"/>
    <w:rsid w:val="1A59245A"/>
    <w:rsid w:val="1A5F3E59"/>
    <w:rsid w:val="1A66333E"/>
    <w:rsid w:val="1A663C60"/>
    <w:rsid w:val="1A672CBD"/>
    <w:rsid w:val="1A6E5172"/>
    <w:rsid w:val="1A7671C7"/>
    <w:rsid w:val="1A7B7ED0"/>
    <w:rsid w:val="1A7E05FC"/>
    <w:rsid w:val="1A8446E2"/>
    <w:rsid w:val="1A852EC4"/>
    <w:rsid w:val="1A8961B5"/>
    <w:rsid w:val="1A8D38B0"/>
    <w:rsid w:val="1A8D58F0"/>
    <w:rsid w:val="1A8E4DBA"/>
    <w:rsid w:val="1A940D88"/>
    <w:rsid w:val="1A98407D"/>
    <w:rsid w:val="1AA64941"/>
    <w:rsid w:val="1AB07CF9"/>
    <w:rsid w:val="1AB23754"/>
    <w:rsid w:val="1AB7074A"/>
    <w:rsid w:val="1AB9777F"/>
    <w:rsid w:val="1ABD230F"/>
    <w:rsid w:val="1ABE4DC7"/>
    <w:rsid w:val="1AC52887"/>
    <w:rsid w:val="1AC65B4C"/>
    <w:rsid w:val="1ACB2EB5"/>
    <w:rsid w:val="1ADC0AEE"/>
    <w:rsid w:val="1ADE450A"/>
    <w:rsid w:val="1ADF22F3"/>
    <w:rsid w:val="1AE70D69"/>
    <w:rsid w:val="1AEE0C06"/>
    <w:rsid w:val="1AF8264F"/>
    <w:rsid w:val="1AFD4D22"/>
    <w:rsid w:val="1AFF2F7D"/>
    <w:rsid w:val="1B010554"/>
    <w:rsid w:val="1B0422CF"/>
    <w:rsid w:val="1B09381B"/>
    <w:rsid w:val="1B0F0FC5"/>
    <w:rsid w:val="1B155DAE"/>
    <w:rsid w:val="1B176582"/>
    <w:rsid w:val="1B197565"/>
    <w:rsid w:val="1B213A74"/>
    <w:rsid w:val="1B307A14"/>
    <w:rsid w:val="1B326711"/>
    <w:rsid w:val="1B331E45"/>
    <w:rsid w:val="1B3B0FDE"/>
    <w:rsid w:val="1B3E1983"/>
    <w:rsid w:val="1B431192"/>
    <w:rsid w:val="1B4C23E7"/>
    <w:rsid w:val="1B4D624F"/>
    <w:rsid w:val="1B4D7C7E"/>
    <w:rsid w:val="1B5A4F7E"/>
    <w:rsid w:val="1B5F12B0"/>
    <w:rsid w:val="1B6436A6"/>
    <w:rsid w:val="1B685479"/>
    <w:rsid w:val="1B742940"/>
    <w:rsid w:val="1B796A3D"/>
    <w:rsid w:val="1B7B25B0"/>
    <w:rsid w:val="1B8062FC"/>
    <w:rsid w:val="1B851185"/>
    <w:rsid w:val="1B87281B"/>
    <w:rsid w:val="1B87514D"/>
    <w:rsid w:val="1B8977C4"/>
    <w:rsid w:val="1B8A08DC"/>
    <w:rsid w:val="1B8A1A3F"/>
    <w:rsid w:val="1B8D3348"/>
    <w:rsid w:val="1B8E508B"/>
    <w:rsid w:val="1B920007"/>
    <w:rsid w:val="1B9969DF"/>
    <w:rsid w:val="1B9B48DF"/>
    <w:rsid w:val="1BA257E5"/>
    <w:rsid w:val="1BA63EBD"/>
    <w:rsid w:val="1BA70F8D"/>
    <w:rsid w:val="1BAC191B"/>
    <w:rsid w:val="1BB0039B"/>
    <w:rsid w:val="1BB80698"/>
    <w:rsid w:val="1BBD091F"/>
    <w:rsid w:val="1BC352A0"/>
    <w:rsid w:val="1BC86604"/>
    <w:rsid w:val="1BCB43AE"/>
    <w:rsid w:val="1BD16830"/>
    <w:rsid w:val="1BDF3A83"/>
    <w:rsid w:val="1BE30293"/>
    <w:rsid w:val="1BE809F8"/>
    <w:rsid w:val="1BF01565"/>
    <w:rsid w:val="1BFA03C2"/>
    <w:rsid w:val="1BFB2A1E"/>
    <w:rsid w:val="1BFE2CE6"/>
    <w:rsid w:val="1BFF7ED7"/>
    <w:rsid w:val="1C026332"/>
    <w:rsid w:val="1C0955A4"/>
    <w:rsid w:val="1C1707AA"/>
    <w:rsid w:val="1C1A5059"/>
    <w:rsid w:val="1C1B6C75"/>
    <w:rsid w:val="1C390288"/>
    <w:rsid w:val="1C4B217D"/>
    <w:rsid w:val="1C550B58"/>
    <w:rsid w:val="1C594B0C"/>
    <w:rsid w:val="1C67088B"/>
    <w:rsid w:val="1C6D261E"/>
    <w:rsid w:val="1C774E23"/>
    <w:rsid w:val="1C7A05BE"/>
    <w:rsid w:val="1C7A236C"/>
    <w:rsid w:val="1C8E43D2"/>
    <w:rsid w:val="1C912BD6"/>
    <w:rsid w:val="1C976E18"/>
    <w:rsid w:val="1C99656B"/>
    <w:rsid w:val="1C9E1D6E"/>
    <w:rsid w:val="1CAA1E1B"/>
    <w:rsid w:val="1CB00629"/>
    <w:rsid w:val="1CB57848"/>
    <w:rsid w:val="1CC01B17"/>
    <w:rsid w:val="1CC1148B"/>
    <w:rsid w:val="1CC15E63"/>
    <w:rsid w:val="1CC45C0B"/>
    <w:rsid w:val="1CC85AE1"/>
    <w:rsid w:val="1CCD0B61"/>
    <w:rsid w:val="1CCE0327"/>
    <w:rsid w:val="1CE14C87"/>
    <w:rsid w:val="1CF16314"/>
    <w:rsid w:val="1CF96CA7"/>
    <w:rsid w:val="1CFB1C29"/>
    <w:rsid w:val="1CFE3665"/>
    <w:rsid w:val="1D012A8E"/>
    <w:rsid w:val="1D045B71"/>
    <w:rsid w:val="1D0E29E6"/>
    <w:rsid w:val="1D0F545F"/>
    <w:rsid w:val="1D1119FA"/>
    <w:rsid w:val="1D176907"/>
    <w:rsid w:val="1D190854"/>
    <w:rsid w:val="1D1F77B2"/>
    <w:rsid w:val="1D277036"/>
    <w:rsid w:val="1D293D92"/>
    <w:rsid w:val="1D3F55D2"/>
    <w:rsid w:val="1D44356C"/>
    <w:rsid w:val="1D480E95"/>
    <w:rsid w:val="1D4A701E"/>
    <w:rsid w:val="1D510E5A"/>
    <w:rsid w:val="1D54076E"/>
    <w:rsid w:val="1D554B87"/>
    <w:rsid w:val="1D5F1628"/>
    <w:rsid w:val="1D602884"/>
    <w:rsid w:val="1D630CBE"/>
    <w:rsid w:val="1D6E56EC"/>
    <w:rsid w:val="1D7355F8"/>
    <w:rsid w:val="1D742824"/>
    <w:rsid w:val="1D744272"/>
    <w:rsid w:val="1D74595F"/>
    <w:rsid w:val="1D757CCD"/>
    <w:rsid w:val="1D7B0DA1"/>
    <w:rsid w:val="1D810712"/>
    <w:rsid w:val="1D86174F"/>
    <w:rsid w:val="1D8F46E7"/>
    <w:rsid w:val="1D914B1E"/>
    <w:rsid w:val="1D9C20B2"/>
    <w:rsid w:val="1DA02BE4"/>
    <w:rsid w:val="1DA0707D"/>
    <w:rsid w:val="1DA376A1"/>
    <w:rsid w:val="1DA91373"/>
    <w:rsid w:val="1DA93C4E"/>
    <w:rsid w:val="1DB0442F"/>
    <w:rsid w:val="1DB22A11"/>
    <w:rsid w:val="1DBD3A33"/>
    <w:rsid w:val="1DBE44DB"/>
    <w:rsid w:val="1DBF3701"/>
    <w:rsid w:val="1DC73F8E"/>
    <w:rsid w:val="1DCD55A2"/>
    <w:rsid w:val="1DD652E3"/>
    <w:rsid w:val="1DEA303C"/>
    <w:rsid w:val="1DF051D1"/>
    <w:rsid w:val="1DF36D83"/>
    <w:rsid w:val="1DF464AC"/>
    <w:rsid w:val="1DFA1CAD"/>
    <w:rsid w:val="1DFC3255"/>
    <w:rsid w:val="1E0335D1"/>
    <w:rsid w:val="1E081C69"/>
    <w:rsid w:val="1E0B5E57"/>
    <w:rsid w:val="1E0C793C"/>
    <w:rsid w:val="1E15154C"/>
    <w:rsid w:val="1E17353D"/>
    <w:rsid w:val="1E217AC1"/>
    <w:rsid w:val="1E2C505C"/>
    <w:rsid w:val="1E2E16D9"/>
    <w:rsid w:val="1E3000CE"/>
    <w:rsid w:val="1E30689A"/>
    <w:rsid w:val="1E3072E6"/>
    <w:rsid w:val="1E322180"/>
    <w:rsid w:val="1E3649B9"/>
    <w:rsid w:val="1E463CF9"/>
    <w:rsid w:val="1E566E09"/>
    <w:rsid w:val="1E6F1885"/>
    <w:rsid w:val="1E6F717C"/>
    <w:rsid w:val="1E72417E"/>
    <w:rsid w:val="1E770D6E"/>
    <w:rsid w:val="1E8064AC"/>
    <w:rsid w:val="1E810606"/>
    <w:rsid w:val="1E885C5B"/>
    <w:rsid w:val="1E915E5E"/>
    <w:rsid w:val="1E933BB9"/>
    <w:rsid w:val="1E953808"/>
    <w:rsid w:val="1E99490F"/>
    <w:rsid w:val="1E9A6CF6"/>
    <w:rsid w:val="1EB10EA4"/>
    <w:rsid w:val="1EBA0258"/>
    <w:rsid w:val="1EBA5EA3"/>
    <w:rsid w:val="1EBF1D09"/>
    <w:rsid w:val="1EC67DE6"/>
    <w:rsid w:val="1EC76813"/>
    <w:rsid w:val="1ED10994"/>
    <w:rsid w:val="1ED71CF5"/>
    <w:rsid w:val="1EDE1566"/>
    <w:rsid w:val="1EE1112C"/>
    <w:rsid w:val="1EE2244B"/>
    <w:rsid w:val="1EE27A9B"/>
    <w:rsid w:val="1EE95133"/>
    <w:rsid w:val="1EF20A9B"/>
    <w:rsid w:val="1EF41184"/>
    <w:rsid w:val="1EFA3C38"/>
    <w:rsid w:val="1F02489B"/>
    <w:rsid w:val="1F0506EB"/>
    <w:rsid w:val="1F092BD8"/>
    <w:rsid w:val="1F0D13F9"/>
    <w:rsid w:val="1F11634A"/>
    <w:rsid w:val="1F1A6279"/>
    <w:rsid w:val="1F1B770B"/>
    <w:rsid w:val="1F1E0B0D"/>
    <w:rsid w:val="1F26058A"/>
    <w:rsid w:val="1F286C06"/>
    <w:rsid w:val="1F2E38E2"/>
    <w:rsid w:val="1F315E28"/>
    <w:rsid w:val="1F332473"/>
    <w:rsid w:val="1F337B6D"/>
    <w:rsid w:val="1F396534"/>
    <w:rsid w:val="1F3C3EFC"/>
    <w:rsid w:val="1F3E6D10"/>
    <w:rsid w:val="1F3F789D"/>
    <w:rsid w:val="1F4146A4"/>
    <w:rsid w:val="1F464E53"/>
    <w:rsid w:val="1F46567F"/>
    <w:rsid w:val="1F4B6242"/>
    <w:rsid w:val="1F54768E"/>
    <w:rsid w:val="1F5E1268"/>
    <w:rsid w:val="1F5E67D5"/>
    <w:rsid w:val="1F63100F"/>
    <w:rsid w:val="1F645246"/>
    <w:rsid w:val="1F647304"/>
    <w:rsid w:val="1F686DF4"/>
    <w:rsid w:val="1F6A2B6C"/>
    <w:rsid w:val="1F7004FD"/>
    <w:rsid w:val="1F7667D9"/>
    <w:rsid w:val="1F7817EF"/>
    <w:rsid w:val="1F7A3AA5"/>
    <w:rsid w:val="1F840DD2"/>
    <w:rsid w:val="1F89518F"/>
    <w:rsid w:val="1F8E0AC5"/>
    <w:rsid w:val="1F9968CC"/>
    <w:rsid w:val="1F9C1B94"/>
    <w:rsid w:val="1F9D30B4"/>
    <w:rsid w:val="1FA9570A"/>
    <w:rsid w:val="1FAD0CAB"/>
    <w:rsid w:val="1FB677DD"/>
    <w:rsid w:val="1FBA2710"/>
    <w:rsid w:val="1FBA28AF"/>
    <w:rsid w:val="1FC60CE9"/>
    <w:rsid w:val="1FCB2EDF"/>
    <w:rsid w:val="1FCD6AB7"/>
    <w:rsid w:val="1FD41201"/>
    <w:rsid w:val="1FD84B65"/>
    <w:rsid w:val="1FDD4785"/>
    <w:rsid w:val="1FE04BDC"/>
    <w:rsid w:val="1FE52273"/>
    <w:rsid w:val="1FE93501"/>
    <w:rsid w:val="1FEA5A5B"/>
    <w:rsid w:val="1FEB5348"/>
    <w:rsid w:val="1FF90556"/>
    <w:rsid w:val="1FF94A7E"/>
    <w:rsid w:val="20017935"/>
    <w:rsid w:val="200A748D"/>
    <w:rsid w:val="2013682D"/>
    <w:rsid w:val="201D3C36"/>
    <w:rsid w:val="201F0A97"/>
    <w:rsid w:val="2021597A"/>
    <w:rsid w:val="20250841"/>
    <w:rsid w:val="202554E2"/>
    <w:rsid w:val="202C6073"/>
    <w:rsid w:val="202D2211"/>
    <w:rsid w:val="202E0E19"/>
    <w:rsid w:val="2036306E"/>
    <w:rsid w:val="203900D3"/>
    <w:rsid w:val="203A36A4"/>
    <w:rsid w:val="203A4E5D"/>
    <w:rsid w:val="20413C8A"/>
    <w:rsid w:val="20427BC0"/>
    <w:rsid w:val="2046365E"/>
    <w:rsid w:val="204C5E09"/>
    <w:rsid w:val="20507C3B"/>
    <w:rsid w:val="20511643"/>
    <w:rsid w:val="2059673D"/>
    <w:rsid w:val="205A19F5"/>
    <w:rsid w:val="205C7FDB"/>
    <w:rsid w:val="20610A20"/>
    <w:rsid w:val="2061242B"/>
    <w:rsid w:val="20647877"/>
    <w:rsid w:val="20666C3C"/>
    <w:rsid w:val="207C25A6"/>
    <w:rsid w:val="207C7252"/>
    <w:rsid w:val="207D067D"/>
    <w:rsid w:val="207E66F7"/>
    <w:rsid w:val="20834CB8"/>
    <w:rsid w:val="208739F7"/>
    <w:rsid w:val="209263D5"/>
    <w:rsid w:val="20927F34"/>
    <w:rsid w:val="20953380"/>
    <w:rsid w:val="20971013"/>
    <w:rsid w:val="209E05F3"/>
    <w:rsid w:val="20A01419"/>
    <w:rsid w:val="20A1200C"/>
    <w:rsid w:val="20A36432"/>
    <w:rsid w:val="20A45ADD"/>
    <w:rsid w:val="20A60AF5"/>
    <w:rsid w:val="20A774A8"/>
    <w:rsid w:val="20AC029D"/>
    <w:rsid w:val="20B13B1C"/>
    <w:rsid w:val="20B83D67"/>
    <w:rsid w:val="20C06732"/>
    <w:rsid w:val="20C43E56"/>
    <w:rsid w:val="20D6188D"/>
    <w:rsid w:val="20D66595"/>
    <w:rsid w:val="20DA69EE"/>
    <w:rsid w:val="20DF45FE"/>
    <w:rsid w:val="20E073E5"/>
    <w:rsid w:val="20E1550F"/>
    <w:rsid w:val="20E71FDE"/>
    <w:rsid w:val="20EE3611"/>
    <w:rsid w:val="210363CD"/>
    <w:rsid w:val="21042839"/>
    <w:rsid w:val="210743EB"/>
    <w:rsid w:val="210A301D"/>
    <w:rsid w:val="211030E9"/>
    <w:rsid w:val="211416F5"/>
    <w:rsid w:val="21160490"/>
    <w:rsid w:val="2118389C"/>
    <w:rsid w:val="211C60E8"/>
    <w:rsid w:val="211D5D02"/>
    <w:rsid w:val="211F0627"/>
    <w:rsid w:val="212416C0"/>
    <w:rsid w:val="21260D15"/>
    <w:rsid w:val="212B46FD"/>
    <w:rsid w:val="21311468"/>
    <w:rsid w:val="21352350"/>
    <w:rsid w:val="2135410C"/>
    <w:rsid w:val="213571AA"/>
    <w:rsid w:val="21426E6C"/>
    <w:rsid w:val="21427034"/>
    <w:rsid w:val="214C004F"/>
    <w:rsid w:val="214D0061"/>
    <w:rsid w:val="214E3DC8"/>
    <w:rsid w:val="215411C5"/>
    <w:rsid w:val="215C64E4"/>
    <w:rsid w:val="21606E19"/>
    <w:rsid w:val="2164183D"/>
    <w:rsid w:val="21740BDE"/>
    <w:rsid w:val="2175130B"/>
    <w:rsid w:val="217C6B87"/>
    <w:rsid w:val="21896739"/>
    <w:rsid w:val="218F111D"/>
    <w:rsid w:val="2196528C"/>
    <w:rsid w:val="2197412C"/>
    <w:rsid w:val="21991026"/>
    <w:rsid w:val="2199499A"/>
    <w:rsid w:val="219A570F"/>
    <w:rsid w:val="219C4598"/>
    <w:rsid w:val="219D08AB"/>
    <w:rsid w:val="219D4B39"/>
    <w:rsid w:val="21B277A1"/>
    <w:rsid w:val="21B36A9F"/>
    <w:rsid w:val="21B36C97"/>
    <w:rsid w:val="21BB52B3"/>
    <w:rsid w:val="21BF0821"/>
    <w:rsid w:val="21C65D68"/>
    <w:rsid w:val="21CE3456"/>
    <w:rsid w:val="21D821CF"/>
    <w:rsid w:val="21DB239B"/>
    <w:rsid w:val="21E22F98"/>
    <w:rsid w:val="21E92B41"/>
    <w:rsid w:val="21F254B7"/>
    <w:rsid w:val="21F309F4"/>
    <w:rsid w:val="21F32642"/>
    <w:rsid w:val="21F906CB"/>
    <w:rsid w:val="21FA3B39"/>
    <w:rsid w:val="21FF300B"/>
    <w:rsid w:val="21FF3314"/>
    <w:rsid w:val="220410A9"/>
    <w:rsid w:val="220B38E5"/>
    <w:rsid w:val="220F17A9"/>
    <w:rsid w:val="2212342D"/>
    <w:rsid w:val="22165C0F"/>
    <w:rsid w:val="22264796"/>
    <w:rsid w:val="22295E3B"/>
    <w:rsid w:val="222D3813"/>
    <w:rsid w:val="222E2B46"/>
    <w:rsid w:val="223037DC"/>
    <w:rsid w:val="22384CED"/>
    <w:rsid w:val="2239393C"/>
    <w:rsid w:val="223C2ED7"/>
    <w:rsid w:val="22436023"/>
    <w:rsid w:val="22523C1A"/>
    <w:rsid w:val="225C4794"/>
    <w:rsid w:val="22602004"/>
    <w:rsid w:val="22637C57"/>
    <w:rsid w:val="226A20B8"/>
    <w:rsid w:val="22724AE7"/>
    <w:rsid w:val="227317B0"/>
    <w:rsid w:val="22736ACF"/>
    <w:rsid w:val="22772028"/>
    <w:rsid w:val="2279141A"/>
    <w:rsid w:val="229879F0"/>
    <w:rsid w:val="229A0CDE"/>
    <w:rsid w:val="22B129DB"/>
    <w:rsid w:val="22B32A70"/>
    <w:rsid w:val="22B63555"/>
    <w:rsid w:val="22B70284"/>
    <w:rsid w:val="22B931F7"/>
    <w:rsid w:val="22BB548D"/>
    <w:rsid w:val="22C1370B"/>
    <w:rsid w:val="22C66B2A"/>
    <w:rsid w:val="22D0769F"/>
    <w:rsid w:val="22D1069F"/>
    <w:rsid w:val="22D41530"/>
    <w:rsid w:val="22D77F48"/>
    <w:rsid w:val="22D97FFB"/>
    <w:rsid w:val="22DD412F"/>
    <w:rsid w:val="22DF2717"/>
    <w:rsid w:val="22E84599"/>
    <w:rsid w:val="22EB1B41"/>
    <w:rsid w:val="22F3433B"/>
    <w:rsid w:val="22FE5379"/>
    <w:rsid w:val="23035C76"/>
    <w:rsid w:val="23077D08"/>
    <w:rsid w:val="230A1F70"/>
    <w:rsid w:val="230B1DB7"/>
    <w:rsid w:val="231150AD"/>
    <w:rsid w:val="231D7EF5"/>
    <w:rsid w:val="2326040C"/>
    <w:rsid w:val="232E2103"/>
    <w:rsid w:val="23350DD2"/>
    <w:rsid w:val="23393436"/>
    <w:rsid w:val="233D5116"/>
    <w:rsid w:val="23417B8F"/>
    <w:rsid w:val="23451B47"/>
    <w:rsid w:val="23460F94"/>
    <w:rsid w:val="234858F9"/>
    <w:rsid w:val="234C7739"/>
    <w:rsid w:val="2352719F"/>
    <w:rsid w:val="23540954"/>
    <w:rsid w:val="235870FE"/>
    <w:rsid w:val="235A49D8"/>
    <w:rsid w:val="23616034"/>
    <w:rsid w:val="23695A25"/>
    <w:rsid w:val="236A48EE"/>
    <w:rsid w:val="236D2C2B"/>
    <w:rsid w:val="236E4009"/>
    <w:rsid w:val="23765C12"/>
    <w:rsid w:val="237D6506"/>
    <w:rsid w:val="23815E7F"/>
    <w:rsid w:val="2385351F"/>
    <w:rsid w:val="238A37F2"/>
    <w:rsid w:val="238F06CB"/>
    <w:rsid w:val="238F1523"/>
    <w:rsid w:val="23934981"/>
    <w:rsid w:val="239917FC"/>
    <w:rsid w:val="23A06C41"/>
    <w:rsid w:val="23A65CCA"/>
    <w:rsid w:val="23B56061"/>
    <w:rsid w:val="23BF0B0B"/>
    <w:rsid w:val="23BF5A41"/>
    <w:rsid w:val="23C57FC5"/>
    <w:rsid w:val="23C66DB6"/>
    <w:rsid w:val="23C71581"/>
    <w:rsid w:val="23C87DE6"/>
    <w:rsid w:val="23CB4EF4"/>
    <w:rsid w:val="23D74548"/>
    <w:rsid w:val="23DB64F0"/>
    <w:rsid w:val="23DD4DCF"/>
    <w:rsid w:val="23E617D6"/>
    <w:rsid w:val="23E80503"/>
    <w:rsid w:val="23E90666"/>
    <w:rsid w:val="23E91BB4"/>
    <w:rsid w:val="23EB66D0"/>
    <w:rsid w:val="23F169C5"/>
    <w:rsid w:val="23F4424C"/>
    <w:rsid w:val="23FB083F"/>
    <w:rsid w:val="23FD0DBD"/>
    <w:rsid w:val="240F3A59"/>
    <w:rsid w:val="24180A7B"/>
    <w:rsid w:val="24187608"/>
    <w:rsid w:val="241A79EB"/>
    <w:rsid w:val="241E6EDF"/>
    <w:rsid w:val="241F77D6"/>
    <w:rsid w:val="242B6642"/>
    <w:rsid w:val="242C0235"/>
    <w:rsid w:val="242F24A5"/>
    <w:rsid w:val="243362D0"/>
    <w:rsid w:val="2440113D"/>
    <w:rsid w:val="244F7514"/>
    <w:rsid w:val="24540CE8"/>
    <w:rsid w:val="24577437"/>
    <w:rsid w:val="24591616"/>
    <w:rsid w:val="245967EA"/>
    <w:rsid w:val="245A1C4D"/>
    <w:rsid w:val="245C49C9"/>
    <w:rsid w:val="245F3F3D"/>
    <w:rsid w:val="246B2B8B"/>
    <w:rsid w:val="24772939"/>
    <w:rsid w:val="2481244E"/>
    <w:rsid w:val="2491530D"/>
    <w:rsid w:val="24992F91"/>
    <w:rsid w:val="249932A2"/>
    <w:rsid w:val="249C217E"/>
    <w:rsid w:val="249F5CC6"/>
    <w:rsid w:val="24A3442A"/>
    <w:rsid w:val="24A363B5"/>
    <w:rsid w:val="24A51F50"/>
    <w:rsid w:val="24AD75BB"/>
    <w:rsid w:val="24B82BE5"/>
    <w:rsid w:val="24BB5081"/>
    <w:rsid w:val="24BD06D3"/>
    <w:rsid w:val="24E01F24"/>
    <w:rsid w:val="24E05542"/>
    <w:rsid w:val="24E36F76"/>
    <w:rsid w:val="24E54A43"/>
    <w:rsid w:val="24EE1B49"/>
    <w:rsid w:val="24F24E14"/>
    <w:rsid w:val="24F34035"/>
    <w:rsid w:val="24F434F6"/>
    <w:rsid w:val="24FC3936"/>
    <w:rsid w:val="25166C4D"/>
    <w:rsid w:val="251B47C2"/>
    <w:rsid w:val="251F1EF0"/>
    <w:rsid w:val="25237319"/>
    <w:rsid w:val="252512E3"/>
    <w:rsid w:val="252628D5"/>
    <w:rsid w:val="25276E09"/>
    <w:rsid w:val="25290DD3"/>
    <w:rsid w:val="25297DE2"/>
    <w:rsid w:val="252A2A94"/>
    <w:rsid w:val="252A33B2"/>
    <w:rsid w:val="25381F2D"/>
    <w:rsid w:val="25411865"/>
    <w:rsid w:val="25422387"/>
    <w:rsid w:val="2547474D"/>
    <w:rsid w:val="254F66EC"/>
    <w:rsid w:val="25533306"/>
    <w:rsid w:val="25561F0F"/>
    <w:rsid w:val="255B3C3C"/>
    <w:rsid w:val="255F3E70"/>
    <w:rsid w:val="25600F41"/>
    <w:rsid w:val="256736AA"/>
    <w:rsid w:val="256E0F20"/>
    <w:rsid w:val="25714529"/>
    <w:rsid w:val="257216DE"/>
    <w:rsid w:val="257529FE"/>
    <w:rsid w:val="25846E91"/>
    <w:rsid w:val="258A6F87"/>
    <w:rsid w:val="259478B4"/>
    <w:rsid w:val="25973978"/>
    <w:rsid w:val="25A071CB"/>
    <w:rsid w:val="25A076F2"/>
    <w:rsid w:val="25A55542"/>
    <w:rsid w:val="25A614C7"/>
    <w:rsid w:val="25A8619C"/>
    <w:rsid w:val="25AF2A60"/>
    <w:rsid w:val="25B57088"/>
    <w:rsid w:val="25B8098C"/>
    <w:rsid w:val="25BC54D0"/>
    <w:rsid w:val="25C84A27"/>
    <w:rsid w:val="25CB3C39"/>
    <w:rsid w:val="25CD1E88"/>
    <w:rsid w:val="25D1407C"/>
    <w:rsid w:val="25D75331"/>
    <w:rsid w:val="25DB571C"/>
    <w:rsid w:val="25DF057A"/>
    <w:rsid w:val="25E31AE4"/>
    <w:rsid w:val="25E87E62"/>
    <w:rsid w:val="25E9462A"/>
    <w:rsid w:val="25EE283B"/>
    <w:rsid w:val="25EE4E20"/>
    <w:rsid w:val="25F018F1"/>
    <w:rsid w:val="25F3318F"/>
    <w:rsid w:val="25F73ACD"/>
    <w:rsid w:val="25FD474E"/>
    <w:rsid w:val="2609658F"/>
    <w:rsid w:val="260B1078"/>
    <w:rsid w:val="260D5FFF"/>
    <w:rsid w:val="260F4892"/>
    <w:rsid w:val="260F7A07"/>
    <w:rsid w:val="26124D60"/>
    <w:rsid w:val="261857CC"/>
    <w:rsid w:val="261E34B5"/>
    <w:rsid w:val="261F1F14"/>
    <w:rsid w:val="2623416B"/>
    <w:rsid w:val="262D66A1"/>
    <w:rsid w:val="262F57AF"/>
    <w:rsid w:val="263331AE"/>
    <w:rsid w:val="26347A30"/>
    <w:rsid w:val="263871FD"/>
    <w:rsid w:val="263F616A"/>
    <w:rsid w:val="264A7663"/>
    <w:rsid w:val="264F2DE2"/>
    <w:rsid w:val="265C2AE3"/>
    <w:rsid w:val="266A4E4E"/>
    <w:rsid w:val="266E3938"/>
    <w:rsid w:val="267E425F"/>
    <w:rsid w:val="267E6EFD"/>
    <w:rsid w:val="267F3DEB"/>
    <w:rsid w:val="268937BA"/>
    <w:rsid w:val="268D5392"/>
    <w:rsid w:val="268F4C66"/>
    <w:rsid w:val="269028DA"/>
    <w:rsid w:val="26924756"/>
    <w:rsid w:val="26954B58"/>
    <w:rsid w:val="26960FEF"/>
    <w:rsid w:val="269D5564"/>
    <w:rsid w:val="269F2178"/>
    <w:rsid w:val="26A354E2"/>
    <w:rsid w:val="26B45F65"/>
    <w:rsid w:val="26BB7A7D"/>
    <w:rsid w:val="26BC1170"/>
    <w:rsid w:val="26CB48DE"/>
    <w:rsid w:val="26DC2704"/>
    <w:rsid w:val="26E02256"/>
    <w:rsid w:val="26E36D60"/>
    <w:rsid w:val="26E63E44"/>
    <w:rsid w:val="26E74D07"/>
    <w:rsid w:val="26F43CC7"/>
    <w:rsid w:val="26F65225"/>
    <w:rsid w:val="270456FE"/>
    <w:rsid w:val="270C4509"/>
    <w:rsid w:val="270F5DA7"/>
    <w:rsid w:val="271C29B3"/>
    <w:rsid w:val="271F4FED"/>
    <w:rsid w:val="272F01F7"/>
    <w:rsid w:val="272F2696"/>
    <w:rsid w:val="27357EC8"/>
    <w:rsid w:val="27387CFC"/>
    <w:rsid w:val="273A2788"/>
    <w:rsid w:val="273B3040"/>
    <w:rsid w:val="27475541"/>
    <w:rsid w:val="27494EB3"/>
    <w:rsid w:val="274A5031"/>
    <w:rsid w:val="27533EE6"/>
    <w:rsid w:val="2755456E"/>
    <w:rsid w:val="27651E6B"/>
    <w:rsid w:val="2767394B"/>
    <w:rsid w:val="276F0FB5"/>
    <w:rsid w:val="277A3094"/>
    <w:rsid w:val="277C136B"/>
    <w:rsid w:val="277F5644"/>
    <w:rsid w:val="27865B39"/>
    <w:rsid w:val="27892703"/>
    <w:rsid w:val="27895B59"/>
    <w:rsid w:val="27897907"/>
    <w:rsid w:val="278B1CB8"/>
    <w:rsid w:val="278C58BD"/>
    <w:rsid w:val="278E13C2"/>
    <w:rsid w:val="278F3DE1"/>
    <w:rsid w:val="279D63BF"/>
    <w:rsid w:val="27A03071"/>
    <w:rsid w:val="27A16435"/>
    <w:rsid w:val="27A26C1B"/>
    <w:rsid w:val="27AB2408"/>
    <w:rsid w:val="27AF30E6"/>
    <w:rsid w:val="27B126DC"/>
    <w:rsid w:val="27B325FE"/>
    <w:rsid w:val="27B808CF"/>
    <w:rsid w:val="27BA4C54"/>
    <w:rsid w:val="27C16DEC"/>
    <w:rsid w:val="27C40DF4"/>
    <w:rsid w:val="27C62027"/>
    <w:rsid w:val="27C827EA"/>
    <w:rsid w:val="27CE7A10"/>
    <w:rsid w:val="27D805E5"/>
    <w:rsid w:val="27D843EB"/>
    <w:rsid w:val="27DA7F9F"/>
    <w:rsid w:val="27DE0BB7"/>
    <w:rsid w:val="27E37898"/>
    <w:rsid w:val="27E56740"/>
    <w:rsid w:val="27E64A6D"/>
    <w:rsid w:val="27E7440E"/>
    <w:rsid w:val="27EB05C2"/>
    <w:rsid w:val="27EC7E96"/>
    <w:rsid w:val="27F05AB5"/>
    <w:rsid w:val="27F21E09"/>
    <w:rsid w:val="27F57041"/>
    <w:rsid w:val="27FD20EA"/>
    <w:rsid w:val="2801390B"/>
    <w:rsid w:val="280E1D29"/>
    <w:rsid w:val="280F3753"/>
    <w:rsid w:val="28115120"/>
    <w:rsid w:val="28153891"/>
    <w:rsid w:val="28197937"/>
    <w:rsid w:val="281B6DCC"/>
    <w:rsid w:val="281E7C75"/>
    <w:rsid w:val="281F201A"/>
    <w:rsid w:val="281F2A9C"/>
    <w:rsid w:val="28226474"/>
    <w:rsid w:val="282323C6"/>
    <w:rsid w:val="2829478D"/>
    <w:rsid w:val="28327CCF"/>
    <w:rsid w:val="2836188E"/>
    <w:rsid w:val="2840024A"/>
    <w:rsid w:val="2840342E"/>
    <w:rsid w:val="28473F49"/>
    <w:rsid w:val="28496CBB"/>
    <w:rsid w:val="28497097"/>
    <w:rsid w:val="284E3288"/>
    <w:rsid w:val="28500425"/>
    <w:rsid w:val="28513023"/>
    <w:rsid w:val="28521076"/>
    <w:rsid w:val="285717B4"/>
    <w:rsid w:val="285D3471"/>
    <w:rsid w:val="28603FC1"/>
    <w:rsid w:val="286308A7"/>
    <w:rsid w:val="28640655"/>
    <w:rsid w:val="28642123"/>
    <w:rsid w:val="286452B9"/>
    <w:rsid w:val="286848F0"/>
    <w:rsid w:val="286C4F61"/>
    <w:rsid w:val="286F2FA1"/>
    <w:rsid w:val="287972E6"/>
    <w:rsid w:val="287A26AB"/>
    <w:rsid w:val="28810F26"/>
    <w:rsid w:val="288B76AF"/>
    <w:rsid w:val="288E72B8"/>
    <w:rsid w:val="2890355C"/>
    <w:rsid w:val="28930C7B"/>
    <w:rsid w:val="289447B6"/>
    <w:rsid w:val="28A349F9"/>
    <w:rsid w:val="28A8200F"/>
    <w:rsid w:val="28AF15F0"/>
    <w:rsid w:val="28B766F6"/>
    <w:rsid w:val="28BE5FF8"/>
    <w:rsid w:val="28C830C8"/>
    <w:rsid w:val="28D13531"/>
    <w:rsid w:val="28D53781"/>
    <w:rsid w:val="28DD6833"/>
    <w:rsid w:val="28E21136"/>
    <w:rsid w:val="28ED4592"/>
    <w:rsid w:val="28F11C20"/>
    <w:rsid w:val="28F91E8B"/>
    <w:rsid w:val="28FF63D0"/>
    <w:rsid w:val="29021AB2"/>
    <w:rsid w:val="29047C60"/>
    <w:rsid w:val="290C7A1C"/>
    <w:rsid w:val="290F6532"/>
    <w:rsid w:val="291227D3"/>
    <w:rsid w:val="29134C0B"/>
    <w:rsid w:val="29184DB3"/>
    <w:rsid w:val="291E3F59"/>
    <w:rsid w:val="292518B2"/>
    <w:rsid w:val="29286DF4"/>
    <w:rsid w:val="29396730"/>
    <w:rsid w:val="294214F6"/>
    <w:rsid w:val="294765AE"/>
    <w:rsid w:val="294E0E09"/>
    <w:rsid w:val="2954631B"/>
    <w:rsid w:val="29585426"/>
    <w:rsid w:val="296B03EF"/>
    <w:rsid w:val="297467B1"/>
    <w:rsid w:val="29820AB2"/>
    <w:rsid w:val="29893C7D"/>
    <w:rsid w:val="298A1B72"/>
    <w:rsid w:val="299F5A82"/>
    <w:rsid w:val="299F5DD1"/>
    <w:rsid w:val="29A37ADD"/>
    <w:rsid w:val="29B2688B"/>
    <w:rsid w:val="29B73A84"/>
    <w:rsid w:val="29C62BD3"/>
    <w:rsid w:val="29DA0C21"/>
    <w:rsid w:val="29E02F3C"/>
    <w:rsid w:val="29E30C61"/>
    <w:rsid w:val="29E40C43"/>
    <w:rsid w:val="29F03A04"/>
    <w:rsid w:val="2A004797"/>
    <w:rsid w:val="2A007EA5"/>
    <w:rsid w:val="2A0271ED"/>
    <w:rsid w:val="2A0929DB"/>
    <w:rsid w:val="2A0B26B8"/>
    <w:rsid w:val="2A1223AF"/>
    <w:rsid w:val="2A167538"/>
    <w:rsid w:val="2A196AE9"/>
    <w:rsid w:val="2A422684"/>
    <w:rsid w:val="2A4938E1"/>
    <w:rsid w:val="2A5009DE"/>
    <w:rsid w:val="2A54128A"/>
    <w:rsid w:val="2A542A07"/>
    <w:rsid w:val="2A5561C7"/>
    <w:rsid w:val="2A5F0EF9"/>
    <w:rsid w:val="2A6E736E"/>
    <w:rsid w:val="2A742692"/>
    <w:rsid w:val="2A756D80"/>
    <w:rsid w:val="2A7A37B1"/>
    <w:rsid w:val="2A7D3359"/>
    <w:rsid w:val="2A7F0331"/>
    <w:rsid w:val="2A855FB3"/>
    <w:rsid w:val="2A932F00"/>
    <w:rsid w:val="2A983DF2"/>
    <w:rsid w:val="2A9860B3"/>
    <w:rsid w:val="2AB638AE"/>
    <w:rsid w:val="2AB830B9"/>
    <w:rsid w:val="2ABA19A7"/>
    <w:rsid w:val="2ABC5D77"/>
    <w:rsid w:val="2AC67766"/>
    <w:rsid w:val="2AD0270F"/>
    <w:rsid w:val="2AD25A69"/>
    <w:rsid w:val="2ADC56E0"/>
    <w:rsid w:val="2AE90439"/>
    <w:rsid w:val="2AED3EF1"/>
    <w:rsid w:val="2AFD41C8"/>
    <w:rsid w:val="2AFD74FF"/>
    <w:rsid w:val="2B086332"/>
    <w:rsid w:val="2B1971F4"/>
    <w:rsid w:val="2B1E2A5D"/>
    <w:rsid w:val="2B214D5D"/>
    <w:rsid w:val="2B2F28A9"/>
    <w:rsid w:val="2B300AD7"/>
    <w:rsid w:val="2B3537C0"/>
    <w:rsid w:val="2B420222"/>
    <w:rsid w:val="2B433EF6"/>
    <w:rsid w:val="2B4A3852"/>
    <w:rsid w:val="2B4C41A9"/>
    <w:rsid w:val="2B537D5B"/>
    <w:rsid w:val="2B556FF0"/>
    <w:rsid w:val="2B560E48"/>
    <w:rsid w:val="2B604D8F"/>
    <w:rsid w:val="2B623E4D"/>
    <w:rsid w:val="2B63483A"/>
    <w:rsid w:val="2B6440A0"/>
    <w:rsid w:val="2B66053E"/>
    <w:rsid w:val="2B673E17"/>
    <w:rsid w:val="2B7044D5"/>
    <w:rsid w:val="2B7A6E04"/>
    <w:rsid w:val="2B88437A"/>
    <w:rsid w:val="2B886795"/>
    <w:rsid w:val="2B8C3E6A"/>
    <w:rsid w:val="2B97636B"/>
    <w:rsid w:val="2B9C3204"/>
    <w:rsid w:val="2B9C4B6B"/>
    <w:rsid w:val="2B9D01D1"/>
    <w:rsid w:val="2BA50757"/>
    <w:rsid w:val="2BA61EAC"/>
    <w:rsid w:val="2BA96EF4"/>
    <w:rsid w:val="2BAC011C"/>
    <w:rsid w:val="2BB05DAB"/>
    <w:rsid w:val="2BB43BF4"/>
    <w:rsid w:val="2BC12DE7"/>
    <w:rsid w:val="2BCF6F9B"/>
    <w:rsid w:val="2BD34063"/>
    <w:rsid w:val="2BD50E73"/>
    <w:rsid w:val="2BD6515E"/>
    <w:rsid w:val="2BDF0E6E"/>
    <w:rsid w:val="2BDF62FE"/>
    <w:rsid w:val="2BE26CE2"/>
    <w:rsid w:val="2BEE0681"/>
    <w:rsid w:val="2BF076ED"/>
    <w:rsid w:val="2BF1324D"/>
    <w:rsid w:val="2BFF20DB"/>
    <w:rsid w:val="2C110AB5"/>
    <w:rsid w:val="2C190011"/>
    <w:rsid w:val="2C1C51EE"/>
    <w:rsid w:val="2C22374E"/>
    <w:rsid w:val="2C273B93"/>
    <w:rsid w:val="2C275941"/>
    <w:rsid w:val="2C2D7261"/>
    <w:rsid w:val="2C2E3173"/>
    <w:rsid w:val="2C3F692D"/>
    <w:rsid w:val="2C4A6D5F"/>
    <w:rsid w:val="2C5D2C07"/>
    <w:rsid w:val="2C613888"/>
    <w:rsid w:val="2C6838D0"/>
    <w:rsid w:val="2C6D3872"/>
    <w:rsid w:val="2C6F36CD"/>
    <w:rsid w:val="2C7238EE"/>
    <w:rsid w:val="2C732957"/>
    <w:rsid w:val="2C932FD6"/>
    <w:rsid w:val="2C95447A"/>
    <w:rsid w:val="2CAD5783"/>
    <w:rsid w:val="2CAD5E46"/>
    <w:rsid w:val="2CBC3016"/>
    <w:rsid w:val="2CBC42DB"/>
    <w:rsid w:val="2CBC4B81"/>
    <w:rsid w:val="2CBE0183"/>
    <w:rsid w:val="2CBE11D1"/>
    <w:rsid w:val="2CC91152"/>
    <w:rsid w:val="2CC97FEF"/>
    <w:rsid w:val="2CCC287E"/>
    <w:rsid w:val="2CCC7CDC"/>
    <w:rsid w:val="2CCF7205"/>
    <w:rsid w:val="2CD0422B"/>
    <w:rsid w:val="2CD45D88"/>
    <w:rsid w:val="2CD72213"/>
    <w:rsid w:val="2CD86DAF"/>
    <w:rsid w:val="2CDE24A4"/>
    <w:rsid w:val="2CE83322"/>
    <w:rsid w:val="2CEE5598"/>
    <w:rsid w:val="2CEF6FA4"/>
    <w:rsid w:val="2CF23973"/>
    <w:rsid w:val="2CF90702"/>
    <w:rsid w:val="2D033340"/>
    <w:rsid w:val="2D0B511B"/>
    <w:rsid w:val="2D0D5334"/>
    <w:rsid w:val="2D112413"/>
    <w:rsid w:val="2D19213B"/>
    <w:rsid w:val="2D2440E3"/>
    <w:rsid w:val="2D2A0A1A"/>
    <w:rsid w:val="2D2D7E0E"/>
    <w:rsid w:val="2D3303CC"/>
    <w:rsid w:val="2D3744ED"/>
    <w:rsid w:val="2D393184"/>
    <w:rsid w:val="2D3E2E58"/>
    <w:rsid w:val="2D413D50"/>
    <w:rsid w:val="2D474CE5"/>
    <w:rsid w:val="2D4F7BC8"/>
    <w:rsid w:val="2D54002E"/>
    <w:rsid w:val="2D542640"/>
    <w:rsid w:val="2D560753"/>
    <w:rsid w:val="2D595FCE"/>
    <w:rsid w:val="2D5E343A"/>
    <w:rsid w:val="2D617138"/>
    <w:rsid w:val="2D6706EB"/>
    <w:rsid w:val="2D715AB8"/>
    <w:rsid w:val="2D7E166C"/>
    <w:rsid w:val="2D7E3C87"/>
    <w:rsid w:val="2D801E2D"/>
    <w:rsid w:val="2D845C8D"/>
    <w:rsid w:val="2D846449"/>
    <w:rsid w:val="2D880661"/>
    <w:rsid w:val="2D8C22AE"/>
    <w:rsid w:val="2D913239"/>
    <w:rsid w:val="2D98422B"/>
    <w:rsid w:val="2DA60AE7"/>
    <w:rsid w:val="2DA72291"/>
    <w:rsid w:val="2DA74669"/>
    <w:rsid w:val="2DAC3F50"/>
    <w:rsid w:val="2DAD7E86"/>
    <w:rsid w:val="2DB055BD"/>
    <w:rsid w:val="2DB41456"/>
    <w:rsid w:val="2DB422B8"/>
    <w:rsid w:val="2DB42B9D"/>
    <w:rsid w:val="2DB468FB"/>
    <w:rsid w:val="2DB76D07"/>
    <w:rsid w:val="2DBF5964"/>
    <w:rsid w:val="2DC15189"/>
    <w:rsid w:val="2DC22C5E"/>
    <w:rsid w:val="2DC94739"/>
    <w:rsid w:val="2DCE2518"/>
    <w:rsid w:val="2DD17D22"/>
    <w:rsid w:val="2DD461B9"/>
    <w:rsid w:val="2DDE27E8"/>
    <w:rsid w:val="2DE169BC"/>
    <w:rsid w:val="2DEC6A46"/>
    <w:rsid w:val="2DEE4968"/>
    <w:rsid w:val="2DF46D37"/>
    <w:rsid w:val="2DF54EF0"/>
    <w:rsid w:val="2E072091"/>
    <w:rsid w:val="2E1E414B"/>
    <w:rsid w:val="2E242CF5"/>
    <w:rsid w:val="2E2452F6"/>
    <w:rsid w:val="2E2957F5"/>
    <w:rsid w:val="2E2F5B4E"/>
    <w:rsid w:val="2E3A2D79"/>
    <w:rsid w:val="2E491EE2"/>
    <w:rsid w:val="2E495C7D"/>
    <w:rsid w:val="2E4B1A63"/>
    <w:rsid w:val="2E4D4368"/>
    <w:rsid w:val="2E4E69A7"/>
    <w:rsid w:val="2E4F2F2D"/>
    <w:rsid w:val="2E530C6F"/>
    <w:rsid w:val="2E66370E"/>
    <w:rsid w:val="2E7D7E00"/>
    <w:rsid w:val="2E8A2141"/>
    <w:rsid w:val="2E954AC7"/>
    <w:rsid w:val="2E9607B8"/>
    <w:rsid w:val="2EA04433"/>
    <w:rsid w:val="2EA32B0A"/>
    <w:rsid w:val="2EAA338F"/>
    <w:rsid w:val="2EAF3E22"/>
    <w:rsid w:val="2EB130CB"/>
    <w:rsid w:val="2EB3381A"/>
    <w:rsid w:val="2EBA7C20"/>
    <w:rsid w:val="2EBD0211"/>
    <w:rsid w:val="2EC47F21"/>
    <w:rsid w:val="2EC67B2E"/>
    <w:rsid w:val="2ECC3D86"/>
    <w:rsid w:val="2ED45780"/>
    <w:rsid w:val="2ED53961"/>
    <w:rsid w:val="2ED63734"/>
    <w:rsid w:val="2ED973C6"/>
    <w:rsid w:val="2EE549EA"/>
    <w:rsid w:val="2EE87609"/>
    <w:rsid w:val="2EEA1817"/>
    <w:rsid w:val="2EEC608F"/>
    <w:rsid w:val="2EEE1657"/>
    <w:rsid w:val="2EF3513F"/>
    <w:rsid w:val="2EF44200"/>
    <w:rsid w:val="2EF46158"/>
    <w:rsid w:val="2EF85A6B"/>
    <w:rsid w:val="2F027896"/>
    <w:rsid w:val="2F106B60"/>
    <w:rsid w:val="2F234AE5"/>
    <w:rsid w:val="2F261EE0"/>
    <w:rsid w:val="2F291A8D"/>
    <w:rsid w:val="2F301547"/>
    <w:rsid w:val="2F350C1E"/>
    <w:rsid w:val="2F3B719C"/>
    <w:rsid w:val="2F3D31A1"/>
    <w:rsid w:val="2F3F5E6B"/>
    <w:rsid w:val="2F436F36"/>
    <w:rsid w:val="2F4557F0"/>
    <w:rsid w:val="2F566C69"/>
    <w:rsid w:val="2F586E75"/>
    <w:rsid w:val="2F5876B0"/>
    <w:rsid w:val="2F5E78CC"/>
    <w:rsid w:val="2F5E7F46"/>
    <w:rsid w:val="2F635B17"/>
    <w:rsid w:val="2F6E03A3"/>
    <w:rsid w:val="2F6E4EEC"/>
    <w:rsid w:val="2F713E27"/>
    <w:rsid w:val="2F7306D5"/>
    <w:rsid w:val="2F7411DD"/>
    <w:rsid w:val="2F784765"/>
    <w:rsid w:val="2F8244E1"/>
    <w:rsid w:val="2F865788"/>
    <w:rsid w:val="2F8C03B3"/>
    <w:rsid w:val="2F915DF4"/>
    <w:rsid w:val="2F927575"/>
    <w:rsid w:val="2F930E6C"/>
    <w:rsid w:val="2F9335B7"/>
    <w:rsid w:val="2F9950C8"/>
    <w:rsid w:val="2FA4315D"/>
    <w:rsid w:val="2FA71273"/>
    <w:rsid w:val="2FA72D06"/>
    <w:rsid w:val="2FC33F5A"/>
    <w:rsid w:val="2FC811E9"/>
    <w:rsid w:val="2FD168C4"/>
    <w:rsid w:val="2FD5252A"/>
    <w:rsid w:val="2FE0192B"/>
    <w:rsid w:val="2FEA4A35"/>
    <w:rsid w:val="2FEA6426"/>
    <w:rsid w:val="2FEC1530"/>
    <w:rsid w:val="2FF243F5"/>
    <w:rsid w:val="2FFB0C1D"/>
    <w:rsid w:val="30103803"/>
    <w:rsid w:val="3014442E"/>
    <w:rsid w:val="30194AF1"/>
    <w:rsid w:val="301D7787"/>
    <w:rsid w:val="302208F9"/>
    <w:rsid w:val="30347153"/>
    <w:rsid w:val="30364EAD"/>
    <w:rsid w:val="30392F10"/>
    <w:rsid w:val="303B2CAD"/>
    <w:rsid w:val="303C7FD4"/>
    <w:rsid w:val="303D7F69"/>
    <w:rsid w:val="303F483C"/>
    <w:rsid w:val="30443FDF"/>
    <w:rsid w:val="30444D13"/>
    <w:rsid w:val="304C7658"/>
    <w:rsid w:val="305314A0"/>
    <w:rsid w:val="305321E4"/>
    <w:rsid w:val="305E7D98"/>
    <w:rsid w:val="305F38FB"/>
    <w:rsid w:val="306136DF"/>
    <w:rsid w:val="306D4CFE"/>
    <w:rsid w:val="307B2C03"/>
    <w:rsid w:val="30803872"/>
    <w:rsid w:val="30810812"/>
    <w:rsid w:val="30876435"/>
    <w:rsid w:val="308845C7"/>
    <w:rsid w:val="308B58C1"/>
    <w:rsid w:val="30995522"/>
    <w:rsid w:val="309A4933"/>
    <w:rsid w:val="309B4111"/>
    <w:rsid w:val="309D43D5"/>
    <w:rsid w:val="30A6231C"/>
    <w:rsid w:val="30AD7E7F"/>
    <w:rsid w:val="30B65CB2"/>
    <w:rsid w:val="30C14E12"/>
    <w:rsid w:val="30C26C94"/>
    <w:rsid w:val="30CE282F"/>
    <w:rsid w:val="30CF5E76"/>
    <w:rsid w:val="30E916F3"/>
    <w:rsid w:val="30ED1D9C"/>
    <w:rsid w:val="30EE4C7F"/>
    <w:rsid w:val="30F773CE"/>
    <w:rsid w:val="310258F9"/>
    <w:rsid w:val="3106021B"/>
    <w:rsid w:val="31156067"/>
    <w:rsid w:val="311967F7"/>
    <w:rsid w:val="31263057"/>
    <w:rsid w:val="3128045B"/>
    <w:rsid w:val="31293F09"/>
    <w:rsid w:val="31436FCB"/>
    <w:rsid w:val="314608A4"/>
    <w:rsid w:val="314A19A0"/>
    <w:rsid w:val="315A7177"/>
    <w:rsid w:val="315F6EB9"/>
    <w:rsid w:val="31620C70"/>
    <w:rsid w:val="31662A68"/>
    <w:rsid w:val="3166577B"/>
    <w:rsid w:val="31680AE9"/>
    <w:rsid w:val="316B5256"/>
    <w:rsid w:val="316D2BB0"/>
    <w:rsid w:val="316D505E"/>
    <w:rsid w:val="316F500A"/>
    <w:rsid w:val="317053B7"/>
    <w:rsid w:val="31776A02"/>
    <w:rsid w:val="317A755F"/>
    <w:rsid w:val="31840C4C"/>
    <w:rsid w:val="31897121"/>
    <w:rsid w:val="318C4BC4"/>
    <w:rsid w:val="318C752F"/>
    <w:rsid w:val="318E3AEC"/>
    <w:rsid w:val="3194589F"/>
    <w:rsid w:val="31980005"/>
    <w:rsid w:val="31A02424"/>
    <w:rsid w:val="31A17F44"/>
    <w:rsid w:val="31A24251"/>
    <w:rsid w:val="31A31F0E"/>
    <w:rsid w:val="31A705AC"/>
    <w:rsid w:val="31A7076B"/>
    <w:rsid w:val="31AC0DC2"/>
    <w:rsid w:val="31AC2537"/>
    <w:rsid w:val="31B82F6C"/>
    <w:rsid w:val="31BB0441"/>
    <w:rsid w:val="31C56402"/>
    <w:rsid w:val="31CB13C9"/>
    <w:rsid w:val="31DD63C2"/>
    <w:rsid w:val="31DE2F46"/>
    <w:rsid w:val="31E6718E"/>
    <w:rsid w:val="31E8001B"/>
    <w:rsid w:val="31F0349A"/>
    <w:rsid w:val="31F43832"/>
    <w:rsid w:val="31F6028F"/>
    <w:rsid w:val="31F77790"/>
    <w:rsid w:val="32032617"/>
    <w:rsid w:val="32057B93"/>
    <w:rsid w:val="32075E4A"/>
    <w:rsid w:val="3209351D"/>
    <w:rsid w:val="320C360F"/>
    <w:rsid w:val="320C45E1"/>
    <w:rsid w:val="320F4843"/>
    <w:rsid w:val="32244887"/>
    <w:rsid w:val="32294D28"/>
    <w:rsid w:val="3237507D"/>
    <w:rsid w:val="323D7C6C"/>
    <w:rsid w:val="3244724D"/>
    <w:rsid w:val="324611FC"/>
    <w:rsid w:val="32472899"/>
    <w:rsid w:val="32496611"/>
    <w:rsid w:val="324F5944"/>
    <w:rsid w:val="324F604B"/>
    <w:rsid w:val="3252393A"/>
    <w:rsid w:val="325466CA"/>
    <w:rsid w:val="3258027C"/>
    <w:rsid w:val="325C2588"/>
    <w:rsid w:val="32655520"/>
    <w:rsid w:val="3271681F"/>
    <w:rsid w:val="32767567"/>
    <w:rsid w:val="32823180"/>
    <w:rsid w:val="32831DED"/>
    <w:rsid w:val="32851613"/>
    <w:rsid w:val="32961A41"/>
    <w:rsid w:val="32987598"/>
    <w:rsid w:val="329C671B"/>
    <w:rsid w:val="329F5ACB"/>
    <w:rsid w:val="32A11EFC"/>
    <w:rsid w:val="32A840BB"/>
    <w:rsid w:val="32AA07CE"/>
    <w:rsid w:val="32AB4162"/>
    <w:rsid w:val="32AD18BA"/>
    <w:rsid w:val="32AF07F2"/>
    <w:rsid w:val="32AF0DE4"/>
    <w:rsid w:val="32BA3318"/>
    <w:rsid w:val="32C77A8E"/>
    <w:rsid w:val="32CC1DED"/>
    <w:rsid w:val="32D3237F"/>
    <w:rsid w:val="32D41B1E"/>
    <w:rsid w:val="32DC5C9F"/>
    <w:rsid w:val="32E13989"/>
    <w:rsid w:val="32E32423"/>
    <w:rsid w:val="32E9622A"/>
    <w:rsid w:val="32FE117F"/>
    <w:rsid w:val="3305024B"/>
    <w:rsid w:val="33100E88"/>
    <w:rsid w:val="3317713D"/>
    <w:rsid w:val="331953A4"/>
    <w:rsid w:val="331C1F78"/>
    <w:rsid w:val="3323516C"/>
    <w:rsid w:val="33247B3F"/>
    <w:rsid w:val="333100F5"/>
    <w:rsid w:val="333A2778"/>
    <w:rsid w:val="333F17C2"/>
    <w:rsid w:val="33401EF1"/>
    <w:rsid w:val="33442284"/>
    <w:rsid w:val="334D0BA8"/>
    <w:rsid w:val="334E7C81"/>
    <w:rsid w:val="335C40FD"/>
    <w:rsid w:val="335F11D6"/>
    <w:rsid w:val="33640EB1"/>
    <w:rsid w:val="336673EA"/>
    <w:rsid w:val="33693B12"/>
    <w:rsid w:val="336B36D4"/>
    <w:rsid w:val="336E5DA6"/>
    <w:rsid w:val="3389116F"/>
    <w:rsid w:val="3390201E"/>
    <w:rsid w:val="33997124"/>
    <w:rsid w:val="339F5D0C"/>
    <w:rsid w:val="33A1422B"/>
    <w:rsid w:val="33A322AF"/>
    <w:rsid w:val="33A51F6D"/>
    <w:rsid w:val="33A85741"/>
    <w:rsid w:val="33AF6948"/>
    <w:rsid w:val="33B43F5E"/>
    <w:rsid w:val="33B9077B"/>
    <w:rsid w:val="33B90798"/>
    <w:rsid w:val="33BB29B6"/>
    <w:rsid w:val="33CA6FAD"/>
    <w:rsid w:val="33CC574C"/>
    <w:rsid w:val="33D30092"/>
    <w:rsid w:val="33D75E9F"/>
    <w:rsid w:val="33DF21CF"/>
    <w:rsid w:val="33E221C7"/>
    <w:rsid w:val="33E2650C"/>
    <w:rsid w:val="33E505BB"/>
    <w:rsid w:val="33E61DDC"/>
    <w:rsid w:val="33FE342B"/>
    <w:rsid w:val="33FE78CF"/>
    <w:rsid w:val="34011B7D"/>
    <w:rsid w:val="3403482B"/>
    <w:rsid w:val="340637AA"/>
    <w:rsid w:val="340D029D"/>
    <w:rsid w:val="340F24DE"/>
    <w:rsid w:val="340F388A"/>
    <w:rsid w:val="34197B73"/>
    <w:rsid w:val="341A721C"/>
    <w:rsid w:val="3422536C"/>
    <w:rsid w:val="342B7DBF"/>
    <w:rsid w:val="342C61EA"/>
    <w:rsid w:val="342C7F98"/>
    <w:rsid w:val="342D27C4"/>
    <w:rsid w:val="343155AF"/>
    <w:rsid w:val="34323855"/>
    <w:rsid w:val="34344CC5"/>
    <w:rsid w:val="34436CF6"/>
    <w:rsid w:val="3446259D"/>
    <w:rsid w:val="344A35D0"/>
    <w:rsid w:val="344F6530"/>
    <w:rsid w:val="345334B8"/>
    <w:rsid w:val="346516FC"/>
    <w:rsid w:val="346579C0"/>
    <w:rsid w:val="34675474"/>
    <w:rsid w:val="346A26E9"/>
    <w:rsid w:val="34754BF1"/>
    <w:rsid w:val="347A06FB"/>
    <w:rsid w:val="347E021A"/>
    <w:rsid w:val="34885CD3"/>
    <w:rsid w:val="348B2B5C"/>
    <w:rsid w:val="349067B7"/>
    <w:rsid w:val="34922E45"/>
    <w:rsid w:val="34931DC5"/>
    <w:rsid w:val="34967B08"/>
    <w:rsid w:val="3498562E"/>
    <w:rsid w:val="34A64A66"/>
    <w:rsid w:val="34B756AE"/>
    <w:rsid w:val="34BA3D5A"/>
    <w:rsid w:val="34C16610"/>
    <w:rsid w:val="34C649FB"/>
    <w:rsid w:val="34C74165"/>
    <w:rsid w:val="34C854AF"/>
    <w:rsid w:val="34D0301A"/>
    <w:rsid w:val="34D336A9"/>
    <w:rsid w:val="34D97367"/>
    <w:rsid w:val="34DB08B4"/>
    <w:rsid w:val="34DF3D60"/>
    <w:rsid w:val="34E70CAE"/>
    <w:rsid w:val="34EB65D2"/>
    <w:rsid w:val="34F851C2"/>
    <w:rsid w:val="34FD36E3"/>
    <w:rsid w:val="34FD3F63"/>
    <w:rsid w:val="34FF6165"/>
    <w:rsid w:val="35092088"/>
    <w:rsid w:val="35103816"/>
    <w:rsid w:val="35131158"/>
    <w:rsid w:val="3513433A"/>
    <w:rsid w:val="351418D0"/>
    <w:rsid w:val="3515182B"/>
    <w:rsid w:val="3516103C"/>
    <w:rsid w:val="351D1FD7"/>
    <w:rsid w:val="35286DFF"/>
    <w:rsid w:val="352931E2"/>
    <w:rsid w:val="352D4B6B"/>
    <w:rsid w:val="353414D1"/>
    <w:rsid w:val="35351276"/>
    <w:rsid w:val="35384864"/>
    <w:rsid w:val="353C482A"/>
    <w:rsid w:val="353D2F4F"/>
    <w:rsid w:val="353F6543"/>
    <w:rsid w:val="3546508A"/>
    <w:rsid w:val="35471F4D"/>
    <w:rsid w:val="35523A2F"/>
    <w:rsid w:val="355377A7"/>
    <w:rsid w:val="35574D23"/>
    <w:rsid w:val="356B10D8"/>
    <w:rsid w:val="356B4AF0"/>
    <w:rsid w:val="35720C0D"/>
    <w:rsid w:val="3572417E"/>
    <w:rsid w:val="357B16F4"/>
    <w:rsid w:val="358838F4"/>
    <w:rsid w:val="35947E22"/>
    <w:rsid w:val="35997FCE"/>
    <w:rsid w:val="359D7D7E"/>
    <w:rsid w:val="359E4EC6"/>
    <w:rsid w:val="35B84AF2"/>
    <w:rsid w:val="35BF4ACB"/>
    <w:rsid w:val="35BF5ECD"/>
    <w:rsid w:val="35C00CF5"/>
    <w:rsid w:val="35C21498"/>
    <w:rsid w:val="35C315E2"/>
    <w:rsid w:val="35CB590B"/>
    <w:rsid w:val="35CE54E9"/>
    <w:rsid w:val="35DE7222"/>
    <w:rsid w:val="35DF52F8"/>
    <w:rsid w:val="35E06758"/>
    <w:rsid w:val="35E328D9"/>
    <w:rsid w:val="35E57FC4"/>
    <w:rsid w:val="35E94ED4"/>
    <w:rsid w:val="35EF5C47"/>
    <w:rsid w:val="35F164E6"/>
    <w:rsid w:val="35F27FDA"/>
    <w:rsid w:val="35F353F7"/>
    <w:rsid w:val="35FE37FF"/>
    <w:rsid w:val="35FE6E47"/>
    <w:rsid w:val="36015C1C"/>
    <w:rsid w:val="36132CFC"/>
    <w:rsid w:val="36193F67"/>
    <w:rsid w:val="361C7684"/>
    <w:rsid w:val="361D55ED"/>
    <w:rsid w:val="36203459"/>
    <w:rsid w:val="362D7FF8"/>
    <w:rsid w:val="36382817"/>
    <w:rsid w:val="36411C25"/>
    <w:rsid w:val="364A2036"/>
    <w:rsid w:val="364A650E"/>
    <w:rsid w:val="364E37BE"/>
    <w:rsid w:val="36534C1E"/>
    <w:rsid w:val="36541A28"/>
    <w:rsid w:val="365B4881"/>
    <w:rsid w:val="365C4569"/>
    <w:rsid w:val="365E4168"/>
    <w:rsid w:val="365E6403"/>
    <w:rsid w:val="3660041E"/>
    <w:rsid w:val="366E1001"/>
    <w:rsid w:val="367100DE"/>
    <w:rsid w:val="36710775"/>
    <w:rsid w:val="36752CB8"/>
    <w:rsid w:val="367536A4"/>
    <w:rsid w:val="36792819"/>
    <w:rsid w:val="36813910"/>
    <w:rsid w:val="368B53BD"/>
    <w:rsid w:val="368E70C7"/>
    <w:rsid w:val="369915A3"/>
    <w:rsid w:val="369D33CF"/>
    <w:rsid w:val="36A0073A"/>
    <w:rsid w:val="36A45765"/>
    <w:rsid w:val="36A621AC"/>
    <w:rsid w:val="36A976CF"/>
    <w:rsid w:val="36AC53C0"/>
    <w:rsid w:val="36B008E1"/>
    <w:rsid w:val="36B17470"/>
    <w:rsid w:val="36B45B08"/>
    <w:rsid w:val="36B81FB7"/>
    <w:rsid w:val="36BA292B"/>
    <w:rsid w:val="36BF0462"/>
    <w:rsid w:val="36C14B5A"/>
    <w:rsid w:val="36C54192"/>
    <w:rsid w:val="36C67A95"/>
    <w:rsid w:val="36C83894"/>
    <w:rsid w:val="36D13079"/>
    <w:rsid w:val="36DD557A"/>
    <w:rsid w:val="36DE27CF"/>
    <w:rsid w:val="36E0506A"/>
    <w:rsid w:val="36E32705"/>
    <w:rsid w:val="36E76280"/>
    <w:rsid w:val="36E8296F"/>
    <w:rsid w:val="36ED3F4F"/>
    <w:rsid w:val="36EE5311"/>
    <w:rsid w:val="36F11025"/>
    <w:rsid w:val="36F30501"/>
    <w:rsid w:val="36F3527D"/>
    <w:rsid w:val="36F459BD"/>
    <w:rsid w:val="36F77CDE"/>
    <w:rsid w:val="37007F06"/>
    <w:rsid w:val="37044FA9"/>
    <w:rsid w:val="37077EE6"/>
    <w:rsid w:val="37085922"/>
    <w:rsid w:val="3709636F"/>
    <w:rsid w:val="371229ED"/>
    <w:rsid w:val="37122B71"/>
    <w:rsid w:val="3712598B"/>
    <w:rsid w:val="371403EA"/>
    <w:rsid w:val="37153AED"/>
    <w:rsid w:val="37293BAC"/>
    <w:rsid w:val="373117C3"/>
    <w:rsid w:val="37313ADE"/>
    <w:rsid w:val="37322BC4"/>
    <w:rsid w:val="373D426B"/>
    <w:rsid w:val="3755329D"/>
    <w:rsid w:val="37583FE8"/>
    <w:rsid w:val="375A6009"/>
    <w:rsid w:val="375A7EDB"/>
    <w:rsid w:val="375E427F"/>
    <w:rsid w:val="3763698B"/>
    <w:rsid w:val="37661A13"/>
    <w:rsid w:val="377D18B2"/>
    <w:rsid w:val="377E1761"/>
    <w:rsid w:val="37852930"/>
    <w:rsid w:val="37893954"/>
    <w:rsid w:val="37961022"/>
    <w:rsid w:val="379A6216"/>
    <w:rsid w:val="37A565A7"/>
    <w:rsid w:val="37AE3076"/>
    <w:rsid w:val="37B11597"/>
    <w:rsid w:val="37B63C1C"/>
    <w:rsid w:val="37B7401D"/>
    <w:rsid w:val="37BC7885"/>
    <w:rsid w:val="37C52403"/>
    <w:rsid w:val="37C6143D"/>
    <w:rsid w:val="37D741EB"/>
    <w:rsid w:val="37DD2CE6"/>
    <w:rsid w:val="37E40B8A"/>
    <w:rsid w:val="37EF2CFC"/>
    <w:rsid w:val="37FC53F9"/>
    <w:rsid w:val="37FD4D3F"/>
    <w:rsid w:val="37FF127B"/>
    <w:rsid w:val="380239AD"/>
    <w:rsid w:val="38035F6F"/>
    <w:rsid w:val="3808583B"/>
    <w:rsid w:val="380C3238"/>
    <w:rsid w:val="381059C0"/>
    <w:rsid w:val="38135550"/>
    <w:rsid w:val="381B59F1"/>
    <w:rsid w:val="381D4E7B"/>
    <w:rsid w:val="3829057B"/>
    <w:rsid w:val="382F62A9"/>
    <w:rsid w:val="38312021"/>
    <w:rsid w:val="38317011"/>
    <w:rsid w:val="38355496"/>
    <w:rsid w:val="38431F02"/>
    <w:rsid w:val="384505C3"/>
    <w:rsid w:val="38492556"/>
    <w:rsid w:val="384B15A2"/>
    <w:rsid w:val="384D2BD3"/>
    <w:rsid w:val="384E562C"/>
    <w:rsid w:val="38501180"/>
    <w:rsid w:val="385E6288"/>
    <w:rsid w:val="386F3911"/>
    <w:rsid w:val="386F48F8"/>
    <w:rsid w:val="387000FA"/>
    <w:rsid w:val="38727869"/>
    <w:rsid w:val="38737A7D"/>
    <w:rsid w:val="387C0730"/>
    <w:rsid w:val="387E35D5"/>
    <w:rsid w:val="38805CE8"/>
    <w:rsid w:val="388F07EA"/>
    <w:rsid w:val="38946D48"/>
    <w:rsid w:val="3895308B"/>
    <w:rsid w:val="389655AD"/>
    <w:rsid w:val="38997BC6"/>
    <w:rsid w:val="38A16AB9"/>
    <w:rsid w:val="38A24CCD"/>
    <w:rsid w:val="38A84009"/>
    <w:rsid w:val="38AB387F"/>
    <w:rsid w:val="38AD7C9C"/>
    <w:rsid w:val="38AE58CC"/>
    <w:rsid w:val="38B30438"/>
    <w:rsid w:val="38C00F91"/>
    <w:rsid w:val="38C5466E"/>
    <w:rsid w:val="38CB72F4"/>
    <w:rsid w:val="38CF673E"/>
    <w:rsid w:val="38D04582"/>
    <w:rsid w:val="38DF43C4"/>
    <w:rsid w:val="38E17BED"/>
    <w:rsid w:val="38E41AD5"/>
    <w:rsid w:val="38E56968"/>
    <w:rsid w:val="38EE1505"/>
    <w:rsid w:val="38F64523"/>
    <w:rsid w:val="38F75891"/>
    <w:rsid w:val="38F76AFC"/>
    <w:rsid w:val="38FA68B7"/>
    <w:rsid w:val="39061E07"/>
    <w:rsid w:val="3913458B"/>
    <w:rsid w:val="391960DF"/>
    <w:rsid w:val="391B1389"/>
    <w:rsid w:val="392418A9"/>
    <w:rsid w:val="39254904"/>
    <w:rsid w:val="39274A9D"/>
    <w:rsid w:val="392A6941"/>
    <w:rsid w:val="393636A8"/>
    <w:rsid w:val="393804D4"/>
    <w:rsid w:val="393E0234"/>
    <w:rsid w:val="393F493F"/>
    <w:rsid w:val="39427822"/>
    <w:rsid w:val="39495149"/>
    <w:rsid w:val="395917BC"/>
    <w:rsid w:val="39615169"/>
    <w:rsid w:val="39622973"/>
    <w:rsid w:val="396A422F"/>
    <w:rsid w:val="39770E50"/>
    <w:rsid w:val="398C5D68"/>
    <w:rsid w:val="398F4574"/>
    <w:rsid w:val="3993561C"/>
    <w:rsid w:val="39953DFA"/>
    <w:rsid w:val="39A11144"/>
    <w:rsid w:val="39A33D5F"/>
    <w:rsid w:val="39AC0EB1"/>
    <w:rsid w:val="39B1399B"/>
    <w:rsid w:val="39B94EC0"/>
    <w:rsid w:val="39BD78E5"/>
    <w:rsid w:val="39C90037"/>
    <w:rsid w:val="39CA1777"/>
    <w:rsid w:val="39CD45FB"/>
    <w:rsid w:val="39D3337F"/>
    <w:rsid w:val="39D961AE"/>
    <w:rsid w:val="39DE000B"/>
    <w:rsid w:val="39EF771D"/>
    <w:rsid w:val="39F94DC1"/>
    <w:rsid w:val="39FB11A4"/>
    <w:rsid w:val="39FE4185"/>
    <w:rsid w:val="3A03179B"/>
    <w:rsid w:val="3A094CCA"/>
    <w:rsid w:val="3A0D4473"/>
    <w:rsid w:val="3A0E2C36"/>
    <w:rsid w:val="3A177963"/>
    <w:rsid w:val="3A192CA8"/>
    <w:rsid w:val="3A1B6AEF"/>
    <w:rsid w:val="3A1E11F6"/>
    <w:rsid w:val="3A1F066A"/>
    <w:rsid w:val="3A1F234D"/>
    <w:rsid w:val="3A282FB0"/>
    <w:rsid w:val="3A324C07"/>
    <w:rsid w:val="3A44779D"/>
    <w:rsid w:val="3A476D41"/>
    <w:rsid w:val="3A506A57"/>
    <w:rsid w:val="3A542271"/>
    <w:rsid w:val="3A563FC1"/>
    <w:rsid w:val="3A5671E3"/>
    <w:rsid w:val="3A5B0141"/>
    <w:rsid w:val="3A612092"/>
    <w:rsid w:val="3A6857D0"/>
    <w:rsid w:val="3A75635F"/>
    <w:rsid w:val="3A825439"/>
    <w:rsid w:val="3A8C7089"/>
    <w:rsid w:val="3A8C7163"/>
    <w:rsid w:val="3A944DBD"/>
    <w:rsid w:val="3A991BD6"/>
    <w:rsid w:val="3A9B1721"/>
    <w:rsid w:val="3A9C3CC3"/>
    <w:rsid w:val="3A9D222A"/>
    <w:rsid w:val="3A9D59CE"/>
    <w:rsid w:val="3AA954A7"/>
    <w:rsid w:val="3AA96A45"/>
    <w:rsid w:val="3AAA43B0"/>
    <w:rsid w:val="3AAB166D"/>
    <w:rsid w:val="3AB26B07"/>
    <w:rsid w:val="3AB94550"/>
    <w:rsid w:val="3ABF07E6"/>
    <w:rsid w:val="3AC471D7"/>
    <w:rsid w:val="3AC727C9"/>
    <w:rsid w:val="3AC8540C"/>
    <w:rsid w:val="3AC86CCC"/>
    <w:rsid w:val="3ACF78CF"/>
    <w:rsid w:val="3AD26CAF"/>
    <w:rsid w:val="3AD35C66"/>
    <w:rsid w:val="3AD4154D"/>
    <w:rsid w:val="3AD739A2"/>
    <w:rsid w:val="3AD800BA"/>
    <w:rsid w:val="3ADE123E"/>
    <w:rsid w:val="3AED12B8"/>
    <w:rsid w:val="3AED1498"/>
    <w:rsid w:val="3AF64E5C"/>
    <w:rsid w:val="3B020836"/>
    <w:rsid w:val="3B065FB5"/>
    <w:rsid w:val="3B0B3137"/>
    <w:rsid w:val="3B1508DA"/>
    <w:rsid w:val="3B1C07DF"/>
    <w:rsid w:val="3B1D4214"/>
    <w:rsid w:val="3B293386"/>
    <w:rsid w:val="3B2C6A58"/>
    <w:rsid w:val="3B2D45F6"/>
    <w:rsid w:val="3B345AC4"/>
    <w:rsid w:val="3B3466FE"/>
    <w:rsid w:val="3B3D3430"/>
    <w:rsid w:val="3B451940"/>
    <w:rsid w:val="3B4630AD"/>
    <w:rsid w:val="3B4B297A"/>
    <w:rsid w:val="3B51161A"/>
    <w:rsid w:val="3B520777"/>
    <w:rsid w:val="3B530501"/>
    <w:rsid w:val="3B563251"/>
    <w:rsid w:val="3B5718F5"/>
    <w:rsid w:val="3B626996"/>
    <w:rsid w:val="3B676600"/>
    <w:rsid w:val="3B6C5900"/>
    <w:rsid w:val="3B772C01"/>
    <w:rsid w:val="3B7B7972"/>
    <w:rsid w:val="3B8A15DD"/>
    <w:rsid w:val="3B8E32E7"/>
    <w:rsid w:val="3BA4086D"/>
    <w:rsid w:val="3BAC19BF"/>
    <w:rsid w:val="3BAE3043"/>
    <w:rsid w:val="3BB34456"/>
    <w:rsid w:val="3BBA0BD3"/>
    <w:rsid w:val="3BC35EB6"/>
    <w:rsid w:val="3BC551B9"/>
    <w:rsid w:val="3BC60CD2"/>
    <w:rsid w:val="3BCF0D7B"/>
    <w:rsid w:val="3BD0415D"/>
    <w:rsid w:val="3BD224AE"/>
    <w:rsid w:val="3BD42398"/>
    <w:rsid w:val="3BD51F96"/>
    <w:rsid w:val="3BD72EE0"/>
    <w:rsid w:val="3BD74C8E"/>
    <w:rsid w:val="3BDD601C"/>
    <w:rsid w:val="3BE41159"/>
    <w:rsid w:val="3BE93C1D"/>
    <w:rsid w:val="3BEC69DA"/>
    <w:rsid w:val="3BF56281"/>
    <w:rsid w:val="3BF75767"/>
    <w:rsid w:val="3BFA12C7"/>
    <w:rsid w:val="3BFE6399"/>
    <w:rsid w:val="3C035A53"/>
    <w:rsid w:val="3C095F71"/>
    <w:rsid w:val="3C123F18"/>
    <w:rsid w:val="3C1A64D0"/>
    <w:rsid w:val="3C1D2FA4"/>
    <w:rsid w:val="3C242718"/>
    <w:rsid w:val="3C2459F9"/>
    <w:rsid w:val="3C251047"/>
    <w:rsid w:val="3C296758"/>
    <w:rsid w:val="3C3606B6"/>
    <w:rsid w:val="3C3C006F"/>
    <w:rsid w:val="3C4027F8"/>
    <w:rsid w:val="3C470C8C"/>
    <w:rsid w:val="3C4816E7"/>
    <w:rsid w:val="3C4B535F"/>
    <w:rsid w:val="3C5A1525"/>
    <w:rsid w:val="3C5C71DE"/>
    <w:rsid w:val="3C5F415A"/>
    <w:rsid w:val="3C612F51"/>
    <w:rsid w:val="3C665F66"/>
    <w:rsid w:val="3C677369"/>
    <w:rsid w:val="3C70774A"/>
    <w:rsid w:val="3C722C08"/>
    <w:rsid w:val="3C755107"/>
    <w:rsid w:val="3C776471"/>
    <w:rsid w:val="3C780AE5"/>
    <w:rsid w:val="3C791800"/>
    <w:rsid w:val="3C81137B"/>
    <w:rsid w:val="3C8207C5"/>
    <w:rsid w:val="3C894C34"/>
    <w:rsid w:val="3C906ED8"/>
    <w:rsid w:val="3C9071C6"/>
    <w:rsid w:val="3C9D22B9"/>
    <w:rsid w:val="3CA01138"/>
    <w:rsid w:val="3CAF79B9"/>
    <w:rsid w:val="3CB43221"/>
    <w:rsid w:val="3CB922C2"/>
    <w:rsid w:val="3CBA680A"/>
    <w:rsid w:val="3CBE7BFC"/>
    <w:rsid w:val="3CC30458"/>
    <w:rsid w:val="3CC45CEA"/>
    <w:rsid w:val="3CC725D3"/>
    <w:rsid w:val="3CC87303"/>
    <w:rsid w:val="3CCA42F3"/>
    <w:rsid w:val="3CCF05E8"/>
    <w:rsid w:val="3CE47011"/>
    <w:rsid w:val="3CE53A46"/>
    <w:rsid w:val="3CF278A5"/>
    <w:rsid w:val="3CFB2BFE"/>
    <w:rsid w:val="3CFD0101"/>
    <w:rsid w:val="3D0575D8"/>
    <w:rsid w:val="3D077C7C"/>
    <w:rsid w:val="3D101EC9"/>
    <w:rsid w:val="3D104AF7"/>
    <w:rsid w:val="3D113B09"/>
    <w:rsid w:val="3D1305EE"/>
    <w:rsid w:val="3D144C9D"/>
    <w:rsid w:val="3D185C7A"/>
    <w:rsid w:val="3D1921E1"/>
    <w:rsid w:val="3D1C0A50"/>
    <w:rsid w:val="3D1D2B74"/>
    <w:rsid w:val="3D23403D"/>
    <w:rsid w:val="3D2359AB"/>
    <w:rsid w:val="3D2C7D95"/>
    <w:rsid w:val="3D350906"/>
    <w:rsid w:val="3D365BAB"/>
    <w:rsid w:val="3D394F4C"/>
    <w:rsid w:val="3D4525C8"/>
    <w:rsid w:val="3D456332"/>
    <w:rsid w:val="3D5B764F"/>
    <w:rsid w:val="3D6277EC"/>
    <w:rsid w:val="3D627C3E"/>
    <w:rsid w:val="3D6544B4"/>
    <w:rsid w:val="3D672041"/>
    <w:rsid w:val="3D6A1B31"/>
    <w:rsid w:val="3D706F5E"/>
    <w:rsid w:val="3D754384"/>
    <w:rsid w:val="3D8113BA"/>
    <w:rsid w:val="3D841BC6"/>
    <w:rsid w:val="3D870D8A"/>
    <w:rsid w:val="3D874491"/>
    <w:rsid w:val="3D8E5820"/>
    <w:rsid w:val="3D98406B"/>
    <w:rsid w:val="3DA97CEB"/>
    <w:rsid w:val="3DB159B2"/>
    <w:rsid w:val="3DB17E68"/>
    <w:rsid w:val="3DB272E1"/>
    <w:rsid w:val="3DB71149"/>
    <w:rsid w:val="3DBA7CED"/>
    <w:rsid w:val="3DBC516B"/>
    <w:rsid w:val="3DBD1E7B"/>
    <w:rsid w:val="3DC21DF7"/>
    <w:rsid w:val="3DC27043"/>
    <w:rsid w:val="3DC31E74"/>
    <w:rsid w:val="3DC729F6"/>
    <w:rsid w:val="3DC72AE0"/>
    <w:rsid w:val="3DC846C3"/>
    <w:rsid w:val="3DD0685C"/>
    <w:rsid w:val="3DD1570D"/>
    <w:rsid w:val="3DD30AA5"/>
    <w:rsid w:val="3DD95732"/>
    <w:rsid w:val="3DE67930"/>
    <w:rsid w:val="3DF64DFA"/>
    <w:rsid w:val="3DF76B0A"/>
    <w:rsid w:val="3E0102D2"/>
    <w:rsid w:val="3E077380"/>
    <w:rsid w:val="3E0B77D1"/>
    <w:rsid w:val="3E170F54"/>
    <w:rsid w:val="3E1960BA"/>
    <w:rsid w:val="3E1E7819"/>
    <w:rsid w:val="3E206245"/>
    <w:rsid w:val="3E2148E6"/>
    <w:rsid w:val="3E2A2471"/>
    <w:rsid w:val="3E2B7513"/>
    <w:rsid w:val="3E2B7C1A"/>
    <w:rsid w:val="3E3068D7"/>
    <w:rsid w:val="3E3245D2"/>
    <w:rsid w:val="3E3514F4"/>
    <w:rsid w:val="3E42267C"/>
    <w:rsid w:val="3E4419D8"/>
    <w:rsid w:val="3E447BF7"/>
    <w:rsid w:val="3E4660FB"/>
    <w:rsid w:val="3E4760F4"/>
    <w:rsid w:val="3E49689E"/>
    <w:rsid w:val="3E522CF1"/>
    <w:rsid w:val="3E540557"/>
    <w:rsid w:val="3E567ACB"/>
    <w:rsid w:val="3E5F2271"/>
    <w:rsid w:val="3E5F6721"/>
    <w:rsid w:val="3E640992"/>
    <w:rsid w:val="3E6F502B"/>
    <w:rsid w:val="3E791A06"/>
    <w:rsid w:val="3E8A09AE"/>
    <w:rsid w:val="3E8B0782"/>
    <w:rsid w:val="3E991CAD"/>
    <w:rsid w:val="3EA4477A"/>
    <w:rsid w:val="3EA70679"/>
    <w:rsid w:val="3EA72339"/>
    <w:rsid w:val="3EA82911"/>
    <w:rsid w:val="3EAE6798"/>
    <w:rsid w:val="3EB53490"/>
    <w:rsid w:val="3EB83C67"/>
    <w:rsid w:val="3EBB121F"/>
    <w:rsid w:val="3EC2495A"/>
    <w:rsid w:val="3ECA6D2C"/>
    <w:rsid w:val="3ED10744"/>
    <w:rsid w:val="3EDE5E20"/>
    <w:rsid w:val="3EE6343A"/>
    <w:rsid w:val="3EE90C10"/>
    <w:rsid w:val="3EEA475E"/>
    <w:rsid w:val="3EF04611"/>
    <w:rsid w:val="3EF6064B"/>
    <w:rsid w:val="3EFC18A3"/>
    <w:rsid w:val="3F071AC8"/>
    <w:rsid w:val="3F164D31"/>
    <w:rsid w:val="3F1A3770"/>
    <w:rsid w:val="3F235765"/>
    <w:rsid w:val="3F271941"/>
    <w:rsid w:val="3F2A5219"/>
    <w:rsid w:val="3F2C38A2"/>
    <w:rsid w:val="3F304CC7"/>
    <w:rsid w:val="3F3178C1"/>
    <w:rsid w:val="3F325C89"/>
    <w:rsid w:val="3F345460"/>
    <w:rsid w:val="3F3564AC"/>
    <w:rsid w:val="3F3B05E4"/>
    <w:rsid w:val="3F3F7F82"/>
    <w:rsid w:val="3F4033F0"/>
    <w:rsid w:val="3F433838"/>
    <w:rsid w:val="3F470927"/>
    <w:rsid w:val="3F4A1E82"/>
    <w:rsid w:val="3F4C14D0"/>
    <w:rsid w:val="3F535E6F"/>
    <w:rsid w:val="3F5A5346"/>
    <w:rsid w:val="3F5E6214"/>
    <w:rsid w:val="3F6D68AF"/>
    <w:rsid w:val="3F722AFE"/>
    <w:rsid w:val="3F73244A"/>
    <w:rsid w:val="3F83453F"/>
    <w:rsid w:val="3F84512C"/>
    <w:rsid w:val="3F8D33C8"/>
    <w:rsid w:val="3F966C0E"/>
    <w:rsid w:val="3F972284"/>
    <w:rsid w:val="3F993D88"/>
    <w:rsid w:val="3FA532F5"/>
    <w:rsid w:val="3FAC77A8"/>
    <w:rsid w:val="3FB33C76"/>
    <w:rsid w:val="3FBA6DA0"/>
    <w:rsid w:val="3FBB25E4"/>
    <w:rsid w:val="3FBB2B24"/>
    <w:rsid w:val="3FBF3D35"/>
    <w:rsid w:val="3FC52820"/>
    <w:rsid w:val="3FC76DC7"/>
    <w:rsid w:val="3FC8589B"/>
    <w:rsid w:val="3FCD4245"/>
    <w:rsid w:val="3FD00372"/>
    <w:rsid w:val="3FD30552"/>
    <w:rsid w:val="3FD55988"/>
    <w:rsid w:val="3FD837EA"/>
    <w:rsid w:val="3FDC4CA4"/>
    <w:rsid w:val="3FDE2F93"/>
    <w:rsid w:val="3FE34205"/>
    <w:rsid w:val="3FE536F1"/>
    <w:rsid w:val="3FE77469"/>
    <w:rsid w:val="3FF0209E"/>
    <w:rsid w:val="3FF23F5B"/>
    <w:rsid w:val="3FFC3C90"/>
    <w:rsid w:val="4000399D"/>
    <w:rsid w:val="40061FE5"/>
    <w:rsid w:val="40085F6C"/>
    <w:rsid w:val="400A5968"/>
    <w:rsid w:val="400E4C9D"/>
    <w:rsid w:val="401537D5"/>
    <w:rsid w:val="401B123D"/>
    <w:rsid w:val="401F09B1"/>
    <w:rsid w:val="402406BD"/>
    <w:rsid w:val="40251D40"/>
    <w:rsid w:val="4026189E"/>
    <w:rsid w:val="4026301E"/>
    <w:rsid w:val="402B0E6A"/>
    <w:rsid w:val="402E3B58"/>
    <w:rsid w:val="403A0BDA"/>
    <w:rsid w:val="403F7B8A"/>
    <w:rsid w:val="404228F2"/>
    <w:rsid w:val="40483AD3"/>
    <w:rsid w:val="40495CDF"/>
    <w:rsid w:val="404C4EBE"/>
    <w:rsid w:val="404E573A"/>
    <w:rsid w:val="40580367"/>
    <w:rsid w:val="406B66FA"/>
    <w:rsid w:val="406C26C2"/>
    <w:rsid w:val="406F4F43"/>
    <w:rsid w:val="407549E4"/>
    <w:rsid w:val="40807FF9"/>
    <w:rsid w:val="4083565B"/>
    <w:rsid w:val="40881ACF"/>
    <w:rsid w:val="408B24EB"/>
    <w:rsid w:val="40913621"/>
    <w:rsid w:val="4095623F"/>
    <w:rsid w:val="40980764"/>
    <w:rsid w:val="40980A35"/>
    <w:rsid w:val="40A35A86"/>
    <w:rsid w:val="40A56614"/>
    <w:rsid w:val="40A9355E"/>
    <w:rsid w:val="40AD4CF5"/>
    <w:rsid w:val="40AE266F"/>
    <w:rsid w:val="40AF61D9"/>
    <w:rsid w:val="40B32C4F"/>
    <w:rsid w:val="40BF43D5"/>
    <w:rsid w:val="40C10C61"/>
    <w:rsid w:val="40C62F2C"/>
    <w:rsid w:val="40CC39D6"/>
    <w:rsid w:val="40CE37AC"/>
    <w:rsid w:val="40D23C76"/>
    <w:rsid w:val="40D36208"/>
    <w:rsid w:val="40D550AB"/>
    <w:rsid w:val="40D6552D"/>
    <w:rsid w:val="40D83403"/>
    <w:rsid w:val="40D94947"/>
    <w:rsid w:val="40DF4137"/>
    <w:rsid w:val="40DF43B1"/>
    <w:rsid w:val="40E724A5"/>
    <w:rsid w:val="40E734F1"/>
    <w:rsid w:val="40EB48BA"/>
    <w:rsid w:val="40EC757B"/>
    <w:rsid w:val="40EF4827"/>
    <w:rsid w:val="40F819B2"/>
    <w:rsid w:val="40F82590"/>
    <w:rsid w:val="40FF273F"/>
    <w:rsid w:val="410119A0"/>
    <w:rsid w:val="410B11C5"/>
    <w:rsid w:val="41112495"/>
    <w:rsid w:val="41135140"/>
    <w:rsid w:val="41175B2C"/>
    <w:rsid w:val="411953E1"/>
    <w:rsid w:val="411B561D"/>
    <w:rsid w:val="411C4198"/>
    <w:rsid w:val="411C5FF5"/>
    <w:rsid w:val="41232081"/>
    <w:rsid w:val="412546ED"/>
    <w:rsid w:val="41293762"/>
    <w:rsid w:val="412D19B0"/>
    <w:rsid w:val="41312CE7"/>
    <w:rsid w:val="41342CA9"/>
    <w:rsid w:val="413C70DA"/>
    <w:rsid w:val="41410DFB"/>
    <w:rsid w:val="414A3D9D"/>
    <w:rsid w:val="414B7FBA"/>
    <w:rsid w:val="4150162C"/>
    <w:rsid w:val="4152716E"/>
    <w:rsid w:val="41536DB9"/>
    <w:rsid w:val="415966FC"/>
    <w:rsid w:val="415D5C35"/>
    <w:rsid w:val="41626F97"/>
    <w:rsid w:val="416436D6"/>
    <w:rsid w:val="416B3E21"/>
    <w:rsid w:val="41701E6A"/>
    <w:rsid w:val="41717CE2"/>
    <w:rsid w:val="41744D2D"/>
    <w:rsid w:val="417579C1"/>
    <w:rsid w:val="417628BF"/>
    <w:rsid w:val="41762FC7"/>
    <w:rsid w:val="41791A42"/>
    <w:rsid w:val="417F2E17"/>
    <w:rsid w:val="41874A60"/>
    <w:rsid w:val="41885F64"/>
    <w:rsid w:val="41947EE1"/>
    <w:rsid w:val="41953873"/>
    <w:rsid w:val="419A52F8"/>
    <w:rsid w:val="419A6437"/>
    <w:rsid w:val="419B675D"/>
    <w:rsid w:val="41A0348E"/>
    <w:rsid w:val="41A05CAC"/>
    <w:rsid w:val="41A305A9"/>
    <w:rsid w:val="41A41389"/>
    <w:rsid w:val="41A82BC9"/>
    <w:rsid w:val="41B17D2F"/>
    <w:rsid w:val="41B75FE6"/>
    <w:rsid w:val="41C47DFB"/>
    <w:rsid w:val="41C57D22"/>
    <w:rsid w:val="41C7032C"/>
    <w:rsid w:val="41C746A6"/>
    <w:rsid w:val="41CD31FA"/>
    <w:rsid w:val="41D01C3A"/>
    <w:rsid w:val="41D44AD9"/>
    <w:rsid w:val="41D61543"/>
    <w:rsid w:val="41D616D4"/>
    <w:rsid w:val="41E15564"/>
    <w:rsid w:val="41EA3241"/>
    <w:rsid w:val="41FB2AF7"/>
    <w:rsid w:val="41FE2390"/>
    <w:rsid w:val="420243F9"/>
    <w:rsid w:val="42025723"/>
    <w:rsid w:val="420E3C33"/>
    <w:rsid w:val="420F0662"/>
    <w:rsid w:val="42152331"/>
    <w:rsid w:val="42165DE4"/>
    <w:rsid w:val="42176C42"/>
    <w:rsid w:val="421B33FA"/>
    <w:rsid w:val="42213106"/>
    <w:rsid w:val="42251AE3"/>
    <w:rsid w:val="42272615"/>
    <w:rsid w:val="4228593C"/>
    <w:rsid w:val="422B5D33"/>
    <w:rsid w:val="423371C4"/>
    <w:rsid w:val="42410350"/>
    <w:rsid w:val="424550F0"/>
    <w:rsid w:val="424C125B"/>
    <w:rsid w:val="424D3EFC"/>
    <w:rsid w:val="42505276"/>
    <w:rsid w:val="42572693"/>
    <w:rsid w:val="42593D0D"/>
    <w:rsid w:val="425F4D27"/>
    <w:rsid w:val="426979B3"/>
    <w:rsid w:val="426A2700"/>
    <w:rsid w:val="42745D9E"/>
    <w:rsid w:val="42760D9F"/>
    <w:rsid w:val="42780760"/>
    <w:rsid w:val="427E2307"/>
    <w:rsid w:val="42830E3E"/>
    <w:rsid w:val="428C02E3"/>
    <w:rsid w:val="42933E02"/>
    <w:rsid w:val="42980EEF"/>
    <w:rsid w:val="42A41642"/>
    <w:rsid w:val="42A5591D"/>
    <w:rsid w:val="42A653BA"/>
    <w:rsid w:val="42AF3F38"/>
    <w:rsid w:val="42B1572F"/>
    <w:rsid w:val="42B56C95"/>
    <w:rsid w:val="42BB3AB8"/>
    <w:rsid w:val="42BD74CA"/>
    <w:rsid w:val="42C03A89"/>
    <w:rsid w:val="42C063F0"/>
    <w:rsid w:val="42C52763"/>
    <w:rsid w:val="42C673E7"/>
    <w:rsid w:val="42D812EB"/>
    <w:rsid w:val="42E02127"/>
    <w:rsid w:val="42E52767"/>
    <w:rsid w:val="42EF2FFB"/>
    <w:rsid w:val="42F41E36"/>
    <w:rsid w:val="42FC6E21"/>
    <w:rsid w:val="42FE6FA4"/>
    <w:rsid w:val="43010963"/>
    <w:rsid w:val="430D5248"/>
    <w:rsid w:val="4310425A"/>
    <w:rsid w:val="43161C5C"/>
    <w:rsid w:val="432340E7"/>
    <w:rsid w:val="43244531"/>
    <w:rsid w:val="432827E2"/>
    <w:rsid w:val="432A5FEB"/>
    <w:rsid w:val="43304A54"/>
    <w:rsid w:val="4332234C"/>
    <w:rsid w:val="433413A3"/>
    <w:rsid w:val="43361310"/>
    <w:rsid w:val="43394480"/>
    <w:rsid w:val="434370AD"/>
    <w:rsid w:val="434C31F8"/>
    <w:rsid w:val="434C3939"/>
    <w:rsid w:val="434D7F2B"/>
    <w:rsid w:val="43502F0B"/>
    <w:rsid w:val="435134EC"/>
    <w:rsid w:val="43567DA3"/>
    <w:rsid w:val="43576AC9"/>
    <w:rsid w:val="43597A60"/>
    <w:rsid w:val="436D2304"/>
    <w:rsid w:val="43767A4B"/>
    <w:rsid w:val="437B05F4"/>
    <w:rsid w:val="437E3400"/>
    <w:rsid w:val="4380076E"/>
    <w:rsid w:val="43880F63"/>
    <w:rsid w:val="438A0837"/>
    <w:rsid w:val="43994478"/>
    <w:rsid w:val="439B0C97"/>
    <w:rsid w:val="43A570A5"/>
    <w:rsid w:val="43AB1CD6"/>
    <w:rsid w:val="43B458B4"/>
    <w:rsid w:val="43B547C9"/>
    <w:rsid w:val="43C0237A"/>
    <w:rsid w:val="43C64D18"/>
    <w:rsid w:val="43CB72B8"/>
    <w:rsid w:val="43CE2D9F"/>
    <w:rsid w:val="43CF6B92"/>
    <w:rsid w:val="43D43893"/>
    <w:rsid w:val="43DA0CD3"/>
    <w:rsid w:val="43E048FB"/>
    <w:rsid w:val="43E06F63"/>
    <w:rsid w:val="43E53CC0"/>
    <w:rsid w:val="43FA47DE"/>
    <w:rsid w:val="440305EA"/>
    <w:rsid w:val="440953BF"/>
    <w:rsid w:val="440A1978"/>
    <w:rsid w:val="440E4C12"/>
    <w:rsid w:val="441B022E"/>
    <w:rsid w:val="44240485"/>
    <w:rsid w:val="44275F76"/>
    <w:rsid w:val="44283581"/>
    <w:rsid w:val="44336B38"/>
    <w:rsid w:val="44354EFB"/>
    <w:rsid w:val="443864E5"/>
    <w:rsid w:val="443A022F"/>
    <w:rsid w:val="44466FA4"/>
    <w:rsid w:val="444978AB"/>
    <w:rsid w:val="444B7E0E"/>
    <w:rsid w:val="444D5C2D"/>
    <w:rsid w:val="4450708C"/>
    <w:rsid w:val="44537B77"/>
    <w:rsid w:val="44544B6C"/>
    <w:rsid w:val="445E12D1"/>
    <w:rsid w:val="44605B08"/>
    <w:rsid w:val="44634DAF"/>
    <w:rsid w:val="44654E01"/>
    <w:rsid w:val="446A2417"/>
    <w:rsid w:val="446B53AB"/>
    <w:rsid w:val="446C43E1"/>
    <w:rsid w:val="447572AB"/>
    <w:rsid w:val="44770A59"/>
    <w:rsid w:val="447A2F8E"/>
    <w:rsid w:val="44807221"/>
    <w:rsid w:val="44860171"/>
    <w:rsid w:val="448A1249"/>
    <w:rsid w:val="448B2AB9"/>
    <w:rsid w:val="448B69E1"/>
    <w:rsid w:val="448C7B18"/>
    <w:rsid w:val="44933B76"/>
    <w:rsid w:val="44A51EDF"/>
    <w:rsid w:val="44A6563B"/>
    <w:rsid w:val="44A829DF"/>
    <w:rsid w:val="44AB0E7A"/>
    <w:rsid w:val="44AD2CD2"/>
    <w:rsid w:val="44B14D1D"/>
    <w:rsid w:val="44B317C6"/>
    <w:rsid w:val="44B50386"/>
    <w:rsid w:val="44BC303B"/>
    <w:rsid w:val="44BF2D1A"/>
    <w:rsid w:val="44C00E00"/>
    <w:rsid w:val="44C6048B"/>
    <w:rsid w:val="44C77869"/>
    <w:rsid w:val="44CB735A"/>
    <w:rsid w:val="44D26E5F"/>
    <w:rsid w:val="44D4482D"/>
    <w:rsid w:val="44D57272"/>
    <w:rsid w:val="44DA3D6F"/>
    <w:rsid w:val="44DA60B5"/>
    <w:rsid w:val="44DE7FB2"/>
    <w:rsid w:val="44DF07DC"/>
    <w:rsid w:val="44E26451"/>
    <w:rsid w:val="44EA4A60"/>
    <w:rsid w:val="44EB7BEF"/>
    <w:rsid w:val="44EF52EA"/>
    <w:rsid w:val="44F77B53"/>
    <w:rsid w:val="44F83BA3"/>
    <w:rsid w:val="44FD328B"/>
    <w:rsid w:val="45033FC3"/>
    <w:rsid w:val="450B1E4C"/>
    <w:rsid w:val="450D11CC"/>
    <w:rsid w:val="45187283"/>
    <w:rsid w:val="451C2C66"/>
    <w:rsid w:val="451E4394"/>
    <w:rsid w:val="45222E46"/>
    <w:rsid w:val="45252F0E"/>
    <w:rsid w:val="452A4095"/>
    <w:rsid w:val="452F3592"/>
    <w:rsid w:val="4537679D"/>
    <w:rsid w:val="453B44DF"/>
    <w:rsid w:val="45494E3C"/>
    <w:rsid w:val="454B06A6"/>
    <w:rsid w:val="455530C7"/>
    <w:rsid w:val="455713BA"/>
    <w:rsid w:val="456400CD"/>
    <w:rsid w:val="45705761"/>
    <w:rsid w:val="457F00FD"/>
    <w:rsid w:val="458862BA"/>
    <w:rsid w:val="45907812"/>
    <w:rsid w:val="45921C1C"/>
    <w:rsid w:val="4597548E"/>
    <w:rsid w:val="459D1CEC"/>
    <w:rsid w:val="45A65C35"/>
    <w:rsid w:val="45AB0E69"/>
    <w:rsid w:val="45B07DEB"/>
    <w:rsid w:val="45B46676"/>
    <w:rsid w:val="45BB3213"/>
    <w:rsid w:val="45BE2A1A"/>
    <w:rsid w:val="45BE32EC"/>
    <w:rsid w:val="45BE6D2D"/>
    <w:rsid w:val="45C14DFB"/>
    <w:rsid w:val="45CA7611"/>
    <w:rsid w:val="45CE6E03"/>
    <w:rsid w:val="45D068C8"/>
    <w:rsid w:val="45D77BC2"/>
    <w:rsid w:val="45D92C9D"/>
    <w:rsid w:val="45E151C1"/>
    <w:rsid w:val="45E265AB"/>
    <w:rsid w:val="45EB0E3A"/>
    <w:rsid w:val="45EB1434"/>
    <w:rsid w:val="45EC7960"/>
    <w:rsid w:val="45FB5A1D"/>
    <w:rsid w:val="45FE498B"/>
    <w:rsid w:val="460C60A9"/>
    <w:rsid w:val="460E7918"/>
    <w:rsid w:val="461245BD"/>
    <w:rsid w:val="46162856"/>
    <w:rsid w:val="46180F97"/>
    <w:rsid w:val="461910C7"/>
    <w:rsid w:val="4619510F"/>
    <w:rsid w:val="461B6BFC"/>
    <w:rsid w:val="461D2802"/>
    <w:rsid w:val="46251713"/>
    <w:rsid w:val="46274A64"/>
    <w:rsid w:val="462A775C"/>
    <w:rsid w:val="46317690"/>
    <w:rsid w:val="46361211"/>
    <w:rsid w:val="46431306"/>
    <w:rsid w:val="46452D68"/>
    <w:rsid w:val="465E7D59"/>
    <w:rsid w:val="46664016"/>
    <w:rsid w:val="46687D54"/>
    <w:rsid w:val="466907FF"/>
    <w:rsid w:val="466D0170"/>
    <w:rsid w:val="466E1058"/>
    <w:rsid w:val="467579B4"/>
    <w:rsid w:val="467745B6"/>
    <w:rsid w:val="46792E21"/>
    <w:rsid w:val="467A3749"/>
    <w:rsid w:val="467D4684"/>
    <w:rsid w:val="467D5E97"/>
    <w:rsid w:val="467E5B13"/>
    <w:rsid w:val="467E7CF3"/>
    <w:rsid w:val="468F0F48"/>
    <w:rsid w:val="46903059"/>
    <w:rsid w:val="46964A9C"/>
    <w:rsid w:val="46967701"/>
    <w:rsid w:val="469D1809"/>
    <w:rsid w:val="46A14816"/>
    <w:rsid w:val="46A526D6"/>
    <w:rsid w:val="46A87845"/>
    <w:rsid w:val="46AA08A6"/>
    <w:rsid w:val="46AA76AD"/>
    <w:rsid w:val="46B021EC"/>
    <w:rsid w:val="46BA41A6"/>
    <w:rsid w:val="46BC255A"/>
    <w:rsid w:val="46C422B2"/>
    <w:rsid w:val="46C6602A"/>
    <w:rsid w:val="46CA785D"/>
    <w:rsid w:val="46DB41B7"/>
    <w:rsid w:val="46DE3D83"/>
    <w:rsid w:val="46DE5D03"/>
    <w:rsid w:val="46E14C12"/>
    <w:rsid w:val="46E35DD0"/>
    <w:rsid w:val="46E54218"/>
    <w:rsid w:val="46E564C4"/>
    <w:rsid w:val="46E65610"/>
    <w:rsid w:val="46E82A72"/>
    <w:rsid w:val="46E86CDC"/>
    <w:rsid w:val="46EA391A"/>
    <w:rsid w:val="46EE6BC7"/>
    <w:rsid w:val="46F624B2"/>
    <w:rsid w:val="46F641D2"/>
    <w:rsid w:val="46F74972"/>
    <w:rsid w:val="46FA5A76"/>
    <w:rsid w:val="47001FD2"/>
    <w:rsid w:val="470614E7"/>
    <w:rsid w:val="47106FBC"/>
    <w:rsid w:val="4711154C"/>
    <w:rsid w:val="471C20EE"/>
    <w:rsid w:val="471C6DD4"/>
    <w:rsid w:val="471D0925"/>
    <w:rsid w:val="4724512B"/>
    <w:rsid w:val="472D60AA"/>
    <w:rsid w:val="47330AA4"/>
    <w:rsid w:val="473A0950"/>
    <w:rsid w:val="473C009B"/>
    <w:rsid w:val="47411B55"/>
    <w:rsid w:val="47484C91"/>
    <w:rsid w:val="475D0382"/>
    <w:rsid w:val="476820A1"/>
    <w:rsid w:val="476E7D81"/>
    <w:rsid w:val="47721D0E"/>
    <w:rsid w:val="477517FF"/>
    <w:rsid w:val="47775577"/>
    <w:rsid w:val="477912EF"/>
    <w:rsid w:val="477F55EA"/>
    <w:rsid w:val="47800672"/>
    <w:rsid w:val="47833EFA"/>
    <w:rsid w:val="478B4B7E"/>
    <w:rsid w:val="47940883"/>
    <w:rsid w:val="479F0B1A"/>
    <w:rsid w:val="47A15BA1"/>
    <w:rsid w:val="47A20E63"/>
    <w:rsid w:val="47A51340"/>
    <w:rsid w:val="47AB0ABF"/>
    <w:rsid w:val="47B40579"/>
    <w:rsid w:val="47BF75EF"/>
    <w:rsid w:val="47C51B9B"/>
    <w:rsid w:val="47C732F2"/>
    <w:rsid w:val="47C83E6A"/>
    <w:rsid w:val="47CD404A"/>
    <w:rsid w:val="47DA5041"/>
    <w:rsid w:val="47DD50C2"/>
    <w:rsid w:val="47E27F70"/>
    <w:rsid w:val="47E726FC"/>
    <w:rsid w:val="47EC1BA0"/>
    <w:rsid w:val="47F147BB"/>
    <w:rsid w:val="47F24D45"/>
    <w:rsid w:val="47F2526B"/>
    <w:rsid w:val="47F44929"/>
    <w:rsid w:val="47F62737"/>
    <w:rsid w:val="47F8109E"/>
    <w:rsid w:val="480F477C"/>
    <w:rsid w:val="481173EB"/>
    <w:rsid w:val="48181897"/>
    <w:rsid w:val="48191722"/>
    <w:rsid w:val="48225263"/>
    <w:rsid w:val="48255630"/>
    <w:rsid w:val="482622B0"/>
    <w:rsid w:val="482C1D68"/>
    <w:rsid w:val="482C23D3"/>
    <w:rsid w:val="482D3841"/>
    <w:rsid w:val="48311BC9"/>
    <w:rsid w:val="48376AB4"/>
    <w:rsid w:val="485338EE"/>
    <w:rsid w:val="48600E69"/>
    <w:rsid w:val="486B1993"/>
    <w:rsid w:val="48712EE6"/>
    <w:rsid w:val="487B4000"/>
    <w:rsid w:val="487B4F57"/>
    <w:rsid w:val="488919EA"/>
    <w:rsid w:val="488A03DB"/>
    <w:rsid w:val="488B6DCD"/>
    <w:rsid w:val="488D5FA6"/>
    <w:rsid w:val="488E487D"/>
    <w:rsid w:val="48925759"/>
    <w:rsid w:val="48A203D1"/>
    <w:rsid w:val="48A26623"/>
    <w:rsid w:val="48A26686"/>
    <w:rsid w:val="48A87BE8"/>
    <w:rsid w:val="48BD4AFD"/>
    <w:rsid w:val="48BE46E4"/>
    <w:rsid w:val="48C0641A"/>
    <w:rsid w:val="48C822F0"/>
    <w:rsid w:val="48C91E02"/>
    <w:rsid w:val="48D83D02"/>
    <w:rsid w:val="48E14655"/>
    <w:rsid w:val="48E94E2D"/>
    <w:rsid w:val="48EB7FCA"/>
    <w:rsid w:val="48F06455"/>
    <w:rsid w:val="48F44006"/>
    <w:rsid w:val="48FA645F"/>
    <w:rsid w:val="49035E1F"/>
    <w:rsid w:val="49073147"/>
    <w:rsid w:val="49090450"/>
    <w:rsid w:val="49092D04"/>
    <w:rsid w:val="490F344A"/>
    <w:rsid w:val="49150D0F"/>
    <w:rsid w:val="4922455E"/>
    <w:rsid w:val="49230EF8"/>
    <w:rsid w:val="49291866"/>
    <w:rsid w:val="492B199C"/>
    <w:rsid w:val="492E038E"/>
    <w:rsid w:val="49311755"/>
    <w:rsid w:val="493A4AAE"/>
    <w:rsid w:val="493B1D1E"/>
    <w:rsid w:val="493C7DA8"/>
    <w:rsid w:val="49471D44"/>
    <w:rsid w:val="4949113D"/>
    <w:rsid w:val="494B10FC"/>
    <w:rsid w:val="49602537"/>
    <w:rsid w:val="496F29A9"/>
    <w:rsid w:val="49726CDD"/>
    <w:rsid w:val="497D499A"/>
    <w:rsid w:val="497E01D3"/>
    <w:rsid w:val="498126DD"/>
    <w:rsid w:val="49846EB7"/>
    <w:rsid w:val="49957BE1"/>
    <w:rsid w:val="49996505"/>
    <w:rsid w:val="49A3025B"/>
    <w:rsid w:val="49AF724A"/>
    <w:rsid w:val="49BC2557"/>
    <w:rsid w:val="49C44921"/>
    <w:rsid w:val="49DB3D92"/>
    <w:rsid w:val="49E53D39"/>
    <w:rsid w:val="49EF4622"/>
    <w:rsid w:val="49F2340E"/>
    <w:rsid w:val="49FC28AF"/>
    <w:rsid w:val="4A0268FC"/>
    <w:rsid w:val="4A076F34"/>
    <w:rsid w:val="4A106798"/>
    <w:rsid w:val="4A1A7303"/>
    <w:rsid w:val="4A1C5C17"/>
    <w:rsid w:val="4A2004E9"/>
    <w:rsid w:val="4A275032"/>
    <w:rsid w:val="4A280DAA"/>
    <w:rsid w:val="4A2B1710"/>
    <w:rsid w:val="4A2B774E"/>
    <w:rsid w:val="4A2B7912"/>
    <w:rsid w:val="4A2C6FBF"/>
    <w:rsid w:val="4A2C752D"/>
    <w:rsid w:val="4A387DB9"/>
    <w:rsid w:val="4A4D17A1"/>
    <w:rsid w:val="4A4F533D"/>
    <w:rsid w:val="4A5541CD"/>
    <w:rsid w:val="4A557CB8"/>
    <w:rsid w:val="4A5971B6"/>
    <w:rsid w:val="4A5E07C3"/>
    <w:rsid w:val="4A710F04"/>
    <w:rsid w:val="4A756FED"/>
    <w:rsid w:val="4A7F4E6E"/>
    <w:rsid w:val="4A8A736F"/>
    <w:rsid w:val="4A9205B3"/>
    <w:rsid w:val="4A9E31F0"/>
    <w:rsid w:val="4A9F72BE"/>
    <w:rsid w:val="4AA2290B"/>
    <w:rsid w:val="4AA27C82"/>
    <w:rsid w:val="4AAB1970"/>
    <w:rsid w:val="4AB67612"/>
    <w:rsid w:val="4AB733AC"/>
    <w:rsid w:val="4AB744B6"/>
    <w:rsid w:val="4ACC7988"/>
    <w:rsid w:val="4AD15B05"/>
    <w:rsid w:val="4AD50797"/>
    <w:rsid w:val="4AD83719"/>
    <w:rsid w:val="4ADB2D7B"/>
    <w:rsid w:val="4ADE47F1"/>
    <w:rsid w:val="4AF539B2"/>
    <w:rsid w:val="4AF650E4"/>
    <w:rsid w:val="4AF80A2C"/>
    <w:rsid w:val="4AFC221B"/>
    <w:rsid w:val="4AFC424D"/>
    <w:rsid w:val="4AFD133C"/>
    <w:rsid w:val="4AFD730F"/>
    <w:rsid w:val="4B0E1D4E"/>
    <w:rsid w:val="4B0E7FDD"/>
    <w:rsid w:val="4B101F6A"/>
    <w:rsid w:val="4B1034D5"/>
    <w:rsid w:val="4B1167C9"/>
    <w:rsid w:val="4B26353C"/>
    <w:rsid w:val="4B2A3577"/>
    <w:rsid w:val="4B35377F"/>
    <w:rsid w:val="4B395530"/>
    <w:rsid w:val="4B3A6FE7"/>
    <w:rsid w:val="4B3E0CFF"/>
    <w:rsid w:val="4B3E78BD"/>
    <w:rsid w:val="4B465F87"/>
    <w:rsid w:val="4B467B0C"/>
    <w:rsid w:val="4B4B11F4"/>
    <w:rsid w:val="4B4D65C4"/>
    <w:rsid w:val="4B4E2A92"/>
    <w:rsid w:val="4B513409"/>
    <w:rsid w:val="4B5D74BC"/>
    <w:rsid w:val="4B5E6171"/>
    <w:rsid w:val="4B606F5E"/>
    <w:rsid w:val="4B64482A"/>
    <w:rsid w:val="4B731BCB"/>
    <w:rsid w:val="4B971D44"/>
    <w:rsid w:val="4B9D4B54"/>
    <w:rsid w:val="4BA933A9"/>
    <w:rsid w:val="4BB005E5"/>
    <w:rsid w:val="4BC14205"/>
    <w:rsid w:val="4BC30D8B"/>
    <w:rsid w:val="4BC71595"/>
    <w:rsid w:val="4BCA3313"/>
    <w:rsid w:val="4BCA5B94"/>
    <w:rsid w:val="4BCF0F60"/>
    <w:rsid w:val="4BD55CAF"/>
    <w:rsid w:val="4BDD3D37"/>
    <w:rsid w:val="4BE31C32"/>
    <w:rsid w:val="4BE53D29"/>
    <w:rsid w:val="4BE92944"/>
    <w:rsid w:val="4BEC097A"/>
    <w:rsid w:val="4BF12274"/>
    <w:rsid w:val="4BF16527"/>
    <w:rsid w:val="4BF2645D"/>
    <w:rsid w:val="4BF42778"/>
    <w:rsid w:val="4BF70F3B"/>
    <w:rsid w:val="4BFA4043"/>
    <w:rsid w:val="4BFC21A0"/>
    <w:rsid w:val="4C000D68"/>
    <w:rsid w:val="4C175A39"/>
    <w:rsid w:val="4C181A19"/>
    <w:rsid w:val="4C1B050A"/>
    <w:rsid w:val="4C2A705C"/>
    <w:rsid w:val="4C325F10"/>
    <w:rsid w:val="4C3D1B95"/>
    <w:rsid w:val="4C3E3A1A"/>
    <w:rsid w:val="4C3F75BB"/>
    <w:rsid w:val="4C414068"/>
    <w:rsid w:val="4C451E2B"/>
    <w:rsid w:val="4C5073AD"/>
    <w:rsid w:val="4C5458CF"/>
    <w:rsid w:val="4C567E51"/>
    <w:rsid w:val="4C577725"/>
    <w:rsid w:val="4C5C0AD1"/>
    <w:rsid w:val="4C6D62E0"/>
    <w:rsid w:val="4C6F4999"/>
    <w:rsid w:val="4C71702C"/>
    <w:rsid w:val="4C726924"/>
    <w:rsid w:val="4C742085"/>
    <w:rsid w:val="4C800E98"/>
    <w:rsid w:val="4C8668BD"/>
    <w:rsid w:val="4C8B732C"/>
    <w:rsid w:val="4C9E7102"/>
    <w:rsid w:val="4CA016DE"/>
    <w:rsid w:val="4CA42E23"/>
    <w:rsid w:val="4CA86292"/>
    <w:rsid w:val="4CAF3464"/>
    <w:rsid w:val="4CAF78CF"/>
    <w:rsid w:val="4CB44A00"/>
    <w:rsid w:val="4CB759B7"/>
    <w:rsid w:val="4CBE3E6F"/>
    <w:rsid w:val="4CC528E0"/>
    <w:rsid w:val="4CCE5F12"/>
    <w:rsid w:val="4CD64AED"/>
    <w:rsid w:val="4CDD40CE"/>
    <w:rsid w:val="4CE23492"/>
    <w:rsid w:val="4CF52C74"/>
    <w:rsid w:val="4CF816AB"/>
    <w:rsid w:val="4D065A7E"/>
    <w:rsid w:val="4D113D78"/>
    <w:rsid w:val="4D1502FF"/>
    <w:rsid w:val="4D185106"/>
    <w:rsid w:val="4D1B0FF0"/>
    <w:rsid w:val="4D1B3425"/>
    <w:rsid w:val="4D1B69BB"/>
    <w:rsid w:val="4D1D64E5"/>
    <w:rsid w:val="4D1E1092"/>
    <w:rsid w:val="4D1E65E1"/>
    <w:rsid w:val="4D202170"/>
    <w:rsid w:val="4D2142A4"/>
    <w:rsid w:val="4D2F4D00"/>
    <w:rsid w:val="4D35658A"/>
    <w:rsid w:val="4D375A53"/>
    <w:rsid w:val="4D430574"/>
    <w:rsid w:val="4D461C73"/>
    <w:rsid w:val="4D461D79"/>
    <w:rsid w:val="4D4A29DD"/>
    <w:rsid w:val="4D4C3074"/>
    <w:rsid w:val="4D537EEC"/>
    <w:rsid w:val="4D550108"/>
    <w:rsid w:val="4D610505"/>
    <w:rsid w:val="4D616AAD"/>
    <w:rsid w:val="4D645B34"/>
    <w:rsid w:val="4D672FF8"/>
    <w:rsid w:val="4D676887"/>
    <w:rsid w:val="4D6C2BB2"/>
    <w:rsid w:val="4D6F6BBF"/>
    <w:rsid w:val="4D704560"/>
    <w:rsid w:val="4D7401E9"/>
    <w:rsid w:val="4D7E711A"/>
    <w:rsid w:val="4D817EB3"/>
    <w:rsid w:val="4D831D12"/>
    <w:rsid w:val="4D8C234A"/>
    <w:rsid w:val="4D924EB8"/>
    <w:rsid w:val="4D956757"/>
    <w:rsid w:val="4D96187F"/>
    <w:rsid w:val="4D9D7F74"/>
    <w:rsid w:val="4DA826A1"/>
    <w:rsid w:val="4DB33BF5"/>
    <w:rsid w:val="4DB4444E"/>
    <w:rsid w:val="4DB624FF"/>
    <w:rsid w:val="4DB94C11"/>
    <w:rsid w:val="4DB95A63"/>
    <w:rsid w:val="4DBC3CE3"/>
    <w:rsid w:val="4DC15755"/>
    <w:rsid w:val="4DC16901"/>
    <w:rsid w:val="4DC25072"/>
    <w:rsid w:val="4DD77016"/>
    <w:rsid w:val="4DDF5C24"/>
    <w:rsid w:val="4DE60D60"/>
    <w:rsid w:val="4DE7158E"/>
    <w:rsid w:val="4DEC3277"/>
    <w:rsid w:val="4DF11BD3"/>
    <w:rsid w:val="4DF46A69"/>
    <w:rsid w:val="4DF66BD6"/>
    <w:rsid w:val="4DF732EF"/>
    <w:rsid w:val="4DF73517"/>
    <w:rsid w:val="4DFC0584"/>
    <w:rsid w:val="4E0062C6"/>
    <w:rsid w:val="4E0538DC"/>
    <w:rsid w:val="4E0731B0"/>
    <w:rsid w:val="4E0760F7"/>
    <w:rsid w:val="4E167D53"/>
    <w:rsid w:val="4E185565"/>
    <w:rsid w:val="4E1E6161"/>
    <w:rsid w:val="4E2465E7"/>
    <w:rsid w:val="4E2926E3"/>
    <w:rsid w:val="4E2B1100"/>
    <w:rsid w:val="4E39036A"/>
    <w:rsid w:val="4E4168DE"/>
    <w:rsid w:val="4E50267E"/>
    <w:rsid w:val="4E5B559B"/>
    <w:rsid w:val="4E630CF6"/>
    <w:rsid w:val="4E650B5E"/>
    <w:rsid w:val="4E675B84"/>
    <w:rsid w:val="4E6A6665"/>
    <w:rsid w:val="4E6D384B"/>
    <w:rsid w:val="4E706A6C"/>
    <w:rsid w:val="4E74479E"/>
    <w:rsid w:val="4E757622"/>
    <w:rsid w:val="4E7E4279"/>
    <w:rsid w:val="4E825505"/>
    <w:rsid w:val="4E845B74"/>
    <w:rsid w:val="4E8464E0"/>
    <w:rsid w:val="4E8925E8"/>
    <w:rsid w:val="4E8A3108"/>
    <w:rsid w:val="4E8B1381"/>
    <w:rsid w:val="4E8B4D1A"/>
    <w:rsid w:val="4E8B69A9"/>
    <w:rsid w:val="4E8D4DF6"/>
    <w:rsid w:val="4E8F13F8"/>
    <w:rsid w:val="4E915F21"/>
    <w:rsid w:val="4E920EE8"/>
    <w:rsid w:val="4E93535C"/>
    <w:rsid w:val="4E961C26"/>
    <w:rsid w:val="4EA21878"/>
    <w:rsid w:val="4EA73C74"/>
    <w:rsid w:val="4EA824BA"/>
    <w:rsid w:val="4EA92A2A"/>
    <w:rsid w:val="4EAF1A9A"/>
    <w:rsid w:val="4EB75F73"/>
    <w:rsid w:val="4EBC2297"/>
    <w:rsid w:val="4EC512BE"/>
    <w:rsid w:val="4EC8490A"/>
    <w:rsid w:val="4EC861A0"/>
    <w:rsid w:val="4ECA2975"/>
    <w:rsid w:val="4ECA68D4"/>
    <w:rsid w:val="4ED2210D"/>
    <w:rsid w:val="4ED26505"/>
    <w:rsid w:val="4ED4505D"/>
    <w:rsid w:val="4ED85EF9"/>
    <w:rsid w:val="4EDB288F"/>
    <w:rsid w:val="4EE625AA"/>
    <w:rsid w:val="4EE96811"/>
    <w:rsid w:val="4EEE4230"/>
    <w:rsid w:val="4EF62FCC"/>
    <w:rsid w:val="4EFC5B39"/>
    <w:rsid w:val="4EFE3C1F"/>
    <w:rsid w:val="4F000C96"/>
    <w:rsid w:val="4F152EB2"/>
    <w:rsid w:val="4F1A2A34"/>
    <w:rsid w:val="4F1E793D"/>
    <w:rsid w:val="4F2204BE"/>
    <w:rsid w:val="4F2461CE"/>
    <w:rsid w:val="4F2B01C7"/>
    <w:rsid w:val="4F38383D"/>
    <w:rsid w:val="4F391364"/>
    <w:rsid w:val="4F3E6890"/>
    <w:rsid w:val="4F47433E"/>
    <w:rsid w:val="4F48426B"/>
    <w:rsid w:val="4F4B307B"/>
    <w:rsid w:val="4F503187"/>
    <w:rsid w:val="4F50502B"/>
    <w:rsid w:val="4F520627"/>
    <w:rsid w:val="4F5A7D48"/>
    <w:rsid w:val="4F5D3056"/>
    <w:rsid w:val="4F5D4F8A"/>
    <w:rsid w:val="4F667D08"/>
    <w:rsid w:val="4F6A1436"/>
    <w:rsid w:val="4F7203DF"/>
    <w:rsid w:val="4F740E99"/>
    <w:rsid w:val="4F7D78B9"/>
    <w:rsid w:val="4F7F2F07"/>
    <w:rsid w:val="4F89789E"/>
    <w:rsid w:val="4F990CBF"/>
    <w:rsid w:val="4F9C71F3"/>
    <w:rsid w:val="4F9F29AE"/>
    <w:rsid w:val="4FA233AD"/>
    <w:rsid w:val="4FB40682"/>
    <w:rsid w:val="4FBC5CE4"/>
    <w:rsid w:val="4FCC60AD"/>
    <w:rsid w:val="4FD35314"/>
    <w:rsid w:val="4FDC45BF"/>
    <w:rsid w:val="4FDD6193"/>
    <w:rsid w:val="4FF4773B"/>
    <w:rsid w:val="4FF80E73"/>
    <w:rsid w:val="4FF94412"/>
    <w:rsid w:val="4FFC643B"/>
    <w:rsid w:val="50011E81"/>
    <w:rsid w:val="50047B05"/>
    <w:rsid w:val="501E0C85"/>
    <w:rsid w:val="5023482A"/>
    <w:rsid w:val="50334005"/>
    <w:rsid w:val="50375EB1"/>
    <w:rsid w:val="505217C2"/>
    <w:rsid w:val="505A5581"/>
    <w:rsid w:val="50603987"/>
    <w:rsid w:val="50655FA1"/>
    <w:rsid w:val="50671FCE"/>
    <w:rsid w:val="50680152"/>
    <w:rsid w:val="50680DC8"/>
    <w:rsid w:val="5071224B"/>
    <w:rsid w:val="507A45B4"/>
    <w:rsid w:val="508838FE"/>
    <w:rsid w:val="5094610D"/>
    <w:rsid w:val="50956721"/>
    <w:rsid w:val="509B4084"/>
    <w:rsid w:val="509B6C6A"/>
    <w:rsid w:val="509E5121"/>
    <w:rsid w:val="509E5653"/>
    <w:rsid w:val="50AC73FF"/>
    <w:rsid w:val="50AD54D5"/>
    <w:rsid w:val="50B4212B"/>
    <w:rsid w:val="50B74C36"/>
    <w:rsid w:val="50BC3FFA"/>
    <w:rsid w:val="50BD69D6"/>
    <w:rsid w:val="50CF01D2"/>
    <w:rsid w:val="50D703DB"/>
    <w:rsid w:val="50D711D2"/>
    <w:rsid w:val="50D91050"/>
    <w:rsid w:val="50DC644B"/>
    <w:rsid w:val="50E27F05"/>
    <w:rsid w:val="50E57ADD"/>
    <w:rsid w:val="50E62FA5"/>
    <w:rsid w:val="50E7551B"/>
    <w:rsid w:val="50E86F33"/>
    <w:rsid w:val="50F2637A"/>
    <w:rsid w:val="50FA6ABE"/>
    <w:rsid w:val="50FF6C76"/>
    <w:rsid w:val="5100645F"/>
    <w:rsid w:val="51022355"/>
    <w:rsid w:val="51067575"/>
    <w:rsid w:val="5107594A"/>
    <w:rsid w:val="51083C54"/>
    <w:rsid w:val="51095EAB"/>
    <w:rsid w:val="510D2FDB"/>
    <w:rsid w:val="511E3178"/>
    <w:rsid w:val="51250B19"/>
    <w:rsid w:val="512712A7"/>
    <w:rsid w:val="51272A55"/>
    <w:rsid w:val="512E7DC2"/>
    <w:rsid w:val="512F4625"/>
    <w:rsid w:val="51314A33"/>
    <w:rsid w:val="513655FE"/>
    <w:rsid w:val="5139389D"/>
    <w:rsid w:val="513945B9"/>
    <w:rsid w:val="51410E49"/>
    <w:rsid w:val="515127DF"/>
    <w:rsid w:val="51604106"/>
    <w:rsid w:val="516046D9"/>
    <w:rsid w:val="516067FD"/>
    <w:rsid w:val="51667866"/>
    <w:rsid w:val="516D6652"/>
    <w:rsid w:val="51823EDC"/>
    <w:rsid w:val="518A44BA"/>
    <w:rsid w:val="518B68E8"/>
    <w:rsid w:val="518C07B2"/>
    <w:rsid w:val="519D0C38"/>
    <w:rsid w:val="519D435A"/>
    <w:rsid w:val="519E2180"/>
    <w:rsid w:val="51A819D9"/>
    <w:rsid w:val="51B07B89"/>
    <w:rsid w:val="51B224CD"/>
    <w:rsid w:val="51BC13C6"/>
    <w:rsid w:val="51C17553"/>
    <w:rsid w:val="51C4246C"/>
    <w:rsid w:val="51CB0180"/>
    <w:rsid w:val="51D1795B"/>
    <w:rsid w:val="51D86889"/>
    <w:rsid w:val="51DA6E2E"/>
    <w:rsid w:val="51DE6060"/>
    <w:rsid w:val="51E25CE3"/>
    <w:rsid w:val="51E65C89"/>
    <w:rsid w:val="51E85E2C"/>
    <w:rsid w:val="51E875E9"/>
    <w:rsid w:val="51EA0A4E"/>
    <w:rsid w:val="51EF0380"/>
    <w:rsid w:val="51F36142"/>
    <w:rsid w:val="51F56A19"/>
    <w:rsid w:val="51F83758"/>
    <w:rsid w:val="51FC0451"/>
    <w:rsid w:val="51FD6677"/>
    <w:rsid w:val="51FE7776"/>
    <w:rsid w:val="52034090"/>
    <w:rsid w:val="520E230C"/>
    <w:rsid w:val="5211719F"/>
    <w:rsid w:val="52142CCD"/>
    <w:rsid w:val="521931D3"/>
    <w:rsid w:val="5221680B"/>
    <w:rsid w:val="5224454D"/>
    <w:rsid w:val="52255796"/>
    <w:rsid w:val="522A1809"/>
    <w:rsid w:val="522D1654"/>
    <w:rsid w:val="523A78CD"/>
    <w:rsid w:val="523A7D13"/>
    <w:rsid w:val="523E4EC9"/>
    <w:rsid w:val="52435AC5"/>
    <w:rsid w:val="524F7A30"/>
    <w:rsid w:val="525476A8"/>
    <w:rsid w:val="525564B4"/>
    <w:rsid w:val="52574550"/>
    <w:rsid w:val="526B2F35"/>
    <w:rsid w:val="527139A7"/>
    <w:rsid w:val="527D135D"/>
    <w:rsid w:val="52854FEC"/>
    <w:rsid w:val="528B0128"/>
    <w:rsid w:val="528B357D"/>
    <w:rsid w:val="528D6C79"/>
    <w:rsid w:val="528E5204"/>
    <w:rsid w:val="529A6D53"/>
    <w:rsid w:val="52A3751B"/>
    <w:rsid w:val="52A80AED"/>
    <w:rsid w:val="52AC6887"/>
    <w:rsid w:val="52AD5029"/>
    <w:rsid w:val="52B233B9"/>
    <w:rsid w:val="52BF6524"/>
    <w:rsid w:val="52CD6993"/>
    <w:rsid w:val="52D36BF3"/>
    <w:rsid w:val="52D715BF"/>
    <w:rsid w:val="52D94813"/>
    <w:rsid w:val="52DA0EE4"/>
    <w:rsid w:val="52E77AFD"/>
    <w:rsid w:val="52F2626E"/>
    <w:rsid w:val="530032E2"/>
    <w:rsid w:val="53014012"/>
    <w:rsid w:val="530B50E9"/>
    <w:rsid w:val="530E1E1F"/>
    <w:rsid w:val="5312393A"/>
    <w:rsid w:val="531721E6"/>
    <w:rsid w:val="531F4552"/>
    <w:rsid w:val="53383343"/>
    <w:rsid w:val="533B146B"/>
    <w:rsid w:val="53402961"/>
    <w:rsid w:val="534930F8"/>
    <w:rsid w:val="534E4DA7"/>
    <w:rsid w:val="534F3C1C"/>
    <w:rsid w:val="53515521"/>
    <w:rsid w:val="53527EBD"/>
    <w:rsid w:val="535428E4"/>
    <w:rsid w:val="535F49E4"/>
    <w:rsid w:val="5367070A"/>
    <w:rsid w:val="536C5AA7"/>
    <w:rsid w:val="536C7F5A"/>
    <w:rsid w:val="537D2167"/>
    <w:rsid w:val="538750BF"/>
    <w:rsid w:val="539A4196"/>
    <w:rsid w:val="539E5C8A"/>
    <w:rsid w:val="53A36D4D"/>
    <w:rsid w:val="53A7735B"/>
    <w:rsid w:val="53A9020E"/>
    <w:rsid w:val="53B61D2A"/>
    <w:rsid w:val="53C053A2"/>
    <w:rsid w:val="53C5766A"/>
    <w:rsid w:val="53CA0AF0"/>
    <w:rsid w:val="53CB7CF5"/>
    <w:rsid w:val="53CF4C88"/>
    <w:rsid w:val="53D304DF"/>
    <w:rsid w:val="53DA016E"/>
    <w:rsid w:val="53DA1C85"/>
    <w:rsid w:val="53E03F17"/>
    <w:rsid w:val="53E83831"/>
    <w:rsid w:val="53EB3E3E"/>
    <w:rsid w:val="53F07DF8"/>
    <w:rsid w:val="53FA5565"/>
    <w:rsid w:val="53FD49E6"/>
    <w:rsid w:val="54034C01"/>
    <w:rsid w:val="54102FDB"/>
    <w:rsid w:val="541545DC"/>
    <w:rsid w:val="541756B5"/>
    <w:rsid w:val="54281C5E"/>
    <w:rsid w:val="542B15FB"/>
    <w:rsid w:val="542E1EFB"/>
    <w:rsid w:val="543077D3"/>
    <w:rsid w:val="543547C4"/>
    <w:rsid w:val="543B3BAF"/>
    <w:rsid w:val="544B20F0"/>
    <w:rsid w:val="544B54BC"/>
    <w:rsid w:val="544B7B6F"/>
    <w:rsid w:val="544C4600"/>
    <w:rsid w:val="544E0B6C"/>
    <w:rsid w:val="54542412"/>
    <w:rsid w:val="545538D5"/>
    <w:rsid w:val="545D4BDC"/>
    <w:rsid w:val="5462264C"/>
    <w:rsid w:val="546649A9"/>
    <w:rsid w:val="546D736F"/>
    <w:rsid w:val="54751090"/>
    <w:rsid w:val="547816AB"/>
    <w:rsid w:val="547E1918"/>
    <w:rsid w:val="54882B71"/>
    <w:rsid w:val="548C08B9"/>
    <w:rsid w:val="548E1FD8"/>
    <w:rsid w:val="54933B28"/>
    <w:rsid w:val="549C2DDC"/>
    <w:rsid w:val="54A42072"/>
    <w:rsid w:val="54AD3EBB"/>
    <w:rsid w:val="54C347EF"/>
    <w:rsid w:val="54C9065F"/>
    <w:rsid w:val="54CF4656"/>
    <w:rsid w:val="54D44008"/>
    <w:rsid w:val="54D60FA5"/>
    <w:rsid w:val="54DD48DF"/>
    <w:rsid w:val="54DE2693"/>
    <w:rsid w:val="54E9645B"/>
    <w:rsid w:val="54EE18D6"/>
    <w:rsid w:val="54F00DE5"/>
    <w:rsid w:val="54F10241"/>
    <w:rsid w:val="54F63AC9"/>
    <w:rsid w:val="54FC2468"/>
    <w:rsid w:val="54FE1085"/>
    <w:rsid w:val="54FE6791"/>
    <w:rsid w:val="550146D2"/>
    <w:rsid w:val="5502148F"/>
    <w:rsid w:val="550A603F"/>
    <w:rsid w:val="550F13D6"/>
    <w:rsid w:val="5510776D"/>
    <w:rsid w:val="55110DB9"/>
    <w:rsid w:val="55150E4E"/>
    <w:rsid w:val="552378D0"/>
    <w:rsid w:val="552515F1"/>
    <w:rsid w:val="552E3108"/>
    <w:rsid w:val="552E6354"/>
    <w:rsid w:val="55335654"/>
    <w:rsid w:val="55340FB6"/>
    <w:rsid w:val="55441B16"/>
    <w:rsid w:val="554C0170"/>
    <w:rsid w:val="554D45C7"/>
    <w:rsid w:val="55531E7F"/>
    <w:rsid w:val="5557747D"/>
    <w:rsid w:val="55595C49"/>
    <w:rsid w:val="55760E2C"/>
    <w:rsid w:val="55782BE6"/>
    <w:rsid w:val="55796659"/>
    <w:rsid w:val="55806835"/>
    <w:rsid w:val="558D24B0"/>
    <w:rsid w:val="558E0D09"/>
    <w:rsid w:val="55902F48"/>
    <w:rsid w:val="55916366"/>
    <w:rsid w:val="5598659E"/>
    <w:rsid w:val="55A002AE"/>
    <w:rsid w:val="55A27C63"/>
    <w:rsid w:val="55A404DD"/>
    <w:rsid w:val="55A45922"/>
    <w:rsid w:val="55AE7FBD"/>
    <w:rsid w:val="55B31E70"/>
    <w:rsid w:val="55B4531F"/>
    <w:rsid w:val="55C0458D"/>
    <w:rsid w:val="55C87385"/>
    <w:rsid w:val="55CF7462"/>
    <w:rsid w:val="55D269C0"/>
    <w:rsid w:val="55D85AF1"/>
    <w:rsid w:val="55DA38A0"/>
    <w:rsid w:val="55E069DD"/>
    <w:rsid w:val="55E4092F"/>
    <w:rsid w:val="55E518E7"/>
    <w:rsid w:val="55E77D6B"/>
    <w:rsid w:val="55E8145A"/>
    <w:rsid w:val="55E929CB"/>
    <w:rsid w:val="55EC4D29"/>
    <w:rsid w:val="55EE1361"/>
    <w:rsid w:val="55EF09CE"/>
    <w:rsid w:val="55F00D7B"/>
    <w:rsid w:val="55F23CCA"/>
    <w:rsid w:val="55FA33D8"/>
    <w:rsid w:val="55FC0DF6"/>
    <w:rsid w:val="56052287"/>
    <w:rsid w:val="561346BC"/>
    <w:rsid w:val="561E03D4"/>
    <w:rsid w:val="561F12B3"/>
    <w:rsid w:val="56277469"/>
    <w:rsid w:val="563065E8"/>
    <w:rsid w:val="563217DD"/>
    <w:rsid w:val="563D798B"/>
    <w:rsid w:val="56420EF4"/>
    <w:rsid w:val="5644062D"/>
    <w:rsid w:val="56457D9C"/>
    <w:rsid w:val="564B7F01"/>
    <w:rsid w:val="564E7DEA"/>
    <w:rsid w:val="564F6CB5"/>
    <w:rsid w:val="56510AF3"/>
    <w:rsid w:val="56584C38"/>
    <w:rsid w:val="565F5B54"/>
    <w:rsid w:val="566269F7"/>
    <w:rsid w:val="566433BA"/>
    <w:rsid w:val="567044B2"/>
    <w:rsid w:val="56712AD0"/>
    <w:rsid w:val="567535C9"/>
    <w:rsid w:val="567C732D"/>
    <w:rsid w:val="56837664"/>
    <w:rsid w:val="568434E8"/>
    <w:rsid w:val="5686007C"/>
    <w:rsid w:val="56975FE5"/>
    <w:rsid w:val="569F4CD2"/>
    <w:rsid w:val="56A75BC7"/>
    <w:rsid w:val="56AC53E1"/>
    <w:rsid w:val="56AD2D63"/>
    <w:rsid w:val="56B36C62"/>
    <w:rsid w:val="56BC4B99"/>
    <w:rsid w:val="56BE50CA"/>
    <w:rsid w:val="56C04D04"/>
    <w:rsid w:val="56CA39F2"/>
    <w:rsid w:val="56D16CAD"/>
    <w:rsid w:val="56D53B0B"/>
    <w:rsid w:val="56DB4803"/>
    <w:rsid w:val="56E8075B"/>
    <w:rsid w:val="56E81509"/>
    <w:rsid w:val="56EE5C65"/>
    <w:rsid w:val="56F0144F"/>
    <w:rsid w:val="56F44031"/>
    <w:rsid w:val="56F606CD"/>
    <w:rsid w:val="56FD24EA"/>
    <w:rsid w:val="57087F99"/>
    <w:rsid w:val="570B439D"/>
    <w:rsid w:val="57136291"/>
    <w:rsid w:val="571701DC"/>
    <w:rsid w:val="57174680"/>
    <w:rsid w:val="571A1A7B"/>
    <w:rsid w:val="571B355F"/>
    <w:rsid w:val="57297063"/>
    <w:rsid w:val="572A28EC"/>
    <w:rsid w:val="572B0100"/>
    <w:rsid w:val="57342EA8"/>
    <w:rsid w:val="573508B6"/>
    <w:rsid w:val="57605603"/>
    <w:rsid w:val="576154CF"/>
    <w:rsid w:val="57616621"/>
    <w:rsid w:val="5762249C"/>
    <w:rsid w:val="57674BD9"/>
    <w:rsid w:val="576F5374"/>
    <w:rsid w:val="57727B09"/>
    <w:rsid w:val="577B29BB"/>
    <w:rsid w:val="577E025B"/>
    <w:rsid w:val="578314AB"/>
    <w:rsid w:val="57847830"/>
    <w:rsid w:val="57866778"/>
    <w:rsid w:val="578A30A4"/>
    <w:rsid w:val="57991E3E"/>
    <w:rsid w:val="579D2A41"/>
    <w:rsid w:val="579F1C28"/>
    <w:rsid w:val="57A02DC1"/>
    <w:rsid w:val="57A07DA6"/>
    <w:rsid w:val="57A94899"/>
    <w:rsid w:val="57AD0F9D"/>
    <w:rsid w:val="57B1602F"/>
    <w:rsid w:val="57B60085"/>
    <w:rsid w:val="57BF5A8F"/>
    <w:rsid w:val="57C302BF"/>
    <w:rsid w:val="57C40364"/>
    <w:rsid w:val="57C969E7"/>
    <w:rsid w:val="57CC78B3"/>
    <w:rsid w:val="57D6726A"/>
    <w:rsid w:val="57DB3900"/>
    <w:rsid w:val="57E41B46"/>
    <w:rsid w:val="57E7304D"/>
    <w:rsid w:val="57E904A3"/>
    <w:rsid w:val="57EF3E8F"/>
    <w:rsid w:val="57F573FC"/>
    <w:rsid w:val="57FA778D"/>
    <w:rsid w:val="57FB424F"/>
    <w:rsid w:val="57FD2C8F"/>
    <w:rsid w:val="58015B72"/>
    <w:rsid w:val="580A0B85"/>
    <w:rsid w:val="580A1AEF"/>
    <w:rsid w:val="580B547F"/>
    <w:rsid w:val="580E738D"/>
    <w:rsid w:val="58157F8E"/>
    <w:rsid w:val="581A61D6"/>
    <w:rsid w:val="58200B5F"/>
    <w:rsid w:val="58290B83"/>
    <w:rsid w:val="583435AC"/>
    <w:rsid w:val="583A43F1"/>
    <w:rsid w:val="584032AF"/>
    <w:rsid w:val="58496BFD"/>
    <w:rsid w:val="584B7AF9"/>
    <w:rsid w:val="585211EB"/>
    <w:rsid w:val="5853793A"/>
    <w:rsid w:val="58550FBC"/>
    <w:rsid w:val="58574001"/>
    <w:rsid w:val="58587E8F"/>
    <w:rsid w:val="585A69C8"/>
    <w:rsid w:val="585E1A6A"/>
    <w:rsid w:val="585F31E7"/>
    <w:rsid w:val="587371ED"/>
    <w:rsid w:val="58755E34"/>
    <w:rsid w:val="58787741"/>
    <w:rsid w:val="58843A8B"/>
    <w:rsid w:val="58851FBD"/>
    <w:rsid w:val="58901D1E"/>
    <w:rsid w:val="58935F89"/>
    <w:rsid w:val="5898359F"/>
    <w:rsid w:val="589C308F"/>
    <w:rsid w:val="589C5B6C"/>
    <w:rsid w:val="589E568F"/>
    <w:rsid w:val="58A265CB"/>
    <w:rsid w:val="58A51756"/>
    <w:rsid w:val="58AA3C7E"/>
    <w:rsid w:val="58AB6D7D"/>
    <w:rsid w:val="58AD704A"/>
    <w:rsid w:val="58B30779"/>
    <w:rsid w:val="58B76B96"/>
    <w:rsid w:val="58BE78AD"/>
    <w:rsid w:val="58BF176F"/>
    <w:rsid w:val="58C61226"/>
    <w:rsid w:val="58CA424B"/>
    <w:rsid w:val="58CD33E0"/>
    <w:rsid w:val="58CE3E4D"/>
    <w:rsid w:val="58D11C1D"/>
    <w:rsid w:val="58D70B0B"/>
    <w:rsid w:val="58D740C7"/>
    <w:rsid w:val="58DD58D4"/>
    <w:rsid w:val="58DF1151"/>
    <w:rsid w:val="58E762C5"/>
    <w:rsid w:val="58E92C90"/>
    <w:rsid w:val="58EA3853"/>
    <w:rsid w:val="58ED67AC"/>
    <w:rsid w:val="58EF7B54"/>
    <w:rsid w:val="58F22CAF"/>
    <w:rsid w:val="58FC58DC"/>
    <w:rsid w:val="590878EA"/>
    <w:rsid w:val="590D5910"/>
    <w:rsid w:val="591838E5"/>
    <w:rsid w:val="59192AB6"/>
    <w:rsid w:val="591B6AAF"/>
    <w:rsid w:val="591E04D5"/>
    <w:rsid w:val="59200491"/>
    <w:rsid w:val="59284923"/>
    <w:rsid w:val="59293DE8"/>
    <w:rsid w:val="592D3CE7"/>
    <w:rsid w:val="59336B14"/>
    <w:rsid w:val="5936513F"/>
    <w:rsid w:val="593903F9"/>
    <w:rsid w:val="593B7EC6"/>
    <w:rsid w:val="59481BCB"/>
    <w:rsid w:val="594F0101"/>
    <w:rsid w:val="5957095C"/>
    <w:rsid w:val="59637709"/>
    <w:rsid w:val="59643C3F"/>
    <w:rsid w:val="59682F71"/>
    <w:rsid w:val="596943C9"/>
    <w:rsid w:val="59741DBE"/>
    <w:rsid w:val="59771943"/>
    <w:rsid w:val="59782A15"/>
    <w:rsid w:val="59787847"/>
    <w:rsid w:val="597D61EC"/>
    <w:rsid w:val="59816777"/>
    <w:rsid w:val="59837DAB"/>
    <w:rsid w:val="598D0B39"/>
    <w:rsid w:val="598E62F3"/>
    <w:rsid w:val="599156C8"/>
    <w:rsid w:val="59963FE9"/>
    <w:rsid w:val="59AB23A4"/>
    <w:rsid w:val="59AC1AD2"/>
    <w:rsid w:val="59AC3B35"/>
    <w:rsid w:val="59CB299F"/>
    <w:rsid w:val="59D06EAF"/>
    <w:rsid w:val="59DB7106"/>
    <w:rsid w:val="59DC405B"/>
    <w:rsid w:val="59DE3233"/>
    <w:rsid w:val="59E52693"/>
    <w:rsid w:val="59E7033A"/>
    <w:rsid w:val="59EA1176"/>
    <w:rsid w:val="59F111B9"/>
    <w:rsid w:val="59F1257B"/>
    <w:rsid w:val="59F544B9"/>
    <w:rsid w:val="59F54CAA"/>
    <w:rsid w:val="59F56D42"/>
    <w:rsid w:val="59FA69E1"/>
    <w:rsid w:val="59FD7877"/>
    <w:rsid w:val="59FE3FD6"/>
    <w:rsid w:val="5A035448"/>
    <w:rsid w:val="5A072081"/>
    <w:rsid w:val="5A076E88"/>
    <w:rsid w:val="5A084A8E"/>
    <w:rsid w:val="5A094754"/>
    <w:rsid w:val="5A096502"/>
    <w:rsid w:val="5A0B53EC"/>
    <w:rsid w:val="5A1153B7"/>
    <w:rsid w:val="5A1239A0"/>
    <w:rsid w:val="5A132EDD"/>
    <w:rsid w:val="5A1B2D10"/>
    <w:rsid w:val="5A21565B"/>
    <w:rsid w:val="5A273F71"/>
    <w:rsid w:val="5A292701"/>
    <w:rsid w:val="5A2C2269"/>
    <w:rsid w:val="5A374DF5"/>
    <w:rsid w:val="5A384C84"/>
    <w:rsid w:val="5A386655"/>
    <w:rsid w:val="5A3E4842"/>
    <w:rsid w:val="5A41595A"/>
    <w:rsid w:val="5A513A05"/>
    <w:rsid w:val="5A55213A"/>
    <w:rsid w:val="5A566D26"/>
    <w:rsid w:val="5A5A3A4C"/>
    <w:rsid w:val="5A5C071A"/>
    <w:rsid w:val="5A5E307C"/>
    <w:rsid w:val="5A632078"/>
    <w:rsid w:val="5A660228"/>
    <w:rsid w:val="5A674620"/>
    <w:rsid w:val="5A691766"/>
    <w:rsid w:val="5A695585"/>
    <w:rsid w:val="5A6B2D19"/>
    <w:rsid w:val="5A7E29FE"/>
    <w:rsid w:val="5A801C12"/>
    <w:rsid w:val="5A8109F8"/>
    <w:rsid w:val="5A835ABA"/>
    <w:rsid w:val="5A8737CF"/>
    <w:rsid w:val="5A8C2C8F"/>
    <w:rsid w:val="5A955A85"/>
    <w:rsid w:val="5A9961B0"/>
    <w:rsid w:val="5A9B2ED2"/>
    <w:rsid w:val="5AA53383"/>
    <w:rsid w:val="5AAA00F6"/>
    <w:rsid w:val="5AAC3332"/>
    <w:rsid w:val="5AB47CA0"/>
    <w:rsid w:val="5ABD72ED"/>
    <w:rsid w:val="5AC265C2"/>
    <w:rsid w:val="5AC727BF"/>
    <w:rsid w:val="5AC84009"/>
    <w:rsid w:val="5ACD5782"/>
    <w:rsid w:val="5ACE5905"/>
    <w:rsid w:val="5AD06691"/>
    <w:rsid w:val="5AD76600"/>
    <w:rsid w:val="5AE3548C"/>
    <w:rsid w:val="5AEC6AED"/>
    <w:rsid w:val="5AEE09FA"/>
    <w:rsid w:val="5AEF6D80"/>
    <w:rsid w:val="5AF1182C"/>
    <w:rsid w:val="5AF775B9"/>
    <w:rsid w:val="5B01367D"/>
    <w:rsid w:val="5B044F1C"/>
    <w:rsid w:val="5B05764C"/>
    <w:rsid w:val="5B0B44FC"/>
    <w:rsid w:val="5B106497"/>
    <w:rsid w:val="5B14424F"/>
    <w:rsid w:val="5B184523"/>
    <w:rsid w:val="5B2E51E5"/>
    <w:rsid w:val="5B3834A8"/>
    <w:rsid w:val="5B473936"/>
    <w:rsid w:val="5B49528D"/>
    <w:rsid w:val="5B545559"/>
    <w:rsid w:val="5B557624"/>
    <w:rsid w:val="5B55795F"/>
    <w:rsid w:val="5B617683"/>
    <w:rsid w:val="5B6374F5"/>
    <w:rsid w:val="5B6634E0"/>
    <w:rsid w:val="5B6F05E7"/>
    <w:rsid w:val="5B7544A0"/>
    <w:rsid w:val="5B75629D"/>
    <w:rsid w:val="5B7744C6"/>
    <w:rsid w:val="5B7753BF"/>
    <w:rsid w:val="5B863B2D"/>
    <w:rsid w:val="5B8C0439"/>
    <w:rsid w:val="5BA51DAD"/>
    <w:rsid w:val="5BA810DA"/>
    <w:rsid w:val="5BA81D4B"/>
    <w:rsid w:val="5BAD7361"/>
    <w:rsid w:val="5BB10BFF"/>
    <w:rsid w:val="5BB27CCF"/>
    <w:rsid w:val="5BB64468"/>
    <w:rsid w:val="5BB70EB2"/>
    <w:rsid w:val="5BCA09A0"/>
    <w:rsid w:val="5BCE7A03"/>
    <w:rsid w:val="5BD3335C"/>
    <w:rsid w:val="5BD54697"/>
    <w:rsid w:val="5BDB4B53"/>
    <w:rsid w:val="5BDE65A8"/>
    <w:rsid w:val="5BE25A01"/>
    <w:rsid w:val="5BE33F7B"/>
    <w:rsid w:val="5BE41E1F"/>
    <w:rsid w:val="5BE56C36"/>
    <w:rsid w:val="5BE73919"/>
    <w:rsid w:val="5BEA7D31"/>
    <w:rsid w:val="5BEE77DA"/>
    <w:rsid w:val="5BF239D8"/>
    <w:rsid w:val="5BF410B4"/>
    <w:rsid w:val="5BF508BF"/>
    <w:rsid w:val="5BFA40B2"/>
    <w:rsid w:val="5BFA471C"/>
    <w:rsid w:val="5BFE7F58"/>
    <w:rsid w:val="5C0570AD"/>
    <w:rsid w:val="5C067794"/>
    <w:rsid w:val="5C096813"/>
    <w:rsid w:val="5C115E1B"/>
    <w:rsid w:val="5C150DF4"/>
    <w:rsid w:val="5C1F17DE"/>
    <w:rsid w:val="5C25339C"/>
    <w:rsid w:val="5C267094"/>
    <w:rsid w:val="5C2B2B1E"/>
    <w:rsid w:val="5C2E6CC3"/>
    <w:rsid w:val="5C303470"/>
    <w:rsid w:val="5C340FBD"/>
    <w:rsid w:val="5C3655A9"/>
    <w:rsid w:val="5C3905AA"/>
    <w:rsid w:val="5C3F1209"/>
    <w:rsid w:val="5C44400A"/>
    <w:rsid w:val="5C4C6B7A"/>
    <w:rsid w:val="5C4F0FD0"/>
    <w:rsid w:val="5C4F5BB3"/>
    <w:rsid w:val="5C535D07"/>
    <w:rsid w:val="5C5C0B8E"/>
    <w:rsid w:val="5C5F68AD"/>
    <w:rsid w:val="5C626A49"/>
    <w:rsid w:val="5C6471E2"/>
    <w:rsid w:val="5C6A5252"/>
    <w:rsid w:val="5C766BFA"/>
    <w:rsid w:val="5C7E15F3"/>
    <w:rsid w:val="5C8051F8"/>
    <w:rsid w:val="5C8360D5"/>
    <w:rsid w:val="5C841533"/>
    <w:rsid w:val="5C8E0B87"/>
    <w:rsid w:val="5C9B0BAE"/>
    <w:rsid w:val="5CA40764"/>
    <w:rsid w:val="5CB52971"/>
    <w:rsid w:val="5CCB3229"/>
    <w:rsid w:val="5CD03668"/>
    <w:rsid w:val="5CDD5B63"/>
    <w:rsid w:val="5CDF2882"/>
    <w:rsid w:val="5CE06AFC"/>
    <w:rsid w:val="5CE2303B"/>
    <w:rsid w:val="5CE27143"/>
    <w:rsid w:val="5CE47A01"/>
    <w:rsid w:val="5CEE0F6B"/>
    <w:rsid w:val="5CF05732"/>
    <w:rsid w:val="5CFD4751"/>
    <w:rsid w:val="5D1551BE"/>
    <w:rsid w:val="5D1A144F"/>
    <w:rsid w:val="5D1A2BC8"/>
    <w:rsid w:val="5D1C654D"/>
    <w:rsid w:val="5D1C7C30"/>
    <w:rsid w:val="5D221689"/>
    <w:rsid w:val="5D2221CE"/>
    <w:rsid w:val="5D22337D"/>
    <w:rsid w:val="5D234AE7"/>
    <w:rsid w:val="5D296EBB"/>
    <w:rsid w:val="5D377B75"/>
    <w:rsid w:val="5D377D4B"/>
    <w:rsid w:val="5D384189"/>
    <w:rsid w:val="5D386386"/>
    <w:rsid w:val="5D3A3FCF"/>
    <w:rsid w:val="5D3A4C25"/>
    <w:rsid w:val="5D3B78D2"/>
    <w:rsid w:val="5D4B70E6"/>
    <w:rsid w:val="5D551C9C"/>
    <w:rsid w:val="5D5850AB"/>
    <w:rsid w:val="5D595519"/>
    <w:rsid w:val="5D5E7147"/>
    <w:rsid w:val="5D615C48"/>
    <w:rsid w:val="5D673AA1"/>
    <w:rsid w:val="5D692A85"/>
    <w:rsid w:val="5D715409"/>
    <w:rsid w:val="5D720862"/>
    <w:rsid w:val="5D7E0FB5"/>
    <w:rsid w:val="5D861C18"/>
    <w:rsid w:val="5D866025"/>
    <w:rsid w:val="5D8A04B2"/>
    <w:rsid w:val="5D8F4A9F"/>
    <w:rsid w:val="5D92680F"/>
    <w:rsid w:val="5D932379"/>
    <w:rsid w:val="5DA06E3F"/>
    <w:rsid w:val="5DA16A52"/>
    <w:rsid w:val="5DB22A0D"/>
    <w:rsid w:val="5DB32916"/>
    <w:rsid w:val="5DBB7CC1"/>
    <w:rsid w:val="5DBF157E"/>
    <w:rsid w:val="5DC66B5D"/>
    <w:rsid w:val="5DCC1800"/>
    <w:rsid w:val="5DCD614F"/>
    <w:rsid w:val="5DD52FCB"/>
    <w:rsid w:val="5DEF73F1"/>
    <w:rsid w:val="5DF015B3"/>
    <w:rsid w:val="5DF633AB"/>
    <w:rsid w:val="5DF96A14"/>
    <w:rsid w:val="5E163C0E"/>
    <w:rsid w:val="5E205106"/>
    <w:rsid w:val="5E27164D"/>
    <w:rsid w:val="5E28465F"/>
    <w:rsid w:val="5E295294"/>
    <w:rsid w:val="5E2F1EA6"/>
    <w:rsid w:val="5E314744"/>
    <w:rsid w:val="5E377029"/>
    <w:rsid w:val="5E3A0F42"/>
    <w:rsid w:val="5E43120E"/>
    <w:rsid w:val="5E495F9F"/>
    <w:rsid w:val="5E565A8E"/>
    <w:rsid w:val="5E5E5062"/>
    <w:rsid w:val="5E5F7024"/>
    <w:rsid w:val="5E60690D"/>
    <w:rsid w:val="5E6D27E0"/>
    <w:rsid w:val="5E755A81"/>
    <w:rsid w:val="5E7645E6"/>
    <w:rsid w:val="5E7A03A4"/>
    <w:rsid w:val="5E7F2994"/>
    <w:rsid w:val="5E8A5847"/>
    <w:rsid w:val="5E8D07FD"/>
    <w:rsid w:val="5E8E12CD"/>
    <w:rsid w:val="5E8F1051"/>
    <w:rsid w:val="5E8F5A7A"/>
    <w:rsid w:val="5EA57758"/>
    <w:rsid w:val="5EAA068E"/>
    <w:rsid w:val="5EAE58CA"/>
    <w:rsid w:val="5EBA601D"/>
    <w:rsid w:val="5EBE3F39"/>
    <w:rsid w:val="5EBF1B6C"/>
    <w:rsid w:val="5EC14527"/>
    <w:rsid w:val="5EC25390"/>
    <w:rsid w:val="5EC6021C"/>
    <w:rsid w:val="5EC81F54"/>
    <w:rsid w:val="5ECB7643"/>
    <w:rsid w:val="5ECE154D"/>
    <w:rsid w:val="5ED05F6D"/>
    <w:rsid w:val="5ED11B84"/>
    <w:rsid w:val="5EDE5C0E"/>
    <w:rsid w:val="5EDF297E"/>
    <w:rsid w:val="5EE17A4E"/>
    <w:rsid w:val="5EE21EE5"/>
    <w:rsid w:val="5EFA0B0F"/>
    <w:rsid w:val="5F057197"/>
    <w:rsid w:val="5F066BC4"/>
    <w:rsid w:val="5F077531"/>
    <w:rsid w:val="5F090D52"/>
    <w:rsid w:val="5F144451"/>
    <w:rsid w:val="5F152559"/>
    <w:rsid w:val="5F155949"/>
    <w:rsid w:val="5F1871E8"/>
    <w:rsid w:val="5F1C10F7"/>
    <w:rsid w:val="5F1E55A8"/>
    <w:rsid w:val="5F202248"/>
    <w:rsid w:val="5F2756D3"/>
    <w:rsid w:val="5F275DCA"/>
    <w:rsid w:val="5F296611"/>
    <w:rsid w:val="5F344CC8"/>
    <w:rsid w:val="5F3719C6"/>
    <w:rsid w:val="5F381638"/>
    <w:rsid w:val="5F3C2ED6"/>
    <w:rsid w:val="5F441D8B"/>
    <w:rsid w:val="5F463D55"/>
    <w:rsid w:val="5F4D0C4D"/>
    <w:rsid w:val="5F566355"/>
    <w:rsid w:val="5F5B1962"/>
    <w:rsid w:val="5F5D2E4C"/>
    <w:rsid w:val="5F6146EB"/>
    <w:rsid w:val="5F674F34"/>
    <w:rsid w:val="5F691A39"/>
    <w:rsid w:val="5F6F5B6F"/>
    <w:rsid w:val="5F70590A"/>
    <w:rsid w:val="5F804181"/>
    <w:rsid w:val="5F8214AD"/>
    <w:rsid w:val="5F864F8E"/>
    <w:rsid w:val="5F946FEC"/>
    <w:rsid w:val="5F985E94"/>
    <w:rsid w:val="5F9E3D91"/>
    <w:rsid w:val="5FA32F55"/>
    <w:rsid w:val="5FA34D03"/>
    <w:rsid w:val="5FA44D19"/>
    <w:rsid w:val="5FA665A1"/>
    <w:rsid w:val="5FAA733F"/>
    <w:rsid w:val="5FB119E0"/>
    <w:rsid w:val="5FBE5674"/>
    <w:rsid w:val="5FC40223"/>
    <w:rsid w:val="5FC44C79"/>
    <w:rsid w:val="5FCC4FA6"/>
    <w:rsid w:val="5FD574B5"/>
    <w:rsid w:val="5FE5531C"/>
    <w:rsid w:val="5FE57C45"/>
    <w:rsid w:val="5FE75E8B"/>
    <w:rsid w:val="5FEA303A"/>
    <w:rsid w:val="5FEE1B4D"/>
    <w:rsid w:val="5FEF7F48"/>
    <w:rsid w:val="5FF1509F"/>
    <w:rsid w:val="5FF16961"/>
    <w:rsid w:val="600047A2"/>
    <w:rsid w:val="60060F4D"/>
    <w:rsid w:val="60070A1E"/>
    <w:rsid w:val="600913B1"/>
    <w:rsid w:val="60121E89"/>
    <w:rsid w:val="601479AF"/>
    <w:rsid w:val="60167C95"/>
    <w:rsid w:val="601A2D26"/>
    <w:rsid w:val="601B27AC"/>
    <w:rsid w:val="602D0CC8"/>
    <w:rsid w:val="603708D2"/>
    <w:rsid w:val="603855FF"/>
    <w:rsid w:val="60387D72"/>
    <w:rsid w:val="60442E36"/>
    <w:rsid w:val="604A33CD"/>
    <w:rsid w:val="60524D53"/>
    <w:rsid w:val="60573640"/>
    <w:rsid w:val="605A4C3F"/>
    <w:rsid w:val="60642EAC"/>
    <w:rsid w:val="60651FB9"/>
    <w:rsid w:val="60657BC8"/>
    <w:rsid w:val="606759C6"/>
    <w:rsid w:val="60687CFB"/>
    <w:rsid w:val="6073690A"/>
    <w:rsid w:val="60774BA8"/>
    <w:rsid w:val="60782092"/>
    <w:rsid w:val="60841C13"/>
    <w:rsid w:val="60841DB5"/>
    <w:rsid w:val="608708DF"/>
    <w:rsid w:val="608B1DE7"/>
    <w:rsid w:val="608D4606"/>
    <w:rsid w:val="608E7FA7"/>
    <w:rsid w:val="60931CCD"/>
    <w:rsid w:val="60A413C1"/>
    <w:rsid w:val="60A56859"/>
    <w:rsid w:val="60AC2B99"/>
    <w:rsid w:val="60AD7691"/>
    <w:rsid w:val="60AE3960"/>
    <w:rsid w:val="60B37D83"/>
    <w:rsid w:val="60B80840"/>
    <w:rsid w:val="60B82A30"/>
    <w:rsid w:val="60B97D8F"/>
    <w:rsid w:val="60BA74D5"/>
    <w:rsid w:val="60BB704D"/>
    <w:rsid w:val="60C43D89"/>
    <w:rsid w:val="60D26FCE"/>
    <w:rsid w:val="60D401C4"/>
    <w:rsid w:val="60D42443"/>
    <w:rsid w:val="60D83B7E"/>
    <w:rsid w:val="60D93583"/>
    <w:rsid w:val="60DD3402"/>
    <w:rsid w:val="60E17CE5"/>
    <w:rsid w:val="60E4307E"/>
    <w:rsid w:val="60EB456C"/>
    <w:rsid w:val="60F14772"/>
    <w:rsid w:val="60F17CF0"/>
    <w:rsid w:val="610D044D"/>
    <w:rsid w:val="6112736C"/>
    <w:rsid w:val="61135EB8"/>
    <w:rsid w:val="611C0848"/>
    <w:rsid w:val="6125415F"/>
    <w:rsid w:val="61281748"/>
    <w:rsid w:val="612E4BB9"/>
    <w:rsid w:val="61312E8E"/>
    <w:rsid w:val="61315769"/>
    <w:rsid w:val="613563A4"/>
    <w:rsid w:val="613F0A5C"/>
    <w:rsid w:val="6144030D"/>
    <w:rsid w:val="614B5DEE"/>
    <w:rsid w:val="614E54E0"/>
    <w:rsid w:val="614F17A2"/>
    <w:rsid w:val="615620C5"/>
    <w:rsid w:val="615662B7"/>
    <w:rsid w:val="615A5895"/>
    <w:rsid w:val="615A7643"/>
    <w:rsid w:val="61616847"/>
    <w:rsid w:val="616A0CC2"/>
    <w:rsid w:val="616E3B53"/>
    <w:rsid w:val="616F4612"/>
    <w:rsid w:val="61715A68"/>
    <w:rsid w:val="6177152F"/>
    <w:rsid w:val="61795CC2"/>
    <w:rsid w:val="61811074"/>
    <w:rsid w:val="61822C96"/>
    <w:rsid w:val="618727EF"/>
    <w:rsid w:val="618809E6"/>
    <w:rsid w:val="618C03C5"/>
    <w:rsid w:val="61930785"/>
    <w:rsid w:val="61AE2142"/>
    <w:rsid w:val="61BB38E3"/>
    <w:rsid w:val="61BC505E"/>
    <w:rsid w:val="61C176C2"/>
    <w:rsid w:val="61C35411"/>
    <w:rsid w:val="61C42703"/>
    <w:rsid w:val="61C523AC"/>
    <w:rsid w:val="61CE1DDF"/>
    <w:rsid w:val="61D1186B"/>
    <w:rsid w:val="61DA0784"/>
    <w:rsid w:val="61DD3019"/>
    <w:rsid w:val="61DF53BE"/>
    <w:rsid w:val="61E14399"/>
    <w:rsid w:val="61E5088D"/>
    <w:rsid w:val="61E57855"/>
    <w:rsid w:val="61E8366B"/>
    <w:rsid w:val="61EB4167"/>
    <w:rsid w:val="61F21280"/>
    <w:rsid w:val="61F23B73"/>
    <w:rsid w:val="61F27D94"/>
    <w:rsid w:val="61F73B59"/>
    <w:rsid w:val="61FA2BD4"/>
    <w:rsid w:val="61FF4650"/>
    <w:rsid w:val="620A2D1D"/>
    <w:rsid w:val="620B6E80"/>
    <w:rsid w:val="620D0903"/>
    <w:rsid w:val="620F78CF"/>
    <w:rsid w:val="62115734"/>
    <w:rsid w:val="6218089E"/>
    <w:rsid w:val="621A7F67"/>
    <w:rsid w:val="621C2679"/>
    <w:rsid w:val="6223735E"/>
    <w:rsid w:val="62237605"/>
    <w:rsid w:val="62294AFA"/>
    <w:rsid w:val="622E584C"/>
    <w:rsid w:val="622F35DA"/>
    <w:rsid w:val="623275C5"/>
    <w:rsid w:val="6237336D"/>
    <w:rsid w:val="623D4ED7"/>
    <w:rsid w:val="62434520"/>
    <w:rsid w:val="62440A05"/>
    <w:rsid w:val="624440F4"/>
    <w:rsid w:val="62483818"/>
    <w:rsid w:val="62487DE4"/>
    <w:rsid w:val="624B7FAF"/>
    <w:rsid w:val="624D1358"/>
    <w:rsid w:val="6251290A"/>
    <w:rsid w:val="625506D4"/>
    <w:rsid w:val="62594423"/>
    <w:rsid w:val="625B54B5"/>
    <w:rsid w:val="625D0510"/>
    <w:rsid w:val="62681257"/>
    <w:rsid w:val="626C5880"/>
    <w:rsid w:val="626D15F8"/>
    <w:rsid w:val="62816E52"/>
    <w:rsid w:val="628E40B6"/>
    <w:rsid w:val="62917BBF"/>
    <w:rsid w:val="62961043"/>
    <w:rsid w:val="629951FC"/>
    <w:rsid w:val="62A01E84"/>
    <w:rsid w:val="62A07EC7"/>
    <w:rsid w:val="62A1074A"/>
    <w:rsid w:val="62A144CA"/>
    <w:rsid w:val="62A25E91"/>
    <w:rsid w:val="62A90677"/>
    <w:rsid w:val="62AA63A9"/>
    <w:rsid w:val="62AC3ECF"/>
    <w:rsid w:val="62AE3371"/>
    <w:rsid w:val="62B64980"/>
    <w:rsid w:val="62BC642B"/>
    <w:rsid w:val="62C06B40"/>
    <w:rsid w:val="62D71C21"/>
    <w:rsid w:val="62D729B6"/>
    <w:rsid w:val="62DB2A06"/>
    <w:rsid w:val="62DE4B20"/>
    <w:rsid w:val="62E3558E"/>
    <w:rsid w:val="62E755D7"/>
    <w:rsid w:val="62EC143B"/>
    <w:rsid w:val="62F30AE8"/>
    <w:rsid w:val="6303266C"/>
    <w:rsid w:val="63035AB9"/>
    <w:rsid w:val="63084965"/>
    <w:rsid w:val="63110854"/>
    <w:rsid w:val="6315350F"/>
    <w:rsid w:val="631535F9"/>
    <w:rsid w:val="63220635"/>
    <w:rsid w:val="6322616E"/>
    <w:rsid w:val="63230824"/>
    <w:rsid w:val="632E7C1B"/>
    <w:rsid w:val="6330081F"/>
    <w:rsid w:val="63312626"/>
    <w:rsid w:val="63367C3C"/>
    <w:rsid w:val="63381A40"/>
    <w:rsid w:val="633B22B6"/>
    <w:rsid w:val="633D6584"/>
    <w:rsid w:val="633F723C"/>
    <w:rsid w:val="63455304"/>
    <w:rsid w:val="6348691C"/>
    <w:rsid w:val="63544D58"/>
    <w:rsid w:val="635950DA"/>
    <w:rsid w:val="635D166D"/>
    <w:rsid w:val="636513F9"/>
    <w:rsid w:val="63732C3E"/>
    <w:rsid w:val="637C202E"/>
    <w:rsid w:val="63817D81"/>
    <w:rsid w:val="63842ECF"/>
    <w:rsid w:val="63852D26"/>
    <w:rsid w:val="63912D2F"/>
    <w:rsid w:val="63913164"/>
    <w:rsid w:val="63917B00"/>
    <w:rsid w:val="639332E1"/>
    <w:rsid w:val="63941C11"/>
    <w:rsid w:val="63952758"/>
    <w:rsid w:val="6395612E"/>
    <w:rsid w:val="639903BF"/>
    <w:rsid w:val="639B74FC"/>
    <w:rsid w:val="63B23767"/>
    <w:rsid w:val="63BF6EB3"/>
    <w:rsid w:val="63CC0FE5"/>
    <w:rsid w:val="63CC338E"/>
    <w:rsid w:val="63D368D7"/>
    <w:rsid w:val="63D7141F"/>
    <w:rsid w:val="63DC0E4F"/>
    <w:rsid w:val="63DD2FDD"/>
    <w:rsid w:val="63E16D0F"/>
    <w:rsid w:val="63EB4ECB"/>
    <w:rsid w:val="63EC63C7"/>
    <w:rsid w:val="63F65BC7"/>
    <w:rsid w:val="63F804BB"/>
    <w:rsid w:val="63F94D40"/>
    <w:rsid w:val="63F95F32"/>
    <w:rsid w:val="63FB5FEB"/>
    <w:rsid w:val="63FE69AC"/>
    <w:rsid w:val="640404E1"/>
    <w:rsid w:val="6405643E"/>
    <w:rsid w:val="64066BDF"/>
    <w:rsid w:val="640A4A9C"/>
    <w:rsid w:val="640C2E32"/>
    <w:rsid w:val="640E4DDD"/>
    <w:rsid w:val="640F42DF"/>
    <w:rsid w:val="6410382E"/>
    <w:rsid w:val="6417418F"/>
    <w:rsid w:val="641C5084"/>
    <w:rsid w:val="64255B55"/>
    <w:rsid w:val="642823E6"/>
    <w:rsid w:val="64283A01"/>
    <w:rsid w:val="642F2C51"/>
    <w:rsid w:val="64371C5C"/>
    <w:rsid w:val="64375E82"/>
    <w:rsid w:val="643E6E39"/>
    <w:rsid w:val="644765C7"/>
    <w:rsid w:val="644A2C78"/>
    <w:rsid w:val="6450368B"/>
    <w:rsid w:val="64535D7A"/>
    <w:rsid w:val="64593D8F"/>
    <w:rsid w:val="645C5A2C"/>
    <w:rsid w:val="64690BE5"/>
    <w:rsid w:val="64754794"/>
    <w:rsid w:val="64760F3A"/>
    <w:rsid w:val="64792AA3"/>
    <w:rsid w:val="64850E7B"/>
    <w:rsid w:val="648C220A"/>
    <w:rsid w:val="64992B79"/>
    <w:rsid w:val="64A21B9D"/>
    <w:rsid w:val="64B82FFF"/>
    <w:rsid w:val="64B90B35"/>
    <w:rsid w:val="64BA79D0"/>
    <w:rsid w:val="64BB0034"/>
    <w:rsid w:val="64C2345A"/>
    <w:rsid w:val="64C87A81"/>
    <w:rsid w:val="64CA584E"/>
    <w:rsid w:val="64D15E6F"/>
    <w:rsid w:val="64D64C0E"/>
    <w:rsid w:val="64D839EB"/>
    <w:rsid w:val="64DF1436"/>
    <w:rsid w:val="64E241AD"/>
    <w:rsid w:val="64E53854"/>
    <w:rsid w:val="64EA6F30"/>
    <w:rsid w:val="64F34102"/>
    <w:rsid w:val="64FE6904"/>
    <w:rsid w:val="64FE690B"/>
    <w:rsid w:val="65063080"/>
    <w:rsid w:val="650651ED"/>
    <w:rsid w:val="650C0F80"/>
    <w:rsid w:val="650C30A1"/>
    <w:rsid w:val="651004D9"/>
    <w:rsid w:val="651A62B7"/>
    <w:rsid w:val="651D5B3C"/>
    <w:rsid w:val="651E1600"/>
    <w:rsid w:val="65200151"/>
    <w:rsid w:val="65221549"/>
    <w:rsid w:val="65237AE4"/>
    <w:rsid w:val="652F0DE7"/>
    <w:rsid w:val="6530528B"/>
    <w:rsid w:val="653528A1"/>
    <w:rsid w:val="65384140"/>
    <w:rsid w:val="65402FF4"/>
    <w:rsid w:val="65442AE4"/>
    <w:rsid w:val="6549069C"/>
    <w:rsid w:val="654B65F1"/>
    <w:rsid w:val="6551515D"/>
    <w:rsid w:val="65515201"/>
    <w:rsid w:val="6552755F"/>
    <w:rsid w:val="655C334A"/>
    <w:rsid w:val="656161E3"/>
    <w:rsid w:val="656346EA"/>
    <w:rsid w:val="65655DFF"/>
    <w:rsid w:val="65674A25"/>
    <w:rsid w:val="65691779"/>
    <w:rsid w:val="656B4D24"/>
    <w:rsid w:val="65705687"/>
    <w:rsid w:val="657205E4"/>
    <w:rsid w:val="65772806"/>
    <w:rsid w:val="657A4758"/>
    <w:rsid w:val="657E6FA5"/>
    <w:rsid w:val="657F23A5"/>
    <w:rsid w:val="657F3B1C"/>
    <w:rsid w:val="65833ED4"/>
    <w:rsid w:val="65835E86"/>
    <w:rsid w:val="658630FD"/>
    <w:rsid w:val="6588702A"/>
    <w:rsid w:val="659013FB"/>
    <w:rsid w:val="6591281B"/>
    <w:rsid w:val="65934F16"/>
    <w:rsid w:val="65942969"/>
    <w:rsid w:val="6594538B"/>
    <w:rsid w:val="65986472"/>
    <w:rsid w:val="65A17067"/>
    <w:rsid w:val="65A90B99"/>
    <w:rsid w:val="65B65064"/>
    <w:rsid w:val="65B9655C"/>
    <w:rsid w:val="65BF02FA"/>
    <w:rsid w:val="65C70C88"/>
    <w:rsid w:val="65CA0A71"/>
    <w:rsid w:val="65D42711"/>
    <w:rsid w:val="65D56F1E"/>
    <w:rsid w:val="65DB3537"/>
    <w:rsid w:val="65E41BD1"/>
    <w:rsid w:val="65F316CC"/>
    <w:rsid w:val="65F71905"/>
    <w:rsid w:val="65F75DA9"/>
    <w:rsid w:val="65F976D3"/>
    <w:rsid w:val="66097669"/>
    <w:rsid w:val="660B2E25"/>
    <w:rsid w:val="660C524C"/>
    <w:rsid w:val="660E0E85"/>
    <w:rsid w:val="660E7FD8"/>
    <w:rsid w:val="66147410"/>
    <w:rsid w:val="661B0808"/>
    <w:rsid w:val="66212E26"/>
    <w:rsid w:val="66236B9E"/>
    <w:rsid w:val="6628093F"/>
    <w:rsid w:val="662D4935"/>
    <w:rsid w:val="66307426"/>
    <w:rsid w:val="663A27BF"/>
    <w:rsid w:val="663A3EE7"/>
    <w:rsid w:val="663D0AD2"/>
    <w:rsid w:val="663F0671"/>
    <w:rsid w:val="66401CA6"/>
    <w:rsid w:val="664051B4"/>
    <w:rsid w:val="66463F9B"/>
    <w:rsid w:val="664919DE"/>
    <w:rsid w:val="664A4834"/>
    <w:rsid w:val="6657693B"/>
    <w:rsid w:val="665B2B71"/>
    <w:rsid w:val="666B5E4F"/>
    <w:rsid w:val="666D7E19"/>
    <w:rsid w:val="66734845"/>
    <w:rsid w:val="66770C98"/>
    <w:rsid w:val="667924B2"/>
    <w:rsid w:val="667B0788"/>
    <w:rsid w:val="66893F0A"/>
    <w:rsid w:val="66895908"/>
    <w:rsid w:val="669527AD"/>
    <w:rsid w:val="66960527"/>
    <w:rsid w:val="66A265B6"/>
    <w:rsid w:val="66A55805"/>
    <w:rsid w:val="66A654D4"/>
    <w:rsid w:val="66B01A27"/>
    <w:rsid w:val="66B1604F"/>
    <w:rsid w:val="66B21CD0"/>
    <w:rsid w:val="66B8565E"/>
    <w:rsid w:val="66BA1CB1"/>
    <w:rsid w:val="66BB4105"/>
    <w:rsid w:val="66BB62C0"/>
    <w:rsid w:val="66BF4A4E"/>
    <w:rsid w:val="66C96707"/>
    <w:rsid w:val="66CA2DA3"/>
    <w:rsid w:val="66D233B8"/>
    <w:rsid w:val="66D52DDA"/>
    <w:rsid w:val="66E11DFF"/>
    <w:rsid w:val="66E23F42"/>
    <w:rsid w:val="66E44135"/>
    <w:rsid w:val="66E4455B"/>
    <w:rsid w:val="66EA3218"/>
    <w:rsid w:val="66EB25CB"/>
    <w:rsid w:val="66EB50AC"/>
    <w:rsid w:val="66EC7796"/>
    <w:rsid w:val="66EE5999"/>
    <w:rsid w:val="66EF78F5"/>
    <w:rsid w:val="66F30621"/>
    <w:rsid w:val="66F30887"/>
    <w:rsid w:val="66F97D4B"/>
    <w:rsid w:val="66FC5202"/>
    <w:rsid w:val="66FE71E8"/>
    <w:rsid w:val="67012B5F"/>
    <w:rsid w:val="6703077D"/>
    <w:rsid w:val="67121B02"/>
    <w:rsid w:val="671841DA"/>
    <w:rsid w:val="67221041"/>
    <w:rsid w:val="67254A0F"/>
    <w:rsid w:val="6727621A"/>
    <w:rsid w:val="67284906"/>
    <w:rsid w:val="67310593"/>
    <w:rsid w:val="67317D8B"/>
    <w:rsid w:val="67327E13"/>
    <w:rsid w:val="67337260"/>
    <w:rsid w:val="673C68D3"/>
    <w:rsid w:val="67406C4B"/>
    <w:rsid w:val="67472693"/>
    <w:rsid w:val="674C5502"/>
    <w:rsid w:val="674E2534"/>
    <w:rsid w:val="675114E9"/>
    <w:rsid w:val="675155A3"/>
    <w:rsid w:val="6753017B"/>
    <w:rsid w:val="67542D87"/>
    <w:rsid w:val="67552CC3"/>
    <w:rsid w:val="6757590D"/>
    <w:rsid w:val="67584625"/>
    <w:rsid w:val="675865EA"/>
    <w:rsid w:val="67637DDF"/>
    <w:rsid w:val="67654F94"/>
    <w:rsid w:val="67662607"/>
    <w:rsid w:val="67690B02"/>
    <w:rsid w:val="67702A87"/>
    <w:rsid w:val="677376B1"/>
    <w:rsid w:val="67744A29"/>
    <w:rsid w:val="67751ED5"/>
    <w:rsid w:val="67772963"/>
    <w:rsid w:val="677856B6"/>
    <w:rsid w:val="677D5429"/>
    <w:rsid w:val="67813C23"/>
    <w:rsid w:val="67853FFF"/>
    <w:rsid w:val="679C1FDE"/>
    <w:rsid w:val="67A56827"/>
    <w:rsid w:val="67AB3BB8"/>
    <w:rsid w:val="67AB6E4B"/>
    <w:rsid w:val="67AD6C87"/>
    <w:rsid w:val="67AE789A"/>
    <w:rsid w:val="67B04461"/>
    <w:rsid w:val="67B101D9"/>
    <w:rsid w:val="67B53F76"/>
    <w:rsid w:val="67D13E83"/>
    <w:rsid w:val="67D6379C"/>
    <w:rsid w:val="67DD2D7C"/>
    <w:rsid w:val="67DD5C12"/>
    <w:rsid w:val="67E15F7D"/>
    <w:rsid w:val="67E727CE"/>
    <w:rsid w:val="67F430B1"/>
    <w:rsid w:val="67F500C6"/>
    <w:rsid w:val="67FA5C8B"/>
    <w:rsid w:val="67FE5D02"/>
    <w:rsid w:val="67FF74D1"/>
    <w:rsid w:val="68085970"/>
    <w:rsid w:val="681126B8"/>
    <w:rsid w:val="681246C5"/>
    <w:rsid w:val="68166BE0"/>
    <w:rsid w:val="681F3DF6"/>
    <w:rsid w:val="68207665"/>
    <w:rsid w:val="68227331"/>
    <w:rsid w:val="68246D47"/>
    <w:rsid w:val="68290E04"/>
    <w:rsid w:val="683177C2"/>
    <w:rsid w:val="68362AAF"/>
    <w:rsid w:val="683E1EB8"/>
    <w:rsid w:val="684005DA"/>
    <w:rsid w:val="684B2EA4"/>
    <w:rsid w:val="684D5806"/>
    <w:rsid w:val="68510345"/>
    <w:rsid w:val="68526374"/>
    <w:rsid w:val="68537447"/>
    <w:rsid w:val="685E43E4"/>
    <w:rsid w:val="685E5C6B"/>
    <w:rsid w:val="6864524C"/>
    <w:rsid w:val="686A5AEE"/>
    <w:rsid w:val="686B397C"/>
    <w:rsid w:val="686B6E84"/>
    <w:rsid w:val="686C541D"/>
    <w:rsid w:val="686D6567"/>
    <w:rsid w:val="687D07DA"/>
    <w:rsid w:val="68832BD2"/>
    <w:rsid w:val="68893245"/>
    <w:rsid w:val="68953657"/>
    <w:rsid w:val="689853C8"/>
    <w:rsid w:val="68994EF5"/>
    <w:rsid w:val="689A4A6B"/>
    <w:rsid w:val="689E111D"/>
    <w:rsid w:val="68AA0A38"/>
    <w:rsid w:val="68AA72F5"/>
    <w:rsid w:val="68B071AA"/>
    <w:rsid w:val="68B163EB"/>
    <w:rsid w:val="68CA3301"/>
    <w:rsid w:val="68D00872"/>
    <w:rsid w:val="68D51CA5"/>
    <w:rsid w:val="68E51EE8"/>
    <w:rsid w:val="68EB176F"/>
    <w:rsid w:val="68F35818"/>
    <w:rsid w:val="68F41F13"/>
    <w:rsid w:val="68F97831"/>
    <w:rsid w:val="690305C1"/>
    <w:rsid w:val="690D0F84"/>
    <w:rsid w:val="691452E5"/>
    <w:rsid w:val="691602F4"/>
    <w:rsid w:val="692036C4"/>
    <w:rsid w:val="69242DDC"/>
    <w:rsid w:val="692B41BA"/>
    <w:rsid w:val="692C6E50"/>
    <w:rsid w:val="6930117B"/>
    <w:rsid w:val="6930503C"/>
    <w:rsid w:val="69341C75"/>
    <w:rsid w:val="693D0894"/>
    <w:rsid w:val="69491DB4"/>
    <w:rsid w:val="694D1218"/>
    <w:rsid w:val="694E626A"/>
    <w:rsid w:val="695404E5"/>
    <w:rsid w:val="69663A02"/>
    <w:rsid w:val="69672CB6"/>
    <w:rsid w:val="696D1B0B"/>
    <w:rsid w:val="696D55CD"/>
    <w:rsid w:val="696E09E8"/>
    <w:rsid w:val="69700F37"/>
    <w:rsid w:val="697707C3"/>
    <w:rsid w:val="69771C8A"/>
    <w:rsid w:val="69787994"/>
    <w:rsid w:val="69841088"/>
    <w:rsid w:val="6984683D"/>
    <w:rsid w:val="6987542C"/>
    <w:rsid w:val="699539C7"/>
    <w:rsid w:val="69961435"/>
    <w:rsid w:val="69986E83"/>
    <w:rsid w:val="699E5FC0"/>
    <w:rsid w:val="699E6342"/>
    <w:rsid w:val="69A1041A"/>
    <w:rsid w:val="69A30602"/>
    <w:rsid w:val="69AE063F"/>
    <w:rsid w:val="69B50D33"/>
    <w:rsid w:val="69B855FE"/>
    <w:rsid w:val="69CC37D2"/>
    <w:rsid w:val="69D00E72"/>
    <w:rsid w:val="69D02389"/>
    <w:rsid w:val="69D46714"/>
    <w:rsid w:val="69D7620D"/>
    <w:rsid w:val="69E161EB"/>
    <w:rsid w:val="69E95EEF"/>
    <w:rsid w:val="69EA0C0D"/>
    <w:rsid w:val="69ED4F15"/>
    <w:rsid w:val="69F06B8A"/>
    <w:rsid w:val="69F745C9"/>
    <w:rsid w:val="6A015EE0"/>
    <w:rsid w:val="6A042842"/>
    <w:rsid w:val="6A0D73FB"/>
    <w:rsid w:val="6A0E546F"/>
    <w:rsid w:val="6A1B45A1"/>
    <w:rsid w:val="6A21319C"/>
    <w:rsid w:val="6A2B094B"/>
    <w:rsid w:val="6A2B6021"/>
    <w:rsid w:val="6A325088"/>
    <w:rsid w:val="6A386990"/>
    <w:rsid w:val="6A4604DA"/>
    <w:rsid w:val="6A462E5B"/>
    <w:rsid w:val="6A4C4CAC"/>
    <w:rsid w:val="6A6D0043"/>
    <w:rsid w:val="6A6F2322"/>
    <w:rsid w:val="6A741506"/>
    <w:rsid w:val="6A7C1326"/>
    <w:rsid w:val="6A7C4ACE"/>
    <w:rsid w:val="6A7D43A3"/>
    <w:rsid w:val="6A8846C0"/>
    <w:rsid w:val="6A8F3445"/>
    <w:rsid w:val="6A930F46"/>
    <w:rsid w:val="6A945B48"/>
    <w:rsid w:val="6A9659A8"/>
    <w:rsid w:val="6A9B19C7"/>
    <w:rsid w:val="6AA14535"/>
    <w:rsid w:val="6AA462A8"/>
    <w:rsid w:val="6AA63899"/>
    <w:rsid w:val="6AC10733"/>
    <w:rsid w:val="6ACC736B"/>
    <w:rsid w:val="6ACD1F09"/>
    <w:rsid w:val="6ACD424C"/>
    <w:rsid w:val="6ACE384B"/>
    <w:rsid w:val="6AD20B92"/>
    <w:rsid w:val="6AD732F3"/>
    <w:rsid w:val="6ADA0CFF"/>
    <w:rsid w:val="6ADD44EC"/>
    <w:rsid w:val="6AE41F84"/>
    <w:rsid w:val="6AE930F3"/>
    <w:rsid w:val="6AEA4C4A"/>
    <w:rsid w:val="6AF601A8"/>
    <w:rsid w:val="6B0C23F3"/>
    <w:rsid w:val="6B1271E1"/>
    <w:rsid w:val="6B145FB6"/>
    <w:rsid w:val="6B17356D"/>
    <w:rsid w:val="6B1A2974"/>
    <w:rsid w:val="6B225174"/>
    <w:rsid w:val="6B25103B"/>
    <w:rsid w:val="6B2A452A"/>
    <w:rsid w:val="6B30341B"/>
    <w:rsid w:val="6B3A0F77"/>
    <w:rsid w:val="6B3C33D4"/>
    <w:rsid w:val="6B41110D"/>
    <w:rsid w:val="6B42267D"/>
    <w:rsid w:val="6B533778"/>
    <w:rsid w:val="6B5676E9"/>
    <w:rsid w:val="6B590E08"/>
    <w:rsid w:val="6B595FD3"/>
    <w:rsid w:val="6B6871B5"/>
    <w:rsid w:val="6B6F17AD"/>
    <w:rsid w:val="6B734667"/>
    <w:rsid w:val="6B790076"/>
    <w:rsid w:val="6B7B2FD8"/>
    <w:rsid w:val="6B855C05"/>
    <w:rsid w:val="6B8641E1"/>
    <w:rsid w:val="6B8737B9"/>
    <w:rsid w:val="6B876B48"/>
    <w:rsid w:val="6B887D6B"/>
    <w:rsid w:val="6B8D7AF2"/>
    <w:rsid w:val="6B8E6B8F"/>
    <w:rsid w:val="6B9F55F3"/>
    <w:rsid w:val="6BA03FDC"/>
    <w:rsid w:val="6BAA7419"/>
    <w:rsid w:val="6BAD0FA1"/>
    <w:rsid w:val="6BAE017C"/>
    <w:rsid w:val="6BB560A6"/>
    <w:rsid w:val="6BB74EDF"/>
    <w:rsid w:val="6BB770C8"/>
    <w:rsid w:val="6BBA58AE"/>
    <w:rsid w:val="6BC24763"/>
    <w:rsid w:val="6BC42019"/>
    <w:rsid w:val="6BC60575"/>
    <w:rsid w:val="6BC8369B"/>
    <w:rsid w:val="6BCA6D11"/>
    <w:rsid w:val="6BCE27A8"/>
    <w:rsid w:val="6BD534D7"/>
    <w:rsid w:val="6BD658D0"/>
    <w:rsid w:val="6BD76A60"/>
    <w:rsid w:val="6BE00414"/>
    <w:rsid w:val="6BE43D5F"/>
    <w:rsid w:val="6BEF307E"/>
    <w:rsid w:val="6BF10DAB"/>
    <w:rsid w:val="6BF256C6"/>
    <w:rsid w:val="6BFC5F23"/>
    <w:rsid w:val="6BFC7224"/>
    <w:rsid w:val="6C002339"/>
    <w:rsid w:val="6C00528B"/>
    <w:rsid w:val="6C0E55E7"/>
    <w:rsid w:val="6C12733C"/>
    <w:rsid w:val="6C18482C"/>
    <w:rsid w:val="6C206C57"/>
    <w:rsid w:val="6C244679"/>
    <w:rsid w:val="6C2B7950"/>
    <w:rsid w:val="6C335EAA"/>
    <w:rsid w:val="6C3B191F"/>
    <w:rsid w:val="6C440A6E"/>
    <w:rsid w:val="6C4433CA"/>
    <w:rsid w:val="6C4449D0"/>
    <w:rsid w:val="6C4462A4"/>
    <w:rsid w:val="6C482F78"/>
    <w:rsid w:val="6C486B1B"/>
    <w:rsid w:val="6C4A60A1"/>
    <w:rsid w:val="6C5B0EE7"/>
    <w:rsid w:val="6C635C79"/>
    <w:rsid w:val="6C6862B6"/>
    <w:rsid w:val="6C6A5840"/>
    <w:rsid w:val="6C6E2B4A"/>
    <w:rsid w:val="6C787517"/>
    <w:rsid w:val="6C8613AE"/>
    <w:rsid w:val="6C8870BE"/>
    <w:rsid w:val="6C89466D"/>
    <w:rsid w:val="6C9D79A2"/>
    <w:rsid w:val="6CA67287"/>
    <w:rsid w:val="6CAB7E79"/>
    <w:rsid w:val="6CAE2F39"/>
    <w:rsid w:val="6CB027D7"/>
    <w:rsid w:val="6CC30793"/>
    <w:rsid w:val="6CC46028"/>
    <w:rsid w:val="6CC477D2"/>
    <w:rsid w:val="6CC60283"/>
    <w:rsid w:val="6CC80F58"/>
    <w:rsid w:val="6CCB7647"/>
    <w:rsid w:val="6CCF0C65"/>
    <w:rsid w:val="6CD147E6"/>
    <w:rsid w:val="6CE0652C"/>
    <w:rsid w:val="6CEA2C80"/>
    <w:rsid w:val="6CEC6FFF"/>
    <w:rsid w:val="6CEF77DA"/>
    <w:rsid w:val="6CF42D9A"/>
    <w:rsid w:val="6CFA6695"/>
    <w:rsid w:val="6CFC780C"/>
    <w:rsid w:val="6CFD3F50"/>
    <w:rsid w:val="6CFF7364"/>
    <w:rsid w:val="6D08089B"/>
    <w:rsid w:val="6D0E35CC"/>
    <w:rsid w:val="6D0E5786"/>
    <w:rsid w:val="6D195BD7"/>
    <w:rsid w:val="6D1D0C63"/>
    <w:rsid w:val="6D274446"/>
    <w:rsid w:val="6D304052"/>
    <w:rsid w:val="6D34343E"/>
    <w:rsid w:val="6D37406E"/>
    <w:rsid w:val="6D374B9F"/>
    <w:rsid w:val="6D396440"/>
    <w:rsid w:val="6D3C1823"/>
    <w:rsid w:val="6D3D5E38"/>
    <w:rsid w:val="6D4A4801"/>
    <w:rsid w:val="6D4A570C"/>
    <w:rsid w:val="6D4C69DA"/>
    <w:rsid w:val="6D4D392E"/>
    <w:rsid w:val="6D4E3CDF"/>
    <w:rsid w:val="6D5137E0"/>
    <w:rsid w:val="6D576F26"/>
    <w:rsid w:val="6D586E9C"/>
    <w:rsid w:val="6D59319A"/>
    <w:rsid w:val="6D5E33FE"/>
    <w:rsid w:val="6D621BA9"/>
    <w:rsid w:val="6D647371"/>
    <w:rsid w:val="6D724353"/>
    <w:rsid w:val="6D725AF3"/>
    <w:rsid w:val="6D737F86"/>
    <w:rsid w:val="6D770365"/>
    <w:rsid w:val="6D77158A"/>
    <w:rsid w:val="6D790A86"/>
    <w:rsid w:val="6D7F1D8C"/>
    <w:rsid w:val="6D805D0D"/>
    <w:rsid w:val="6D8343C6"/>
    <w:rsid w:val="6D853EB3"/>
    <w:rsid w:val="6D8617C0"/>
    <w:rsid w:val="6D8773F2"/>
    <w:rsid w:val="6D8C00CB"/>
    <w:rsid w:val="6D8E434F"/>
    <w:rsid w:val="6D9715B6"/>
    <w:rsid w:val="6D9B4017"/>
    <w:rsid w:val="6D9C1ABB"/>
    <w:rsid w:val="6DA10974"/>
    <w:rsid w:val="6DA31B9B"/>
    <w:rsid w:val="6DAA1202"/>
    <w:rsid w:val="6DAB5036"/>
    <w:rsid w:val="6DAB50F4"/>
    <w:rsid w:val="6DBA7138"/>
    <w:rsid w:val="6DBC0848"/>
    <w:rsid w:val="6DBE71AC"/>
    <w:rsid w:val="6DC10AC9"/>
    <w:rsid w:val="6DC646D4"/>
    <w:rsid w:val="6DC742B3"/>
    <w:rsid w:val="6DCE1D3C"/>
    <w:rsid w:val="6DCF13B9"/>
    <w:rsid w:val="6DD56AFD"/>
    <w:rsid w:val="6DD82FDA"/>
    <w:rsid w:val="6DDD2737"/>
    <w:rsid w:val="6DE31D1A"/>
    <w:rsid w:val="6DE449E8"/>
    <w:rsid w:val="6DEF55B7"/>
    <w:rsid w:val="6DF130DE"/>
    <w:rsid w:val="6DF83A4E"/>
    <w:rsid w:val="6DF918DF"/>
    <w:rsid w:val="6DFC567A"/>
    <w:rsid w:val="6DFC65DA"/>
    <w:rsid w:val="6DFE22A8"/>
    <w:rsid w:val="6E062CE9"/>
    <w:rsid w:val="6E087817"/>
    <w:rsid w:val="6E0F4033"/>
    <w:rsid w:val="6E214F76"/>
    <w:rsid w:val="6E2265CF"/>
    <w:rsid w:val="6E270360"/>
    <w:rsid w:val="6E2C4E45"/>
    <w:rsid w:val="6E2D6CD4"/>
    <w:rsid w:val="6E2F65E0"/>
    <w:rsid w:val="6E312F08"/>
    <w:rsid w:val="6E331233"/>
    <w:rsid w:val="6E382318"/>
    <w:rsid w:val="6E3924F0"/>
    <w:rsid w:val="6E3A344B"/>
    <w:rsid w:val="6E3B25AB"/>
    <w:rsid w:val="6E3C0944"/>
    <w:rsid w:val="6E3C42AB"/>
    <w:rsid w:val="6E404D44"/>
    <w:rsid w:val="6E486223"/>
    <w:rsid w:val="6E493F82"/>
    <w:rsid w:val="6E4A5B14"/>
    <w:rsid w:val="6E517CD9"/>
    <w:rsid w:val="6E526272"/>
    <w:rsid w:val="6E565636"/>
    <w:rsid w:val="6E580C9C"/>
    <w:rsid w:val="6E5C0703"/>
    <w:rsid w:val="6E5E3936"/>
    <w:rsid w:val="6E60221D"/>
    <w:rsid w:val="6E620FC8"/>
    <w:rsid w:val="6E654265"/>
    <w:rsid w:val="6E66324D"/>
    <w:rsid w:val="6E66587A"/>
    <w:rsid w:val="6E6658E0"/>
    <w:rsid w:val="6E7F2DDF"/>
    <w:rsid w:val="6E844359"/>
    <w:rsid w:val="6E8578F8"/>
    <w:rsid w:val="6E8C1A4E"/>
    <w:rsid w:val="6E8C4BC7"/>
    <w:rsid w:val="6E8F15D9"/>
    <w:rsid w:val="6E954B20"/>
    <w:rsid w:val="6E9900D5"/>
    <w:rsid w:val="6E9F3468"/>
    <w:rsid w:val="6EA80C04"/>
    <w:rsid w:val="6EAD441C"/>
    <w:rsid w:val="6EAD7736"/>
    <w:rsid w:val="6EAE0FCF"/>
    <w:rsid w:val="6EB34837"/>
    <w:rsid w:val="6EB83BFB"/>
    <w:rsid w:val="6EBC36EB"/>
    <w:rsid w:val="6EC84BBD"/>
    <w:rsid w:val="6EC95342"/>
    <w:rsid w:val="6ED156FC"/>
    <w:rsid w:val="6ED669F0"/>
    <w:rsid w:val="6ED7429E"/>
    <w:rsid w:val="6ED749C9"/>
    <w:rsid w:val="6EDE0202"/>
    <w:rsid w:val="6EDE7B06"/>
    <w:rsid w:val="6EEF0226"/>
    <w:rsid w:val="6EFA655B"/>
    <w:rsid w:val="6EFC1F63"/>
    <w:rsid w:val="6EFE026F"/>
    <w:rsid w:val="6F01575F"/>
    <w:rsid w:val="6F032714"/>
    <w:rsid w:val="6F034070"/>
    <w:rsid w:val="6F052073"/>
    <w:rsid w:val="6F101C89"/>
    <w:rsid w:val="6F255CA2"/>
    <w:rsid w:val="6F26298A"/>
    <w:rsid w:val="6F2F65B3"/>
    <w:rsid w:val="6F3B1B36"/>
    <w:rsid w:val="6F40256E"/>
    <w:rsid w:val="6F405405"/>
    <w:rsid w:val="6F457B85"/>
    <w:rsid w:val="6F500A54"/>
    <w:rsid w:val="6F5C5F5B"/>
    <w:rsid w:val="6F6E179B"/>
    <w:rsid w:val="6F74397E"/>
    <w:rsid w:val="6F7C79FF"/>
    <w:rsid w:val="6F7F2834"/>
    <w:rsid w:val="6F80296B"/>
    <w:rsid w:val="6F851E49"/>
    <w:rsid w:val="6F896A8F"/>
    <w:rsid w:val="6F8B242E"/>
    <w:rsid w:val="6F90733B"/>
    <w:rsid w:val="6F977CB5"/>
    <w:rsid w:val="6F9D38C5"/>
    <w:rsid w:val="6FA50623"/>
    <w:rsid w:val="6FA827C5"/>
    <w:rsid w:val="6FAB276F"/>
    <w:rsid w:val="6FBA3D13"/>
    <w:rsid w:val="6FBD7009"/>
    <w:rsid w:val="6FBE16E5"/>
    <w:rsid w:val="6FCF38F2"/>
    <w:rsid w:val="6FD35257"/>
    <w:rsid w:val="6FD4238D"/>
    <w:rsid w:val="6FD9744B"/>
    <w:rsid w:val="6FDC1FBE"/>
    <w:rsid w:val="6FDC45CD"/>
    <w:rsid w:val="6FDD1EEF"/>
    <w:rsid w:val="6FE22B82"/>
    <w:rsid w:val="6FE54EC4"/>
    <w:rsid w:val="6FE74DD1"/>
    <w:rsid w:val="6FE778A3"/>
    <w:rsid w:val="6FF0004E"/>
    <w:rsid w:val="6FF61964"/>
    <w:rsid w:val="6FF75A01"/>
    <w:rsid w:val="6FFB46E7"/>
    <w:rsid w:val="7000478D"/>
    <w:rsid w:val="70066EEA"/>
    <w:rsid w:val="70087461"/>
    <w:rsid w:val="70170667"/>
    <w:rsid w:val="70207CAA"/>
    <w:rsid w:val="702B0F76"/>
    <w:rsid w:val="703B2D36"/>
    <w:rsid w:val="70480FAF"/>
    <w:rsid w:val="704814B2"/>
    <w:rsid w:val="70486D74"/>
    <w:rsid w:val="7057344E"/>
    <w:rsid w:val="705B2D49"/>
    <w:rsid w:val="70657DB3"/>
    <w:rsid w:val="70666005"/>
    <w:rsid w:val="706C179A"/>
    <w:rsid w:val="706E19A5"/>
    <w:rsid w:val="706E310B"/>
    <w:rsid w:val="706E36FA"/>
    <w:rsid w:val="707029DF"/>
    <w:rsid w:val="70893BC1"/>
    <w:rsid w:val="708B68B3"/>
    <w:rsid w:val="70AE147C"/>
    <w:rsid w:val="70B3766A"/>
    <w:rsid w:val="70BB3B1D"/>
    <w:rsid w:val="70BB41E5"/>
    <w:rsid w:val="70BE30BC"/>
    <w:rsid w:val="70BE51DF"/>
    <w:rsid w:val="70C04684"/>
    <w:rsid w:val="70CB5E68"/>
    <w:rsid w:val="70CE4C53"/>
    <w:rsid w:val="70D325F1"/>
    <w:rsid w:val="70D67C51"/>
    <w:rsid w:val="70D76B08"/>
    <w:rsid w:val="70D87CA6"/>
    <w:rsid w:val="70DB5F7D"/>
    <w:rsid w:val="70DF1913"/>
    <w:rsid w:val="70E05914"/>
    <w:rsid w:val="70E065F4"/>
    <w:rsid w:val="70E12F3F"/>
    <w:rsid w:val="70E76811"/>
    <w:rsid w:val="70EA3AB1"/>
    <w:rsid w:val="70EC3EA4"/>
    <w:rsid w:val="70EF01E7"/>
    <w:rsid w:val="70FC671C"/>
    <w:rsid w:val="70FD22D8"/>
    <w:rsid w:val="70FE3861"/>
    <w:rsid w:val="71021B08"/>
    <w:rsid w:val="71041075"/>
    <w:rsid w:val="710F4099"/>
    <w:rsid w:val="71107738"/>
    <w:rsid w:val="711146A7"/>
    <w:rsid w:val="71232D9D"/>
    <w:rsid w:val="71273A57"/>
    <w:rsid w:val="71367FC9"/>
    <w:rsid w:val="71427872"/>
    <w:rsid w:val="71494FDF"/>
    <w:rsid w:val="714B51FB"/>
    <w:rsid w:val="715107A5"/>
    <w:rsid w:val="7151482D"/>
    <w:rsid w:val="7154327E"/>
    <w:rsid w:val="715A542B"/>
    <w:rsid w:val="71600F41"/>
    <w:rsid w:val="716B0BEE"/>
    <w:rsid w:val="716B3AD8"/>
    <w:rsid w:val="716F59EC"/>
    <w:rsid w:val="717A51FF"/>
    <w:rsid w:val="717E2EDA"/>
    <w:rsid w:val="718443E2"/>
    <w:rsid w:val="71853221"/>
    <w:rsid w:val="71874144"/>
    <w:rsid w:val="718D75C1"/>
    <w:rsid w:val="71934555"/>
    <w:rsid w:val="71935505"/>
    <w:rsid w:val="719506FF"/>
    <w:rsid w:val="71966E01"/>
    <w:rsid w:val="719B306F"/>
    <w:rsid w:val="71A32824"/>
    <w:rsid w:val="71A572CB"/>
    <w:rsid w:val="71AC6386"/>
    <w:rsid w:val="71B4713D"/>
    <w:rsid w:val="71BC7EA6"/>
    <w:rsid w:val="71CA01FA"/>
    <w:rsid w:val="71CA3CB7"/>
    <w:rsid w:val="71CA4371"/>
    <w:rsid w:val="71CD5C88"/>
    <w:rsid w:val="71D82D73"/>
    <w:rsid w:val="71DC3FB9"/>
    <w:rsid w:val="71EE48F5"/>
    <w:rsid w:val="71EF58A8"/>
    <w:rsid w:val="71F73906"/>
    <w:rsid w:val="71F82E3C"/>
    <w:rsid w:val="720553BD"/>
    <w:rsid w:val="72082C9E"/>
    <w:rsid w:val="721864EA"/>
    <w:rsid w:val="721D13AD"/>
    <w:rsid w:val="721D56D7"/>
    <w:rsid w:val="722021E3"/>
    <w:rsid w:val="72203F91"/>
    <w:rsid w:val="72300DD8"/>
    <w:rsid w:val="72323CC5"/>
    <w:rsid w:val="72336D55"/>
    <w:rsid w:val="72381071"/>
    <w:rsid w:val="723932A5"/>
    <w:rsid w:val="72397B93"/>
    <w:rsid w:val="723A6023"/>
    <w:rsid w:val="723F4D5F"/>
    <w:rsid w:val="724546B6"/>
    <w:rsid w:val="724759C2"/>
    <w:rsid w:val="72484A00"/>
    <w:rsid w:val="724A7492"/>
    <w:rsid w:val="725974A3"/>
    <w:rsid w:val="725A33F9"/>
    <w:rsid w:val="725B20FF"/>
    <w:rsid w:val="72620D2D"/>
    <w:rsid w:val="726522EC"/>
    <w:rsid w:val="726946EC"/>
    <w:rsid w:val="726B347C"/>
    <w:rsid w:val="726C367A"/>
    <w:rsid w:val="72706A57"/>
    <w:rsid w:val="72730E7C"/>
    <w:rsid w:val="727442DD"/>
    <w:rsid w:val="72783DCD"/>
    <w:rsid w:val="72807642"/>
    <w:rsid w:val="728459C2"/>
    <w:rsid w:val="728976CF"/>
    <w:rsid w:val="728B1D53"/>
    <w:rsid w:val="7291595D"/>
    <w:rsid w:val="72931655"/>
    <w:rsid w:val="7294672D"/>
    <w:rsid w:val="7295211B"/>
    <w:rsid w:val="72956167"/>
    <w:rsid w:val="729B34CA"/>
    <w:rsid w:val="72A61C58"/>
    <w:rsid w:val="72A6480D"/>
    <w:rsid w:val="72A9211E"/>
    <w:rsid w:val="72AB41A3"/>
    <w:rsid w:val="72AB6094"/>
    <w:rsid w:val="72B065E7"/>
    <w:rsid w:val="72B55FF1"/>
    <w:rsid w:val="72B65EB9"/>
    <w:rsid w:val="72B666A4"/>
    <w:rsid w:val="72BC30E8"/>
    <w:rsid w:val="72CF1533"/>
    <w:rsid w:val="72CF747F"/>
    <w:rsid w:val="72D27693"/>
    <w:rsid w:val="72D54CE8"/>
    <w:rsid w:val="72E74173"/>
    <w:rsid w:val="72E91DE7"/>
    <w:rsid w:val="72FA3B9B"/>
    <w:rsid w:val="72FD2525"/>
    <w:rsid w:val="730347C8"/>
    <w:rsid w:val="730B7105"/>
    <w:rsid w:val="730E7DB7"/>
    <w:rsid w:val="73102E05"/>
    <w:rsid w:val="7318110C"/>
    <w:rsid w:val="731E3FA7"/>
    <w:rsid w:val="73213423"/>
    <w:rsid w:val="73221F8B"/>
    <w:rsid w:val="73254F49"/>
    <w:rsid w:val="73350112"/>
    <w:rsid w:val="733D0731"/>
    <w:rsid w:val="73410663"/>
    <w:rsid w:val="73434CCE"/>
    <w:rsid w:val="734B59A9"/>
    <w:rsid w:val="734D7008"/>
    <w:rsid w:val="73697BBA"/>
    <w:rsid w:val="736B7A45"/>
    <w:rsid w:val="736C1F60"/>
    <w:rsid w:val="736E167A"/>
    <w:rsid w:val="73700F48"/>
    <w:rsid w:val="73735A50"/>
    <w:rsid w:val="73756CAF"/>
    <w:rsid w:val="737708B1"/>
    <w:rsid w:val="73805078"/>
    <w:rsid w:val="73881764"/>
    <w:rsid w:val="73886292"/>
    <w:rsid w:val="738C78BE"/>
    <w:rsid w:val="738F109D"/>
    <w:rsid w:val="739601BF"/>
    <w:rsid w:val="739702DF"/>
    <w:rsid w:val="73971535"/>
    <w:rsid w:val="739A1D1D"/>
    <w:rsid w:val="739A5394"/>
    <w:rsid w:val="73A33E1A"/>
    <w:rsid w:val="73A72F33"/>
    <w:rsid w:val="73A82490"/>
    <w:rsid w:val="73CA4E07"/>
    <w:rsid w:val="73CB7BEE"/>
    <w:rsid w:val="73D96A50"/>
    <w:rsid w:val="73DD4830"/>
    <w:rsid w:val="73EF7DE7"/>
    <w:rsid w:val="73F30566"/>
    <w:rsid w:val="73F75FE2"/>
    <w:rsid w:val="74200E7D"/>
    <w:rsid w:val="742A79FB"/>
    <w:rsid w:val="74300374"/>
    <w:rsid w:val="7431490F"/>
    <w:rsid w:val="74343D24"/>
    <w:rsid w:val="74354BE7"/>
    <w:rsid w:val="74444D52"/>
    <w:rsid w:val="74454882"/>
    <w:rsid w:val="744A130E"/>
    <w:rsid w:val="745D14CD"/>
    <w:rsid w:val="74627DBF"/>
    <w:rsid w:val="74672A6F"/>
    <w:rsid w:val="746E36DA"/>
    <w:rsid w:val="746F40EB"/>
    <w:rsid w:val="74702D3C"/>
    <w:rsid w:val="74790D8D"/>
    <w:rsid w:val="748051BB"/>
    <w:rsid w:val="74860DE1"/>
    <w:rsid w:val="748A5889"/>
    <w:rsid w:val="748C05DA"/>
    <w:rsid w:val="748C644F"/>
    <w:rsid w:val="749543F6"/>
    <w:rsid w:val="74956219"/>
    <w:rsid w:val="74977B2F"/>
    <w:rsid w:val="749B09D6"/>
    <w:rsid w:val="74A05A6E"/>
    <w:rsid w:val="74A4311E"/>
    <w:rsid w:val="74A61AFA"/>
    <w:rsid w:val="74AF2DA9"/>
    <w:rsid w:val="74B75F4F"/>
    <w:rsid w:val="74CE4179"/>
    <w:rsid w:val="74D05D30"/>
    <w:rsid w:val="74D943A6"/>
    <w:rsid w:val="74E31E0C"/>
    <w:rsid w:val="74E514C2"/>
    <w:rsid w:val="74E7350D"/>
    <w:rsid w:val="74E81178"/>
    <w:rsid w:val="74E92D60"/>
    <w:rsid w:val="74E961F9"/>
    <w:rsid w:val="74F135ED"/>
    <w:rsid w:val="74F22784"/>
    <w:rsid w:val="74FF07D6"/>
    <w:rsid w:val="750C4CA1"/>
    <w:rsid w:val="750E0AAF"/>
    <w:rsid w:val="751048A8"/>
    <w:rsid w:val="7517469A"/>
    <w:rsid w:val="751A116C"/>
    <w:rsid w:val="751C1A86"/>
    <w:rsid w:val="751C4440"/>
    <w:rsid w:val="751C62D0"/>
    <w:rsid w:val="751D0C5C"/>
    <w:rsid w:val="751F4259"/>
    <w:rsid w:val="75210076"/>
    <w:rsid w:val="752B3379"/>
    <w:rsid w:val="7530217B"/>
    <w:rsid w:val="75303F4A"/>
    <w:rsid w:val="75335CE0"/>
    <w:rsid w:val="75346E46"/>
    <w:rsid w:val="753A35BC"/>
    <w:rsid w:val="753D5ED5"/>
    <w:rsid w:val="75415C92"/>
    <w:rsid w:val="75431D26"/>
    <w:rsid w:val="754669A3"/>
    <w:rsid w:val="754B2650"/>
    <w:rsid w:val="754C56AE"/>
    <w:rsid w:val="75624F23"/>
    <w:rsid w:val="756572E8"/>
    <w:rsid w:val="75715808"/>
    <w:rsid w:val="7575069A"/>
    <w:rsid w:val="75797B22"/>
    <w:rsid w:val="757B0F24"/>
    <w:rsid w:val="757D1A77"/>
    <w:rsid w:val="75820E3F"/>
    <w:rsid w:val="758521A1"/>
    <w:rsid w:val="758B006C"/>
    <w:rsid w:val="759132B3"/>
    <w:rsid w:val="759645EB"/>
    <w:rsid w:val="759E1D9D"/>
    <w:rsid w:val="75AC3B51"/>
    <w:rsid w:val="75AF0C96"/>
    <w:rsid w:val="75B37F81"/>
    <w:rsid w:val="75B434A3"/>
    <w:rsid w:val="75B561AD"/>
    <w:rsid w:val="75B93E5B"/>
    <w:rsid w:val="75B968FE"/>
    <w:rsid w:val="75BC50C1"/>
    <w:rsid w:val="75BC7008"/>
    <w:rsid w:val="75C309F0"/>
    <w:rsid w:val="75C65BA9"/>
    <w:rsid w:val="75C73554"/>
    <w:rsid w:val="75C766DE"/>
    <w:rsid w:val="75CA6154"/>
    <w:rsid w:val="75CF2457"/>
    <w:rsid w:val="75CF4FA6"/>
    <w:rsid w:val="75D760FB"/>
    <w:rsid w:val="75EA6D90"/>
    <w:rsid w:val="75ED53A5"/>
    <w:rsid w:val="75F145C2"/>
    <w:rsid w:val="75F47C0F"/>
    <w:rsid w:val="75FA3A47"/>
    <w:rsid w:val="75FC2F67"/>
    <w:rsid w:val="75FE30F1"/>
    <w:rsid w:val="76041CFE"/>
    <w:rsid w:val="7605033E"/>
    <w:rsid w:val="760D7FA8"/>
    <w:rsid w:val="761038B7"/>
    <w:rsid w:val="76120651"/>
    <w:rsid w:val="761F5A3A"/>
    <w:rsid w:val="76233386"/>
    <w:rsid w:val="76253AF9"/>
    <w:rsid w:val="7625426C"/>
    <w:rsid w:val="762A1A7E"/>
    <w:rsid w:val="762F19D3"/>
    <w:rsid w:val="763444AF"/>
    <w:rsid w:val="763A19E6"/>
    <w:rsid w:val="76414CA4"/>
    <w:rsid w:val="764F28A0"/>
    <w:rsid w:val="764F58C2"/>
    <w:rsid w:val="76596EBF"/>
    <w:rsid w:val="765C67A2"/>
    <w:rsid w:val="76650B0D"/>
    <w:rsid w:val="76692539"/>
    <w:rsid w:val="766A38D7"/>
    <w:rsid w:val="766B199C"/>
    <w:rsid w:val="766D7940"/>
    <w:rsid w:val="7676275E"/>
    <w:rsid w:val="76801E87"/>
    <w:rsid w:val="768B7ACE"/>
    <w:rsid w:val="768C7E47"/>
    <w:rsid w:val="768D24D6"/>
    <w:rsid w:val="76993168"/>
    <w:rsid w:val="769E742A"/>
    <w:rsid w:val="76A05ED9"/>
    <w:rsid w:val="76A61F69"/>
    <w:rsid w:val="76A71125"/>
    <w:rsid w:val="76AD11F6"/>
    <w:rsid w:val="76AE529E"/>
    <w:rsid w:val="76B33626"/>
    <w:rsid w:val="76BC339E"/>
    <w:rsid w:val="76BE1D0C"/>
    <w:rsid w:val="76C047E6"/>
    <w:rsid w:val="76C417C0"/>
    <w:rsid w:val="76CA6655"/>
    <w:rsid w:val="76D33CC8"/>
    <w:rsid w:val="76D37824"/>
    <w:rsid w:val="76D96E05"/>
    <w:rsid w:val="76DB5F20"/>
    <w:rsid w:val="76DC6DE0"/>
    <w:rsid w:val="76DF458F"/>
    <w:rsid w:val="76E04AB4"/>
    <w:rsid w:val="76E23F0B"/>
    <w:rsid w:val="76F66B10"/>
    <w:rsid w:val="76FA74A7"/>
    <w:rsid w:val="76FC0CA0"/>
    <w:rsid w:val="76FC3307"/>
    <w:rsid w:val="76FC486A"/>
    <w:rsid w:val="76FD2638"/>
    <w:rsid w:val="76FD5772"/>
    <w:rsid w:val="770B16B4"/>
    <w:rsid w:val="770C6D7D"/>
    <w:rsid w:val="77113271"/>
    <w:rsid w:val="771643BA"/>
    <w:rsid w:val="77233F87"/>
    <w:rsid w:val="77316CEF"/>
    <w:rsid w:val="773337D5"/>
    <w:rsid w:val="773A0C96"/>
    <w:rsid w:val="773A3F71"/>
    <w:rsid w:val="773F5437"/>
    <w:rsid w:val="773F66C0"/>
    <w:rsid w:val="77416B72"/>
    <w:rsid w:val="77427E6B"/>
    <w:rsid w:val="774704F7"/>
    <w:rsid w:val="77472BB0"/>
    <w:rsid w:val="774A1439"/>
    <w:rsid w:val="774A578E"/>
    <w:rsid w:val="774B2CFF"/>
    <w:rsid w:val="775F730A"/>
    <w:rsid w:val="77713A70"/>
    <w:rsid w:val="777259A9"/>
    <w:rsid w:val="777C1457"/>
    <w:rsid w:val="77855EF0"/>
    <w:rsid w:val="778C086A"/>
    <w:rsid w:val="77A60184"/>
    <w:rsid w:val="77AE309A"/>
    <w:rsid w:val="77B4677D"/>
    <w:rsid w:val="77BD4895"/>
    <w:rsid w:val="77C1053F"/>
    <w:rsid w:val="77C730EE"/>
    <w:rsid w:val="77C75D62"/>
    <w:rsid w:val="77CD1504"/>
    <w:rsid w:val="77CE6AE3"/>
    <w:rsid w:val="77D45CBA"/>
    <w:rsid w:val="77D47114"/>
    <w:rsid w:val="77D677AE"/>
    <w:rsid w:val="77D85E2D"/>
    <w:rsid w:val="77DB2792"/>
    <w:rsid w:val="77E10D89"/>
    <w:rsid w:val="77E343B9"/>
    <w:rsid w:val="77E418A0"/>
    <w:rsid w:val="77E82BA2"/>
    <w:rsid w:val="77E9547F"/>
    <w:rsid w:val="77EC1E3E"/>
    <w:rsid w:val="77EE3483"/>
    <w:rsid w:val="77F9150C"/>
    <w:rsid w:val="77FE6B23"/>
    <w:rsid w:val="78014865"/>
    <w:rsid w:val="780440C6"/>
    <w:rsid w:val="780535C5"/>
    <w:rsid w:val="780E2AE7"/>
    <w:rsid w:val="78170908"/>
    <w:rsid w:val="78252301"/>
    <w:rsid w:val="782B182B"/>
    <w:rsid w:val="782D7A3F"/>
    <w:rsid w:val="782E34B9"/>
    <w:rsid w:val="78386057"/>
    <w:rsid w:val="78401B38"/>
    <w:rsid w:val="78402B26"/>
    <w:rsid w:val="7843251F"/>
    <w:rsid w:val="78456146"/>
    <w:rsid w:val="78484242"/>
    <w:rsid w:val="7849651C"/>
    <w:rsid w:val="784D636E"/>
    <w:rsid w:val="784E5C22"/>
    <w:rsid w:val="785129DB"/>
    <w:rsid w:val="78564669"/>
    <w:rsid w:val="785E73E8"/>
    <w:rsid w:val="7860171D"/>
    <w:rsid w:val="78694CE5"/>
    <w:rsid w:val="786E135D"/>
    <w:rsid w:val="786E1EFB"/>
    <w:rsid w:val="787A5B78"/>
    <w:rsid w:val="787A76FF"/>
    <w:rsid w:val="787C1098"/>
    <w:rsid w:val="78820DF5"/>
    <w:rsid w:val="78823E11"/>
    <w:rsid w:val="78850F3F"/>
    <w:rsid w:val="78991A95"/>
    <w:rsid w:val="78A00C1D"/>
    <w:rsid w:val="78A3582B"/>
    <w:rsid w:val="78A62941"/>
    <w:rsid w:val="78A9241B"/>
    <w:rsid w:val="78AF42C1"/>
    <w:rsid w:val="78BD5F55"/>
    <w:rsid w:val="78C17268"/>
    <w:rsid w:val="78C31B1A"/>
    <w:rsid w:val="78CA10FB"/>
    <w:rsid w:val="78CD3CF5"/>
    <w:rsid w:val="78D52224"/>
    <w:rsid w:val="78D635FC"/>
    <w:rsid w:val="78D93F5B"/>
    <w:rsid w:val="78E91B83"/>
    <w:rsid w:val="78EC2E1F"/>
    <w:rsid w:val="78F32400"/>
    <w:rsid w:val="78F4267D"/>
    <w:rsid w:val="78FA7315"/>
    <w:rsid w:val="7903790C"/>
    <w:rsid w:val="790C7809"/>
    <w:rsid w:val="790D6307"/>
    <w:rsid w:val="79140F9F"/>
    <w:rsid w:val="7918702C"/>
    <w:rsid w:val="791A034F"/>
    <w:rsid w:val="791B71D5"/>
    <w:rsid w:val="791D122B"/>
    <w:rsid w:val="79220253"/>
    <w:rsid w:val="7924029A"/>
    <w:rsid w:val="79254583"/>
    <w:rsid w:val="79381240"/>
    <w:rsid w:val="793D2F1A"/>
    <w:rsid w:val="79421EBF"/>
    <w:rsid w:val="794677E1"/>
    <w:rsid w:val="795B37D8"/>
    <w:rsid w:val="795D4EAB"/>
    <w:rsid w:val="796366B1"/>
    <w:rsid w:val="79655981"/>
    <w:rsid w:val="797352EE"/>
    <w:rsid w:val="79770629"/>
    <w:rsid w:val="79823720"/>
    <w:rsid w:val="79840258"/>
    <w:rsid w:val="7987712A"/>
    <w:rsid w:val="79886DFA"/>
    <w:rsid w:val="798D67FB"/>
    <w:rsid w:val="798E7BDE"/>
    <w:rsid w:val="79934C10"/>
    <w:rsid w:val="79974EF5"/>
    <w:rsid w:val="79986B03"/>
    <w:rsid w:val="79A10599"/>
    <w:rsid w:val="79A31617"/>
    <w:rsid w:val="79A53CB0"/>
    <w:rsid w:val="79A61E72"/>
    <w:rsid w:val="79AF7CA8"/>
    <w:rsid w:val="79B853F7"/>
    <w:rsid w:val="79BA116F"/>
    <w:rsid w:val="79BD0191"/>
    <w:rsid w:val="79C9630F"/>
    <w:rsid w:val="79CE7676"/>
    <w:rsid w:val="79D86CCE"/>
    <w:rsid w:val="79D95C3B"/>
    <w:rsid w:val="79DB5E09"/>
    <w:rsid w:val="79EE325F"/>
    <w:rsid w:val="79F16D40"/>
    <w:rsid w:val="79F503F9"/>
    <w:rsid w:val="79F50C88"/>
    <w:rsid w:val="79FD6415"/>
    <w:rsid w:val="7A09462E"/>
    <w:rsid w:val="7A0C1B13"/>
    <w:rsid w:val="7A0F1747"/>
    <w:rsid w:val="7A2104D1"/>
    <w:rsid w:val="7A22244F"/>
    <w:rsid w:val="7A263DBE"/>
    <w:rsid w:val="7A270A85"/>
    <w:rsid w:val="7A2B1BAD"/>
    <w:rsid w:val="7A2B5BC9"/>
    <w:rsid w:val="7A335678"/>
    <w:rsid w:val="7A385A9B"/>
    <w:rsid w:val="7A4609D8"/>
    <w:rsid w:val="7A491078"/>
    <w:rsid w:val="7A4E79CA"/>
    <w:rsid w:val="7A505630"/>
    <w:rsid w:val="7A516EE8"/>
    <w:rsid w:val="7A53787C"/>
    <w:rsid w:val="7A5558D8"/>
    <w:rsid w:val="7A5C1333"/>
    <w:rsid w:val="7A6128F1"/>
    <w:rsid w:val="7A693713"/>
    <w:rsid w:val="7A6A1F74"/>
    <w:rsid w:val="7A6B7F53"/>
    <w:rsid w:val="7A723696"/>
    <w:rsid w:val="7A7A66CB"/>
    <w:rsid w:val="7A7A6A4A"/>
    <w:rsid w:val="7A832A38"/>
    <w:rsid w:val="7A8759DA"/>
    <w:rsid w:val="7A90404D"/>
    <w:rsid w:val="7A930764"/>
    <w:rsid w:val="7A98036A"/>
    <w:rsid w:val="7AA72699"/>
    <w:rsid w:val="7AB92795"/>
    <w:rsid w:val="7AC00A69"/>
    <w:rsid w:val="7ACB497B"/>
    <w:rsid w:val="7AD73FED"/>
    <w:rsid w:val="7AD85F60"/>
    <w:rsid w:val="7AE01775"/>
    <w:rsid w:val="7AE202D0"/>
    <w:rsid w:val="7AE30708"/>
    <w:rsid w:val="7AE45C90"/>
    <w:rsid w:val="7AF052DC"/>
    <w:rsid w:val="7AF3497F"/>
    <w:rsid w:val="7B012611"/>
    <w:rsid w:val="7B022D58"/>
    <w:rsid w:val="7B023AFB"/>
    <w:rsid w:val="7B0D42A8"/>
    <w:rsid w:val="7B113011"/>
    <w:rsid w:val="7B1953D2"/>
    <w:rsid w:val="7B203254"/>
    <w:rsid w:val="7B2261F3"/>
    <w:rsid w:val="7B240237"/>
    <w:rsid w:val="7B241C81"/>
    <w:rsid w:val="7B270FDB"/>
    <w:rsid w:val="7B366B26"/>
    <w:rsid w:val="7B392C73"/>
    <w:rsid w:val="7B3B11CB"/>
    <w:rsid w:val="7B3D4157"/>
    <w:rsid w:val="7B3F7C75"/>
    <w:rsid w:val="7B430CF1"/>
    <w:rsid w:val="7B47682D"/>
    <w:rsid w:val="7B49495A"/>
    <w:rsid w:val="7B4A3898"/>
    <w:rsid w:val="7B50368B"/>
    <w:rsid w:val="7B517CDB"/>
    <w:rsid w:val="7B6523FD"/>
    <w:rsid w:val="7B702329"/>
    <w:rsid w:val="7B744445"/>
    <w:rsid w:val="7B853993"/>
    <w:rsid w:val="7B860F6B"/>
    <w:rsid w:val="7B875081"/>
    <w:rsid w:val="7B9A668F"/>
    <w:rsid w:val="7BA668ED"/>
    <w:rsid w:val="7BA97AD0"/>
    <w:rsid w:val="7BAB01A2"/>
    <w:rsid w:val="7BAC6CB4"/>
    <w:rsid w:val="7BB148F9"/>
    <w:rsid w:val="7BBD0C0E"/>
    <w:rsid w:val="7BC03B22"/>
    <w:rsid w:val="7BC1516E"/>
    <w:rsid w:val="7BC555D3"/>
    <w:rsid w:val="7BC7341B"/>
    <w:rsid w:val="7BCA3435"/>
    <w:rsid w:val="7BCC5BD3"/>
    <w:rsid w:val="7BD410C7"/>
    <w:rsid w:val="7BD43B26"/>
    <w:rsid w:val="7BDB35B7"/>
    <w:rsid w:val="7BE0658D"/>
    <w:rsid w:val="7BE2675B"/>
    <w:rsid w:val="7BE73D72"/>
    <w:rsid w:val="7BE80FE2"/>
    <w:rsid w:val="7BE975DD"/>
    <w:rsid w:val="7BF10DD0"/>
    <w:rsid w:val="7BF20010"/>
    <w:rsid w:val="7BFB59DE"/>
    <w:rsid w:val="7BFC1292"/>
    <w:rsid w:val="7C006145"/>
    <w:rsid w:val="7C036DFE"/>
    <w:rsid w:val="7C073595"/>
    <w:rsid w:val="7C093BAF"/>
    <w:rsid w:val="7C0A6BF9"/>
    <w:rsid w:val="7C0C1363"/>
    <w:rsid w:val="7C0D5C41"/>
    <w:rsid w:val="7C0F00AF"/>
    <w:rsid w:val="7C1B3DA8"/>
    <w:rsid w:val="7C276D90"/>
    <w:rsid w:val="7C297D09"/>
    <w:rsid w:val="7C354ADD"/>
    <w:rsid w:val="7C370855"/>
    <w:rsid w:val="7C3F1A7A"/>
    <w:rsid w:val="7C417926"/>
    <w:rsid w:val="7C451938"/>
    <w:rsid w:val="7C5238C1"/>
    <w:rsid w:val="7C524638"/>
    <w:rsid w:val="7C547659"/>
    <w:rsid w:val="7C5B4AAE"/>
    <w:rsid w:val="7C666284"/>
    <w:rsid w:val="7C6A0C2B"/>
    <w:rsid w:val="7C6E4CF7"/>
    <w:rsid w:val="7C76442B"/>
    <w:rsid w:val="7C7D34A5"/>
    <w:rsid w:val="7C8D4919"/>
    <w:rsid w:val="7C9061B7"/>
    <w:rsid w:val="7C923CDE"/>
    <w:rsid w:val="7C944DE2"/>
    <w:rsid w:val="7C9911A2"/>
    <w:rsid w:val="7C997062"/>
    <w:rsid w:val="7C9D0D16"/>
    <w:rsid w:val="7C9E4284"/>
    <w:rsid w:val="7C9F5701"/>
    <w:rsid w:val="7CA35EEB"/>
    <w:rsid w:val="7CA61771"/>
    <w:rsid w:val="7CAB34DE"/>
    <w:rsid w:val="7CAC28B1"/>
    <w:rsid w:val="7CAE59F1"/>
    <w:rsid w:val="7CAF6932"/>
    <w:rsid w:val="7CB37FA4"/>
    <w:rsid w:val="7CB536E9"/>
    <w:rsid w:val="7CB94E48"/>
    <w:rsid w:val="7CBA71FD"/>
    <w:rsid w:val="7CC46383"/>
    <w:rsid w:val="7CC544C2"/>
    <w:rsid w:val="7CC77E2B"/>
    <w:rsid w:val="7CD41265"/>
    <w:rsid w:val="7CD44333"/>
    <w:rsid w:val="7CD73DE6"/>
    <w:rsid w:val="7CD80258"/>
    <w:rsid w:val="7CD80D69"/>
    <w:rsid w:val="7CE04A49"/>
    <w:rsid w:val="7CE309C2"/>
    <w:rsid w:val="7CE30B31"/>
    <w:rsid w:val="7CE44045"/>
    <w:rsid w:val="7CE83AE6"/>
    <w:rsid w:val="7CEC71D9"/>
    <w:rsid w:val="7CED2FA2"/>
    <w:rsid w:val="7CF00177"/>
    <w:rsid w:val="7CF90201"/>
    <w:rsid w:val="7CFA6F84"/>
    <w:rsid w:val="7CFF33CD"/>
    <w:rsid w:val="7D080166"/>
    <w:rsid w:val="7D08183E"/>
    <w:rsid w:val="7D0C627E"/>
    <w:rsid w:val="7D2151D2"/>
    <w:rsid w:val="7D225B49"/>
    <w:rsid w:val="7D257033"/>
    <w:rsid w:val="7D2A0092"/>
    <w:rsid w:val="7D2E3261"/>
    <w:rsid w:val="7D2F3C22"/>
    <w:rsid w:val="7D342FE7"/>
    <w:rsid w:val="7D346D45"/>
    <w:rsid w:val="7D367589"/>
    <w:rsid w:val="7D3708B0"/>
    <w:rsid w:val="7D38298C"/>
    <w:rsid w:val="7D412B0C"/>
    <w:rsid w:val="7D431EC5"/>
    <w:rsid w:val="7D472CD2"/>
    <w:rsid w:val="7D4C0330"/>
    <w:rsid w:val="7D5112D8"/>
    <w:rsid w:val="7D5176F5"/>
    <w:rsid w:val="7D5D425E"/>
    <w:rsid w:val="7D6412F0"/>
    <w:rsid w:val="7D6438CC"/>
    <w:rsid w:val="7D655E2A"/>
    <w:rsid w:val="7D6F2271"/>
    <w:rsid w:val="7D745FE0"/>
    <w:rsid w:val="7D7950C1"/>
    <w:rsid w:val="7D823D52"/>
    <w:rsid w:val="7D8A7F30"/>
    <w:rsid w:val="7D920127"/>
    <w:rsid w:val="7D9745D1"/>
    <w:rsid w:val="7D9919AA"/>
    <w:rsid w:val="7DA01194"/>
    <w:rsid w:val="7DA05AC5"/>
    <w:rsid w:val="7DA26B97"/>
    <w:rsid w:val="7DA4016C"/>
    <w:rsid w:val="7DA43CC8"/>
    <w:rsid w:val="7DA44759"/>
    <w:rsid w:val="7DA92BA4"/>
    <w:rsid w:val="7DAF1302"/>
    <w:rsid w:val="7DB61C4E"/>
    <w:rsid w:val="7DB70062"/>
    <w:rsid w:val="7DB763CB"/>
    <w:rsid w:val="7DBB1012"/>
    <w:rsid w:val="7DBD4D8A"/>
    <w:rsid w:val="7DBD7411"/>
    <w:rsid w:val="7DC75C09"/>
    <w:rsid w:val="7DC919C2"/>
    <w:rsid w:val="7DD02CB3"/>
    <w:rsid w:val="7DD1219F"/>
    <w:rsid w:val="7DD23B14"/>
    <w:rsid w:val="7DDF696C"/>
    <w:rsid w:val="7DE24D03"/>
    <w:rsid w:val="7DE43CC5"/>
    <w:rsid w:val="7DED46C5"/>
    <w:rsid w:val="7DEF7198"/>
    <w:rsid w:val="7DF05160"/>
    <w:rsid w:val="7DF06F0E"/>
    <w:rsid w:val="7DFF6294"/>
    <w:rsid w:val="7E020B6E"/>
    <w:rsid w:val="7E02210D"/>
    <w:rsid w:val="7E054491"/>
    <w:rsid w:val="7E081E1E"/>
    <w:rsid w:val="7E083D06"/>
    <w:rsid w:val="7E0A4EFE"/>
    <w:rsid w:val="7E0E1761"/>
    <w:rsid w:val="7E102C48"/>
    <w:rsid w:val="7E164566"/>
    <w:rsid w:val="7E235535"/>
    <w:rsid w:val="7E2A3C98"/>
    <w:rsid w:val="7E307C52"/>
    <w:rsid w:val="7E3A4D16"/>
    <w:rsid w:val="7E3A63DB"/>
    <w:rsid w:val="7E3F452E"/>
    <w:rsid w:val="7E412CAE"/>
    <w:rsid w:val="7E414191"/>
    <w:rsid w:val="7E4F15E4"/>
    <w:rsid w:val="7E576F8D"/>
    <w:rsid w:val="7E5D0E84"/>
    <w:rsid w:val="7E687351"/>
    <w:rsid w:val="7E6F76DB"/>
    <w:rsid w:val="7E7B1474"/>
    <w:rsid w:val="7E8147E1"/>
    <w:rsid w:val="7E837D82"/>
    <w:rsid w:val="7E881543"/>
    <w:rsid w:val="7E9006F1"/>
    <w:rsid w:val="7E950C75"/>
    <w:rsid w:val="7E9604D3"/>
    <w:rsid w:val="7E975A45"/>
    <w:rsid w:val="7EAA7A04"/>
    <w:rsid w:val="7EAD5399"/>
    <w:rsid w:val="7EB75C7D"/>
    <w:rsid w:val="7EBB3E33"/>
    <w:rsid w:val="7EC05D45"/>
    <w:rsid w:val="7EC71FB3"/>
    <w:rsid w:val="7EC73988"/>
    <w:rsid w:val="7ECA59B1"/>
    <w:rsid w:val="7ECB2CD1"/>
    <w:rsid w:val="7ECB34D7"/>
    <w:rsid w:val="7ECD69B3"/>
    <w:rsid w:val="7ECD6C1D"/>
    <w:rsid w:val="7ECE6526"/>
    <w:rsid w:val="7ED149D5"/>
    <w:rsid w:val="7ED24865"/>
    <w:rsid w:val="7ED607F9"/>
    <w:rsid w:val="7EDE483F"/>
    <w:rsid w:val="7EE06F82"/>
    <w:rsid w:val="7EE235FB"/>
    <w:rsid w:val="7EE54EA9"/>
    <w:rsid w:val="7EE609E3"/>
    <w:rsid w:val="7EED169F"/>
    <w:rsid w:val="7EFD2BF7"/>
    <w:rsid w:val="7EFE1232"/>
    <w:rsid w:val="7F010C8F"/>
    <w:rsid w:val="7F0210A8"/>
    <w:rsid w:val="7F0345D8"/>
    <w:rsid w:val="7F044001"/>
    <w:rsid w:val="7F0950B7"/>
    <w:rsid w:val="7F1157A2"/>
    <w:rsid w:val="7F1207AC"/>
    <w:rsid w:val="7F156B86"/>
    <w:rsid w:val="7F1B7FBA"/>
    <w:rsid w:val="7F1C5024"/>
    <w:rsid w:val="7F21759B"/>
    <w:rsid w:val="7F2B543B"/>
    <w:rsid w:val="7F2C7624"/>
    <w:rsid w:val="7F445AA3"/>
    <w:rsid w:val="7F450B26"/>
    <w:rsid w:val="7F480157"/>
    <w:rsid w:val="7F4B4318"/>
    <w:rsid w:val="7F4D5BEF"/>
    <w:rsid w:val="7F5561F0"/>
    <w:rsid w:val="7F58696D"/>
    <w:rsid w:val="7F5A196A"/>
    <w:rsid w:val="7F62208D"/>
    <w:rsid w:val="7F691A66"/>
    <w:rsid w:val="7F6D58C3"/>
    <w:rsid w:val="7F7257E7"/>
    <w:rsid w:val="7F7B0F81"/>
    <w:rsid w:val="7F855D7C"/>
    <w:rsid w:val="7F8738A2"/>
    <w:rsid w:val="7F905997"/>
    <w:rsid w:val="7F937C96"/>
    <w:rsid w:val="7F9A7221"/>
    <w:rsid w:val="7F9B0B9A"/>
    <w:rsid w:val="7F9F2E00"/>
    <w:rsid w:val="7FA428A5"/>
    <w:rsid w:val="7FA77C64"/>
    <w:rsid w:val="7FAA4962"/>
    <w:rsid w:val="7FB076E1"/>
    <w:rsid w:val="7FB56661"/>
    <w:rsid w:val="7FB777C7"/>
    <w:rsid w:val="7FBC42C7"/>
    <w:rsid w:val="7FC344BF"/>
    <w:rsid w:val="7FD06292"/>
    <w:rsid w:val="7FD73F14"/>
    <w:rsid w:val="7FDC33A8"/>
    <w:rsid w:val="7FE02FB2"/>
    <w:rsid w:val="7FE465D8"/>
    <w:rsid w:val="7FE64018"/>
    <w:rsid w:val="7FEB2DD2"/>
    <w:rsid w:val="7FF0639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color w:val="000000"/>
      <w:sz w:val="21"/>
      <w:lang w:val="en-US" w:eastAsia="zh-CN" w:bidi="ar-SA"/>
    </w:rPr>
  </w:style>
  <w:style w:type="paragraph" w:styleId="4">
    <w:name w:val="heading 1"/>
    <w:basedOn w:val="1"/>
    <w:next w:val="1"/>
    <w:link w:val="65"/>
    <w:qFormat/>
    <w:uiPriority w:val="0"/>
    <w:pPr>
      <w:keepNext/>
      <w:keepLines/>
      <w:spacing w:before="340" w:beforeLines="0" w:beforeAutospacing="0" w:after="330" w:afterLines="0" w:afterAutospacing="0" w:line="576" w:lineRule="auto"/>
      <w:outlineLvl w:val="0"/>
    </w:pPr>
    <w:rPr>
      <w:b/>
      <w:color w:val="auto"/>
      <w:kern w:val="1"/>
      <w:sz w:val="44"/>
    </w:rPr>
  </w:style>
  <w:style w:type="paragraph" w:styleId="5">
    <w:name w:val="heading 2"/>
    <w:basedOn w:val="1"/>
    <w:next w:val="1"/>
    <w:link w:val="66"/>
    <w:qFormat/>
    <w:uiPriority w:val="0"/>
    <w:pPr>
      <w:keepNext/>
      <w:keepLines/>
      <w:spacing w:before="260" w:beforeLines="0" w:beforeAutospacing="0" w:after="260" w:afterLines="0" w:afterAutospacing="0" w:line="413" w:lineRule="auto"/>
      <w:outlineLvl w:val="1"/>
    </w:pPr>
    <w:rPr>
      <w:rFonts w:ascii="Arial" w:hAnsi="Arial" w:eastAsia="黑体"/>
      <w:b/>
      <w:color w:val="auto"/>
      <w:kern w:val="1"/>
      <w:sz w:val="32"/>
    </w:rPr>
  </w:style>
  <w:style w:type="paragraph" w:styleId="6">
    <w:name w:val="heading 3"/>
    <w:basedOn w:val="1"/>
    <w:next w:val="1"/>
    <w:link w:val="67"/>
    <w:qFormat/>
    <w:uiPriority w:val="0"/>
    <w:pPr>
      <w:tabs>
        <w:tab w:val="left" w:pos="2520"/>
      </w:tabs>
      <w:spacing w:before="0" w:beforeLines="0" w:beforeAutospacing="0" w:after="0" w:afterLines="0" w:afterAutospacing="0" w:line="360" w:lineRule="auto"/>
      <w:ind w:left="0" w:firstLine="422"/>
      <w:outlineLvl w:val="2"/>
    </w:pPr>
    <w:rPr>
      <w:b/>
      <w:color w:val="auto"/>
    </w:rPr>
  </w:style>
  <w:style w:type="paragraph" w:styleId="7">
    <w:name w:val="heading 4"/>
    <w:basedOn w:val="1"/>
    <w:next w:val="1"/>
    <w:link w:val="68"/>
    <w:qFormat/>
    <w:uiPriority w:val="0"/>
    <w:pPr>
      <w:keepNext/>
      <w:keepLines/>
      <w:spacing w:before="280" w:beforeLines="0" w:beforeAutospacing="0" w:after="290" w:afterLines="0" w:afterAutospacing="0" w:line="372" w:lineRule="auto"/>
      <w:outlineLvl w:val="3"/>
    </w:pPr>
    <w:rPr>
      <w:rFonts w:ascii="Arial" w:hAnsi="Arial" w:eastAsia="黑体"/>
      <w:b/>
      <w:color w:val="auto"/>
      <w:kern w:val="1"/>
      <w:sz w:val="28"/>
    </w:rPr>
  </w:style>
  <w:style w:type="paragraph" w:styleId="8">
    <w:name w:val="heading 5"/>
    <w:basedOn w:val="1"/>
    <w:next w:val="1"/>
    <w:link w:val="69"/>
    <w:qFormat/>
    <w:uiPriority w:val="0"/>
    <w:pPr>
      <w:keepNext/>
      <w:keepLines/>
      <w:spacing w:before="280" w:beforeLines="0" w:beforeAutospacing="0" w:after="290" w:afterLines="0" w:afterAutospacing="0" w:line="372" w:lineRule="auto"/>
      <w:outlineLvl w:val="4"/>
    </w:pPr>
    <w:rPr>
      <w:b/>
      <w:color w:val="auto"/>
      <w:kern w:val="1"/>
      <w:sz w:val="28"/>
    </w:rPr>
  </w:style>
  <w:style w:type="paragraph" w:styleId="9">
    <w:name w:val="heading 6"/>
    <w:basedOn w:val="1"/>
    <w:next w:val="1"/>
    <w:link w:val="70"/>
    <w:qFormat/>
    <w:uiPriority w:val="0"/>
    <w:pPr>
      <w:keepNext/>
      <w:keepLines/>
      <w:spacing w:before="240" w:beforeLines="0" w:beforeAutospacing="0" w:after="64" w:afterLines="0" w:afterAutospacing="0" w:line="317" w:lineRule="auto"/>
      <w:outlineLvl w:val="5"/>
    </w:pPr>
    <w:rPr>
      <w:rFonts w:ascii="Arial" w:hAnsi="Arial" w:eastAsia="黑体"/>
      <w:b/>
      <w:color w:val="auto"/>
      <w:kern w:val="1"/>
      <w:sz w:val="24"/>
    </w:rPr>
  </w:style>
  <w:style w:type="paragraph" w:styleId="10">
    <w:name w:val="heading 7"/>
    <w:basedOn w:val="1"/>
    <w:next w:val="1"/>
    <w:link w:val="71"/>
    <w:qFormat/>
    <w:uiPriority w:val="0"/>
    <w:pPr>
      <w:keepNext/>
      <w:keepLines/>
      <w:spacing w:before="240" w:beforeLines="0" w:beforeAutospacing="0" w:after="64" w:afterLines="0" w:afterAutospacing="0" w:line="317" w:lineRule="auto"/>
      <w:outlineLvl w:val="6"/>
    </w:pPr>
    <w:rPr>
      <w:b/>
      <w:color w:val="auto"/>
      <w:kern w:val="1"/>
      <w:sz w:val="24"/>
    </w:rPr>
  </w:style>
  <w:style w:type="paragraph" w:styleId="11">
    <w:name w:val="heading 8"/>
    <w:basedOn w:val="1"/>
    <w:next w:val="1"/>
    <w:link w:val="72"/>
    <w:qFormat/>
    <w:uiPriority w:val="0"/>
    <w:pPr>
      <w:keepNext/>
      <w:keepLines/>
      <w:spacing w:before="240" w:beforeLines="0" w:beforeAutospacing="0" w:after="64" w:afterLines="0" w:afterAutospacing="0" w:line="317" w:lineRule="auto"/>
      <w:outlineLvl w:val="7"/>
    </w:pPr>
    <w:rPr>
      <w:rFonts w:ascii="Arial" w:hAnsi="Arial" w:eastAsia="黑体"/>
      <w:color w:val="auto"/>
      <w:kern w:val="1"/>
      <w:sz w:val="24"/>
    </w:rPr>
  </w:style>
  <w:style w:type="paragraph" w:styleId="12">
    <w:name w:val="heading 9"/>
    <w:basedOn w:val="1"/>
    <w:next w:val="1"/>
    <w:link w:val="73"/>
    <w:qFormat/>
    <w:uiPriority w:val="0"/>
    <w:pPr>
      <w:keepNext/>
      <w:keepLines/>
      <w:spacing w:before="240" w:beforeLines="0" w:beforeAutospacing="0" w:after="64" w:afterLines="0" w:afterAutospacing="0" w:line="317" w:lineRule="auto"/>
      <w:outlineLvl w:val="8"/>
    </w:pPr>
    <w:rPr>
      <w:rFonts w:ascii="Arial" w:hAnsi="Arial" w:eastAsia="黑体"/>
      <w:color w:val="auto"/>
      <w:kern w:val="1"/>
    </w:rPr>
  </w:style>
  <w:style w:type="character" w:default="1" w:styleId="55">
    <w:name w:val="Default Paragraph Font"/>
    <w:uiPriority w:val="0"/>
  </w:style>
  <w:style w:type="table" w:default="1" w:styleId="53">
    <w:name w:val="Normal Table"/>
    <w:semiHidden/>
    <w:qFormat/>
    <w:uiPriority w:val="0"/>
    <w:tblPr>
      <w:tblStyle w:val="53"/>
      <w:tblCellMar>
        <w:top w:w="0" w:type="dxa"/>
        <w:left w:w="108" w:type="dxa"/>
        <w:bottom w:w="0" w:type="dxa"/>
        <w:right w:w="108" w:type="dxa"/>
      </w:tblCellMar>
    </w:tblPr>
  </w:style>
  <w:style w:type="paragraph" w:styleId="2">
    <w:name w:val="Body Text First Indent"/>
    <w:basedOn w:val="3"/>
    <w:next w:val="1"/>
    <w:link w:val="64"/>
    <w:uiPriority w:val="0"/>
    <w:pPr>
      <w:spacing w:after="120"/>
      <w:ind w:firstLine="420" w:firstLineChars="100"/>
      <w:jc w:val="both"/>
    </w:pPr>
    <w:rPr>
      <w:b w:val="0"/>
      <w:sz w:val="21"/>
    </w:rPr>
  </w:style>
  <w:style w:type="paragraph" w:styleId="3">
    <w:name w:val="Body Text"/>
    <w:basedOn w:val="1"/>
    <w:next w:val="2"/>
    <w:link w:val="63"/>
    <w:uiPriority w:val="0"/>
    <w:pPr>
      <w:jc w:val="center"/>
    </w:pPr>
    <w:rPr>
      <w:rFonts w:ascii="宋体" w:hAnsi="宋体"/>
      <w:b/>
      <w:kern w:val="1"/>
      <w:sz w:val="72"/>
    </w:rPr>
  </w:style>
  <w:style w:type="paragraph" w:styleId="13">
    <w:name w:val="toc 7"/>
    <w:basedOn w:val="1"/>
    <w:next w:val="1"/>
    <w:uiPriority w:val="0"/>
    <w:pPr>
      <w:ind w:left="2520"/>
    </w:pPr>
    <w:rPr>
      <w:kern w:val="1"/>
    </w:rPr>
  </w:style>
  <w:style w:type="paragraph" w:styleId="14">
    <w:name w:val="index 8"/>
    <w:basedOn w:val="1"/>
    <w:next w:val="1"/>
    <w:uiPriority w:val="0"/>
    <w:pPr>
      <w:ind w:left="1400"/>
    </w:pPr>
    <w:rPr>
      <w:kern w:val="1"/>
    </w:rPr>
  </w:style>
  <w:style w:type="paragraph" w:styleId="15">
    <w:name w:val="List Number"/>
    <w:basedOn w:val="1"/>
    <w:uiPriority w:val="0"/>
    <w:pPr>
      <w:numPr>
        <w:ilvl w:val="0"/>
        <w:numId w:val="1"/>
      </w:numPr>
      <w:tabs>
        <w:tab w:val="left" w:pos="1455"/>
      </w:tabs>
      <w:ind w:left="420" w:hanging="132"/>
    </w:pPr>
    <w:rPr>
      <w:kern w:val="1"/>
    </w:rPr>
  </w:style>
  <w:style w:type="paragraph" w:styleId="16">
    <w:name w:val="Normal Indent"/>
    <w:basedOn w:val="1"/>
    <w:uiPriority w:val="0"/>
    <w:pPr>
      <w:ind w:firstLine="420"/>
    </w:pPr>
    <w:rPr>
      <w:kern w:val="1"/>
    </w:rPr>
  </w:style>
  <w:style w:type="paragraph" w:styleId="17">
    <w:name w:val="caption"/>
    <w:basedOn w:val="1"/>
    <w:next w:val="1"/>
    <w:qFormat/>
    <w:uiPriority w:val="0"/>
    <w:pPr>
      <w:spacing w:before="152" w:after="160"/>
    </w:pPr>
    <w:rPr>
      <w:rFonts w:ascii="Arial" w:hAnsi="Arial" w:eastAsia="黑体"/>
      <w:sz w:val="20"/>
      <w:szCs w:val="20"/>
    </w:rPr>
  </w:style>
  <w:style w:type="paragraph" w:styleId="18">
    <w:name w:val="index 5"/>
    <w:basedOn w:val="1"/>
    <w:next w:val="1"/>
    <w:uiPriority w:val="0"/>
    <w:pPr>
      <w:ind w:left="800"/>
    </w:pPr>
    <w:rPr>
      <w:kern w:val="1"/>
    </w:rPr>
  </w:style>
  <w:style w:type="paragraph" w:styleId="19">
    <w:name w:val="Document Map"/>
    <w:basedOn w:val="1"/>
    <w:link w:val="74"/>
    <w:uiPriority w:val="0"/>
    <w:pPr>
      <w:shd w:val="clear" w:color="000000" w:fill="00007F"/>
    </w:pPr>
    <w:rPr>
      <w:color w:val="auto"/>
      <w:kern w:val="1"/>
      <w:shd w:val="clear" w:color="auto" w:fill="00007F"/>
    </w:rPr>
  </w:style>
  <w:style w:type="paragraph" w:styleId="20">
    <w:name w:val="annotation text"/>
    <w:basedOn w:val="1"/>
    <w:link w:val="75"/>
    <w:uiPriority w:val="0"/>
    <w:pPr>
      <w:jc w:val="left"/>
    </w:pPr>
    <w:rPr>
      <w:color w:val="auto"/>
      <w:kern w:val="1"/>
    </w:rPr>
  </w:style>
  <w:style w:type="paragraph" w:styleId="21">
    <w:name w:val="index 6"/>
    <w:basedOn w:val="1"/>
    <w:next w:val="1"/>
    <w:uiPriority w:val="0"/>
    <w:pPr>
      <w:ind w:left="1000"/>
    </w:pPr>
    <w:rPr>
      <w:kern w:val="1"/>
    </w:rPr>
  </w:style>
  <w:style w:type="paragraph" w:styleId="22">
    <w:name w:val="Salutation"/>
    <w:basedOn w:val="1"/>
    <w:next w:val="1"/>
    <w:uiPriority w:val="0"/>
    <w:pPr>
      <w:tabs>
        <w:tab w:val="left" w:pos="600"/>
      </w:tabs>
    </w:pPr>
    <w:rPr>
      <w:sz w:val="24"/>
    </w:rPr>
  </w:style>
  <w:style w:type="paragraph" w:styleId="23">
    <w:name w:val="Body Text 3"/>
    <w:basedOn w:val="1"/>
    <w:link w:val="76"/>
    <w:uiPriority w:val="0"/>
    <w:pPr>
      <w:tabs>
        <w:tab w:val="left" w:pos="0"/>
      </w:tabs>
      <w:spacing w:line="360" w:lineRule="auto"/>
    </w:pPr>
    <w:rPr>
      <w:rFonts w:ascii="宋体" w:hAnsi="宋体"/>
      <w:kern w:val="1"/>
    </w:rPr>
  </w:style>
  <w:style w:type="paragraph" w:styleId="24">
    <w:name w:val="Body Text Indent"/>
    <w:basedOn w:val="1"/>
    <w:next w:val="1"/>
    <w:link w:val="77"/>
    <w:uiPriority w:val="0"/>
    <w:pPr>
      <w:ind w:firstLine="420"/>
    </w:pPr>
    <w:rPr>
      <w:color w:val="auto"/>
      <w:kern w:val="1"/>
    </w:rPr>
  </w:style>
  <w:style w:type="paragraph" w:styleId="25">
    <w:name w:val="index 4"/>
    <w:basedOn w:val="1"/>
    <w:next w:val="1"/>
    <w:uiPriority w:val="0"/>
    <w:pPr>
      <w:ind w:left="600"/>
    </w:pPr>
    <w:rPr>
      <w:kern w:val="1"/>
    </w:rPr>
  </w:style>
  <w:style w:type="paragraph" w:styleId="26">
    <w:name w:val="toc 5"/>
    <w:basedOn w:val="1"/>
    <w:next w:val="1"/>
    <w:uiPriority w:val="0"/>
    <w:pPr>
      <w:ind w:left="1680"/>
    </w:pPr>
    <w:rPr>
      <w:kern w:val="1"/>
    </w:rPr>
  </w:style>
  <w:style w:type="paragraph" w:styleId="27">
    <w:name w:val="toc 3"/>
    <w:basedOn w:val="1"/>
    <w:next w:val="1"/>
    <w:uiPriority w:val="39"/>
    <w:pPr>
      <w:ind w:left="840"/>
    </w:pPr>
    <w:rPr>
      <w:kern w:val="1"/>
    </w:rPr>
  </w:style>
  <w:style w:type="paragraph" w:styleId="28">
    <w:name w:val="Plain Text"/>
    <w:basedOn w:val="1"/>
    <w:next w:val="1"/>
    <w:link w:val="78"/>
    <w:qFormat/>
    <w:uiPriority w:val="0"/>
    <w:pPr>
      <w:widowControl/>
      <w:jc w:val="left"/>
    </w:pPr>
    <w:rPr>
      <w:rFonts w:ascii="宋体" w:hAnsi="宋体"/>
      <w:color w:val="auto"/>
    </w:rPr>
  </w:style>
  <w:style w:type="paragraph" w:styleId="29">
    <w:name w:val="toc 8"/>
    <w:basedOn w:val="1"/>
    <w:next w:val="1"/>
    <w:uiPriority w:val="0"/>
    <w:pPr>
      <w:ind w:left="2940"/>
    </w:pPr>
    <w:rPr>
      <w:kern w:val="1"/>
    </w:rPr>
  </w:style>
  <w:style w:type="paragraph" w:styleId="30">
    <w:name w:val="index 3"/>
    <w:basedOn w:val="1"/>
    <w:next w:val="1"/>
    <w:uiPriority w:val="0"/>
    <w:pPr>
      <w:ind w:left="400"/>
    </w:pPr>
    <w:rPr>
      <w:kern w:val="1"/>
    </w:rPr>
  </w:style>
  <w:style w:type="paragraph" w:styleId="31">
    <w:name w:val="Date"/>
    <w:basedOn w:val="1"/>
    <w:next w:val="1"/>
    <w:link w:val="79"/>
    <w:uiPriority w:val="0"/>
    <w:pPr>
      <w:ind w:left="100"/>
    </w:pPr>
    <w:rPr>
      <w:color w:val="auto"/>
      <w:kern w:val="1"/>
    </w:rPr>
  </w:style>
  <w:style w:type="paragraph" w:styleId="32">
    <w:name w:val="Body Text Indent 2"/>
    <w:basedOn w:val="1"/>
    <w:link w:val="80"/>
    <w:uiPriority w:val="0"/>
    <w:pPr>
      <w:spacing w:line="360" w:lineRule="auto"/>
      <w:ind w:firstLine="480"/>
    </w:pPr>
    <w:rPr>
      <w:rFonts w:ascii="宋体" w:hAnsi="宋体" w:eastAsia="新宋体"/>
      <w:color w:val="auto"/>
      <w:kern w:val="1"/>
      <w:sz w:val="24"/>
    </w:rPr>
  </w:style>
  <w:style w:type="paragraph" w:styleId="33">
    <w:name w:val="Balloon Text"/>
    <w:basedOn w:val="1"/>
    <w:link w:val="81"/>
    <w:uiPriority w:val="0"/>
    <w:rPr>
      <w:color w:val="auto"/>
      <w:kern w:val="1"/>
      <w:sz w:val="18"/>
    </w:rPr>
  </w:style>
  <w:style w:type="paragraph" w:styleId="34">
    <w:name w:val="footer"/>
    <w:basedOn w:val="1"/>
    <w:link w:val="82"/>
    <w:uiPriority w:val="0"/>
    <w:pPr>
      <w:widowControl/>
      <w:tabs>
        <w:tab w:val="center" w:pos="4153"/>
        <w:tab w:val="right" w:pos="8306"/>
      </w:tabs>
      <w:jc w:val="left"/>
    </w:pPr>
    <w:rPr>
      <w:color w:val="auto"/>
      <w:sz w:val="18"/>
    </w:rPr>
  </w:style>
  <w:style w:type="paragraph" w:styleId="35">
    <w:name w:val="header"/>
    <w:basedOn w:val="1"/>
    <w:link w:val="83"/>
    <w:uiPriority w:val="0"/>
    <w:pPr>
      <w:widowControl/>
      <w:pBdr>
        <w:bottom w:val="single" w:color="000000" w:sz="6" w:space="1"/>
      </w:pBdr>
      <w:tabs>
        <w:tab w:val="center" w:pos="4153"/>
        <w:tab w:val="right" w:pos="8306"/>
      </w:tabs>
      <w:jc w:val="center"/>
    </w:pPr>
    <w:rPr>
      <w:color w:val="auto"/>
      <w:sz w:val="18"/>
    </w:rPr>
  </w:style>
  <w:style w:type="paragraph" w:styleId="36">
    <w:name w:val="toc 1"/>
    <w:basedOn w:val="1"/>
    <w:next w:val="1"/>
    <w:uiPriority w:val="39"/>
    <w:pPr>
      <w:tabs>
        <w:tab w:val="right" w:leader="dot" w:pos="9127"/>
      </w:tabs>
      <w:spacing w:line="360" w:lineRule="auto"/>
      <w:ind w:left="-4" w:firstLine="3"/>
      <w:jc w:val="center"/>
    </w:pPr>
    <w:rPr>
      <w:rFonts w:ascii="黑体" w:hAnsi="黑体" w:eastAsia="黑体"/>
      <w:kern w:val="1"/>
      <w:sz w:val="30"/>
    </w:rPr>
  </w:style>
  <w:style w:type="paragraph" w:styleId="37">
    <w:name w:val="toc 4"/>
    <w:basedOn w:val="1"/>
    <w:next w:val="1"/>
    <w:uiPriority w:val="0"/>
    <w:pPr>
      <w:ind w:left="1260"/>
    </w:pPr>
    <w:rPr>
      <w:kern w:val="1"/>
    </w:rPr>
  </w:style>
  <w:style w:type="paragraph" w:styleId="38">
    <w:name w:val="index heading"/>
    <w:basedOn w:val="1"/>
    <w:next w:val="39"/>
    <w:uiPriority w:val="0"/>
    <w:rPr>
      <w:kern w:val="1"/>
    </w:rPr>
  </w:style>
  <w:style w:type="paragraph" w:styleId="39">
    <w:name w:val="index 1"/>
    <w:basedOn w:val="1"/>
    <w:next w:val="1"/>
    <w:uiPriority w:val="0"/>
    <w:pPr>
      <w:spacing w:line="560" w:lineRule="exact"/>
    </w:pPr>
    <w:rPr>
      <w:kern w:val="1"/>
      <w:sz w:val="28"/>
    </w:rPr>
  </w:style>
  <w:style w:type="paragraph" w:styleId="40">
    <w:name w:val="toc 6"/>
    <w:basedOn w:val="1"/>
    <w:next w:val="1"/>
    <w:uiPriority w:val="0"/>
    <w:pPr>
      <w:ind w:left="2100"/>
    </w:pPr>
    <w:rPr>
      <w:kern w:val="1"/>
    </w:rPr>
  </w:style>
  <w:style w:type="paragraph" w:styleId="41">
    <w:name w:val="Body Text Indent 3"/>
    <w:basedOn w:val="1"/>
    <w:link w:val="84"/>
    <w:uiPriority w:val="0"/>
    <w:pPr>
      <w:spacing w:before="100" w:beforeLines="0" w:beforeAutospacing="0" w:line="360" w:lineRule="auto"/>
      <w:ind w:firstLine="560"/>
    </w:pPr>
    <w:rPr>
      <w:color w:val="auto"/>
      <w:kern w:val="1"/>
      <w:sz w:val="28"/>
    </w:rPr>
  </w:style>
  <w:style w:type="paragraph" w:styleId="42">
    <w:name w:val="index 7"/>
    <w:basedOn w:val="1"/>
    <w:next w:val="1"/>
    <w:uiPriority w:val="0"/>
    <w:pPr>
      <w:ind w:left="1200"/>
    </w:pPr>
    <w:rPr>
      <w:kern w:val="1"/>
    </w:rPr>
  </w:style>
  <w:style w:type="paragraph" w:styleId="43">
    <w:name w:val="index 9"/>
    <w:basedOn w:val="1"/>
    <w:next w:val="1"/>
    <w:uiPriority w:val="0"/>
    <w:pPr>
      <w:ind w:left="1600"/>
    </w:pPr>
    <w:rPr>
      <w:kern w:val="1"/>
    </w:rPr>
  </w:style>
  <w:style w:type="paragraph" w:styleId="44">
    <w:name w:val="table of figures"/>
    <w:basedOn w:val="1"/>
    <w:next w:val="1"/>
    <w:uiPriority w:val="0"/>
    <w:pPr>
      <w:spacing w:line="560" w:lineRule="exact"/>
    </w:pPr>
    <w:rPr>
      <w:b/>
      <w:kern w:val="1"/>
      <w:sz w:val="28"/>
    </w:rPr>
  </w:style>
  <w:style w:type="paragraph" w:styleId="45">
    <w:name w:val="toc 2"/>
    <w:basedOn w:val="1"/>
    <w:next w:val="1"/>
    <w:uiPriority w:val="39"/>
    <w:pPr>
      <w:ind w:left="420"/>
    </w:pPr>
    <w:rPr>
      <w:kern w:val="1"/>
    </w:rPr>
  </w:style>
  <w:style w:type="paragraph" w:styleId="46">
    <w:name w:val="toc 9"/>
    <w:basedOn w:val="1"/>
    <w:next w:val="1"/>
    <w:uiPriority w:val="0"/>
    <w:pPr>
      <w:ind w:left="3360"/>
    </w:pPr>
    <w:rPr>
      <w:kern w:val="1"/>
    </w:rPr>
  </w:style>
  <w:style w:type="paragraph" w:styleId="47">
    <w:name w:val="Body Text 2"/>
    <w:basedOn w:val="1"/>
    <w:link w:val="85"/>
    <w:uiPriority w:val="0"/>
    <w:pPr>
      <w:spacing w:line="460" w:lineRule="exact"/>
    </w:pPr>
    <w:rPr>
      <w:rFonts w:ascii="宋体" w:hAnsi="宋体"/>
      <w:color w:val="auto"/>
      <w:kern w:val="1"/>
      <w:sz w:val="24"/>
    </w:rPr>
  </w:style>
  <w:style w:type="paragraph" w:styleId="48">
    <w:name w:val="Normal (Web)"/>
    <w:basedOn w:val="1"/>
    <w:uiPriority w:val="0"/>
    <w:pPr>
      <w:widowControl/>
      <w:spacing w:before="100" w:beforeLines="0" w:beforeAutospacing="1" w:after="100" w:afterLines="0" w:afterAutospacing="1"/>
      <w:jc w:val="left"/>
    </w:pPr>
    <w:rPr>
      <w:rFonts w:ascii="宋体" w:hAnsi="宋体"/>
      <w:sz w:val="24"/>
    </w:rPr>
  </w:style>
  <w:style w:type="paragraph" w:styleId="49">
    <w:name w:val="index 2"/>
    <w:basedOn w:val="1"/>
    <w:next w:val="1"/>
    <w:uiPriority w:val="0"/>
    <w:pPr>
      <w:spacing w:line="560" w:lineRule="exact"/>
      <w:ind w:left="200"/>
    </w:pPr>
    <w:rPr>
      <w:kern w:val="1"/>
      <w:sz w:val="28"/>
    </w:rPr>
  </w:style>
  <w:style w:type="paragraph" w:styleId="50">
    <w:name w:val="annotation subject"/>
    <w:basedOn w:val="20"/>
    <w:next w:val="20"/>
    <w:link w:val="86"/>
    <w:uiPriority w:val="0"/>
    <w:rPr>
      <w:b/>
    </w:rPr>
  </w:style>
  <w:style w:type="paragraph" w:styleId="51">
    <w:name w:val="Body Text First Indent 2"/>
    <w:basedOn w:val="24"/>
    <w:next w:val="52"/>
    <w:qFormat/>
    <w:uiPriority w:val="0"/>
    <w:pPr>
      <w:spacing w:after="120" w:line="240" w:lineRule="auto"/>
      <w:ind w:left="420" w:leftChars="200" w:firstLine="420"/>
    </w:pPr>
    <w:rPr>
      <w:shd w:val="clear" w:color="auto" w:fill="auto"/>
    </w:rPr>
  </w:style>
  <w:style w:type="paragraph" w:customStyle="1" w:styleId="52">
    <w:name w:val="xl53"/>
    <w:basedOn w:val="1"/>
    <w:next w:val="1"/>
    <w:qFormat/>
    <w:uiPriority w:val="0"/>
    <w:pPr>
      <w:spacing w:before="280" w:after="280" w:line="100" w:lineRule="exact"/>
      <w:jc w:val="center"/>
    </w:pPr>
    <w:rPr>
      <w:b/>
      <w:sz w:val="20"/>
    </w:rPr>
  </w:style>
  <w:style w:type="table" w:styleId="54">
    <w:name w:val="Table Grid"/>
    <w:basedOn w:val="53"/>
    <w:uiPriority w:val="0"/>
    <w:tblPr>
      <w:tblStyle w:val="5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6">
    <w:name w:val="Strong"/>
    <w:qFormat/>
    <w:uiPriority w:val="0"/>
    <w:rPr>
      <w:b/>
    </w:rPr>
  </w:style>
  <w:style w:type="character" w:styleId="57">
    <w:name w:val="page number"/>
    <w:basedOn w:val="55"/>
    <w:uiPriority w:val="0"/>
  </w:style>
  <w:style w:type="character" w:styleId="58">
    <w:name w:val="FollowedHyperlink"/>
    <w:uiPriority w:val="0"/>
    <w:rPr>
      <w:color w:val="333232"/>
      <w:u w:val="none"/>
    </w:rPr>
  </w:style>
  <w:style w:type="character" w:styleId="59">
    <w:name w:val="Emphasis"/>
    <w:qFormat/>
    <w:uiPriority w:val="0"/>
    <w:rPr>
      <w:i/>
    </w:rPr>
  </w:style>
  <w:style w:type="character" w:styleId="60">
    <w:name w:val="HTML Typewriter"/>
    <w:uiPriority w:val="0"/>
    <w:rPr>
      <w:rFonts w:ascii="Courier New" w:hAnsi="Courier New"/>
      <w:sz w:val="20"/>
    </w:rPr>
  </w:style>
  <w:style w:type="character" w:styleId="61">
    <w:name w:val="Hyperlink"/>
    <w:uiPriority w:val="0"/>
    <w:rPr>
      <w:color w:val="333232"/>
      <w:u w:val="none"/>
    </w:rPr>
  </w:style>
  <w:style w:type="character" w:styleId="62">
    <w:name w:val="annotation reference"/>
    <w:uiPriority w:val="0"/>
    <w:rPr>
      <w:sz w:val="21"/>
    </w:rPr>
  </w:style>
  <w:style w:type="character" w:customStyle="1" w:styleId="63">
    <w:name w:val="正文文本 字符"/>
    <w:link w:val="3"/>
    <w:uiPriority w:val="0"/>
    <w:rPr>
      <w:rFonts w:ascii="宋体" w:hAnsi="宋体"/>
      <w:b/>
      <w:color w:val="000000"/>
      <w:kern w:val="1"/>
      <w:sz w:val="72"/>
    </w:rPr>
  </w:style>
  <w:style w:type="character" w:customStyle="1" w:styleId="64">
    <w:name w:val="正文文本首行缩进 字符"/>
    <w:link w:val="2"/>
    <w:uiPriority w:val="0"/>
    <w:rPr>
      <w:rFonts w:ascii="宋体" w:hAnsi="宋体"/>
      <w:color w:val="000000"/>
      <w:kern w:val="1"/>
      <w:sz w:val="21"/>
    </w:rPr>
  </w:style>
  <w:style w:type="character" w:customStyle="1" w:styleId="65">
    <w:name w:val="标题 1 字符"/>
    <w:link w:val="4"/>
    <w:uiPriority w:val="0"/>
    <w:rPr>
      <w:b/>
      <w:kern w:val="1"/>
      <w:sz w:val="44"/>
    </w:rPr>
  </w:style>
  <w:style w:type="character" w:customStyle="1" w:styleId="66">
    <w:name w:val="标题 2 字符"/>
    <w:link w:val="5"/>
    <w:uiPriority w:val="0"/>
    <w:rPr>
      <w:rFonts w:ascii="Arial" w:hAnsi="Arial" w:eastAsia="黑体"/>
      <w:b/>
      <w:kern w:val="1"/>
      <w:sz w:val="32"/>
    </w:rPr>
  </w:style>
  <w:style w:type="character" w:customStyle="1" w:styleId="67">
    <w:name w:val="标题 3 字符"/>
    <w:link w:val="6"/>
    <w:uiPriority w:val="0"/>
    <w:rPr>
      <w:rFonts w:eastAsia="宋体"/>
      <w:b/>
      <w:sz w:val="21"/>
      <w:lang w:val="en-US" w:eastAsia="zh-CN"/>
    </w:rPr>
  </w:style>
  <w:style w:type="character" w:customStyle="1" w:styleId="68">
    <w:name w:val="标题 4 字符"/>
    <w:link w:val="7"/>
    <w:uiPriority w:val="0"/>
    <w:rPr>
      <w:rFonts w:ascii="Arial" w:hAnsi="Arial" w:eastAsia="黑体"/>
      <w:b/>
      <w:kern w:val="1"/>
      <w:sz w:val="28"/>
    </w:rPr>
  </w:style>
  <w:style w:type="character" w:customStyle="1" w:styleId="69">
    <w:name w:val="标题 5 字符"/>
    <w:link w:val="8"/>
    <w:uiPriority w:val="0"/>
    <w:rPr>
      <w:b/>
      <w:kern w:val="1"/>
      <w:sz w:val="28"/>
    </w:rPr>
  </w:style>
  <w:style w:type="character" w:customStyle="1" w:styleId="70">
    <w:name w:val="标题 6 字符"/>
    <w:link w:val="9"/>
    <w:uiPriority w:val="0"/>
    <w:rPr>
      <w:rFonts w:ascii="Arial" w:hAnsi="Arial" w:eastAsia="黑体"/>
      <w:b/>
      <w:kern w:val="1"/>
      <w:sz w:val="24"/>
    </w:rPr>
  </w:style>
  <w:style w:type="character" w:customStyle="1" w:styleId="71">
    <w:name w:val="标题 7 字符"/>
    <w:link w:val="10"/>
    <w:uiPriority w:val="0"/>
    <w:rPr>
      <w:b/>
      <w:kern w:val="1"/>
      <w:sz w:val="24"/>
    </w:rPr>
  </w:style>
  <w:style w:type="character" w:customStyle="1" w:styleId="72">
    <w:name w:val="标题 8 字符"/>
    <w:link w:val="11"/>
    <w:uiPriority w:val="0"/>
    <w:rPr>
      <w:rFonts w:ascii="Arial" w:hAnsi="Arial" w:eastAsia="黑体"/>
      <w:kern w:val="1"/>
      <w:sz w:val="24"/>
    </w:rPr>
  </w:style>
  <w:style w:type="character" w:customStyle="1" w:styleId="73">
    <w:name w:val="标题 9 字符"/>
    <w:link w:val="12"/>
    <w:uiPriority w:val="0"/>
    <w:rPr>
      <w:rFonts w:ascii="Arial" w:hAnsi="Arial" w:eastAsia="黑体"/>
      <w:kern w:val="1"/>
      <w:sz w:val="21"/>
    </w:rPr>
  </w:style>
  <w:style w:type="character" w:customStyle="1" w:styleId="74">
    <w:name w:val="文档结构图 字符"/>
    <w:link w:val="19"/>
    <w:uiPriority w:val="0"/>
    <w:rPr>
      <w:kern w:val="1"/>
      <w:sz w:val="21"/>
      <w:shd w:val="clear" w:color="auto" w:fill="00007F"/>
    </w:rPr>
  </w:style>
  <w:style w:type="character" w:customStyle="1" w:styleId="75">
    <w:name w:val="批注文字 字符"/>
    <w:link w:val="20"/>
    <w:uiPriority w:val="0"/>
    <w:rPr>
      <w:kern w:val="1"/>
      <w:sz w:val="21"/>
    </w:rPr>
  </w:style>
  <w:style w:type="character" w:customStyle="1" w:styleId="76">
    <w:name w:val="正文文本 3 字符"/>
    <w:link w:val="23"/>
    <w:uiPriority w:val="0"/>
    <w:rPr>
      <w:rFonts w:ascii="宋体" w:hAnsi="宋体"/>
      <w:color w:val="000000"/>
      <w:kern w:val="1"/>
      <w:sz w:val="21"/>
    </w:rPr>
  </w:style>
  <w:style w:type="character" w:customStyle="1" w:styleId="77">
    <w:name w:val="正文文本缩进 字符"/>
    <w:link w:val="24"/>
    <w:uiPriority w:val="0"/>
    <w:rPr>
      <w:kern w:val="1"/>
      <w:sz w:val="21"/>
    </w:rPr>
  </w:style>
  <w:style w:type="character" w:customStyle="1" w:styleId="78">
    <w:name w:val="纯文本 字符"/>
    <w:link w:val="28"/>
    <w:uiPriority w:val="0"/>
    <w:rPr>
      <w:rFonts w:ascii="宋体" w:hAnsi="宋体" w:eastAsia="宋体"/>
      <w:sz w:val="21"/>
      <w:lang w:val="en-US" w:eastAsia="zh-CN"/>
    </w:rPr>
  </w:style>
  <w:style w:type="character" w:customStyle="1" w:styleId="79">
    <w:name w:val="日期 字符"/>
    <w:link w:val="31"/>
    <w:uiPriority w:val="0"/>
    <w:rPr>
      <w:kern w:val="1"/>
      <w:sz w:val="21"/>
    </w:rPr>
  </w:style>
  <w:style w:type="character" w:customStyle="1" w:styleId="80">
    <w:name w:val="正文文本缩进 2 字符"/>
    <w:link w:val="32"/>
    <w:uiPriority w:val="0"/>
    <w:rPr>
      <w:rFonts w:ascii="宋体" w:hAnsi="宋体" w:eastAsia="新宋体"/>
      <w:kern w:val="1"/>
      <w:sz w:val="24"/>
    </w:rPr>
  </w:style>
  <w:style w:type="character" w:customStyle="1" w:styleId="81">
    <w:name w:val="批注框文本 字符"/>
    <w:link w:val="33"/>
    <w:uiPriority w:val="0"/>
    <w:rPr>
      <w:kern w:val="1"/>
      <w:sz w:val="18"/>
    </w:rPr>
  </w:style>
  <w:style w:type="character" w:customStyle="1" w:styleId="82">
    <w:name w:val="页脚 字符"/>
    <w:link w:val="34"/>
    <w:uiPriority w:val="0"/>
    <w:rPr>
      <w:sz w:val="18"/>
    </w:rPr>
  </w:style>
  <w:style w:type="character" w:customStyle="1" w:styleId="83">
    <w:name w:val="页眉 字符"/>
    <w:link w:val="35"/>
    <w:uiPriority w:val="0"/>
    <w:rPr>
      <w:sz w:val="18"/>
    </w:rPr>
  </w:style>
  <w:style w:type="character" w:customStyle="1" w:styleId="84">
    <w:name w:val="正文文本缩进 3 字符"/>
    <w:link w:val="41"/>
    <w:uiPriority w:val="0"/>
    <w:rPr>
      <w:kern w:val="1"/>
      <w:sz w:val="28"/>
    </w:rPr>
  </w:style>
  <w:style w:type="character" w:customStyle="1" w:styleId="85">
    <w:name w:val="正文文本 2 字符"/>
    <w:link w:val="47"/>
    <w:uiPriority w:val="0"/>
    <w:rPr>
      <w:rFonts w:ascii="宋体" w:hAnsi="宋体"/>
      <w:kern w:val="1"/>
      <w:sz w:val="24"/>
    </w:rPr>
  </w:style>
  <w:style w:type="character" w:customStyle="1" w:styleId="86">
    <w:name w:val="批注主题 字符"/>
    <w:link w:val="50"/>
    <w:uiPriority w:val="0"/>
    <w:rPr>
      <w:b/>
      <w:kern w:val="1"/>
      <w:sz w:val="21"/>
    </w:rPr>
  </w:style>
  <w:style w:type="paragraph" w:customStyle="1" w:styleId="87">
    <w:name w:val="首行缩进"/>
    <w:basedOn w:val="1"/>
    <w:qFormat/>
    <w:uiPriority w:val="0"/>
    <w:pPr>
      <w:spacing w:line="360" w:lineRule="auto"/>
      <w:ind w:firstLine="480" w:firstLineChars="200"/>
    </w:pPr>
    <w:rPr>
      <w:rFonts w:ascii="Times New Roman" w:hAnsi="Times New Roman"/>
      <w:sz w:val="24"/>
      <w:lang w:val="zh-CN"/>
    </w:rPr>
  </w:style>
  <w:style w:type="character" w:customStyle="1" w:styleId="88">
    <w:name w:val="zbggmain style9"/>
    <w:uiPriority w:val="0"/>
    <w:rPr>
      <w:rFonts w:ascii="Tahoma" w:hAnsi="Tahoma"/>
      <w:szCs w:val="20"/>
    </w:rPr>
  </w:style>
  <w:style w:type="character" w:customStyle="1" w:styleId="89">
    <w:name w:val="纯文本 Char"/>
    <w:qFormat/>
    <w:uiPriority w:val="0"/>
    <w:rPr>
      <w:rFonts w:ascii="宋体" w:hAnsi="Courier New"/>
      <w:kern w:val="2"/>
      <w:sz w:val="24"/>
    </w:rPr>
  </w:style>
  <w:style w:type="character" w:customStyle="1" w:styleId="90">
    <w:name w:val="Char Char"/>
    <w:uiPriority w:val="0"/>
    <w:rPr>
      <w:rFonts w:eastAsia="宋体"/>
      <w:kern w:val="1"/>
      <w:sz w:val="21"/>
      <w:lang w:val="en-US" w:eastAsia="zh-CN"/>
    </w:rPr>
  </w:style>
  <w:style w:type="character" w:customStyle="1" w:styleId="91">
    <w:name w:val="普通文字 Char Char1"/>
    <w:aliases w:val="纯文本 Char Char Char,纯文本 Char Char1,普通文字 Char Char Char1,Texte Char,普通文字 Char1,普通文字 Char Char Char Char1,普通文字 Char Char Char Char Char,0921 Char,小 Char,普通文字1 Char,一般文字 字元 Char,一般文字 字元 字元 字元 字元 Char,一般文字 字元 字元 字元 字元 字元 字元 字元 字元 Char"/>
    <w:uiPriority w:val="0"/>
    <w:rPr>
      <w:rFonts w:ascii="宋体" w:hAnsi="宋体" w:eastAsia="宋体"/>
      <w:kern w:val="1"/>
      <w:sz w:val="24"/>
      <w:lang w:val="en-US" w:eastAsia="zh-CN"/>
    </w:rPr>
  </w:style>
  <w:style w:type="character" w:customStyle="1" w:styleId="92">
    <w:name w:val="Char Char Char Char Char"/>
    <w:uiPriority w:val="0"/>
    <w:rPr>
      <w:rFonts w:ascii="宋体" w:hAnsi="宋体" w:eastAsia="宋体"/>
      <w:kern w:val="1"/>
      <w:sz w:val="21"/>
      <w:lang w:val="en-US" w:eastAsia="zh-CN"/>
    </w:rPr>
  </w:style>
  <w:style w:type="character" w:customStyle="1" w:styleId="93">
    <w:name w:val="hover28"/>
    <w:uiPriority w:val="0"/>
    <w:rPr>
      <w:color w:val="FF0000"/>
    </w:rPr>
  </w:style>
  <w:style w:type="character" w:customStyle="1" w:styleId="94">
    <w:name w:val="f12"/>
    <w:basedOn w:val="55"/>
    <w:uiPriority w:val="0"/>
  </w:style>
  <w:style w:type="character" w:customStyle="1" w:styleId="95">
    <w:name w:val="content"/>
    <w:basedOn w:val="55"/>
    <w:uiPriority w:val="0"/>
  </w:style>
  <w:style w:type="character" w:customStyle="1" w:styleId="96">
    <w:name w:val="15"/>
    <w:uiPriority w:val="0"/>
    <w:rPr>
      <w:rFonts w:hint="default" w:ascii="Times New Roman" w:hAnsi="Times New Roman"/>
    </w:rPr>
  </w:style>
  <w:style w:type="character" w:customStyle="1" w:styleId="97">
    <w:name w:val="hover29"/>
    <w:uiPriority w:val="0"/>
    <w:rPr>
      <w:color w:val="FF0000"/>
    </w:rPr>
  </w:style>
  <w:style w:type="character" w:customStyle="1" w:styleId="98">
    <w:name w:val="apple-style-span"/>
    <w:basedOn w:val="55"/>
    <w:uiPriority w:val="0"/>
  </w:style>
  <w:style w:type="character" w:customStyle="1" w:styleId="99">
    <w:name w:val="orange"/>
    <w:uiPriority w:val="0"/>
    <w:rPr>
      <w:color w:val="E04D01"/>
    </w:rPr>
  </w:style>
  <w:style w:type="character" w:styleId="100">
    <w:name w:val=""/>
    <w:unhideWhenUsed/>
    <w:uiPriority w:val="99"/>
    <w:rPr>
      <w:color w:val="605E5C"/>
      <w:shd w:val="clear" w:color="auto" w:fill="E1DFDD"/>
    </w:rPr>
  </w:style>
  <w:style w:type="character" w:customStyle="1" w:styleId="101">
    <w:name w:val="gray"/>
    <w:uiPriority w:val="0"/>
    <w:rPr>
      <w:b/>
      <w:color w:val="424242"/>
      <w:sz w:val="21"/>
    </w:rPr>
  </w:style>
  <w:style w:type="character" w:customStyle="1" w:styleId="102">
    <w:name w:val="标准正文 Char"/>
    <w:link w:val="103"/>
    <w:uiPriority w:val="0"/>
    <w:rPr>
      <w:rFonts w:ascii="宋体"/>
      <w:kern w:val="2"/>
      <w:sz w:val="24"/>
      <w:szCs w:val="21"/>
    </w:rPr>
  </w:style>
  <w:style w:type="paragraph" w:customStyle="1" w:styleId="103">
    <w:name w:val="标准正文"/>
    <w:basedOn w:val="1"/>
    <w:link w:val="102"/>
    <w:qFormat/>
    <w:uiPriority w:val="0"/>
    <w:pPr>
      <w:adjustRightInd w:val="0"/>
      <w:snapToGrid w:val="0"/>
      <w:spacing w:line="360" w:lineRule="auto"/>
      <w:jc w:val="left"/>
    </w:pPr>
    <w:rPr>
      <w:rFonts w:ascii="宋体"/>
      <w:color w:val="auto"/>
      <w:kern w:val="2"/>
      <w:sz w:val="24"/>
      <w:szCs w:val="21"/>
    </w:rPr>
  </w:style>
  <w:style w:type="character" w:customStyle="1" w:styleId="104">
    <w:name w:val="z-窗体顶端 字符"/>
    <w:link w:val="105"/>
    <w:uiPriority w:val="0"/>
    <w:rPr>
      <w:kern w:val="1"/>
      <w:sz w:val="21"/>
    </w:rPr>
  </w:style>
  <w:style w:type="paragraph" w:styleId="105">
    <w:name w:val=""/>
    <w:basedOn w:val="1"/>
    <w:next w:val="1"/>
    <w:link w:val="104"/>
    <w:uiPriority w:val="0"/>
    <w:rPr>
      <w:color w:val="auto"/>
      <w:kern w:val="1"/>
    </w:rPr>
  </w:style>
  <w:style w:type="character" w:customStyle="1" w:styleId="106">
    <w:name w:val="无间隔 字符"/>
    <w:link w:val="107"/>
    <w:uiPriority w:val="0"/>
    <w:rPr>
      <w:sz w:val="22"/>
      <w:lang w:val="en-US" w:eastAsia="zh-CN" w:bidi="ar-SA"/>
    </w:rPr>
  </w:style>
  <w:style w:type="paragraph" w:styleId="107">
    <w:name w:val="No Spacing"/>
    <w:link w:val="106"/>
    <w:qFormat/>
    <w:uiPriority w:val="0"/>
    <w:rPr>
      <w:sz w:val="22"/>
      <w:lang w:val="en-US" w:eastAsia="zh-CN" w:bidi="ar-SA"/>
    </w:rPr>
  </w:style>
  <w:style w:type="character" w:customStyle="1" w:styleId="108">
    <w:name w:val="表内五号sj2 Char"/>
    <w:link w:val="109"/>
    <w:uiPriority w:val="0"/>
    <w:rPr>
      <w:rFonts w:ascii="Times New Roman" w:hAnsi="Times New Roman" w:eastAsia="宋体"/>
      <w:color w:val="000000"/>
      <w:sz w:val="21"/>
      <w:lang w:val="zh-CN" w:eastAsia="zh-CN"/>
    </w:rPr>
  </w:style>
  <w:style w:type="paragraph" w:customStyle="1" w:styleId="109">
    <w:name w:val="表内五号sj2"/>
    <w:basedOn w:val="1"/>
    <w:link w:val="108"/>
    <w:uiPriority w:val="0"/>
    <w:pPr>
      <w:spacing w:before="20" w:beforeLines="0" w:beforeAutospacing="0" w:after="20" w:afterLines="0" w:afterAutospacing="0" w:line="380" w:lineRule="exact"/>
      <w:ind w:firstLine="200"/>
    </w:pPr>
    <w:rPr>
      <w:rFonts w:ascii="Times New Roman" w:hAnsi="Times New Roman"/>
      <w:lang w:val="zh-CN"/>
    </w:rPr>
  </w:style>
  <w:style w:type="character" w:customStyle="1" w:styleId="110">
    <w:name w:val="缩进正文 Char"/>
    <w:link w:val="111"/>
    <w:uiPriority w:val="0"/>
    <w:rPr>
      <w:rFonts w:ascii="宋体"/>
      <w:kern w:val="2"/>
      <w:sz w:val="24"/>
      <w:szCs w:val="21"/>
    </w:rPr>
  </w:style>
  <w:style w:type="paragraph" w:customStyle="1" w:styleId="111">
    <w:name w:val="缩进正文"/>
    <w:basedOn w:val="1"/>
    <w:link w:val="110"/>
    <w:qFormat/>
    <w:uiPriority w:val="0"/>
    <w:pPr>
      <w:adjustRightInd w:val="0"/>
      <w:snapToGrid w:val="0"/>
      <w:spacing w:line="360" w:lineRule="auto"/>
      <w:ind w:firstLine="200" w:firstLineChars="200"/>
      <w:jc w:val="left"/>
    </w:pPr>
    <w:rPr>
      <w:rFonts w:ascii="宋体"/>
      <w:color w:val="auto"/>
      <w:kern w:val="2"/>
      <w:sz w:val="24"/>
      <w:szCs w:val="21"/>
    </w:rPr>
  </w:style>
  <w:style w:type="character" w:customStyle="1" w:styleId="112">
    <w:name w:val="font41"/>
    <w:uiPriority w:val="0"/>
    <w:rPr>
      <w:rFonts w:ascii="宋体" w:hAnsi="宋体" w:eastAsia="宋体"/>
      <w:color w:val="000000"/>
      <w:sz w:val="21"/>
      <w:u w:val="none"/>
    </w:rPr>
  </w:style>
  <w:style w:type="character" w:customStyle="1" w:styleId="113">
    <w:name w:val="10"/>
    <w:uiPriority w:val="0"/>
    <w:rPr>
      <w:rFonts w:hint="default" w:ascii="Times New Roman" w:hAnsi="Times New Roman"/>
    </w:rPr>
  </w:style>
  <w:style w:type="character" w:customStyle="1" w:styleId="114">
    <w:name w:val="font21"/>
    <w:uiPriority w:val="0"/>
    <w:rPr>
      <w:rFonts w:ascii="Calibri" w:hAnsi="Calibri"/>
      <w:color w:val="000000"/>
      <w:sz w:val="21"/>
      <w:u w:val="none"/>
    </w:rPr>
  </w:style>
  <w:style w:type="character" w:customStyle="1" w:styleId="115">
    <w:name w:val="纯文本 Char1"/>
    <w:aliases w:val="一般文字 字元 字元 字元 字元 字元 字元 字元 Char"/>
    <w:qFormat/>
    <w:uiPriority w:val="0"/>
    <w:rPr>
      <w:rFonts w:ascii="宋体" w:hAnsi="宋体" w:eastAsia="宋体"/>
      <w:kern w:val="0"/>
    </w:rPr>
  </w:style>
  <w:style w:type="character" w:customStyle="1" w:styleId="116">
    <w:name w:val="font11"/>
    <w:uiPriority w:val="0"/>
    <w:rPr>
      <w:rFonts w:hint="eastAsia" w:ascii="宋体" w:hAnsi="宋体" w:eastAsia="宋体" w:cs="宋体"/>
      <w:color w:val="000000"/>
      <w:sz w:val="28"/>
      <w:szCs w:val="28"/>
      <w:u w:val="none"/>
    </w:rPr>
  </w:style>
  <w:style w:type="character" w:customStyle="1" w:styleId="117">
    <w:name w:val=" Char Char"/>
    <w:link w:val="118"/>
    <w:uiPriority w:val="0"/>
    <w:rPr>
      <w:rFonts w:eastAsia="宋体"/>
      <w:kern w:val="1"/>
      <w:sz w:val="21"/>
      <w:lang w:val="en-US" w:eastAsia="zh-CN"/>
    </w:rPr>
  </w:style>
  <w:style w:type="paragraph" w:customStyle="1" w:styleId="118">
    <w:name w:val=" Char"/>
    <w:basedOn w:val="1"/>
    <w:link w:val="117"/>
    <w:uiPriority w:val="0"/>
    <w:pPr>
      <w:widowControl/>
      <w:spacing w:after="160" w:afterLines="0" w:afterAutospacing="0" w:line="240" w:lineRule="exact"/>
      <w:jc w:val="left"/>
    </w:pPr>
    <w:rPr>
      <w:color w:val="auto"/>
      <w:kern w:val="1"/>
    </w:rPr>
  </w:style>
  <w:style w:type="paragraph" w:customStyle="1" w:styleId="119">
    <w:name w:val="_Style 85"/>
    <w:basedOn w:val="3"/>
    <w:next w:val="2"/>
    <w:qFormat/>
    <w:uiPriority w:val="0"/>
    <w:pPr>
      <w:spacing w:line="520" w:lineRule="exact"/>
      <w:ind w:firstLine="420" w:firstLineChars="100"/>
      <w:jc w:val="both"/>
    </w:pPr>
    <w:rPr>
      <w:rFonts w:ascii="Times New Roman" w:hAnsi="Times New Roman"/>
      <w:b w:val="0"/>
      <w:color w:val="auto"/>
      <w:kern w:val="2"/>
      <w:sz w:val="24"/>
      <w:szCs w:val="24"/>
    </w:rPr>
  </w:style>
  <w:style w:type="paragraph" w:customStyle="1" w:styleId="120">
    <w:name w:val=" Char Char Char"/>
    <w:basedOn w:val="1"/>
    <w:uiPriority w:val="0"/>
    <w:rPr>
      <w:rFonts w:ascii="Tahoma" w:hAnsi="Tahoma"/>
      <w:kern w:val="1"/>
      <w:sz w:val="24"/>
    </w:rPr>
  </w:style>
  <w:style w:type="paragraph" w:customStyle="1" w:styleId="121">
    <w:name w:val="4"/>
    <w:basedOn w:val="1"/>
    <w:next w:val="28"/>
    <w:uiPriority w:val="0"/>
    <w:pPr>
      <w:spacing w:line="520" w:lineRule="exact"/>
    </w:pPr>
    <w:rPr>
      <w:rFonts w:ascii="宋体" w:hAnsi="Courier New"/>
      <w:color w:val="auto"/>
      <w:kern w:val="2"/>
    </w:rPr>
  </w:style>
  <w:style w:type="paragraph" w:customStyle="1" w:styleId="122">
    <w:name w:val="默认段落字体 Para Char Char Char Char Char Char Char"/>
    <w:basedOn w:val="1"/>
    <w:uiPriority w:val="0"/>
    <w:rPr>
      <w:rFonts w:ascii="Tahoma" w:hAnsi="Tahoma"/>
      <w:b/>
      <w:kern w:val="1"/>
      <w:sz w:val="24"/>
    </w:rPr>
  </w:style>
  <w:style w:type="paragraph" w:customStyle="1" w:styleId="123">
    <w:name w:val=" Char Char Char Char Char Char Char"/>
    <w:basedOn w:val="1"/>
    <w:uiPriority w:val="0"/>
    <w:rPr>
      <w:rFonts w:ascii="Tahoma" w:hAnsi="Tahoma"/>
      <w:kern w:val="1"/>
      <w:sz w:val="24"/>
    </w:rPr>
  </w:style>
  <w:style w:type="paragraph" w:customStyle="1" w:styleId="124">
    <w:name w:val="标题 7 New"/>
    <w:basedOn w:val="1"/>
    <w:next w:val="1"/>
    <w:uiPriority w:val="0"/>
    <w:pPr>
      <w:keepNext/>
      <w:keepLines/>
      <w:widowControl/>
      <w:tabs>
        <w:tab w:val="left" w:pos="2520"/>
      </w:tabs>
      <w:spacing w:before="240" w:beforeLines="0" w:beforeAutospacing="0" w:after="64" w:afterLines="0" w:afterAutospacing="0" w:line="317" w:lineRule="auto"/>
      <w:ind w:left="1296" w:hanging="1296"/>
      <w:jc w:val="left"/>
      <w:outlineLvl w:val="6"/>
    </w:pPr>
    <w:rPr>
      <w:b/>
      <w:sz w:val="24"/>
    </w:rPr>
  </w:style>
  <w:style w:type="paragraph" w:customStyle="1" w:styleId="125">
    <w:name w:val=" Char2"/>
    <w:basedOn w:val="1"/>
    <w:uiPriority w:val="0"/>
    <w:pPr>
      <w:jc w:val="center"/>
    </w:pPr>
    <w:rPr>
      <w:kern w:val="1"/>
      <w:sz w:val="24"/>
    </w:rPr>
  </w:style>
  <w:style w:type="paragraph" w:customStyle="1" w:styleId="126">
    <w:name w:val="标题1"/>
    <w:basedOn w:val="36"/>
    <w:uiPriority w:val="0"/>
    <w:pPr>
      <w:widowControl/>
      <w:tabs>
        <w:tab w:val="clear" w:pos="9127"/>
      </w:tabs>
      <w:spacing w:before="120" w:beforeLines="0" w:beforeAutospacing="0" w:after="120" w:afterLines="0" w:afterAutospacing="0" w:line="420" w:lineRule="exact"/>
      <w:ind w:left="0" w:firstLine="0"/>
    </w:pPr>
    <w:rPr>
      <w:rFonts w:ascii="宋体" w:hAnsi="宋体" w:eastAsia="宋体"/>
      <w:kern w:val="0"/>
      <w:sz w:val="44"/>
    </w:rPr>
  </w:style>
  <w:style w:type="paragraph" w:customStyle="1" w:styleId="127">
    <w:name w:val="样式 首行缩进:  2 字符"/>
    <w:basedOn w:val="1"/>
    <w:uiPriority w:val="0"/>
    <w:pPr>
      <w:ind w:firstLine="420"/>
    </w:pPr>
    <w:rPr>
      <w:kern w:val="1"/>
    </w:rPr>
  </w:style>
  <w:style w:type="paragraph" w:customStyle="1" w:styleId="128">
    <w:name w:val=" Char3"/>
    <w:basedOn w:val="1"/>
    <w:uiPriority w:val="0"/>
    <w:pPr>
      <w:tabs>
        <w:tab w:val="left" w:pos="360"/>
      </w:tabs>
    </w:pPr>
    <w:rPr>
      <w:kern w:val="1"/>
      <w:sz w:val="24"/>
    </w:rPr>
  </w:style>
  <w:style w:type="paragraph" w:customStyle="1" w:styleId="129">
    <w:name w:val="标书正文"/>
    <w:basedOn w:val="1"/>
    <w:uiPriority w:val="0"/>
    <w:pPr>
      <w:tabs>
        <w:tab w:val="left" w:pos="600"/>
      </w:tabs>
      <w:spacing w:line="480" w:lineRule="atLeast"/>
      <w:ind w:firstLine="480"/>
    </w:pPr>
    <w:rPr>
      <w:kern w:val="1"/>
      <w:sz w:val="24"/>
    </w:rPr>
  </w:style>
  <w:style w:type="paragraph" w:customStyle="1" w:styleId="130">
    <w:name w:val="无间距1"/>
    <w:qFormat/>
    <w:uiPriority w:val="99"/>
    <w:pPr>
      <w:widowControl w:val="0"/>
      <w:jc w:val="both"/>
    </w:pPr>
    <w:rPr>
      <w:rFonts w:ascii="Calibri" w:hAnsi="Calibri" w:eastAsia="微软雅黑 Light" w:cs="Calibri"/>
      <w:kern w:val="2"/>
      <w:sz w:val="24"/>
      <w:szCs w:val="24"/>
      <w:lang w:val="en-US" w:eastAsia="zh-CN" w:bidi="ar-SA"/>
    </w:rPr>
  </w:style>
  <w:style w:type="paragraph" w:customStyle="1" w:styleId="131">
    <w:name w:val=" Char Char7 Char"/>
    <w:basedOn w:val="1"/>
    <w:uiPriority w:val="0"/>
    <w:pPr>
      <w:tabs>
        <w:tab w:val="left" w:pos="425"/>
      </w:tabs>
      <w:ind w:left="420" w:firstLine="270"/>
    </w:pPr>
    <w:rPr>
      <w:rFonts w:ascii="宋体" w:hAnsi="宋体"/>
      <w:color w:val="5E5E5E"/>
    </w:rPr>
  </w:style>
  <w:style w:type="paragraph" w:customStyle="1" w:styleId="132">
    <w:name w:val="标题 5（有编号）（绿盟科技）"/>
    <w:basedOn w:val="1"/>
    <w:next w:val="133"/>
    <w:qFormat/>
    <w:uiPriority w:val="99"/>
    <w:pPr>
      <w:keepNext/>
      <w:keepLines/>
      <w:numPr>
        <w:ilvl w:val="4"/>
        <w:numId w:val="2"/>
      </w:numPr>
      <w:spacing w:before="280" w:after="156" w:line="377" w:lineRule="auto"/>
      <w:outlineLvl w:val="4"/>
    </w:pPr>
    <w:rPr>
      <w:rFonts w:ascii="Arial" w:hAnsi="Arial" w:eastAsia="黑体" w:cs="Arial"/>
      <w:b/>
      <w:bCs/>
      <w:sz w:val="24"/>
      <w:szCs w:val="24"/>
    </w:rPr>
  </w:style>
  <w:style w:type="paragraph" w:customStyle="1" w:styleId="133">
    <w:name w:val="正文（绿盟科技）"/>
    <w:qFormat/>
    <w:uiPriority w:val="99"/>
    <w:pPr>
      <w:spacing w:line="300" w:lineRule="auto"/>
    </w:pPr>
    <w:rPr>
      <w:rFonts w:ascii="Arial" w:hAnsi="Arial" w:cs="Arial"/>
      <w:sz w:val="21"/>
      <w:szCs w:val="21"/>
      <w:lang w:val="en-US" w:eastAsia="zh-CN" w:bidi="ar-SA"/>
    </w:rPr>
  </w:style>
  <w:style w:type="paragraph" w:customStyle="1" w:styleId="134">
    <w:name w:val="样式"/>
    <w:basedOn w:val="1"/>
    <w:uiPriority w:val="0"/>
    <w:pPr>
      <w:spacing w:before="120" w:beforeLines="0" w:beforeAutospacing="0" w:after="120" w:afterLines="0" w:afterAutospacing="0" w:line="360" w:lineRule="auto"/>
    </w:pPr>
    <w:rPr>
      <w:rFonts w:ascii="宋体" w:hAnsi="宋体"/>
      <w:kern w:val="1"/>
      <w:sz w:val="24"/>
    </w:rPr>
  </w:style>
  <w:style w:type="paragraph" w:styleId="135">
    <w:name w:val="List Paragraph"/>
    <w:basedOn w:val="1"/>
    <w:qFormat/>
    <w:uiPriority w:val="0"/>
    <w:pPr>
      <w:ind w:firstLine="420" w:firstLineChars="200"/>
    </w:pPr>
    <w:rPr>
      <w:rFonts w:ascii="Calibri" w:hAnsi="Calibri"/>
      <w:szCs w:val="22"/>
    </w:rPr>
  </w:style>
  <w:style w:type="paragraph" w:customStyle="1" w:styleId="136">
    <w:name w:val="样式 (符号) 宋体"/>
    <w:basedOn w:val="1"/>
    <w:uiPriority w:val="0"/>
    <w:pPr>
      <w:ind w:firstLine="420"/>
    </w:pPr>
    <w:rPr>
      <w:kern w:val="1"/>
    </w:rPr>
  </w:style>
  <w:style w:type="paragraph" w:customStyle="1" w:styleId="137">
    <w:name w:val="文档正文"/>
    <w:basedOn w:val="1"/>
    <w:uiPriority w:val="0"/>
    <w:pPr>
      <w:spacing w:line="480" w:lineRule="atLeast"/>
      <w:ind w:firstLine="567"/>
    </w:pPr>
    <w:rPr>
      <w:rFonts w:ascii="仿宋_GB2312" w:hAnsi="仿宋_GB2312" w:eastAsia="仿宋"/>
      <w:sz w:val="28"/>
    </w:rPr>
  </w:style>
  <w:style w:type="paragraph" w:customStyle="1" w:styleId="138">
    <w:name w:val="+正文"/>
    <w:basedOn w:val="1"/>
    <w:uiPriority w:val="0"/>
    <w:pPr>
      <w:spacing w:line="360" w:lineRule="auto"/>
      <w:ind w:firstLine="200"/>
    </w:pPr>
    <w:rPr>
      <w:kern w:val="1"/>
      <w:sz w:val="24"/>
    </w:rPr>
  </w:style>
  <w:style w:type="paragraph" w:customStyle="1" w:styleId="139">
    <w:name w:val="item1.1"/>
    <w:basedOn w:val="1"/>
    <w:uiPriority w:val="0"/>
    <w:pPr>
      <w:spacing w:line="480" w:lineRule="exact"/>
    </w:pPr>
    <w:rPr>
      <w:rFonts w:ascii="宋体" w:hAnsi="宋体"/>
      <w:kern w:val="1"/>
      <w:sz w:val="28"/>
    </w:rPr>
  </w:style>
  <w:style w:type="paragraph" w:customStyle="1" w:styleId="140">
    <w:name w:val="ÕýÎÄ"/>
    <w:uiPriority w:val="0"/>
    <w:pPr>
      <w:widowControl w:val="0"/>
      <w:spacing w:line="351" w:lineRule="atLeast"/>
      <w:ind w:firstLine="419"/>
      <w:jc w:val="both"/>
    </w:pPr>
    <w:rPr>
      <w:color w:val="000000"/>
      <w:sz w:val="21"/>
      <w:lang w:val="en-US" w:eastAsia="zh-CN" w:bidi="ar-SA"/>
    </w:rPr>
  </w:style>
  <w:style w:type="paragraph" w:customStyle="1" w:styleId="141">
    <w:name w:val="Body Text 2*"/>
    <w:basedOn w:val="1"/>
    <w:uiPriority w:val="0"/>
    <w:pPr>
      <w:spacing w:line="300" w:lineRule="auto"/>
      <w:jc w:val="center"/>
    </w:pPr>
    <w:rPr>
      <w:rFonts w:ascii="宋体" w:hAnsi="宋体"/>
      <w:kern w:val="1"/>
      <w:sz w:val="24"/>
    </w:rPr>
  </w:style>
  <w:style w:type="paragraph" w:customStyle="1" w:styleId="142">
    <w:name w:val="样式 首行缩进: 2 字符"/>
    <w:basedOn w:val="1"/>
    <w:uiPriority w:val="0"/>
    <w:pPr>
      <w:ind w:firstLine="420"/>
    </w:pPr>
    <w:rPr>
      <w:kern w:val="1"/>
    </w:rPr>
  </w:style>
  <w:style w:type="paragraph" w:customStyle="1" w:styleId="143">
    <w:name w:val="默认段落字体 Para Char Char Char Char Char Char Char Char Char1 Char Char Char Char"/>
    <w:basedOn w:val="1"/>
    <w:qFormat/>
    <w:uiPriority w:val="0"/>
    <w:rPr>
      <w:rFonts w:ascii="Tahoma" w:hAnsi="Tahoma"/>
      <w:sz w:val="24"/>
      <w:szCs w:val="20"/>
    </w:rPr>
  </w:style>
  <w:style w:type="paragraph" w:customStyle="1" w:styleId="144">
    <w:name w:val="Char Char Char"/>
    <w:basedOn w:val="1"/>
    <w:uiPriority w:val="0"/>
    <w:rPr>
      <w:kern w:val="1"/>
    </w:rPr>
  </w:style>
  <w:style w:type="paragraph" w:styleId="145">
    <w:name w:val=""/>
    <w:uiPriority w:val="0"/>
    <w:rPr>
      <w:color w:val="000000"/>
      <w:kern w:val="1"/>
      <w:sz w:val="21"/>
      <w:lang w:val="en-US" w:eastAsia="zh-CN" w:bidi="ar-SA"/>
    </w:rPr>
  </w:style>
  <w:style w:type="paragraph" w:customStyle="1" w:styleId="146">
    <w:name w:val="Default"/>
    <w:qFormat/>
    <w:uiPriority w:val="0"/>
    <w:pPr>
      <w:widowControl w:val="0"/>
      <w:autoSpaceDE w:val="0"/>
      <w:autoSpaceDN w:val="0"/>
      <w:adjustRightInd w:val="0"/>
    </w:pPr>
    <w:rPr>
      <w:rFonts w:ascii="宋体" w:hAnsi="Times New Roman"/>
      <w:color w:val="000000"/>
      <w:sz w:val="24"/>
      <w:szCs w:val="24"/>
      <w:lang w:val="en-US" w:eastAsia="zh-CN" w:bidi="ar-SA"/>
    </w:rPr>
  </w:style>
  <w:style w:type="paragraph" w:customStyle="1" w:styleId="147">
    <w:name w:val="样式 正文（首行缩进两字） + 首行缩进:  2 字符"/>
    <w:basedOn w:val="16"/>
    <w:uiPriority w:val="0"/>
    <w:pPr>
      <w:spacing w:line="460" w:lineRule="exact"/>
      <w:ind w:firstLine="536"/>
    </w:pPr>
    <w:rPr>
      <w:spacing w:val="12"/>
      <w:sz w:val="24"/>
    </w:rPr>
  </w:style>
  <w:style w:type="paragraph" w:customStyle="1" w:styleId="148">
    <w:name w:val="正文（首行缩进2字符）"/>
    <w:basedOn w:val="1"/>
    <w:qFormat/>
    <w:uiPriority w:val="0"/>
    <w:pPr>
      <w:spacing w:line="360" w:lineRule="auto"/>
      <w:ind w:firstLine="420" w:firstLineChars="200"/>
    </w:pPr>
    <w:rPr>
      <w:szCs w:val="21"/>
    </w:rPr>
  </w:style>
  <w:style w:type="paragraph" w:customStyle="1" w:styleId="149">
    <w:name w:val="No Spacing*"/>
    <w:uiPriority w:val="0"/>
    <w:rPr>
      <w:color w:val="000000"/>
      <w:sz w:val="22"/>
      <w:lang w:val="en-US" w:eastAsia="zh-CN" w:bidi="ar-SA"/>
    </w:rPr>
  </w:style>
  <w:style w:type="paragraph" w:customStyle="1" w:styleId="150">
    <w:name w:val="Table Paragraph"/>
    <w:basedOn w:val="1"/>
    <w:unhideWhenUsed/>
    <w:qFormat/>
    <w:uiPriority w:val="1"/>
    <w:pPr>
      <w:autoSpaceDE w:val="0"/>
      <w:autoSpaceDN w:val="0"/>
      <w:adjustRightInd w:val="0"/>
      <w:jc w:val="left"/>
    </w:pPr>
    <w:rPr>
      <w:color w:val="auto"/>
      <w:sz w:val="24"/>
    </w:rPr>
  </w:style>
  <w:style w:type="paragraph" w:customStyle="1" w:styleId="151">
    <w:name w:val="表格文字"/>
    <w:basedOn w:val="1"/>
    <w:next w:val="3"/>
    <w:qFormat/>
    <w:uiPriority w:val="0"/>
    <w:pPr>
      <w:adjustRightInd w:val="0"/>
      <w:spacing w:line="420" w:lineRule="atLeast"/>
      <w:jc w:val="left"/>
      <w:textAlignment w:val="baseline"/>
    </w:pPr>
    <w:rPr>
      <w:kern w:val="0"/>
    </w:rPr>
  </w:style>
  <w:style w:type="paragraph" w:customStyle="1" w:styleId="152">
    <w:name w:val="xl24"/>
    <w:basedOn w:val="1"/>
    <w:uiPriority w:val="0"/>
    <w:pPr>
      <w:widowControl/>
      <w:spacing w:before="100" w:beforeLines="0" w:beforeAutospacing="1" w:after="100" w:afterLines="0" w:afterAutospacing="1"/>
      <w:jc w:val="right"/>
    </w:pPr>
    <w:rPr>
      <w:rFonts w:ascii="宋体" w:hAnsi="宋体"/>
      <w:sz w:val="24"/>
    </w:rPr>
  </w:style>
  <w:style w:type="paragraph" w:customStyle="1" w:styleId="153">
    <w:name w:val="居中"/>
    <w:basedOn w:val="1"/>
    <w:uiPriority w:val="0"/>
    <w:pPr>
      <w:spacing w:line="260" w:lineRule="exact"/>
      <w:jc w:val="center"/>
    </w:pPr>
    <w:rPr>
      <w:kern w:val="1"/>
    </w:rPr>
  </w:style>
  <w:style w:type="paragraph" w:customStyle="1" w:styleId="154">
    <w:name w:val=" Char Char2 Char Char"/>
    <w:basedOn w:val="1"/>
    <w:uiPriority w:val="0"/>
    <w:rPr>
      <w:kern w:val="1"/>
    </w:rPr>
  </w:style>
  <w:style w:type="paragraph" w:customStyle="1" w:styleId="155">
    <w:name w:val="样式1"/>
    <w:basedOn w:val="1"/>
    <w:uiPriority w:val="0"/>
    <w:pPr>
      <w:spacing w:line="360" w:lineRule="exact"/>
      <w:ind w:firstLine="200" w:firstLineChars="200"/>
    </w:pPr>
    <w:rPr>
      <w:rFonts w:ascii="Arial" w:hAnsi="Arial"/>
    </w:rPr>
  </w:style>
  <w:style w:type="paragraph" w:customStyle="1" w:styleId="156">
    <w:name w:val="CM18"/>
    <w:basedOn w:val="146"/>
    <w:next w:val="146"/>
    <w:qFormat/>
    <w:uiPriority w:val="99"/>
    <w:pPr>
      <w:spacing w:after="523"/>
    </w:pPr>
    <w:rPr>
      <w:rFonts w:ascii="仿宋" w:hAnsi="Calibri" w:eastAsia="仿宋" w:cs="Times New Roman"/>
      <w:color w:val="auto"/>
    </w:rPr>
  </w:style>
  <w:style w:type="paragraph" w:customStyle="1" w:styleId="157">
    <w:name w:val="CM11"/>
    <w:basedOn w:val="146"/>
    <w:next w:val="146"/>
    <w:qFormat/>
    <w:uiPriority w:val="99"/>
    <w:pPr>
      <w:spacing w:line="520" w:lineRule="atLeast"/>
    </w:pPr>
    <w:rPr>
      <w:rFonts w:ascii="仿宋" w:hAnsi="Calibri" w:eastAsia="仿宋" w:cs="Times New Roman"/>
      <w:color w:val="auto"/>
    </w:rPr>
  </w:style>
  <w:style w:type="paragraph" w:customStyle="1" w:styleId="158">
    <w:name w:val="CM17"/>
    <w:basedOn w:val="146"/>
    <w:next w:val="146"/>
    <w:qFormat/>
    <w:uiPriority w:val="99"/>
    <w:pPr>
      <w:spacing w:after="160"/>
    </w:pPr>
    <w:rPr>
      <w:rFonts w:ascii="仿宋" w:hAnsi="Calibri" w:eastAsia="仿宋" w:cs="Times New Roman"/>
      <w:color w:val="auto"/>
    </w:rPr>
  </w:style>
  <w:style w:type="paragraph" w:customStyle="1" w:styleId="159">
    <w:name w:val="样式6"/>
    <w:basedOn w:val="1"/>
    <w:qFormat/>
    <w:uiPriority w:val="99"/>
    <w:pPr>
      <w:spacing w:line="360" w:lineRule="auto"/>
      <w:ind w:firstLine="200" w:firstLineChars="200"/>
      <w:jc w:val="left"/>
    </w:pPr>
    <w:rPr>
      <w:sz w:val="24"/>
    </w:rPr>
  </w:style>
  <w:style w:type="paragraph" w:customStyle="1" w:styleId="16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Arial Unicode MS" w:hAnsi="Arial Unicode MS" w:eastAsia="Times New Roman" w:cs="Arial Unicode MS"/>
      <w:color w:val="000000"/>
      <w:sz w:val="24"/>
      <w:szCs w:val="24"/>
      <w:u w:val="none" w:color="000000"/>
      <w:lang w:val="en-US" w:eastAsia="zh-CN" w:bidi="ar-SA"/>
    </w:rPr>
  </w:style>
  <w:style w:type="character" w:customStyle="1" w:styleId="161">
    <w:name w:val="无"/>
    <w:qFormat/>
    <w:uiPriority w:val="99"/>
  </w:style>
  <w:style w:type="paragraph" w:customStyle="1" w:styleId="162">
    <w:name w:val="*正文"/>
    <w:basedOn w:val="1"/>
    <w:qFormat/>
    <w:uiPriority w:val="0"/>
    <w:pPr>
      <w:spacing w:line="360" w:lineRule="auto"/>
      <w:ind w:firstLine="420"/>
    </w:pPr>
    <w:rPr>
      <w:rFonts w:ascii="仿宋" w:hAnsi="仿宋" w:eastAsia="仿宋"/>
      <w:sz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3.xml" Type="http://schemas.openxmlformats.org/officeDocument/2006/relationships/footer"/><Relationship Id="rId11" Target="footer4.xml" Type="http://schemas.openxmlformats.org/officeDocument/2006/relationships/footer"/><Relationship Id="rId12" Target="header6.xml" Type="http://schemas.openxmlformats.org/officeDocument/2006/relationships/header"/><Relationship Id="rId13" Target="footer5.xml" Type="http://schemas.openxmlformats.org/officeDocument/2006/relationships/footer"/><Relationship Id="rId14" Target="footer6.xml" Type="http://schemas.openxmlformats.org/officeDocument/2006/relationships/footer"/><Relationship Id="rId15" Target="theme/theme1.xml" Type="http://schemas.openxmlformats.org/officeDocument/2006/relationships/theme"/><Relationship Id="rId16" Target="../customXml/item1.xml" Type="http://schemas.openxmlformats.org/officeDocument/2006/relationships/customXml"/><Relationship Id="rId17" Target="numbering.xml" Type="http://schemas.openxmlformats.org/officeDocument/2006/relationships/numbering"/><Relationship Id="rId18"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header4.xml" Type="http://schemas.openxmlformats.org/officeDocument/2006/relationships/header"/><Relationship Id="rId9" Target="header5.xml" Type="http://schemas.openxmlformats.org/officeDocument/2006/relationships/header"/></Relationships>
</file>

<file path=word/_rels/header1.xml.rels><?xml version="1.0" encoding="UTF-8" standalone="yes"?><Relationships xmlns="http://schemas.openxmlformats.org/package/2006/relationships"><Relationship Id="rId1" Target="media/image1.png" Type="http://schemas.openxmlformats.org/officeDocument/2006/relationships/image"/></Relationships>
</file>

<file path=word/_rels/header4.xml.rels><?xml version="1.0" encoding="UTF-8" standalone="yes"?><Relationships xmlns="http://schemas.openxmlformats.org/package/2006/relationships"><Relationship Id="rId1" Target="media/image1.png" Type="http://schemas.openxmlformats.org/officeDocument/2006/relationships/image"/></Relationships>
</file>

<file path=word/_rels/header5.xml.rels><?xml version="1.0" encoding="UTF-8" standalone="yes"?><Relationships xmlns="http://schemas.openxmlformats.org/package/2006/relationships"><Relationship Id="rId1" Target="media/image1.png" Type="http://schemas.openxmlformats.org/officeDocument/2006/relationships/image"/></Relationships>
</file>

<file path=word/_rels/header6.xml.rels><?xml version="1.0" encoding="UTF-8" standalone="yes"?><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25354</Words>
  <Characters>27725</Characters>
  <Lines>234</Lines>
  <Paragraphs>66</Paragraphs>
  <TotalTime>14</TotalTime>
  <ScaleCrop>false</ScaleCrop>
  <LinksUpToDate>false</LinksUpToDate>
  <CharactersWithSpaces>29293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2019-10-20T02:12:00Z</dcterms:created>
  <dc:creator>成套</dc:creator>
  <cp:lastModifiedBy>WPS_1701756769</cp:lastModifiedBy>
  <cp:lastPrinted>2022-03-25T03:23:00Z</cp:lastPrinted>
  <dcterms:modified xsi:type="dcterms:W3CDTF">2024-02-26T03:18:11Z</dcterms:modified>
  <cp:revision>83</cp:revision>
  <dc:title>生产资料市场一期一阶段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7B66418BB660426F9248E280EA0DEEAF_13</vt:lpwstr>
  </property>
</Properties>
</file>