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A8DBF">
      <w:pPr>
        <w:spacing w:line="360" w:lineRule="auto"/>
        <w:jc w:val="center"/>
        <w:rPr>
          <w:rFonts w:ascii="宋体" w:hAnsi="宋体" w:cs="宋体"/>
          <w:b/>
          <w:color w:val="auto"/>
          <w:sz w:val="24"/>
          <w:highlight w:val="none"/>
        </w:rPr>
      </w:pPr>
      <w:bookmarkStart w:id="412" w:name="_GoBack"/>
    </w:p>
    <w:p w14:paraId="77A9557B">
      <w:pPr>
        <w:spacing w:line="360" w:lineRule="auto"/>
        <w:jc w:val="center"/>
        <w:rPr>
          <w:rFonts w:ascii="宋体" w:hAnsi="宋体" w:cs="宋体"/>
          <w:b/>
          <w:color w:val="auto"/>
          <w:sz w:val="24"/>
          <w:highlight w:val="none"/>
        </w:rPr>
      </w:pPr>
    </w:p>
    <w:p w14:paraId="47548AC0">
      <w:pPr>
        <w:adjustRightInd/>
        <w:spacing w:line="360" w:lineRule="auto"/>
        <w:jc w:val="both"/>
        <w:rPr>
          <w:rFonts w:ascii="宋体" w:hAnsi="宋体" w:cs="宋体"/>
          <w:b/>
          <w:color w:val="auto"/>
          <w:sz w:val="48"/>
          <w:szCs w:val="48"/>
          <w:highlight w:val="none"/>
        </w:rPr>
      </w:pPr>
    </w:p>
    <w:p w14:paraId="499C1610">
      <w:pPr>
        <w:adjustRightInd/>
        <w:spacing w:line="360" w:lineRule="auto"/>
        <w:jc w:val="center"/>
        <w:rPr>
          <w:rFonts w:hint="eastAsia" w:ascii="宋体" w:hAnsi="宋体" w:eastAsia="宋体" w:cs="宋体"/>
          <w:b/>
          <w:bCs/>
          <w:color w:val="auto"/>
          <w:sz w:val="36"/>
          <w:szCs w:val="36"/>
          <w:highlight w:val="none"/>
          <w:lang w:eastAsia="zh-CN"/>
        </w:rPr>
      </w:pPr>
      <w:r>
        <w:rPr>
          <w:rFonts w:hint="eastAsia" w:ascii="宋体" w:hAnsi="宋体" w:cs="宋体"/>
          <w:b/>
          <w:bCs/>
          <w:color w:val="auto"/>
          <w:sz w:val="36"/>
          <w:szCs w:val="36"/>
          <w:highlight w:val="none"/>
          <w:lang w:eastAsia="zh-CN"/>
        </w:rPr>
        <w:t>杭州四中下沙校区综合楼西（学生成长中心）改造</w:t>
      </w:r>
    </w:p>
    <w:p w14:paraId="35AFCB3E">
      <w:pPr>
        <w:adjustRightInd/>
        <w:spacing w:line="360" w:lineRule="auto"/>
        <w:jc w:val="center"/>
        <w:rPr>
          <w:rFonts w:hint="eastAsia" w:ascii="宋体" w:hAnsi="宋体" w:cs="宋体"/>
          <w:color w:val="auto"/>
          <w:sz w:val="48"/>
          <w:szCs w:val="48"/>
          <w:highlight w:val="none"/>
        </w:rPr>
      </w:pPr>
    </w:p>
    <w:p w14:paraId="409029DD">
      <w:pPr>
        <w:adjustRightInd/>
        <w:spacing w:line="360" w:lineRule="auto"/>
        <w:jc w:val="center"/>
        <w:rPr>
          <w:rFonts w:hint="eastAsia" w:ascii="宋体" w:hAnsi="宋体" w:cs="宋体"/>
          <w:color w:val="auto"/>
          <w:sz w:val="48"/>
          <w:szCs w:val="48"/>
          <w:highlight w:val="none"/>
        </w:rPr>
      </w:pPr>
    </w:p>
    <w:p w14:paraId="695F9BF8">
      <w:pPr>
        <w:adjustRightInd/>
        <w:spacing w:line="360" w:lineRule="auto"/>
        <w:jc w:val="center"/>
        <w:rPr>
          <w:rFonts w:ascii="宋体" w:hAnsi="宋体" w:cs="宋体"/>
          <w:color w:val="auto"/>
          <w:sz w:val="72"/>
          <w:szCs w:val="72"/>
          <w:highlight w:val="none"/>
        </w:rPr>
      </w:pPr>
      <w:r>
        <w:rPr>
          <w:rFonts w:hint="eastAsia" w:ascii="宋体" w:hAnsi="宋体" w:cs="宋体"/>
          <w:color w:val="auto"/>
          <w:sz w:val="72"/>
          <w:szCs w:val="72"/>
          <w:highlight w:val="none"/>
        </w:rPr>
        <w:t>竞争性磋商文件</w:t>
      </w:r>
    </w:p>
    <w:p w14:paraId="32DE3E05">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14:paraId="49C2FA6B">
      <w:pPr>
        <w:snapToGrid w:val="0"/>
        <w:spacing w:line="360" w:lineRule="auto"/>
        <w:jc w:val="center"/>
        <w:rPr>
          <w:rFonts w:hint="eastAsia" w:ascii="宋体" w:hAnsi="宋体" w:cs="宋体"/>
          <w:color w:val="auto"/>
          <w:sz w:val="30"/>
          <w:szCs w:val="30"/>
          <w:highlight w:val="none"/>
          <w:lang w:val="en-US" w:eastAsia="zh-CN"/>
        </w:rPr>
      </w:pPr>
    </w:p>
    <w:p w14:paraId="501EA49F">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lang w:val="en-US" w:eastAsia="zh-CN"/>
        </w:rPr>
        <w:t>项目</w:t>
      </w: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：ZJZBC-25-CS-9041</w:t>
      </w:r>
    </w:p>
    <w:p w14:paraId="2D98097E">
      <w:pPr>
        <w:adjustRightInd/>
        <w:spacing w:line="360" w:lineRule="auto"/>
        <w:rPr>
          <w:rFonts w:ascii="宋体" w:hAnsi="宋体" w:cs="宋体"/>
          <w:color w:val="auto"/>
          <w:sz w:val="28"/>
          <w:szCs w:val="20"/>
          <w:highlight w:val="none"/>
        </w:rPr>
      </w:pPr>
    </w:p>
    <w:p w14:paraId="00C6A9BE">
      <w:pPr>
        <w:spacing w:line="360" w:lineRule="auto"/>
        <w:jc w:val="center"/>
        <w:rPr>
          <w:rFonts w:ascii="宋体" w:hAnsi="宋体" w:cs="宋体"/>
          <w:color w:val="auto"/>
          <w:sz w:val="24"/>
          <w:highlight w:val="none"/>
        </w:rPr>
      </w:pPr>
      <w:r>
        <w:rPr>
          <w:rFonts w:hint="eastAsia" w:ascii="宋体" w:hAnsi="宋体" w:cs="宋体"/>
          <w:b/>
          <w:color w:val="auto"/>
          <w:sz w:val="44"/>
          <w:szCs w:val="44"/>
          <w:highlight w:val="none"/>
        </w:rPr>
        <w:t xml:space="preserve"> </w:t>
      </w:r>
    </w:p>
    <w:p w14:paraId="3693E0E1">
      <w:pPr>
        <w:spacing w:line="360" w:lineRule="auto"/>
        <w:jc w:val="center"/>
        <w:rPr>
          <w:rFonts w:ascii="宋体" w:hAnsi="宋体" w:cs="宋体"/>
          <w:color w:val="auto"/>
          <w:sz w:val="24"/>
          <w:highlight w:val="none"/>
        </w:rPr>
      </w:pPr>
    </w:p>
    <w:p w14:paraId="7382B24D">
      <w:pPr>
        <w:spacing w:line="360" w:lineRule="auto"/>
        <w:rPr>
          <w:rFonts w:ascii="宋体" w:hAnsi="宋体" w:cs="宋体"/>
          <w:color w:val="auto"/>
          <w:sz w:val="32"/>
          <w:szCs w:val="32"/>
          <w:highlight w:val="none"/>
        </w:rPr>
      </w:pPr>
    </w:p>
    <w:p w14:paraId="111C1328">
      <w:pPr>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浙江省杭州第四中学</w:t>
      </w:r>
    </w:p>
    <w:p w14:paraId="18903546">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浙江省建设工程设备招标有限公司</w:t>
      </w:r>
    </w:p>
    <w:p w14:paraId="08D8B6B8">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3284AE63">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356165FC">
      <w:pPr>
        <w:spacing w:line="360" w:lineRule="auto"/>
        <w:jc w:val="center"/>
        <w:rPr>
          <w:rFonts w:ascii="宋体" w:hAnsi="宋体" w:cs="宋体"/>
          <w:color w:val="auto"/>
          <w:sz w:val="24"/>
          <w:highlight w:val="none"/>
        </w:rPr>
      </w:pPr>
    </w:p>
    <w:p w14:paraId="2D381D2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FA935CF">
      <w:pPr>
        <w:spacing w:line="360" w:lineRule="auto"/>
        <w:rPr>
          <w:rFonts w:ascii="宋体" w:hAnsi="宋体" w:cs="宋体"/>
          <w:color w:val="auto"/>
          <w:sz w:val="32"/>
          <w:szCs w:val="32"/>
          <w:highlight w:val="none"/>
        </w:rPr>
      </w:pPr>
    </w:p>
    <w:p w14:paraId="257C6D45">
      <w:pPr>
        <w:spacing w:line="360" w:lineRule="auto"/>
        <w:rPr>
          <w:rFonts w:ascii="宋体" w:hAnsi="宋体" w:cs="宋体"/>
          <w:color w:val="auto"/>
          <w:sz w:val="32"/>
          <w:szCs w:val="32"/>
          <w:highlight w:val="none"/>
        </w:rPr>
      </w:pPr>
    </w:p>
    <w:p w14:paraId="1593225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14:paraId="64F1E07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4A03B5B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C55B6D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14:paraId="3F63725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7E9AF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59DB279">
      <w:pPr>
        <w:spacing w:line="360" w:lineRule="auto"/>
        <w:ind w:firstLine="1280" w:firstLineChars="400"/>
        <w:rPr>
          <w:rFonts w:ascii="宋体" w:hAnsi="宋体" w:cs="宋体"/>
          <w:color w:val="auto"/>
          <w:sz w:val="32"/>
          <w:szCs w:val="32"/>
          <w:highlight w:val="none"/>
        </w:rPr>
      </w:pPr>
    </w:p>
    <w:p w14:paraId="76870372">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9282CF7">
      <w:pPr>
        <w:spacing w:line="360" w:lineRule="auto"/>
        <w:ind w:firstLine="549" w:firstLineChars="229"/>
        <w:rPr>
          <w:rFonts w:ascii="宋体" w:hAnsi="宋体" w:cs="宋体"/>
          <w:color w:val="auto"/>
          <w:sz w:val="24"/>
          <w:highlight w:val="none"/>
        </w:rPr>
      </w:pPr>
    </w:p>
    <w:p w14:paraId="3265EC67">
      <w:pPr>
        <w:spacing w:line="360" w:lineRule="auto"/>
        <w:ind w:firstLine="549" w:firstLineChars="229"/>
        <w:rPr>
          <w:rFonts w:ascii="宋体" w:hAnsi="宋体" w:cs="宋体"/>
          <w:color w:val="auto"/>
          <w:sz w:val="24"/>
          <w:highlight w:val="none"/>
        </w:rPr>
      </w:pPr>
    </w:p>
    <w:p w14:paraId="32A86F4F">
      <w:pPr>
        <w:spacing w:line="360" w:lineRule="auto"/>
        <w:ind w:firstLine="549" w:firstLineChars="229"/>
        <w:rPr>
          <w:rFonts w:ascii="宋体" w:hAnsi="宋体" w:cs="宋体"/>
          <w:color w:val="auto"/>
          <w:sz w:val="24"/>
          <w:highlight w:val="none"/>
        </w:rPr>
      </w:pPr>
    </w:p>
    <w:p w14:paraId="3976C189">
      <w:pPr>
        <w:spacing w:line="360" w:lineRule="auto"/>
        <w:ind w:firstLine="549" w:firstLineChars="229"/>
        <w:rPr>
          <w:rFonts w:ascii="宋体" w:hAnsi="宋体" w:cs="宋体"/>
          <w:color w:val="auto"/>
          <w:sz w:val="24"/>
          <w:highlight w:val="none"/>
        </w:rPr>
      </w:pPr>
    </w:p>
    <w:p w14:paraId="31C95E4F">
      <w:pPr>
        <w:spacing w:line="360" w:lineRule="auto"/>
        <w:ind w:firstLine="549" w:firstLineChars="229"/>
        <w:rPr>
          <w:rFonts w:ascii="宋体" w:hAnsi="宋体" w:cs="宋体"/>
          <w:color w:val="auto"/>
          <w:sz w:val="24"/>
          <w:highlight w:val="none"/>
        </w:rPr>
      </w:pPr>
    </w:p>
    <w:p w14:paraId="679C9843">
      <w:pPr>
        <w:spacing w:line="360" w:lineRule="auto"/>
        <w:ind w:firstLine="549" w:firstLineChars="229"/>
        <w:rPr>
          <w:rFonts w:ascii="宋体" w:hAnsi="宋体" w:cs="宋体"/>
          <w:color w:val="auto"/>
          <w:sz w:val="24"/>
          <w:highlight w:val="none"/>
        </w:rPr>
      </w:pPr>
    </w:p>
    <w:p w14:paraId="4F6FC5E8">
      <w:pPr>
        <w:spacing w:line="360" w:lineRule="auto"/>
        <w:ind w:firstLine="549" w:firstLineChars="229"/>
        <w:rPr>
          <w:rFonts w:ascii="宋体" w:hAnsi="宋体" w:cs="宋体"/>
          <w:color w:val="auto"/>
          <w:sz w:val="24"/>
          <w:highlight w:val="none"/>
        </w:rPr>
      </w:pPr>
    </w:p>
    <w:p w14:paraId="5ED83DF8">
      <w:pPr>
        <w:spacing w:line="360" w:lineRule="auto"/>
        <w:ind w:firstLine="549" w:firstLineChars="229"/>
        <w:rPr>
          <w:rFonts w:ascii="宋体" w:hAnsi="宋体" w:cs="宋体"/>
          <w:color w:val="auto"/>
          <w:sz w:val="24"/>
          <w:highlight w:val="none"/>
        </w:rPr>
      </w:pPr>
    </w:p>
    <w:p w14:paraId="000E2795">
      <w:pPr>
        <w:spacing w:line="360" w:lineRule="auto"/>
        <w:ind w:firstLine="549" w:firstLineChars="229"/>
        <w:rPr>
          <w:rFonts w:ascii="宋体" w:hAnsi="宋体" w:cs="宋体"/>
          <w:color w:val="auto"/>
          <w:sz w:val="24"/>
          <w:highlight w:val="none"/>
        </w:rPr>
      </w:pPr>
    </w:p>
    <w:p w14:paraId="1F5456DF">
      <w:pPr>
        <w:spacing w:line="360" w:lineRule="auto"/>
        <w:ind w:firstLine="549" w:firstLineChars="229"/>
        <w:rPr>
          <w:rFonts w:ascii="宋体" w:hAnsi="宋体" w:cs="宋体"/>
          <w:color w:val="auto"/>
          <w:sz w:val="24"/>
          <w:highlight w:val="none"/>
        </w:rPr>
      </w:pPr>
    </w:p>
    <w:p w14:paraId="63D05FD4">
      <w:pPr>
        <w:spacing w:line="360" w:lineRule="auto"/>
        <w:ind w:firstLine="549" w:firstLineChars="229"/>
        <w:rPr>
          <w:rFonts w:ascii="宋体" w:hAnsi="宋体" w:cs="宋体"/>
          <w:color w:val="auto"/>
          <w:sz w:val="24"/>
          <w:highlight w:val="none"/>
        </w:rPr>
      </w:pPr>
    </w:p>
    <w:p w14:paraId="2D4B33FC">
      <w:pPr>
        <w:spacing w:line="360" w:lineRule="auto"/>
        <w:ind w:firstLine="549" w:firstLineChars="229"/>
        <w:rPr>
          <w:rFonts w:ascii="宋体" w:hAnsi="宋体" w:cs="宋体"/>
          <w:color w:val="auto"/>
          <w:sz w:val="24"/>
          <w:highlight w:val="none"/>
        </w:rPr>
      </w:pPr>
    </w:p>
    <w:p w14:paraId="76F49541">
      <w:pPr>
        <w:spacing w:line="360" w:lineRule="auto"/>
        <w:rPr>
          <w:rFonts w:ascii="宋体" w:hAnsi="宋体" w:cs="宋体"/>
          <w:color w:val="auto"/>
          <w:sz w:val="24"/>
          <w:highlight w:val="none"/>
        </w:rPr>
      </w:pPr>
    </w:p>
    <w:p w14:paraId="3B8DF407">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竞争性磋商公告</w:t>
      </w:r>
    </w:p>
    <w:p w14:paraId="527FD52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1C479C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lang w:eastAsia="zh-CN"/>
        </w:rPr>
        <w:t>杭州四中下沙校区综合楼西（学生成长中心）改造</w:t>
      </w:r>
      <w:r>
        <w:rPr>
          <w:rFonts w:hint="eastAsia" w:ascii="宋体" w:hAnsi="宋体" w:cs="宋体"/>
          <w:color w:val="auto"/>
          <w:sz w:val="24"/>
          <w:highlight w:val="none"/>
          <w:u w:val="none"/>
        </w:rPr>
        <w:t>采购项目的潜在供应商应在政采云平台（</w:t>
      </w:r>
      <w:r>
        <w:rPr>
          <w:color w:val="auto"/>
          <w:highlight w:val="none"/>
          <w:u w:val="none"/>
        </w:rPr>
        <w:fldChar w:fldCharType="begin"/>
      </w:r>
      <w:r>
        <w:rPr>
          <w:color w:val="auto"/>
          <w:highlight w:val="none"/>
          <w:u w:val="none"/>
        </w:rPr>
        <w:instrText xml:space="preserve"> HYPERLINK "https://www.zcygov.cn/）获取（下载）招标文件，并于2021年" </w:instrText>
      </w:r>
      <w:r>
        <w:rPr>
          <w:color w:val="auto"/>
          <w:highlight w:val="none"/>
          <w:u w:val="none"/>
        </w:rPr>
        <w:fldChar w:fldCharType="separate"/>
      </w:r>
      <w:r>
        <w:rPr>
          <w:rStyle w:val="76"/>
          <w:rFonts w:hint="eastAsia" w:ascii="宋体" w:hAnsi="宋体" w:eastAsia="宋体" w:cs="宋体"/>
          <w:snapToGrid/>
          <w:color w:val="auto"/>
          <w:kern w:val="2"/>
          <w:sz w:val="24"/>
          <w:szCs w:val="24"/>
          <w:highlight w:val="none"/>
          <w:u w:val="none"/>
        </w:rPr>
        <w:t>https://www.zcygov.cn/）获取采购文件，并于</w:t>
      </w:r>
      <w:r>
        <w:rPr>
          <w:rFonts w:hint="eastAsia" w:ascii="宋体" w:hAnsi="宋体" w:cs="宋体"/>
          <w:color w:val="auto"/>
          <w:sz w:val="24"/>
          <w:highlight w:val="none"/>
          <w:u w:val="none"/>
        </w:rPr>
        <w:t>202</w:t>
      </w:r>
      <w:r>
        <w:rPr>
          <w:rFonts w:hint="eastAsia" w:ascii="宋体" w:hAnsi="宋体" w:cs="宋体"/>
          <w:color w:val="auto"/>
          <w:sz w:val="24"/>
          <w:highlight w:val="none"/>
          <w:u w:val="none"/>
          <w:lang w:val="en-US" w:eastAsia="zh-CN"/>
        </w:rPr>
        <w:t>5</w:t>
      </w:r>
      <w:r>
        <w:rPr>
          <w:rFonts w:hint="eastAsia" w:ascii="宋体" w:hAnsi="宋体" w:cs="宋体"/>
          <w:color w:val="auto"/>
          <w:sz w:val="24"/>
          <w:highlight w:val="none"/>
          <w:u w:val="none"/>
        </w:rPr>
        <w:t>年</w:t>
      </w:r>
      <w:r>
        <w:rPr>
          <w:rFonts w:hint="eastAsia" w:ascii="宋体" w:hAnsi="宋体" w:cs="宋体"/>
          <w:color w:val="auto"/>
          <w:sz w:val="24"/>
          <w:highlight w:val="none"/>
          <w:u w:val="none"/>
          <w:lang w:val="en-US" w:eastAsia="zh-CN"/>
        </w:rPr>
        <w:t>7</w:t>
      </w:r>
      <w:r>
        <w:rPr>
          <w:rFonts w:hint="eastAsia" w:ascii="宋体" w:hAnsi="宋体" w:cs="宋体"/>
          <w:color w:val="auto"/>
          <w:sz w:val="24"/>
          <w:highlight w:val="none"/>
          <w:u w:val="none"/>
        </w:rPr>
        <w:t>月</w:t>
      </w:r>
      <w:r>
        <w:rPr>
          <w:rFonts w:hint="eastAsia" w:ascii="宋体" w:hAnsi="宋体" w:cs="宋体"/>
          <w:color w:val="auto"/>
          <w:sz w:val="24"/>
          <w:highlight w:val="none"/>
          <w:u w:val="none"/>
          <w:lang w:val="en-US" w:eastAsia="zh-CN"/>
        </w:rPr>
        <w:t>22</w:t>
      </w:r>
      <w:r>
        <w:rPr>
          <w:rFonts w:hint="eastAsia" w:ascii="宋体" w:hAnsi="宋体" w:cs="宋体"/>
          <w:color w:val="auto"/>
          <w:sz w:val="24"/>
          <w:highlight w:val="none"/>
          <w:u w:val="none"/>
        </w:rPr>
        <w:t>日</w:t>
      </w:r>
      <w:r>
        <w:rPr>
          <w:rFonts w:hint="eastAsia" w:ascii="宋体" w:hAnsi="宋体" w:cs="宋体"/>
          <w:color w:val="auto"/>
          <w:sz w:val="24"/>
          <w:highlight w:val="none"/>
          <w:u w:val="none"/>
          <w:lang w:val="en-US" w:eastAsia="zh-CN"/>
        </w:rPr>
        <w:t>9</w:t>
      </w:r>
      <w:r>
        <w:rPr>
          <w:rFonts w:hint="eastAsia" w:ascii="宋体" w:hAnsi="宋体" w:cs="宋体"/>
          <w:color w:val="auto"/>
          <w:sz w:val="24"/>
          <w:highlight w:val="none"/>
          <w:u w:val="none"/>
        </w:rPr>
        <w:t>点</w:t>
      </w:r>
      <w:r>
        <w:rPr>
          <w:rFonts w:hint="eastAsia" w:ascii="宋体" w:hAnsi="宋体" w:cs="宋体"/>
          <w:color w:val="auto"/>
          <w:sz w:val="24"/>
          <w:highlight w:val="none"/>
          <w:u w:val="none"/>
          <w:lang w:val="en-US" w:eastAsia="zh-CN"/>
        </w:rPr>
        <w:t>30</w:t>
      </w:r>
      <w:r>
        <w:rPr>
          <w:rFonts w:hint="eastAsia" w:ascii="宋体" w:hAnsi="宋体" w:cs="宋体"/>
          <w:color w:val="auto"/>
          <w:sz w:val="24"/>
          <w:highlight w:val="none"/>
          <w:u w:val="none"/>
        </w:rPr>
        <w:t>分</w:t>
      </w:r>
      <w:r>
        <w:rPr>
          <w:rFonts w:hint="eastAsia" w:ascii="宋体" w:hAnsi="宋体" w:cs="宋体"/>
          <w:bCs/>
          <w:color w:val="auto"/>
          <w:sz w:val="24"/>
          <w:highlight w:val="none"/>
          <w:u w:val="none"/>
        </w:rPr>
        <w:t>00秒</w:t>
      </w:r>
      <w:r>
        <w:rPr>
          <w:rFonts w:hint="eastAsia" w:ascii="宋体" w:hAnsi="宋体" w:cs="宋体"/>
          <w:bCs/>
          <w:color w:val="auto"/>
          <w:sz w:val="24"/>
          <w:highlight w:val="none"/>
          <w:u w:val="none"/>
        </w:rPr>
        <w:fldChar w:fldCharType="end"/>
      </w:r>
      <w:r>
        <w:rPr>
          <w:rFonts w:hint="eastAsia" w:ascii="宋体" w:hAnsi="宋体" w:cs="宋体"/>
          <w:bCs/>
          <w:color w:val="auto"/>
          <w:sz w:val="24"/>
          <w:highlight w:val="none"/>
          <w:u w:val="none"/>
        </w:rPr>
        <w:t>（北京时间）前</w:t>
      </w:r>
      <w:r>
        <w:rPr>
          <w:rFonts w:hint="eastAsia" w:ascii="宋体" w:hAnsi="宋体" w:cs="宋体"/>
          <w:color w:val="auto"/>
          <w:sz w:val="24"/>
          <w:highlight w:val="none"/>
          <w:u w:val="none"/>
        </w:rPr>
        <w:t>提交（上传）响应文件。</w:t>
      </w:r>
    </w:p>
    <w:p w14:paraId="17A3961B">
      <w:pPr>
        <w:spacing w:line="360" w:lineRule="auto"/>
        <w:rPr>
          <w:rFonts w:hint="eastAsia" w:ascii="宋体" w:hAnsi="宋体" w:cs="宋体"/>
          <w:b/>
          <w:color w:val="auto"/>
          <w:sz w:val="24"/>
          <w:highlight w:val="none"/>
        </w:rPr>
      </w:pPr>
    </w:p>
    <w:p w14:paraId="4611FBC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3EAD6B4">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ZJZBC-25-CS-9041</w:t>
      </w:r>
    </w:p>
    <w:p w14:paraId="5CFE6294">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杭州四中下沙校区综合楼西（学生成长中心）改造</w:t>
      </w:r>
    </w:p>
    <w:p w14:paraId="2B322989">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 w:val="0"/>
          <w:bCs/>
          <w:color w:val="auto"/>
          <w:sz w:val="24"/>
          <w:highlight w:val="none"/>
          <w:lang w:val="en-US" w:eastAsia="zh-CN"/>
        </w:rPr>
        <w:t>3530000</w:t>
      </w:r>
      <w:r>
        <w:rPr>
          <w:rFonts w:hint="eastAsia" w:ascii="宋体" w:hAnsi="宋体" w:cs="宋体"/>
          <w:b w:val="0"/>
          <w:bCs/>
          <w:color w:val="auto"/>
          <w:sz w:val="24"/>
          <w:highlight w:val="none"/>
        </w:rPr>
        <w:t xml:space="preserve"> </w:t>
      </w:r>
    </w:p>
    <w:p w14:paraId="24363695">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eastAsia="zh-CN"/>
        </w:rPr>
        <w:t>3530000</w:t>
      </w:r>
    </w:p>
    <w:p w14:paraId="79B22E54">
      <w:pPr>
        <w:pStyle w:val="5"/>
        <w:spacing w:line="360" w:lineRule="auto"/>
        <w:ind w:firstLine="482" w:firstLineChars="200"/>
        <w:rPr>
          <w:rFonts w:hint="eastAsia" w:hAnsi="宋体" w:cs="宋体"/>
          <w:b/>
          <w:color w:val="auto"/>
          <w:sz w:val="24"/>
          <w:highlight w:val="none"/>
        </w:rPr>
      </w:pPr>
      <w:r>
        <w:rPr>
          <w:rFonts w:hint="eastAsia" w:hAnsi="宋体" w:cs="宋体"/>
          <w:b/>
          <w:color w:val="auto"/>
          <w:sz w:val="24"/>
          <w:highlight w:val="none"/>
        </w:rPr>
        <w:t>采购需求：</w:t>
      </w:r>
    </w:p>
    <w:p w14:paraId="68E1FAB8">
      <w:pPr>
        <w:pStyle w:val="25"/>
        <w:spacing w:line="360" w:lineRule="auto"/>
        <w:rPr>
          <w:rFonts w:hint="eastAsia" w:cs="宋体"/>
          <w:color w:val="auto"/>
          <w:highlight w:val="none"/>
        </w:rPr>
      </w:pPr>
    </w:p>
    <w:p w14:paraId="22FC3E1F">
      <w:pPr>
        <w:pStyle w:val="25"/>
        <w:spacing w:line="360" w:lineRule="auto"/>
        <w:rPr>
          <w:rFonts w:cs="宋体"/>
          <w:color w:val="auto"/>
          <w:highlight w:val="none"/>
        </w:rPr>
      </w:pPr>
      <w:r>
        <w:rPr>
          <w:rFonts w:hint="eastAsia" w:cs="宋体"/>
          <w:color w:val="auto"/>
          <w:highlight w:val="none"/>
        </w:rPr>
        <w:t>数量：1</w:t>
      </w:r>
    </w:p>
    <w:p w14:paraId="104C6D6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预算金额（元）：</w:t>
      </w:r>
      <w:r>
        <w:rPr>
          <w:rFonts w:hint="eastAsia" w:ascii="宋体" w:hAnsi="宋体" w:cs="宋体"/>
          <w:b w:val="0"/>
          <w:bCs/>
          <w:color w:val="auto"/>
          <w:sz w:val="24"/>
          <w:highlight w:val="none"/>
          <w:lang w:val="en-US" w:eastAsia="zh-CN"/>
        </w:rPr>
        <w:t>3530000</w:t>
      </w:r>
      <w:r>
        <w:rPr>
          <w:rFonts w:hint="eastAsia" w:ascii="宋体" w:hAnsi="宋体" w:cs="宋体"/>
          <w:b w:val="0"/>
          <w:bCs/>
          <w:color w:val="auto"/>
          <w:sz w:val="24"/>
          <w:highlight w:val="none"/>
        </w:rPr>
        <w:t xml:space="preserve"> </w:t>
      </w:r>
      <w:r>
        <w:rPr>
          <w:rFonts w:hint="eastAsia" w:ascii="宋体" w:hAnsi="宋体" w:cs="宋体"/>
          <w:color w:val="auto"/>
          <w:sz w:val="24"/>
          <w:highlight w:val="none"/>
        </w:rPr>
        <w:t xml:space="preserve"> </w:t>
      </w:r>
    </w:p>
    <w:p w14:paraId="003814C2">
      <w:pPr>
        <w:pStyle w:val="25"/>
        <w:spacing w:line="360" w:lineRule="auto"/>
        <w:rPr>
          <w:rFonts w:hint="eastAsia" w:cs="宋体"/>
          <w:color w:val="auto"/>
          <w:highlight w:val="none"/>
        </w:rPr>
      </w:pPr>
      <w:r>
        <w:rPr>
          <w:rFonts w:hint="eastAsia" w:cs="宋体"/>
          <w:color w:val="auto"/>
          <w:highlight w:val="none"/>
        </w:rPr>
        <w:t>单位：项</w:t>
      </w:r>
    </w:p>
    <w:p w14:paraId="74C14250">
      <w:pPr>
        <w:pStyle w:val="25"/>
        <w:spacing w:line="360" w:lineRule="auto"/>
        <w:rPr>
          <w:rFonts w:hAnsi="宋体" w:cs="宋体"/>
          <w:bCs/>
          <w:snapToGrid/>
          <w:color w:val="auto"/>
          <w:kern w:val="2"/>
          <w:sz w:val="24"/>
          <w:szCs w:val="24"/>
          <w:highlight w:val="none"/>
        </w:rPr>
      </w:pPr>
      <w:r>
        <w:rPr>
          <w:rFonts w:hint="eastAsia" w:ascii="宋体" w:hAnsi="宋体" w:cs="宋体"/>
          <w:color w:val="auto"/>
          <w:sz w:val="24"/>
          <w:highlight w:val="none"/>
        </w:rPr>
        <w:t>简要规格描述：</w:t>
      </w:r>
      <w:r>
        <w:rPr>
          <w:rFonts w:hint="eastAsia" w:cs="宋体"/>
          <w:b w:val="0"/>
          <w:bCs/>
          <w:color w:val="auto"/>
          <w:sz w:val="24"/>
          <w:highlight w:val="none"/>
          <w:lang w:eastAsia="zh-CN"/>
        </w:rPr>
        <w:t>杭州四中下沙校区综合楼西（学生成长中心）改造，</w:t>
      </w:r>
      <w:r>
        <w:rPr>
          <w:rFonts w:hint="eastAsia" w:cs="宋体"/>
          <w:bCs/>
          <w:snapToGrid/>
          <w:color w:val="auto"/>
          <w:kern w:val="2"/>
          <w:sz w:val="24"/>
          <w:szCs w:val="24"/>
          <w:highlight w:val="none"/>
          <w:lang w:val="en-US" w:eastAsia="zh-CN"/>
        </w:rPr>
        <w:t>本次装修范围为杭州第四中学信息楼学生成长中心室内装修，装修内容主要为室内新增钢结构楼梯、局部结构加固、室内地面装修、顶面装修、墙面装修、隔墙装修、门窗更换及安装工程，</w:t>
      </w:r>
      <w:r>
        <w:rPr>
          <w:rFonts w:hint="eastAsia" w:hAnsi="宋体" w:cs="宋体"/>
          <w:bCs/>
          <w:snapToGrid/>
          <w:color w:val="auto"/>
          <w:kern w:val="2"/>
          <w:sz w:val="24"/>
          <w:szCs w:val="24"/>
          <w:highlight w:val="none"/>
        </w:rPr>
        <w:t>详见采购文件第三部分采购需求。</w:t>
      </w:r>
    </w:p>
    <w:p w14:paraId="01233AD2">
      <w:pPr>
        <w:pStyle w:val="131"/>
        <w:snapToGrid w:val="0"/>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rPr>
        <w:t>合同签订接采购人开工通知后</w:t>
      </w:r>
      <w:r>
        <w:rPr>
          <w:rFonts w:hint="eastAsia" w:ascii="宋体" w:hAnsi="宋体" w:cs="宋体"/>
          <w:b w:val="0"/>
          <w:bCs/>
          <w:color w:val="auto"/>
          <w:highlight w:val="none"/>
          <w:lang w:val="en-US" w:eastAsia="zh-CN"/>
        </w:rPr>
        <w:t>35</w:t>
      </w:r>
      <w:r>
        <w:rPr>
          <w:rFonts w:hint="eastAsia" w:ascii="宋体" w:hAnsi="宋体" w:cs="宋体"/>
          <w:b w:val="0"/>
          <w:bCs/>
          <w:color w:val="auto"/>
          <w:highlight w:val="none"/>
        </w:rPr>
        <w:t>日历天内完成工程施工。</w:t>
      </w:r>
    </w:p>
    <w:p w14:paraId="1313D475">
      <w:pPr>
        <w:pStyle w:val="5"/>
        <w:spacing w:line="360" w:lineRule="auto"/>
        <w:ind w:firstLine="482" w:firstLineChars="200"/>
        <w:rPr>
          <w:rFonts w:hAnsi="宋体" w:cs="宋体"/>
          <w:b/>
          <w:color w:val="auto"/>
          <w:sz w:val="24"/>
          <w:highlight w:val="none"/>
        </w:rPr>
      </w:pPr>
      <w:r>
        <w:rPr>
          <w:rFonts w:hint="eastAsia" w:hAnsi="宋体" w:cs="宋体"/>
          <w:b/>
          <w:color w:val="auto"/>
          <w:sz w:val="24"/>
          <w:highlight w:val="none"/>
        </w:rPr>
        <w:t>本项目接受联合体：</w:t>
      </w:r>
    </w:p>
    <w:p w14:paraId="508A3C73">
      <w:pPr>
        <w:pStyle w:val="5"/>
        <w:spacing w:line="360" w:lineRule="auto"/>
        <w:ind w:firstLine="482" w:firstLineChars="200"/>
        <w:rPr>
          <w:rFonts w:hAnsi="宋体" w:cs="宋体"/>
          <w:b/>
          <w:bCs/>
          <w:color w:val="auto"/>
          <w:sz w:val="24"/>
          <w:highlight w:val="none"/>
        </w:rPr>
      </w:pPr>
      <w:sdt>
        <w:sdtPr>
          <w:rPr>
            <w:rFonts w:hint="eastAsia" w:hAnsi="宋体" w:cs="宋体"/>
            <w:b/>
            <w:bCs/>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b/>
            <w:bCs/>
            <w:color w:val="auto"/>
            <w:kern w:val="0"/>
            <w:sz w:val="24"/>
            <w:highlight w:val="none"/>
          </w:rPr>
        </w:sdtEndPr>
        <w:sdtContent>
          <w:r>
            <w:rPr>
              <w:rFonts w:hAnsi="宋体" w:cs="宋体"/>
              <w:b/>
              <w:bCs/>
              <w:color w:val="auto"/>
              <w:kern w:val="0"/>
              <w:sz w:val="24"/>
              <w:highlight w:val="none"/>
            </w:rPr>
            <w:sym w:font="Wingdings" w:char="F0FE"/>
          </w:r>
        </w:sdtContent>
      </w:sdt>
      <w:r>
        <w:rPr>
          <w:rFonts w:hint="eastAsia" w:hAnsi="宋体" w:cs="宋体"/>
          <w:b/>
          <w:bCs/>
          <w:color w:val="auto"/>
          <w:sz w:val="24"/>
          <w:highlight w:val="none"/>
        </w:rPr>
        <w:t>是；</w:t>
      </w:r>
    </w:p>
    <w:p w14:paraId="170C0F19">
      <w:pPr>
        <w:pStyle w:val="5"/>
        <w:spacing w:line="360" w:lineRule="auto"/>
        <w:ind w:firstLine="480" w:firstLineChars="200"/>
        <w:rPr>
          <w:rFonts w:hAnsi="宋体" w:cs="宋体"/>
          <w:color w:val="auto"/>
          <w:kern w:val="0"/>
          <w:sz w:val="24"/>
          <w:highlight w:val="none"/>
        </w:rPr>
      </w:pPr>
      <w:sdt>
        <w:sdtPr>
          <w:rPr>
            <w:rFonts w:hint="eastAsia" w:hAnsi="宋体" w:cs="宋体"/>
            <w:color w:val="auto"/>
            <w:kern w:val="0"/>
            <w:sz w:val="24"/>
            <w:highlight w:val="none"/>
          </w:rPr>
          <w:id w:val="87168129"/>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t>☐</w:t>
          </w:r>
        </w:sdtContent>
      </w:sdt>
      <w:r>
        <w:rPr>
          <w:rFonts w:hint="eastAsia" w:hAnsi="宋体" w:cs="宋体"/>
          <w:color w:val="auto"/>
          <w:sz w:val="24"/>
          <w:highlight w:val="none"/>
        </w:rPr>
        <w:t>否</w:t>
      </w:r>
      <w:r>
        <w:rPr>
          <w:rFonts w:hint="eastAsia" w:hAnsi="宋体" w:cs="宋体"/>
          <w:color w:val="auto"/>
          <w:kern w:val="0"/>
          <w:sz w:val="24"/>
          <w:highlight w:val="none"/>
        </w:rPr>
        <w:t>，不接受联合体理由：</w:t>
      </w:r>
      <w:r>
        <w:rPr>
          <w:rFonts w:hAnsi="宋体" w:cs="宋体"/>
          <w:color w:val="auto"/>
          <w:kern w:val="0"/>
          <w:sz w:val="24"/>
          <w:highlight w:val="none"/>
          <w:u w:val="single"/>
        </w:rPr>
        <w:t xml:space="preserve">              </w:t>
      </w:r>
      <w:r>
        <w:rPr>
          <w:rFonts w:hint="eastAsia" w:hAnsi="宋体" w:cs="宋体"/>
          <w:color w:val="auto"/>
          <w:kern w:val="0"/>
          <w:sz w:val="24"/>
          <w:highlight w:val="none"/>
        </w:rPr>
        <w:t>。</w:t>
      </w:r>
    </w:p>
    <w:p w14:paraId="730DF591">
      <w:pPr>
        <w:pStyle w:val="131"/>
        <w:snapToGrid w:val="0"/>
        <w:spacing w:before="0"/>
        <w:ind w:firstLine="482"/>
        <w:outlineLvl w:val="2"/>
        <w:rPr>
          <w:rFonts w:ascii="宋体" w:hAnsi="宋体" w:cs="宋体"/>
          <w:b/>
          <w:color w:val="auto"/>
          <w:highlight w:val="none"/>
        </w:rPr>
      </w:pPr>
      <w:r>
        <w:rPr>
          <w:rFonts w:hint="eastAsia" w:ascii="宋体" w:hAnsi="宋体" w:cs="宋体"/>
          <w:b/>
          <w:color w:val="auto"/>
          <w:highlight w:val="none"/>
        </w:rPr>
        <w:t>注：不得限制大中型企业与小微企业组成联合体参与。</w:t>
      </w:r>
    </w:p>
    <w:p w14:paraId="0A150137">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193B3F13">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FC1F253">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以联合体形式参与的，提供联合协议(本项目不接受联合体或者供应商不以联合体形式参与的，则不需要提供) ；</w:t>
      </w:r>
    </w:p>
    <w:p w14:paraId="46974C92">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2C4B284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p>
    <w:p w14:paraId="39ACC80E">
      <w:pPr>
        <w:spacing w:line="360" w:lineRule="auto"/>
        <w:ind w:firstLine="482" w:firstLineChars="200"/>
        <w:rPr>
          <w:rFonts w:ascii="宋体" w:hAnsi="宋体" w:cs="宋体"/>
          <w:b/>
          <w:bCs/>
          <w:color w:val="auto"/>
          <w:sz w:val="24"/>
          <w:highlight w:val="none"/>
        </w:rPr>
      </w:pPr>
      <w:sdt>
        <w:sdtPr>
          <w:rPr>
            <w:rFonts w:hint="eastAsia" w:ascii="宋体" w:hAnsi="宋体" w:cs="宋体"/>
            <w:b/>
            <w:bCs/>
            <w:color w:val="auto"/>
            <w:kern w:val="0"/>
            <w:sz w:val="24"/>
            <w:highlight w:val="none"/>
          </w:rPr>
          <w:id w:val="609159493"/>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宋体" w:hAnsi="宋体" w:cs="宋体"/>
              <w:b/>
              <w:bCs/>
              <w:color w:val="auto"/>
              <w:kern w:val="0"/>
              <w:sz w:val="24"/>
              <w:highlight w:val="none"/>
            </w:rPr>
            <w:sym w:font="Wingdings" w:char="F0FE"/>
          </w:r>
        </w:sdtContent>
      </w:sdt>
      <w:r>
        <w:rPr>
          <w:rFonts w:hint="eastAsia" w:ascii="宋体" w:hAnsi="宋体" w:cs="宋体"/>
          <w:b/>
          <w:bCs/>
          <w:color w:val="auto"/>
          <w:kern w:val="0"/>
          <w:sz w:val="24"/>
          <w:highlight w:val="none"/>
        </w:rPr>
        <w:t>专</w:t>
      </w:r>
      <w:r>
        <w:rPr>
          <w:rFonts w:hint="eastAsia" w:ascii="宋体" w:hAnsi="宋体" w:cs="宋体"/>
          <w:b/>
          <w:bCs/>
          <w:color w:val="auto"/>
          <w:sz w:val="24"/>
          <w:highlight w:val="none"/>
        </w:rPr>
        <w:t>门面向中小企业</w:t>
      </w:r>
    </w:p>
    <w:p w14:paraId="45D68EEC">
      <w:pPr>
        <w:spacing w:line="360" w:lineRule="auto"/>
        <w:ind w:firstLine="897" w:firstLineChars="374"/>
        <w:rPr>
          <w:rFonts w:ascii="宋体" w:hAnsi="宋体" w:cs="宋体"/>
          <w:b w:val="0"/>
          <w:bCs w:val="0"/>
          <w:color w:val="auto"/>
          <w:sz w:val="24"/>
          <w:highlight w:val="none"/>
          <w:u w:val="single"/>
        </w:rPr>
      </w:pPr>
      <w:sdt>
        <w:sdtPr>
          <w:rPr>
            <w:rFonts w:hint="eastAsia" w:ascii="宋体" w:hAnsi="宋体" w:cs="宋体"/>
            <w:b w:val="0"/>
            <w:bCs w:val="0"/>
            <w:color w:val="auto"/>
            <w:kern w:val="0"/>
            <w:sz w:val="24"/>
            <w:highlight w:val="none"/>
          </w:rPr>
          <w:id w:val="228163809"/>
          <w14:checkbox>
            <w14:checked w14:val="0"/>
            <w14:checkedState w14:val="00FE" w14:font="Wingdings"/>
            <w14:uncheckedState w14:val="2610" w14:font="MS Gothic"/>
          </w14:checkbox>
        </w:sdtPr>
        <w:sdtEndPr>
          <w:rPr>
            <w:rFonts w:hint="eastAsia" w:ascii="宋体" w:hAnsi="宋体" w:cs="宋体"/>
            <w:b w:val="0"/>
            <w:bCs w:val="0"/>
            <w:color w:val="auto"/>
            <w:kern w:val="0"/>
            <w:sz w:val="24"/>
            <w:highlight w:val="none"/>
          </w:rPr>
        </w:sdtEndPr>
        <w:sdtContent>
          <w:r>
            <w:rPr>
              <w:rFonts w:hint="eastAsia" w:ascii="MS Gothic" w:hAnsi="MS Gothic" w:eastAsia="宋体" w:cs="宋体"/>
              <w:b w:val="0"/>
              <w:bCs w:val="0"/>
              <w:color w:val="auto"/>
              <w:kern w:val="0"/>
              <w:sz w:val="24"/>
              <w:szCs w:val="24"/>
              <w:highlight w:val="none"/>
              <w:lang w:val="en-US" w:eastAsia="zh-CN" w:bidi="ar-SA"/>
            </w:rPr>
            <w:t>☐</w:t>
          </w:r>
        </w:sdtContent>
      </w:sdt>
      <w:r>
        <w:rPr>
          <w:rFonts w:hint="eastAsia" w:ascii="宋体" w:hAnsi="宋体" w:cs="宋体"/>
          <w:b w:val="0"/>
          <w:bCs w:val="0"/>
          <w:color w:val="auto"/>
          <w:sz w:val="24"/>
          <w:highlight w:val="none"/>
        </w:rPr>
        <w:t>工程全部由符合政策要求的中小企业承建，提供中小企业声明函；</w:t>
      </w:r>
    </w:p>
    <w:p w14:paraId="1EC8D774">
      <w:pPr>
        <w:spacing w:line="360" w:lineRule="auto"/>
        <w:ind w:firstLine="901" w:firstLineChars="374"/>
        <w:rPr>
          <w:rFonts w:ascii="宋体" w:hAnsi="宋体" w:cs="宋体"/>
          <w:b/>
          <w:bCs/>
          <w:color w:val="auto"/>
          <w:sz w:val="24"/>
          <w:highlight w:val="none"/>
        </w:rPr>
      </w:pPr>
      <w:sdt>
        <w:sdtPr>
          <w:rPr>
            <w:rFonts w:hint="eastAsia" w:ascii="宋体" w:hAnsi="宋体" w:cs="宋体"/>
            <w:b/>
            <w:bCs/>
            <w:color w:val="auto"/>
            <w:kern w:val="0"/>
            <w:sz w:val="24"/>
            <w:highlight w:val="none"/>
          </w:rPr>
          <w:id w:val="701143851"/>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Wingdings" w:hAnsi="Wingdings" w:eastAsia="宋体" w:cs="宋体"/>
              <w:b/>
              <w:bCs/>
              <w:color w:val="auto"/>
              <w:kern w:val="0"/>
              <w:sz w:val="24"/>
              <w:szCs w:val="24"/>
              <w:highlight w:val="none"/>
              <w:lang w:val="en-US" w:eastAsia="zh-CN" w:bidi="ar-SA"/>
            </w:rPr>
            <w:t>þ</w:t>
          </w:r>
        </w:sdtContent>
      </w:sdt>
      <w:r>
        <w:rPr>
          <w:rFonts w:hint="eastAsia" w:ascii="宋体" w:hAnsi="宋体" w:cs="宋体"/>
          <w:b/>
          <w:bCs/>
          <w:color w:val="auto"/>
          <w:sz w:val="24"/>
          <w:highlight w:val="none"/>
        </w:rPr>
        <w:t>工程全部由符合政策要求的小微企业承建，提供中小企业声明函；</w:t>
      </w:r>
    </w:p>
    <w:p w14:paraId="46E6D31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392801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42386B89">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如果供应商本身提供所有标的均由中小企业承建，并相应达到了前述比例要求，视同符合了资格条件，无需再向中小企业分包，无需提供分包意向协议</w:t>
      </w:r>
      <w:r>
        <w:rPr>
          <w:rFonts w:hint="eastAsia" w:ascii="宋体" w:hAnsi="宋体" w:cs="宋体"/>
          <w:color w:val="auto"/>
          <w:sz w:val="24"/>
          <w:highlight w:val="none"/>
        </w:rPr>
        <w:t>；</w:t>
      </w:r>
    </w:p>
    <w:p w14:paraId="4EC368D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5FCD3D1F">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14:paraId="0C62AD31">
      <w:pPr>
        <w:snapToGrid w:val="0"/>
        <w:spacing w:line="360" w:lineRule="auto"/>
        <w:ind w:firstLine="482" w:firstLineChars="200"/>
        <w:rPr>
          <w:rFonts w:hint="eastAsia" w:ascii="宋体" w:hAnsi="宋体" w:cs="宋体"/>
          <w:b/>
          <w:bCs/>
          <w:color w:val="auto"/>
          <w:sz w:val="24"/>
          <w:highlight w:val="none"/>
        </w:rPr>
      </w:pPr>
      <w:sdt>
        <w:sdtPr>
          <w:rPr>
            <w:rFonts w:hint="eastAsia" w:ascii="宋体" w:hAnsi="宋体" w:cs="宋体"/>
            <w:b/>
            <w:bCs/>
            <w:color w:val="auto"/>
            <w:kern w:val="0"/>
            <w:sz w:val="24"/>
            <w:highlight w:val="none"/>
          </w:rPr>
          <w:id w:val="900648444"/>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Wingdings" w:hAnsi="Wingdings" w:eastAsia="MS Gothic" w:cs="宋体"/>
              <w:b/>
              <w:bCs/>
              <w:color w:val="auto"/>
              <w:kern w:val="0"/>
              <w:sz w:val="24"/>
              <w:szCs w:val="24"/>
              <w:highlight w:val="none"/>
              <w:lang w:val="en-US" w:eastAsia="zh-CN" w:bidi="ar-SA"/>
            </w:rPr>
            <w:t>þ</w:t>
          </w:r>
        </w:sdtContent>
      </w:sdt>
      <w:r>
        <w:rPr>
          <w:rFonts w:hint="eastAsia" w:ascii="宋体" w:hAnsi="宋体" w:cs="宋体"/>
          <w:b/>
          <w:bCs/>
          <w:color w:val="auto"/>
          <w:sz w:val="24"/>
          <w:highlight w:val="none"/>
        </w:rPr>
        <w:t>有特定资格要求：</w:t>
      </w:r>
    </w:p>
    <w:p w14:paraId="5116DCF0">
      <w:pPr>
        <w:numPr>
          <w:ilvl w:val="0"/>
          <w:numId w:val="2"/>
        </w:numPr>
        <w:snapToGrid w:val="0"/>
        <w:spacing w:line="360" w:lineRule="auto"/>
        <w:ind w:firstLine="482" w:firstLineChars="200"/>
        <w:rPr>
          <w:rFonts w:hint="eastAsia" w:ascii="宋体" w:hAnsi="宋体" w:cs="宋体"/>
          <w:b/>
          <w:bCs/>
          <w:color w:val="auto"/>
          <w:sz w:val="24"/>
          <w:highlight w:val="none"/>
          <w:u w:val="single"/>
          <w:lang w:eastAsia="zh-CN"/>
        </w:rPr>
      </w:pPr>
      <w:r>
        <w:rPr>
          <w:rFonts w:hint="eastAsia" w:ascii="宋体" w:hAnsi="宋体" w:cs="宋体"/>
          <w:b/>
          <w:bCs/>
          <w:color w:val="auto"/>
          <w:sz w:val="24"/>
          <w:highlight w:val="none"/>
          <w:u w:val="single"/>
          <w:lang w:eastAsia="zh-CN"/>
        </w:rPr>
        <w:t>具备建筑工程施工总承包三级及以上资质，</w:t>
      </w:r>
      <w:r>
        <w:rPr>
          <w:rFonts w:hint="eastAsia" w:ascii="宋体" w:hAnsi="宋体" w:cs="宋体"/>
          <w:b/>
          <w:bCs/>
          <w:color w:val="auto"/>
          <w:sz w:val="24"/>
          <w:highlight w:val="none"/>
        </w:rPr>
        <w:t>该特定条件的法律法规依据：</w:t>
      </w:r>
      <w:r>
        <w:rPr>
          <w:rFonts w:hint="eastAsia" w:ascii="宋体" w:hAnsi="宋体" w:cs="宋体"/>
          <w:b/>
          <w:bCs/>
          <w:color w:val="auto"/>
          <w:sz w:val="24"/>
          <w:highlight w:val="none"/>
          <w:u w:val="single"/>
        </w:rPr>
        <w:t>《中华人民共和国建筑法》</w:t>
      </w:r>
      <w:r>
        <w:rPr>
          <w:rFonts w:hint="eastAsia" w:ascii="宋体" w:hAnsi="宋体" w:cs="宋体"/>
          <w:b/>
          <w:bCs/>
          <w:color w:val="auto"/>
          <w:sz w:val="24"/>
          <w:highlight w:val="none"/>
          <w:u w:val="single"/>
          <w:lang w:eastAsia="zh-CN"/>
        </w:rPr>
        <w:t>、</w:t>
      </w:r>
      <w:r>
        <w:rPr>
          <w:rFonts w:hint="eastAsia" w:ascii="宋体" w:hAnsi="宋体" w:cs="宋体"/>
          <w:b/>
          <w:bCs/>
          <w:color w:val="auto"/>
          <w:sz w:val="24"/>
          <w:highlight w:val="none"/>
          <w:u w:val="single"/>
        </w:rPr>
        <w:t>《建筑业企业资质管理规定》</w:t>
      </w:r>
      <w:r>
        <w:rPr>
          <w:rFonts w:hint="eastAsia" w:ascii="宋体" w:hAnsi="宋体" w:cs="宋体"/>
          <w:b/>
          <w:bCs/>
          <w:color w:val="auto"/>
          <w:sz w:val="24"/>
          <w:highlight w:val="none"/>
          <w:u w:val="none"/>
          <w:lang w:eastAsia="zh-CN"/>
        </w:rPr>
        <w:t>；</w:t>
      </w:r>
    </w:p>
    <w:p w14:paraId="06A60B33">
      <w:pPr>
        <w:numPr>
          <w:ilvl w:val="0"/>
          <w:numId w:val="2"/>
        </w:num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u w:val="single"/>
          <w:lang w:val="en-US" w:eastAsia="zh-CN"/>
        </w:rPr>
        <w:t>有效期内的《安全生产许可证》，</w:t>
      </w:r>
      <w:r>
        <w:rPr>
          <w:rFonts w:hint="eastAsia" w:ascii="宋体" w:hAnsi="宋体" w:cs="宋体"/>
          <w:b/>
          <w:bCs/>
          <w:color w:val="auto"/>
          <w:sz w:val="24"/>
          <w:highlight w:val="none"/>
        </w:rPr>
        <w:t>该特定条件的法律法规依据：</w:t>
      </w:r>
      <w:r>
        <w:rPr>
          <w:rFonts w:hint="eastAsia" w:ascii="宋体" w:hAnsi="宋体" w:cs="宋体"/>
          <w:b/>
          <w:bCs/>
          <w:color w:val="auto"/>
          <w:sz w:val="24"/>
          <w:highlight w:val="none"/>
          <w:u w:val="single"/>
        </w:rPr>
        <w:t>《安全生产许可证条例》(国务院令第397号)</w:t>
      </w:r>
      <w:r>
        <w:rPr>
          <w:rFonts w:hint="eastAsia" w:ascii="宋体" w:hAnsi="宋体" w:cs="宋体"/>
          <w:b/>
          <w:bCs/>
          <w:color w:val="auto"/>
          <w:sz w:val="24"/>
          <w:highlight w:val="none"/>
          <w:u w:val="none"/>
          <w:lang w:eastAsia="zh-CN"/>
        </w:rPr>
        <w:t>；</w:t>
      </w:r>
    </w:p>
    <w:p w14:paraId="5B5E7CAD">
      <w:pPr>
        <w:numPr>
          <w:ilvl w:val="0"/>
          <w:numId w:val="2"/>
        </w:num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拟派项目经理具有具备建筑工程二级及以上建造师注册证书，同时具有建筑施工企业项目负责人安全生产考核合格证书（B证）</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该特定条件的法律法规依据：</w:t>
      </w:r>
      <w:r>
        <w:rPr>
          <w:rFonts w:hint="eastAsia" w:ascii="宋体" w:hAnsi="宋体" w:cs="宋体"/>
          <w:b/>
          <w:bCs/>
          <w:color w:val="auto"/>
          <w:sz w:val="24"/>
          <w:highlight w:val="none"/>
          <w:u w:val="single"/>
        </w:rPr>
        <w:t>《注册建造师执业管理办法》</w:t>
      </w:r>
      <w:r>
        <w:rPr>
          <w:rFonts w:hint="eastAsia" w:ascii="宋体" w:hAnsi="宋体" w:cs="宋体"/>
          <w:b/>
          <w:bCs/>
          <w:color w:val="auto"/>
          <w:sz w:val="24"/>
          <w:highlight w:val="none"/>
          <w:u w:val="single"/>
          <w:lang w:eastAsia="zh-CN"/>
        </w:rPr>
        <w:t>《注册建造师执业工程规模标准》；</w:t>
      </w:r>
    </w:p>
    <w:p w14:paraId="0E8FFA66">
      <w:pPr>
        <w:numPr>
          <w:ilvl w:val="0"/>
          <w:numId w:val="2"/>
        </w:num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lang w:val="en-US" w:eastAsia="zh-CN"/>
        </w:rPr>
        <w:t>拟派项目经理无在建工程，提供无在建工程书面承诺</w:t>
      </w:r>
      <w:r>
        <w:rPr>
          <w:rFonts w:hint="eastAsia" w:ascii="宋体" w:hAnsi="宋体" w:cs="宋体"/>
          <w:b/>
          <w:bCs/>
          <w:color w:val="auto"/>
          <w:sz w:val="24"/>
          <w:highlight w:val="none"/>
        </w:rPr>
        <w:t>。该特定条件的法律法规依据：</w:t>
      </w:r>
      <w:r>
        <w:rPr>
          <w:rFonts w:hint="eastAsia" w:ascii="宋体" w:hAnsi="宋体" w:cs="宋体"/>
          <w:b/>
          <w:bCs/>
          <w:color w:val="auto"/>
          <w:sz w:val="24"/>
          <w:highlight w:val="none"/>
          <w:u w:val="single"/>
        </w:rPr>
        <w:t>《注册建造师执业管理办法》</w:t>
      </w:r>
      <w:r>
        <w:rPr>
          <w:rFonts w:hint="eastAsia" w:ascii="宋体" w:hAnsi="宋体" w:cs="宋体"/>
          <w:b/>
          <w:bCs/>
          <w:color w:val="auto"/>
          <w:sz w:val="24"/>
          <w:highlight w:val="none"/>
          <w:u w:val="single"/>
          <w:lang w:eastAsia="zh-CN"/>
        </w:rPr>
        <w:t>。</w:t>
      </w:r>
    </w:p>
    <w:p w14:paraId="3BE7F34D">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5109C03">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29ED548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至</w:t>
      </w:r>
      <w:r>
        <w:rPr>
          <w:rFonts w:hint="eastAsia" w:ascii="宋体" w:hAnsi="宋体" w:cs="宋体"/>
          <w:color w:val="auto"/>
          <w:sz w:val="24"/>
          <w:highlight w:val="none"/>
          <w:u w:val="none"/>
        </w:rPr>
        <w:t>202</w:t>
      </w:r>
      <w:r>
        <w:rPr>
          <w:rFonts w:hint="eastAsia" w:ascii="宋体" w:hAnsi="宋体" w:cs="宋体"/>
          <w:color w:val="auto"/>
          <w:sz w:val="24"/>
          <w:highlight w:val="none"/>
          <w:u w:val="none"/>
          <w:lang w:val="en-US" w:eastAsia="zh-CN"/>
        </w:rPr>
        <w:t>5</w:t>
      </w:r>
      <w:r>
        <w:rPr>
          <w:rFonts w:hint="eastAsia" w:ascii="宋体" w:hAnsi="宋体" w:cs="宋体"/>
          <w:color w:val="auto"/>
          <w:sz w:val="24"/>
          <w:highlight w:val="none"/>
          <w:u w:val="none"/>
        </w:rPr>
        <w:t>年</w:t>
      </w:r>
      <w:r>
        <w:rPr>
          <w:rFonts w:hint="eastAsia" w:ascii="宋体" w:hAnsi="宋体" w:cs="宋体"/>
          <w:color w:val="auto"/>
          <w:sz w:val="24"/>
          <w:highlight w:val="none"/>
          <w:u w:val="none"/>
          <w:lang w:val="en-US" w:eastAsia="zh-CN"/>
        </w:rPr>
        <w:t>7</w:t>
      </w:r>
      <w:r>
        <w:rPr>
          <w:rFonts w:hint="eastAsia" w:ascii="宋体" w:hAnsi="宋体" w:cs="宋体"/>
          <w:color w:val="auto"/>
          <w:sz w:val="24"/>
          <w:highlight w:val="none"/>
          <w:u w:val="none"/>
        </w:rPr>
        <w:t>月</w:t>
      </w:r>
      <w:r>
        <w:rPr>
          <w:rFonts w:hint="eastAsia" w:ascii="宋体" w:hAnsi="宋体" w:cs="宋体"/>
          <w:color w:val="auto"/>
          <w:sz w:val="24"/>
          <w:highlight w:val="none"/>
          <w:u w:val="none"/>
          <w:lang w:val="en-US" w:eastAsia="zh-CN"/>
        </w:rPr>
        <w:t>22</w:t>
      </w:r>
      <w:r>
        <w:rPr>
          <w:rFonts w:hint="eastAsia" w:ascii="宋体" w:hAnsi="宋体" w:cs="宋体"/>
          <w:color w:val="auto"/>
          <w:sz w:val="24"/>
          <w:highlight w:val="none"/>
          <w:u w:val="non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687251A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8E08F6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3BEDDC0">
      <w:pPr>
        <w:spacing w:line="360" w:lineRule="auto"/>
        <w:ind w:firstLine="482" w:firstLineChars="200"/>
        <w:rPr>
          <w:rFonts w:ascii="宋体" w:hAnsi="宋体" w:cs="宋体"/>
          <w:color w:val="auto"/>
          <w:sz w:val="24"/>
          <w:highlight w:val="none"/>
          <w:u w:val="none"/>
        </w:rPr>
      </w:pPr>
      <w:r>
        <w:rPr>
          <w:rFonts w:hint="eastAsia" w:ascii="宋体" w:hAnsi="宋体" w:cs="宋体"/>
          <w:b/>
          <w:color w:val="auto"/>
          <w:sz w:val="24"/>
          <w:highlight w:val="none"/>
        </w:rPr>
        <w:t>售价（元）：</w:t>
      </w:r>
      <w:r>
        <w:rPr>
          <w:rFonts w:hint="eastAsia" w:ascii="宋体" w:hAnsi="宋体" w:cs="宋体"/>
          <w:color w:val="auto"/>
          <w:sz w:val="24"/>
          <w:highlight w:val="none"/>
        </w:rPr>
        <w:t>0</w:t>
      </w:r>
      <w:r>
        <w:rPr>
          <w:rFonts w:hint="eastAsia" w:ascii="宋体" w:hAnsi="宋体" w:cs="宋体"/>
          <w:color w:val="auto"/>
          <w:sz w:val="24"/>
          <w:highlight w:val="none"/>
          <w:u w:val="none"/>
        </w:rPr>
        <w:t xml:space="preserve"> </w:t>
      </w:r>
      <w:r>
        <w:rPr>
          <w:rFonts w:hint="eastAsia" w:ascii="宋体" w:hAnsi="宋体" w:cs="宋体"/>
          <w:color w:val="auto"/>
          <w:sz w:val="24"/>
          <w:highlight w:val="none"/>
          <w:u w:val="none"/>
        </w:rPr>
        <w:tab/>
      </w:r>
    </w:p>
    <w:p w14:paraId="5E96B6DF">
      <w:pPr>
        <w:spacing w:line="360" w:lineRule="auto"/>
        <w:rPr>
          <w:rFonts w:ascii="宋体" w:hAnsi="宋体" w:cs="宋体"/>
          <w:b/>
          <w:color w:val="auto"/>
          <w:sz w:val="24"/>
          <w:highlight w:val="none"/>
          <w:u w:val="none"/>
        </w:rPr>
      </w:pPr>
      <w:r>
        <w:rPr>
          <w:rFonts w:hint="eastAsia" w:ascii="宋体" w:hAnsi="宋体" w:cs="宋体"/>
          <w:b/>
          <w:color w:val="auto"/>
          <w:sz w:val="24"/>
          <w:highlight w:val="none"/>
          <w:u w:val="none"/>
        </w:rPr>
        <w:t>四、响应文件提交（上传）</w:t>
      </w:r>
    </w:p>
    <w:p w14:paraId="40436819">
      <w:pPr>
        <w:spacing w:line="360" w:lineRule="auto"/>
        <w:ind w:firstLine="482" w:firstLineChars="200"/>
        <w:rPr>
          <w:rFonts w:ascii="宋体" w:hAnsi="宋体" w:cs="宋体"/>
          <w:color w:val="auto"/>
          <w:sz w:val="24"/>
          <w:highlight w:val="none"/>
          <w:u w:val="none"/>
        </w:rPr>
      </w:pPr>
      <w:r>
        <w:rPr>
          <w:rFonts w:hint="eastAsia" w:ascii="宋体" w:hAnsi="宋体" w:cs="宋体"/>
          <w:b/>
          <w:color w:val="auto"/>
          <w:sz w:val="24"/>
          <w:highlight w:val="none"/>
          <w:u w:val="none"/>
        </w:rPr>
        <w:t>截止时间：</w:t>
      </w:r>
      <w:r>
        <w:rPr>
          <w:rFonts w:hint="eastAsia" w:ascii="宋体" w:hAnsi="宋体" w:cs="宋体"/>
          <w:color w:val="auto"/>
          <w:sz w:val="24"/>
          <w:highlight w:val="none"/>
          <w:u w:val="none"/>
        </w:rPr>
        <w:t>202</w:t>
      </w:r>
      <w:r>
        <w:rPr>
          <w:rFonts w:hint="eastAsia" w:ascii="宋体" w:hAnsi="宋体" w:cs="宋体"/>
          <w:color w:val="auto"/>
          <w:sz w:val="24"/>
          <w:highlight w:val="none"/>
          <w:u w:val="none"/>
          <w:lang w:val="en-US" w:eastAsia="zh-CN"/>
        </w:rPr>
        <w:t>5</w:t>
      </w:r>
      <w:r>
        <w:rPr>
          <w:rFonts w:hint="eastAsia" w:ascii="宋体" w:hAnsi="宋体" w:cs="宋体"/>
          <w:color w:val="auto"/>
          <w:sz w:val="24"/>
          <w:highlight w:val="none"/>
          <w:u w:val="none"/>
        </w:rPr>
        <w:t>年</w:t>
      </w:r>
      <w:r>
        <w:rPr>
          <w:rFonts w:hint="eastAsia" w:ascii="宋体" w:hAnsi="宋体" w:cs="宋体"/>
          <w:color w:val="auto"/>
          <w:sz w:val="24"/>
          <w:highlight w:val="none"/>
          <w:u w:val="none"/>
          <w:lang w:val="en-US" w:eastAsia="zh-CN"/>
        </w:rPr>
        <w:t>7</w:t>
      </w:r>
      <w:r>
        <w:rPr>
          <w:rFonts w:hint="eastAsia" w:ascii="宋体" w:hAnsi="宋体" w:cs="宋体"/>
          <w:color w:val="auto"/>
          <w:sz w:val="24"/>
          <w:highlight w:val="none"/>
          <w:u w:val="none"/>
        </w:rPr>
        <w:t>月</w:t>
      </w:r>
      <w:r>
        <w:rPr>
          <w:rFonts w:hint="eastAsia" w:ascii="宋体" w:hAnsi="宋体" w:cs="宋体"/>
          <w:color w:val="auto"/>
          <w:sz w:val="24"/>
          <w:highlight w:val="none"/>
          <w:u w:val="none"/>
          <w:lang w:val="en-US" w:eastAsia="zh-CN"/>
        </w:rPr>
        <w:t>22</w:t>
      </w:r>
      <w:r>
        <w:rPr>
          <w:rFonts w:hint="eastAsia" w:ascii="宋体" w:hAnsi="宋体" w:cs="宋体"/>
          <w:color w:val="auto"/>
          <w:sz w:val="24"/>
          <w:highlight w:val="none"/>
          <w:u w:val="none"/>
        </w:rPr>
        <w:t>日</w:t>
      </w:r>
      <w:r>
        <w:rPr>
          <w:rFonts w:hint="eastAsia" w:ascii="宋体" w:hAnsi="宋体" w:cs="宋体"/>
          <w:color w:val="auto"/>
          <w:sz w:val="24"/>
          <w:highlight w:val="none"/>
          <w:u w:val="none"/>
          <w:lang w:val="en-US" w:eastAsia="zh-CN"/>
        </w:rPr>
        <w:t>09:30</w:t>
      </w:r>
      <w:r>
        <w:rPr>
          <w:rFonts w:hint="eastAsia" w:ascii="宋体" w:hAnsi="宋体" w:cs="宋体"/>
          <w:bCs/>
          <w:color w:val="auto"/>
          <w:sz w:val="24"/>
          <w:highlight w:val="none"/>
          <w:u w:val="none"/>
        </w:rPr>
        <w:t xml:space="preserve"> </w:t>
      </w:r>
      <w:r>
        <w:rPr>
          <w:rFonts w:hint="eastAsia" w:ascii="宋体" w:hAnsi="宋体" w:cs="宋体"/>
          <w:color w:val="auto"/>
          <w:sz w:val="24"/>
          <w:highlight w:val="none"/>
          <w:u w:val="none"/>
        </w:rPr>
        <w:t>（北京时间）</w:t>
      </w:r>
    </w:p>
    <w:p w14:paraId="5DD1BE4A">
      <w:pPr>
        <w:spacing w:line="360" w:lineRule="auto"/>
        <w:ind w:firstLine="482" w:firstLineChars="200"/>
        <w:rPr>
          <w:rFonts w:ascii="宋体" w:hAnsi="宋体" w:cs="宋体"/>
          <w:b/>
          <w:color w:val="auto"/>
          <w:sz w:val="24"/>
          <w:highlight w:val="none"/>
          <w:u w:val="none"/>
        </w:rPr>
      </w:pPr>
      <w:r>
        <w:rPr>
          <w:rFonts w:hint="eastAsia" w:ascii="宋体" w:hAnsi="宋体" w:cs="宋体"/>
          <w:b/>
          <w:color w:val="auto"/>
          <w:sz w:val="24"/>
          <w:highlight w:val="none"/>
          <w:u w:val="none"/>
        </w:rPr>
        <w:t>地点（网址）：</w:t>
      </w:r>
      <w:r>
        <w:rPr>
          <w:rFonts w:hint="eastAsia" w:ascii="宋体" w:hAnsi="宋体" w:cs="宋体"/>
          <w:color w:val="auto"/>
          <w:sz w:val="24"/>
          <w:highlight w:val="none"/>
          <w:u w:val="none"/>
        </w:rPr>
        <w:t xml:space="preserve">政采云平台（https://www.zcygov.cn/） </w:t>
      </w:r>
    </w:p>
    <w:p w14:paraId="16078876">
      <w:pPr>
        <w:spacing w:line="360" w:lineRule="auto"/>
        <w:rPr>
          <w:rFonts w:ascii="宋体" w:hAnsi="宋体" w:cs="宋体"/>
          <w:color w:val="auto"/>
          <w:sz w:val="24"/>
          <w:highlight w:val="none"/>
          <w:u w:val="none"/>
        </w:rPr>
      </w:pPr>
      <w:r>
        <w:rPr>
          <w:rFonts w:hint="eastAsia" w:ascii="宋体" w:hAnsi="宋体" w:cs="宋体"/>
          <w:b/>
          <w:color w:val="auto"/>
          <w:sz w:val="24"/>
          <w:highlight w:val="none"/>
          <w:u w:val="none"/>
        </w:rPr>
        <w:t xml:space="preserve">五、响应文件开启 </w:t>
      </w:r>
    </w:p>
    <w:p w14:paraId="4467A5E0">
      <w:pPr>
        <w:spacing w:line="360" w:lineRule="auto"/>
        <w:ind w:firstLine="482" w:firstLineChars="200"/>
        <w:rPr>
          <w:rFonts w:ascii="宋体" w:hAnsi="宋体" w:cs="宋体"/>
          <w:bCs/>
          <w:color w:val="auto"/>
          <w:sz w:val="24"/>
          <w:highlight w:val="none"/>
          <w:u w:val="none"/>
        </w:rPr>
      </w:pPr>
      <w:r>
        <w:rPr>
          <w:rFonts w:hint="eastAsia" w:ascii="宋体" w:hAnsi="宋体" w:cs="宋体"/>
          <w:b/>
          <w:color w:val="auto"/>
          <w:sz w:val="24"/>
          <w:highlight w:val="none"/>
          <w:u w:val="none"/>
        </w:rPr>
        <w:t>开启时间：</w:t>
      </w:r>
      <w:r>
        <w:rPr>
          <w:rFonts w:hint="eastAsia" w:ascii="宋体" w:hAnsi="宋体" w:cs="宋体"/>
          <w:color w:val="auto"/>
          <w:sz w:val="24"/>
          <w:highlight w:val="none"/>
          <w:u w:val="none"/>
        </w:rPr>
        <w:t>202</w:t>
      </w:r>
      <w:r>
        <w:rPr>
          <w:rFonts w:hint="eastAsia" w:ascii="宋体" w:hAnsi="宋体" w:cs="宋体"/>
          <w:color w:val="auto"/>
          <w:sz w:val="24"/>
          <w:highlight w:val="none"/>
          <w:u w:val="none"/>
          <w:lang w:val="en-US" w:eastAsia="zh-CN"/>
        </w:rPr>
        <w:t>5</w:t>
      </w:r>
      <w:r>
        <w:rPr>
          <w:rFonts w:hint="eastAsia" w:ascii="宋体" w:hAnsi="宋体" w:cs="宋体"/>
          <w:color w:val="auto"/>
          <w:sz w:val="24"/>
          <w:highlight w:val="none"/>
          <w:u w:val="none"/>
        </w:rPr>
        <w:t>年</w:t>
      </w:r>
      <w:r>
        <w:rPr>
          <w:rFonts w:hint="eastAsia" w:ascii="宋体" w:hAnsi="宋体" w:cs="宋体"/>
          <w:color w:val="auto"/>
          <w:sz w:val="24"/>
          <w:highlight w:val="none"/>
          <w:u w:val="none"/>
          <w:lang w:val="en-US" w:eastAsia="zh-CN"/>
        </w:rPr>
        <w:t>7</w:t>
      </w:r>
      <w:r>
        <w:rPr>
          <w:rFonts w:hint="eastAsia" w:ascii="宋体" w:hAnsi="宋体" w:cs="宋体"/>
          <w:color w:val="auto"/>
          <w:sz w:val="24"/>
          <w:highlight w:val="none"/>
          <w:u w:val="none"/>
        </w:rPr>
        <w:t>月</w:t>
      </w:r>
      <w:r>
        <w:rPr>
          <w:rFonts w:hint="eastAsia" w:ascii="宋体" w:hAnsi="宋体" w:cs="宋体"/>
          <w:color w:val="auto"/>
          <w:sz w:val="24"/>
          <w:highlight w:val="none"/>
          <w:u w:val="none"/>
          <w:lang w:val="en-US" w:eastAsia="zh-CN"/>
        </w:rPr>
        <w:t>22</w:t>
      </w:r>
      <w:r>
        <w:rPr>
          <w:rFonts w:hint="eastAsia" w:ascii="宋体" w:hAnsi="宋体" w:cs="宋体"/>
          <w:color w:val="auto"/>
          <w:sz w:val="24"/>
          <w:highlight w:val="none"/>
          <w:u w:val="none"/>
        </w:rPr>
        <w:t>日</w:t>
      </w:r>
      <w:r>
        <w:rPr>
          <w:rFonts w:hint="eastAsia" w:ascii="宋体" w:hAnsi="宋体" w:cs="宋体"/>
          <w:color w:val="auto"/>
          <w:sz w:val="24"/>
          <w:highlight w:val="none"/>
          <w:u w:val="none"/>
          <w:lang w:val="en-US" w:eastAsia="zh-CN"/>
        </w:rPr>
        <w:t>09:30</w:t>
      </w:r>
      <w:r>
        <w:rPr>
          <w:rFonts w:hint="eastAsia" w:ascii="宋体" w:hAnsi="宋体" w:cs="宋体"/>
          <w:bCs/>
          <w:color w:val="auto"/>
          <w:sz w:val="24"/>
          <w:highlight w:val="none"/>
          <w:u w:val="none"/>
        </w:rPr>
        <w:t xml:space="preserve"> </w:t>
      </w:r>
      <w:r>
        <w:rPr>
          <w:rFonts w:hint="eastAsia" w:ascii="宋体" w:hAnsi="宋体" w:cs="宋体"/>
          <w:color w:val="auto"/>
          <w:sz w:val="24"/>
          <w:highlight w:val="none"/>
          <w:u w:val="none"/>
        </w:rPr>
        <w:t>（北京时间）</w:t>
      </w:r>
    </w:p>
    <w:p w14:paraId="76A4734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Theme="minorEastAsia" w:hAnsiTheme="minorEastAsia" w:eastAsiaTheme="minorEastAsia"/>
          <w:color w:val="auto"/>
          <w:sz w:val="24"/>
          <w:highlight w:val="none"/>
        </w:rPr>
        <w:t>政府采购云平台（http://zfcg.czt.zj.gov.cn/）（线下：杭州市上城区环站东路97号云峰大厦1幢</w:t>
      </w:r>
      <w:r>
        <w:rPr>
          <w:rFonts w:hint="eastAsia" w:asciiTheme="minorEastAsia" w:hAnsiTheme="minorEastAsia" w:eastAsiaTheme="minorEastAsia"/>
          <w:color w:val="auto"/>
          <w:sz w:val="24"/>
          <w:highlight w:val="none"/>
          <w:lang w:val="en-US" w:eastAsia="zh-CN"/>
        </w:rPr>
        <w:t>13</w:t>
      </w:r>
      <w:r>
        <w:rPr>
          <w:rFonts w:hint="eastAsia" w:asciiTheme="minorEastAsia" w:hAnsiTheme="minorEastAsia" w:eastAsiaTheme="minorEastAsia"/>
          <w:color w:val="auto"/>
          <w:sz w:val="24"/>
          <w:highlight w:val="none"/>
        </w:rPr>
        <w:t>楼开标室）</w:t>
      </w:r>
    </w:p>
    <w:p w14:paraId="4EEF63FD">
      <w:pPr>
        <w:numPr>
          <w:ilvl w:val="0"/>
          <w:numId w:val="3"/>
        </w:numPr>
        <w:spacing w:line="360" w:lineRule="auto"/>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采购意向公示</w:t>
      </w:r>
    </w:p>
    <w:p w14:paraId="6DFAF2A3">
      <w:pPr>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https://zfcg.czt.zj.gov.cn/site/detail?parentId=600007&amp;articleId=BCoqWuD1NI52orp7/MlQiQ==</w:t>
      </w:r>
    </w:p>
    <w:p w14:paraId="1EECE604">
      <w:pPr>
        <w:spacing w:line="360" w:lineRule="auto"/>
        <w:rPr>
          <w:rFonts w:ascii="宋体" w:hAnsi="宋体" w:cs="宋体"/>
          <w:color w:val="auto"/>
          <w:sz w:val="24"/>
          <w:highlight w:val="none"/>
        </w:rPr>
      </w:pP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 xml:space="preserve">、公告期限 </w:t>
      </w:r>
    </w:p>
    <w:p w14:paraId="32865F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14:paraId="5DB9B494">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、其他补充事宜</w:t>
      </w:r>
    </w:p>
    <w:p w14:paraId="585AA08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eastAsia="宋体" w:cs="宋体"/>
          <w:color w:val="auto"/>
          <w:sz w:val="24"/>
          <w:highlight w:val="none"/>
          <w:shd w:val="clear" w:color="auto" w:fill="FFFFFF"/>
        </w:rPr>
        <w:t>浙江省财政厅关于进一步加大政府采购 支持中小企业力度 助力扎实稳住经济 的通知》（浙财采监〔2022〕8号）</w:t>
      </w:r>
      <w:r>
        <w:rPr>
          <w:rFonts w:hint="eastAsia" w:ascii="宋体" w:hAnsi="宋体" w:eastAsia="宋体" w:cs="宋体"/>
          <w:color w:val="auto"/>
          <w:sz w:val="24"/>
          <w:highlight w:val="none"/>
        </w:rPr>
        <w:t>已分别于2022年1月29日、2022年2月1日和2022年7月1日开始实施，此前有关规定与上述文件内容不一致的，按上述文件要求执行。</w:t>
      </w:r>
    </w:p>
    <w:p w14:paraId="552B19D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color w:val="auto"/>
          <w:sz w:val="24"/>
          <w:highlight w:val="none"/>
          <w:lang w:val="en-US" w:eastAsia="zh-CN"/>
        </w:rPr>
        <w:t>政务</w:t>
      </w:r>
      <w:r>
        <w:rPr>
          <w:rFonts w:hint="eastAsia" w:ascii="宋体" w:hAnsi="宋体" w:eastAsia="宋体" w:cs="宋体"/>
          <w:color w:val="auto"/>
          <w:sz w:val="24"/>
          <w:highlight w:val="none"/>
        </w:rPr>
        <w:t>服务网-政府采购投诉处理-在线办理。</w:t>
      </w:r>
    </w:p>
    <w:p w14:paraId="5F264E8C">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3.供应商认为采购文件使自己的权益受到损害的，可以自获取采购文件之日或者采购文件公告期限届满之日（公告期限届满后获取采购文件的，以公告期限届满</w:t>
      </w:r>
      <w:r>
        <w:rPr>
          <w:rFonts w:hint="eastAsia" w:ascii="宋体" w:hAnsi="宋体" w:cs="宋体"/>
          <w:color w:val="auto"/>
          <w:sz w:val="24"/>
          <w:highlight w:val="none"/>
        </w:rPr>
        <w:t>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C5549E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w:t>
      </w:r>
    </w:p>
    <w:p w14:paraId="5419A28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（1）需要落实的政府采购政策：包括节约资源、保护环境、支持创新、促进中小企业发展等。详见采购文件的第二部分总则。</w:t>
      </w:r>
    </w:p>
    <w:p w14:paraId="63C1637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w:t>
      </w:r>
    </w:p>
    <w:p w14:paraId="338A586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（3）采购文件公告期限与竞争性磋商公告的公告期限一致。</w:t>
      </w:r>
    </w:p>
    <w:p w14:paraId="6CF34778">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九</w:t>
      </w:r>
      <w:r>
        <w:rPr>
          <w:rFonts w:hint="eastAsia" w:ascii="宋体" w:hAnsi="宋体" w:cs="宋体"/>
          <w:b/>
          <w:color w:val="auto"/>
          <w:sz w:val="24"/>
          <w:highlight w:val="none"/>
        </w:rPr>
        <w:t>、对本次采购提出询问、质疑、投诉，请按以下方式联系</w:t>
      </w:r>
    </w:p>
    <w:p w14:paraId="6C8B0B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56E94F4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浙江省杭州第四中学</w:t>
      </w:r>
      <w:r>
        <w:rPr>
          <w:rFonts w:hint="eastAsia" w:ascii="宋体" w:hAnsi="宋体" w:cs="宋体"/>
          <w:color w:val="auto"/>
          <w:sz w:val="24"/>
          <w:highlight w:val="none"/>
        </w:rPr>
        <w:t xml:space="preserve"> </w:t>
      </w:r>
    </w:p>
    <w:p w14:paraId="4815C7B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    址：杭州市下沙6号大街436号      </w:t>
      </w:r>
    </w:p>
    <w:p w14:paraId="719B920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 /</w:t>
      </w:r>
    </w:p>
    <w:p w14:paraId="6FF91D9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王</w:t>
      </w:r>
      <w:r>
        <w:rPr>
          <w:rFonts w:hint="eastAsia" w:ascii="宋体" w:hAnsi="宋体" w:cs="宋体"/>
          <w:color w:val="auto"/>
          <w:sz w:val="24"/>
          <w:highlight w:val="none"/>
        </w:rPr>
        <w:t xml:space="preserve">老师  </w:t>
      </w:r>
    </w:p>
    <w:p w14:paraId="64F4AF0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项目联系方式（询问）：0571-86579988 </w:t>
      </w:r>
    </w:p>
    <w:p w14:paraId="14B4917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方</w:t>
      </w:r>
      <w:r>
        <w:rPr>
          <w:rFonts w:hint="eastAsia" w:ascii="宋体" w:hAnsi="宋体" w:cs="宋体"/>
          <w:color w:val="auto"/>
          <w:sz w:val="24"/>
          <w:highlight w:val="none"/>
        </w:rPr>
        <w:t xml:space="preserve">老师 </w:t>
      </w:r>
    </w:p>
    <w:p w14:paraId="0B67687E">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质疑联系方式：0571-89730337</w:t>
      </w:r>
    </w:p>
    <w:p w14:paraId="4C2A1A6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3D16F57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称：浙江省建设工程设备招标有限公司</w:t>
      </w:r>
    </w:p>
    <w:p w14:paraId="130FE8A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址：杭州市环站东路97号</w:t>
      </w:r>
      <w:r>
        <w:rPr>
          <w:rFonts w:hint="eastAsia" w:ascii="宋体" w:hAnsi="宋体" w:cs="宋体"/>
          <w:color w:val="auto"/>
          <w:sz w:val="24"/>
          <w:highlight w:val="none"/>
          <w:lang w:eastAsia="zh-CN"/>
        </w:rPr>
        <w:t>云峰大厦1号楼</w:t>
      </w:r>
      <w:r>
        <w:rPr>
          <w:rFonts w:hint="eastAsia" w:ascii="宋体" w:hAnsi="宋体" w:cs="宋体"/>
          <w:color w:val="auto"/>
          <w:sz w:val="24"/>
          <w:highlight w:val="none"/>
        </w:rPr>
        <w:t>13楼</w:t>
      </w:r>
    </w:p>
    <w:p w14:paraId="2605F6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传    真：0571-87631300             </w:t>
      </w:r>
    </w:p>
    <w:p w14:paraId="5F34E5C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胡越凡</w:t>
      </w:r>
      <w:r>
        <w:rPr>
          <w:rFonts w:hint="eastAsia" w:ascii="宋体" w:hAnsi="宋体" w:cs="宋体"/>
          <w:color w:val="auto"/>
          <w:sz w:val="24"/>
          <w:highlight w:val="none"/>
        </w:rPr>
        <w:t xml:space="preserve">        </w:t>
      </w:r>
    </w:p>
    <w:p w14:paraId="764DDB9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项目联系方式（询问）：0571-87630283</w:t>
      </w:r>
    </w:p>
    <w:p w14:paraId="37BA6C7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王红红</w:t>
      </w:r>
      <w:r>
        <w:rPr>
          <w:rFonts w:hint="eastAsia" w:ascii="宋体" w:hAnsi="宋体" w:cs="宋体"/>
          <w:color w:val="auto"/>
          <w:sz w:val="24"/>
          <w:highlight w:val="none"/>
        </w:rPr>
        <w:t xml:space="preserve">              </w:t>
      </w:r>
    </w:p>
    <w:p w14:paraId="16AB9C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质疑联系方式：0571-87630283</w:t>
      </w:r>
    </w:p>
    <w:p w14:paraId="7A721B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14:paraId="53DF9C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称：杭州市财政局政府采购监管处/浙江省政府采购行政裁决服务中心（杭州）</w:t>
      </w:r>
    </w:p>
    <w:p w14:paraId="1D5BEDB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w:t>
      </w:r>
    </w:p>
    <w:p w14:paraId="1042B46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6623F68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系</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人：朱</w:t>
      </w:r>
      <w:r>
        <w:rPr>
          <w:rFonts w:hint="eastAsia" w:ascii="宋体" w:hAnsi="宋体" w:cs="宋体"/>
          <w:color w:val="auto"/>
          <w:sz w:val="24"/>
          <w:highlight w:val="none"/>
          <w:lang w:val="en-US" w:eastAsia="zh-CN"/>
        </w:rPr>
        <w:t>老师</w:t>
      </w:r>
    </w:p>
    <w:p w14:paraId="5C0F4079">
      <w:pPr>
        <w:snapToGrid w:val="0"/>
        <w:spacing w:line="360" w:lineRule="auto"/>
        <w:ind w:firstLine="480" w:firstLineChars="20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lang w:val="en-US" w:eastAsia="zh-CN"/>
        </w:rPr>
        <w:t>0571-87800218</w:t>
      </w:r>
    </w:p>
    <w:p w14:paraId="39E0E84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政策咨询电话：</w:t>
      </w:r>
      <w:r>
        <w:rPr>
          <w:rFonts w:hint="eastAsia" w:ascii="宋体" w:hAnsi="宋体" w:cs="宋体"/>
          <w:color w:val="auto"/>
          <w:sz w:val="24"/>
          <w:highlight w:val="none"/>
          <w:lang w:eastAsia="zh-CN"/>
        </w:rPr>
        <w:t>沈先生、</w:t>
      </w:r>
      <w:r>
        <w:rPr>
          <w:rFonts w:hint="eastAsia" w:ascii="宋体" w:hAnsi="宋体" w:cs="宋体"/>
          <w:color w:val="auto"/>
          <w:sz w:val="24"/>
          <w:highlight w:val="none"/>
        </w:rPr>
        <w:t>陈先生</w:t>
      </w:r>
      <w:r>
        <w:rPr>
          <w:rFonts w:hint="eastAsia" w:ascii="宋体" w:hAnsi="宋体" w:cs="宋体"/>
          <w:color w:val="auto"/>
          <w:sz w:val="24"/>
          <w:highlight w:val="none"/>
          <w:lang w:val="en-US" w:eastAsia="zh-CN"/>
        </w:rPr>
        <w:t>/0571-89580457、0571-89580460</w:t>
      </w:r>
      <w:r>
        <w:rPr>
          <w:rFonts w:hint="eastAsia" w:ascii="宋体" w:hAnsi="宋体" w:cs="宋体"/>
          <w:color w:val="auto"/>
          <w:sz w:val="24"/>
          <w:highlight w:val="none"/>
        </w:rPr>
        <w:t xml:space="preserve">     </w:t>
      </w:r>
    </w:p>
    <w:p w14:paraId="35F7FC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olor w:val="auto"/>
          <w:sz w:val="24"/>
          <w:highlight w:val="none"/>
        </w:rPr>
        <w:t>95763</w:t>
      </w:r>
      <w:r>
        <w:rPr>
          <w:rFonts w:hint="eastAsia" w:ascii="宋体" w:hAnsi="宋体" w:cs="宋体"/>
          <w:color w:val="auto"/>
          <w:sz w:val="24"/>
          <w:highlight w:val="none"/>
        </w:rPr>
        <w:t>获取热线服务帮助。</w:t>
      </w:r>
    </w:p>
    <w:p w14:paraId="52193045">
      <w:pPr>
        <w:snapToGrid w:val="0"/>
        <w:spacing w:line="360" w:lineRule="auto"/>
        <w:ind w:right="286" w:rightChars="136" w:firstLine="480" w:firstLineChars="200"/>
        <w:rPr>
          <w:rFonts w:ascii="宋体" w:hAnsi="宋体" w:cs="宋体"/>
          <w:color w:val="auto"/>
          <w:sz w:val="24"/>
          <w:highlight w:val="none"/>
        </w:rPr>
        <w:sectPr>
          <w:headerReference r:id="rId4" w:type="first"/>
          <w:footerReference r:id="rId7" w:type="first"/>
          <w:headerReference r:id="rId3" w:type="default"/>
          <w:footerReference r:id="rId5" w:type="default"/>
          <w:footerReference r:id="rId6" w:type="even"/>
          <w:pgSz w:w="11905" w:h="16838"/>
          <w:pgMar w:top="1417" w:right="1417" w:bottom="1417" w:left="1417" w:header="850" w:footer="992" w:gutter="0"/>
          <w:pgNumType w:fmt="decimal"/>
          <w:cols w:space="0" w:num="1"/>
          <w:titlePg/>
          <w:rtlGutter w:val="0"/>
          <w:docGrid w:linePitch="312" w:charSpace="0"/>
        </w:sectPr>
      </w:pPr>
      <w:r>
        <w:rPr>
          <w:rFonts w:hint="eastAsia" w:ascii="宋体" w:hAnsi="宋体" w:cs="宋体"/>
          <w:color w:val="auto"/>
          <w:sz w:val="24"/>
          <w:highlight w:val="none"/>
        </w:rPr>
        <w:t>CA问题联系电话（人工）：汇信CA 400-888-4636；天谷CA 400-087-8198。</w:t>
      </w:r>
    </w:p>
    <w:p w14:paraId="33A47C6D">
      <w:pPr>
        <w:pStyle w:val="33"/>
        <w:spacing w:line="360" w:lineRule="auto"/>
        <w:jc w:val="center"/>
        <w:rPr>
          <w:rFonts w:hAnsi="宋体" w:cs="宋体"/>
          <w:b/>
          <w:snapToGrid/>
          <w:color w:val="auto"/>
          <w:sz w:val="36"/>
          <w:szCs w:val="20"/>
          <w:highlight w:val="none"/>
        </w:rPr>
      </w:pPr>
      <w:r>
        <w:rPr>
          <w:rFonts w:hint="eastAsia" w:hAnsi="宋体" w:cs="宋体"/>
          <w:b/>
          <w:snapToGrid/>
          <w:color w:val="auto"/>
          <w:sz w:val="36"/>
          <w:szCs w:val="20"/>
          <w:highlight w:val="none"/>
        </w:rPr>
        <w:t>第二部分</w:t>
      </w:r>
      <w:bookmarkEnd w:id="8"/>
      <w:r>
        <w:rPr>
          <w:rFonts w:hint="eastAsia" w:hAnsi="宋体" w:cs="宋体"/>
          <w:b/>
          <w:snapToGrid/>
          <w:color w:val="auto"/>
          <w:sz w:val="36"/>
          <w:szCs w:val="20"/>
          <w:highlight w:val="none"/>
        </w:rPr>
        <w:t xml:space="preserve"> 供应商须知</w:t>
      </w:r>
      <w:bookmarkEnd w:id="9"/>
    </w:p>
    <w:p w14:paraId="085AC70A">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327"/>
      </w:tblGrid>
      <w:tr w14:paraId="2860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9E5D2D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93" w:type="dxa"/>
            <w:vAlign w:val="center"/>
          </w:tcPr>
          <w:p w14:paraId="783723A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327" w:type="dxa"/>
            <w:vAlign w:val="center"/>
          </w:tcPr>
          <w:p w14:paraId="426A7CF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599A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8A3183B">
            <w:pPr>
              <w:snapToGrid w:val="0"/>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w:t>
            </w:r>
          </w:p>
        </w:tc>
        <w:tc>
          <w:tcPr>
            <w:tcW w:w="2093" w:type="dxa"/>
            <w:vAlign w:val="center"/>
          </w:tcPr>
          <w:p w14:paraId="4A5AB2B9">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项目概述</w:t>
            </w:r>
          </w:p>
        </w:tc>
        <w:tc>
          <w:tcPr>
            <w:tcW w:w="6327" w:type="dxa"/>
            <w:vAlign w:val="center"/>
          </w:tcPr>
          <w:p w14:paraId="13875AD6">
            <w:pPr>
              <w:pStyle w:val="968"/>
              <w:numPr>
                <w:ilvl w:val="0"/>
                <w:numId w:val="4"/>
              </w:numPr>
              <w:shd w:val="clear" w:fill="FFFFFF" w:themeFill="background1"/>
              <w:snapToGrid w:val="0"/>
              <w:spacing w:line="360" w:lineRule="auto"/>
              <w:ind w:firstLine="0" w:firstLineChars="0"/>
              <w:jc w:val="left"/>
              <w:rPr>
                <w:rFonts w:ascii="宋体" w:hAnsi="宋体" w:cs="宋体"/>
                <w:color w:val="auto"/>
                <w:sz w:val="24"/>
                <w:highlight w:val="none"/>
              </w:rPr>
            </w:pPr>
            <w:r>
              <w:rPr>
                <w:rFonts w:hint="eastAsia" w:ascii="宋体" w:hAnsi="宋体" w:cs="宋体"/>
                <w:bCs/>
                <w:color w:val="auto"/>
                <w:sz w:val="24"/>
                <w:highlight w:val="none"/>
              </w:rPr>
              <w:t>项目名称：</w:t>
            </w:r>
            <w:r>
              <w:rPr>
                <w:rFonts w:hint="eastAsia" w:ascii="宋体" w:hAnsi="宋体" w:cs="宋体"/>
                <w:color w:val="auto"/>
                <w:sz w:val="24"/>
                <w:highlight w:val="none"/>
                <w:lang w:eastAsia="zh-CN"/>
              </w:rPr>
              <w:t>杭州四中下沙校区综合楼西（学生成长中心）改造</w:t>
            </w:r>
          </w:p>
          <w:p w14:paraId="570E56CE">
            <w:pPr>
              <w:pStyle w:val="968"/>
              <w:numPr>
                <w:ilvl w:val="0"/>
                <w:numId w:val="4"/>
              </w:numPr>
              <w:shd w:val="clear" w:fill="FFFFFF" w:themeFill="background1"/>
              <w:snapToGrid w:val="0"/>
              <w:spacing w:line="360" w:lineRule="auto"/>
              <w:ind w:firstLine="0" w:firstLineChars="0"/>
              <w:jc w:val="left"/>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ZJZBC-25-CS-9041</w:t>
            </w:r>
          </w:p>
          <w:p w14:paraId="18A16820">
            <w:pPr>
              <w:pStyle w:val="968"/>
              <w:numPr>
                <w:ilvl w:val="0"/>
                <w:numId w:val="4"/>
              </w:numPr>
              <w:shd w:val="clear" w:fill="FFFFFF" w:themeFill="background1"/>
              <w:snapToGrid w:val="0"/>
              <w:spacing w:line="360" w:lineRule="auto"/>
              <w:ind w:firstLine="0" w:firstLineChars="0"/>
              <w:jc w:val="left"/>
              <w:rPr>
                <w:rFonts w:ascii="宋体" w:hAnsi="宋体" w:cs="宋体"/>
                <w:color w:val="auto"/>
                <w:sz w:val="24"/>
                <w:highlight w:val="none"/>
                <w:shd w:val="clear" w:color="auto" w:fill="FFFFFF" w:themeFill="background1"/>
              </w:rPr>
            </w:pPr>
            <w:r>
              <w:rPr>
                <w:rFonts w:hint="eastAsia" w:ascii="宋体" w:hAnsi="宋体" w:cs="宋体"/>
                <w:color w:val="auto"/>
                <w:sz w:val="24"/>
                <w:highlight w:val="none"/>
              </w:rPr>
              <w:t>项目主要内容：</w:t>
            </w:r>
            <w:r>
              <w:rPr>
                <w:rFonts w:hint="eastAsia" w:ascii="宋体" w:hAnsi="宋体" w:cs="宋体"/>
                <w:color w:val="auto"/>
                <w:sz w:val="24"/>
                <w:highlight w:val="none"/>
                <w:lang w:val="en-US" w:eastAsia="zh-CN"/>
              </w:rPr>
              <w:t>为室内新增钢结构楼梯、局部结构加固、室内地面装修、顶面装修、墙面装修、隔墙装修、门窗更换及安装工程</w:t>
            </w:r>
            <w:r>
              <w:rPr>
                <w:rFonts w:hint="eastAsia" w:ascii="宋体" w:hAnsi="宋体" w:cs="宋体"/>
                <w:color w:val="auto"/>
                <w:sz w:val="24"/>
                <w:highlight w:val="none"/>
                <w:shd w:val="clear" w:color="auto" w:fill="FFFFFF" w:themeFill="background1"/>
              </w:rPr>
              <w:t>，具体详见磋商文件、工程量清单、图纸等材料。</w:t>
            </w:r>
          </w:p>
          <w:p w14:paraId="68BD999C">
            <w:pPr>
              <w:pStyle w:val="968"/>
              <w:numPr>
                <w:ilvl w:val="0"/>
                <w:numId w:val="4"/>
              </w:numPr>
              <w:shd w:val="clear" w:fill="FFFFFF" w:themeFill="background1"/>
              <w:snapToGrid w:val="0"/>
              <w:spacing w:line="360" w:lineRule="auto"/>
              <w:ind w:firstLine="0" w:firstLineChars="0"/>
              <w:jc w:val="left"/>
              <w:rPr>
                <w:rFonts w:ascii="宋体" w:hAnsi="宋体" w:cs="宋体"/>
                <w:color w:val="auto"/>
                <w:sz w:val="24"/>
                <w:highlight w:val="none"/>
              </w:rPr>
            </w:pPr>
            <w:r>
              <w:rPr>
                <w:rFonts w:hint="eastAsia" w:ascii="宋体" w:hAnsi="宋体" w:cs="宋体"/>
                <w:bCs/>
                <w:color w:val="auto"/>
                <w:sz w:val="24"/>
                <w:highlight w:val="none"/>
              </w:rPr>
              <w:t>项</w:t>
            </w:r>
            <w:r>
              <w:rPr>
                <w:rFonts w:hint="eastAsia" w:ascii="宋体" w:hAnsi="宋体" w:cs="宋体"/>
                <w:color w:val="auto"/>
                <w:sz w:val="24"/>
                <w:highlight w:val="none"/>
              </w:rPr>
              <w:t>目预算：</w:t>
            </w:r>
            <w:r>
              <w:rPr>
                <w:rFonts w:hint="eastAsia" w:ascii="宋体" w:hAnsi="宋体" w:cs="宋体"/>
                <w:color w:val="auto"/>
                <w:sz w:val="24"/>
                <w:highlight w:val="none"/>
                <w:lang w:val="en-US" w:eastAsia="zh-CN"/>
              </w:rPr>
              <w:t>3530000</w:t>
            </w:r>
            <w:r>
              <w:rPr>
                <w:rFonts w:hint="eastAsia" w:ascii="宋体" w:hAnsi="宋体" w:cs="宋体"/>
                <w:color w:val="auto"/>
                <w:sz w:val="24"/>
                <w:highlight w:val="none"/>
              </w:rPr>
              <w:t>元，计划书文号：[2025]3593号；</w:t>
            </w:r>
          </w:p>
          <w:p w14:paraId="0F6226F8">
            <w:pPr>
              <w:pStyle w:val="968"/>
              <w:shd w:val="clear" w:fill="FFFFFF" w:themeFill="background1"/>
              <w:snapToGrid w:val="0"/>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项目控制价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3679559</w:t>
            </w:r>
            <w:r>
              <w:rPr>
                <w:rFonts w:hint="eastAsia" w:ascii="宋体" w:hAnsi="宋体" w:cs="宋体"/>
                <w:color w:val="auto"/>
                <w:sz w:val="24"/>
                <w:highlight w:val="none"/>
                <w:u w:val="single"/>
              </w:rPr>
              <w:t xml:space="preserve"> </w:t>
            </w:r>
            <w:r>
              <w:rPr>
                <w:rFonts w:ascii="宋体" w:hAnsi="宋体" w:cs="宋体"/>
                <w:color w:val="auto"/>
                <w:sz w:val="24"/>
                <w:highlight w:val="none"/>
              </w:rPr>
              <w:t>元</w:t>
            </w:r>
            <w:r>
              <w:rPr>
                <w:rFonts w:hint="eastAsia" w:ascii="宋体" w:hAnsi="宋体" w:cs="宋体"/>
                <w:color w:val="auto"/>
                <w:sz w:val="24"/>
                <w:highlight w:val="none"/>
              </w:rPr>
              <w:t>，最高限价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3530000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元，超过最高限价的磋商报价将作为无效响应。</w:t>
            </w:r>
          </w:p>
          <w:p w14:paraId="3A7716E3">
            <w:pPr>
              <w:pStyle w:val="968"/>
              <w:numPr>
                <w:ilvl w:val="0"/>
                <w:numId w:val="4"/>
              </w:numPr>
              <w:shd w:val="clear" w:fill="FFFFFF" w:themeFill="background1"/>
              <w:snapToGrid w:val="0"/>
              <w:spacing w:line="360" w:lineRule="auto"/>
              <w:ind w:firstLine="0" w:firstLineChars="0"/>
              <w:jc w:val="left"/>
              <w:rPr>
                <w:rFonts w:ascii="宋体" w:hAnsi="宋体" w:cs="宋体"/>
                <w:color w:val="auto"/>
                <w:sz w:val="24"/>
                <w:highlight w:val="none"/>
              </w:rPr>
            </w:pPr>
            <w:r>
              <w:rPr>
                <w:rFonts w:hint="eastAsia" w:ascii="宋体" w:hAnsi="宋体" w:cs="宋体"/>
                <w:color w:val="auto"/>
                <w:sz w:val="24"/>
                <w:highlight w:val="none"/>
              </w:rPr>
              <w:t>工期：合同签订接采购人开工通知后</w:t>
            </w:r>
            <w:r>
              <w:rPr>
                <w:rFonts w:hint="eastAsia" w:ascii="宋体" w:hAnsi="宋体" w:cs="宋体"/>
                <w:color w:val="auto"/>
                <w:sz w:val="24"/>
                <w:highlight w:val="none"/>
                <w:lang w:val="en-US" w:eastAsia="zh-CN"/>
              </w:rPr>
              <w:t>35</w:t>
            </w:r>
            <w:r>
              <w:rPr>
                <w:rFonts w:hint="eastAsia" w:ascii="宋体" w:hAnsi="宋体" w:cs="宋体"/>
                <w:color w:val="auto"/>
                <w:sz w:val="24"/>
                <w:highlight w:val="none"/>
              </w:rPr>
              <w:t>日历天内完成工程施工。</w:t>
            </w:r>
          </w:p>
          <w:p w14:paraId="67FCEB7D">
            <w:pPr>
              <w:pStyle w:val="968"/>
              <w:numPr>
                <w:ilvl w:val="0"/>
                <w:numId w:val="4"/>
              </w:numPr>
              <w:shd w:val="clear" w:fill="FFFFFF" w:themeFill="background1"/>
              <w:snapToGrid w:val="0"/>
              <w:spacing w:line="360" w:lineRule="auto"/>
              <w:ind w:left="420" w:leftChars="0" w:hanging="420" w:firstLineChars="0"/>
              <w:jc w:val="left"/>
              <w:rPr>
                <w:rFonts w:hint="eastAsia" w:ascii="宋体" w:hAnsi="宋体" w:cs="宋体"/>
                <w:b/>
                <w:color w:val="auto"/>
                <w:sz w:val="24"/>
                <w:highlight w:val="none"/>
              </w:rPr>
            </w:pPr>
            <w:r>
              <w:rPr>
                <w:rFonts w:hint="eastAsia" w:ascii="宋体" w:hAnsi="宋体" w:cs="宋体"/>
                <w:color w:val="auto"/>
                <w:sz w:val="24"/>
                <w:highlight w:val="none"/>
              </w:rPr>
              <w:t>质量标准：按国家施工验收规范验收合格。</w:t>
            </w:r>
          </w:p>
        </w:tc>
      </w:tr>
      <w:tr w14:paraId="40A0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A280E3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93" w:type="dxa"/>
            <w:vAlign w:val="center"/>
          </w:tcPr>
          <w:p w14:paraId="0748A07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327" w:type="dxa"/>
            <w:vAlign w:val="center"/>
          </w:tcPr>
          <w:p w14:paraId="072BFF44">
            <w:pP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14:paraId="3A7E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ADFFF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93" w:type="dxa"/>
            <w:vAlign w:val="center"/>
          </w:tcPr>
          <w:p w14:paraId="1167759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327" w:type="dxa"/>
            <w:vAlign w:val="center"/>
          </w:tcPr>
          <w:p w14:paraId="310E5C70">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标的：</w:t>
            </w:r>
            <w:r>
              <w:rPr>
                <w:rFonts w:hint="eastAsia" w:ascii="宋体" w:hAnsi="宋体" w:cs="宋体"/>
                <w:color w:val="auto"/>
                <w:kern w:val="0"/>
                <w:sz w:val="24"/>
                <w:highlight w:val="none"/>
                <w:u w:val="single"/>
                <w:lang w:eastAsia="zh-CN"/>
              </w:rPr>
              <w:t>杭州四中下沙校区综合楼西（学生成长中心）改造</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 xml:space="preserve"> 建筑业 </w:t>
            </w:r>
            <w:r>
              <w:rPr>
                <w:rFonts w:hint="eastAsia" w:ascii="宋体" w:hAnsi="宋体" w:eastAsia="宋体" w:cs="宋体"/>
                <w:color w:val="auto"/>
                <w:kern w:val="0"/>
                <w:sz w:val="24"/>
                <w:highlight w:val="none"/>
              </w:rPr>
              <w:t>行业；</w:t>
            </w:r>
          </w:p>
          <w:p w14:paraId="61990839">
            <w:pPr>
              <w:pStyle w:val="3"/>
              <w:ind w:left="0" w:firstLine="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根据《关于印发中小企业划型标准规定的通知》（工信部联企业〔2011〕300号）第四条第（三）项规定：</w:t>
            </w:r>
            <w:r>
              <w:rPr>
                <w:rFonts w:hint="eastAsia" w:ascii="宋体" w:hAnsi="宋体" w:eastAsia="宋体" w:cs="宋体"/>
                <w:b w:val="0"/>
                <w:bCs w:val="0"/>
                <w:color w:val="auto"/>
                <w:kern w:val="0"/>
                <w:sz w:val="24"/>
                <w:szCs w:val="24"/>
                <w:highlight w:val="none"/>
                <w:u w:val="single"/>
                <w:lang w:val="en-US" w:eastAsia="zh-CN" w:bidi="ar-SA"/>
              </w:rPr>
              <w:t>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6FF7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294D14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093" w:type="dxa"/>
            <w:vAlign w:val="center"/>
          </w:tcPr>
          <w:p w14:paraId="4B87063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327" w:type="dxa"/>
            <w:vAlign w:val="center"/>
          </w:tcPr>
          <w:p w14:paraId="408D29F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39348121"/>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宋体" w:hAnsi="宋体" w:cs="宋体"/>
                    <w:b/>
                    <w:bCs/>
                    <w:color w:val="auto"/>
                    <w:kern w:val="0"/>
                    <w:sz w:val="24"/>
                    <w:highlight w:val="none"/>
                  </w:rPr>
                  <w:sym w:font="Wingdings" w:char="F0FE"/>
                </w:r>
              </w:sdtContent>
            </w:sdt>
            <w:r>
              <w:rPr>
                <w:rFonts w:hint="eastAsia" w:ascii="宋体" w:hAnsi="宋体" w:cs="宋体"/>
                <w:b/>
                <w:bCs/>
                <w:color w:val="auto"/>
                <w:kern w:val="0"/>
                <w:sz w:val="24"/>
                <w:highlight w:val="none"/>
              </w:rPr>
              <w:t>本项目不允许采购进口产品。</w:t>
            </w:r>
          </w:p>
          <w:p w14:paraId="78E0C16A">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9342490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459F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7BDB36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093" w:type="dxa"/>
            <w:vAlign w:val="center"/>
          </w:tcPr>
          <w:p w14:paraId="15ADB07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327" w:type="dxa"/>
            <w:vAlign w:val="center"/>
          </w:tcPr>
          <w:p w14:paraId="0F199E7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830507879"/>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ascii="Wingdings" w:hAnsi="Wingdings" w:cs="宋体"/>
                    <w:b/>
                    <w:bCs/>
                    <w:color w:val="auto"/>
                    <w:kern w:val="0"/>
                    <w:sz w:val="24"/>
                    <w:highlight w:val="none"/>
                  </w:rPr>
                  <w:t></w:t>
                </w:r>
              </w:sdtContent>
            </w:sdt>
            <w:r>
              <w:rPr>
                <w:rFonts w:hint="eastAsia" w:ascii="宋体" w:hAnsi="宋体" w:cs="宋体"/>
                <w:b/>
                <w:bCs/>
                <w:color w:val="auto"/>
                <w:kern w:val="0"/>
                <w:sz w:val="24"/>
                <w:highlight w:val="none"/>
              </w:rPr>
              <w:t xml:space="preserve"> A</w:t>
            </w:r>
            <w:r>
              <w:rPr>
                <w:rFonts w:hint="eastAsia" w:ascii="宋体" w:hAnsi="宋体" w:cs="宋体"/>
                <w:b/>
                <w:bCs/>
                <w:color w:val="auto"/>
                <w:sz w:val="24"/>
                <w:highlight w:val="none"/>
              </w:rPr>
              <w:t>同意将非主体、非关键性的工作分包。</w:t>
            </w:r>
          </w:p>
          <w:p w14:paraId="2B5D9CB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8957932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不同意分包，具体理由：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9C855EA">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FF0A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9672A0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093" w:type="dxa"/>
            <w:vAlign w:val="center"/>
          </w:tcPr>
          <w:p w14:paraId="58863AB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327" w:type="dxa"/>
            <w:vAlign w:val="center"/>
          </w:tcPr>
          <w:p w14:paraId="6CB12EA1">
            <w:pPr>
              <w:pStyle w:val="79"/>
              <w:spacing w:line="360" w:lineRule="auto"/>
              <w:ind w:firstLine="0" w:firstLineChars="0"/>
              <w:rPr>
                <w:rFonts w:hint="eastAsia" w:ascii="宋体" w:hAnsi="宋体" w:eastAsia="宋体" w:cs="宋体"/>
                <w:b w:val="0"/>
                <w:bCs w:val="0"/>
                <w:color w:val="auto"/>
                <w:sz w:val="24"/>
                <w:highlight w:val="none"/>
              </w:rPr>
            </w:pPr>
            <w:sdt>
              <w:sdtPr>
                <w:rPr>
                  <w:rFonts w:hint="eastAsia" w:ascii="宋体" w:hAnsi="宋体" w:cs="宋体"/>
                  <w:color w:val="auto"/>
                  <w:kern w:val="0"/>
                  <w:sz w:val="24"/>
                  <w:highlight w:val="none"/>
                </w:rPr>
                <w:id w:val="147465415"/>
                <w14:checkbox>
                  <w14:checked w14:val="0"/>
                  <w14:checkedState w14:val="00FE" w14:font="Wingdings"/>
                  <w14:uncheckedState w14:val="2610" w14:font="MS Gothic"/>
                </w14:checkbox>
              </w:sdtPr>
              <w:sdtEndPr>
                <w:rPr>
                  <w:rFonts w:hint="eastAsia" w:ascii="宋体" w:hAnsi="宋体" w:eastAsia="宋体" w:cs="宋体"/>
                  <w:b w:val="0"/>
                  <w:bCs w:val="0"/>
                  <w:color w:val="auto"/>
                  <w:kern w:val="0"/>
                  <w:sz w:val="24"/>
                  <w:highlight w:val="none"/>
                </w:rPr>
              </w:sdtEndPr>
              <w:sdtContent>
                <w:r>
                  <w:rPr>
                    <w:rFonts w:hint="eastAsia" w:ascii="宋体" w:hAnsi="宋体" w:eastAsia="宋体" w:cs="宋体"/>
                    <w:b w:val="0"/>
                    <w:bCs w:val="0"/>
                    <w:color w:val="auto"/>
                    <w:kern w:val="0"/>
                    <w:sz w:val="24"/>
                    <w:szCs w:val="21"/>
                    <w:highlight w:val="none"/>
                    <w:lang w:val="en-US" w:eastAsia="zh-CN" w:bidi="ar-SA"/>
                  </w:rPr>
                  <w:t>☐</w:t>
                </w:r>
              </w:sdtContent>
            </w:sdt>
            <w:r>
              <w:rPr>
                <w:rFonts w:hint="eastAsia" w:ascii="宋体" w:hAnsi="宋体" w:eastAsia="宋体" w:cs="宋体"/>
                <w:b w:val="0"/>
                <w:bCs w:val="0"/>
                <w:color w:val="auto"/>
                <w:kern w:val="0"/>
                <w:sz w:val="24"/>
                <w:highlight w:val="none"/>
                <w:lang w:val="en-US" w:eastAsia="zh-CN"/>
              </w:rPr>
              <w:t xml:space="preserve"> </w:t>
            </w:r>
            <w:r>
              <w:rPr>
                <w:rFonts w:hint="eastAsia" w:ascii="宋体" w:hAnsi="宋体" w:eastAsia="宋体" w:cs="宋体"/>
                <w:b w:val="0"/>
                <w:bCs w:val="0"/>
                <w:color w:val="auto"/>
                <w:kern w:val="0"/>
                <w:sz w:val="24"/>
                <w:highlight w:val="none"/>
              </w:rPr>
              <w:t>A</w:t>
            </w:r>
            <w:r>
              <w:rPr>
                <w:rFonts w:hint="eastAsia" w:ascii="宋体" w:hAnsi="宋体" w:eastAsia="宋体" w:cs="宋体"/>
                <w:b w:val="0"/>
                <w:bCs w:val="0"/>
                <w:color w:val="auto"/>
                <w:sz w:val="24"/>
                <w:highlight w:val="none"/>
              </w:rPr>
              <w:t>不组织。</w:t>
            </w:r>
          </w:p>
          <w:p w14:paraId="29D64DF4">
            <w:pPr>
              <w:pStyle w:val="79"/>
              <w:spacing w:line="360" w:lineRule="auto"/>
              <w:ind w:firstLine="0" w:firstLineChars="0"/>
              <w:rPr>
                <w:rFonts w:hint="eastAsia" w:ascii="宋体" w:hAnsi="宋体" w:eastAsia="宋体" w:cs="宋体"/>
                <w:b w:val="0"/>
                <w:bCs w:val="0"/>
                <w:color w:val="auto"/>
                <w:sz w:val="24"/>
                <w:szCs w:val="20"/>
                <w:highlight w:val="none"/>
              </w:rPr>
            </w:pPr>
            <w:sdt>
              <w:sdtPr>
                <w:rPr>
                  <w:rFonts w:hint="eastAsia" w:ascii="宋体" w:hAnsi="宋体" w:eastAsia="宋体" w:cs="宋体"/>
                  <w:b w:val="0"/>
                  <w:bCs w:val="0"/>
                  <w:color w:val="auto"/>
                  <w:kern w:val="0"/>
                  <w:sz w:val="24"/>
                  <w:highlight w:val="none"/>
                </w:rPr>
                <w:id w:val="147469138"/>
                <w14:checkbox>
                  <w14:checked w14:val="0"/>
                  <w14:checkedState w14:val="00FE" w14:font="Wingdings"/>
                  <w14:uncheckedState w14:val="2610" w14:font="MS Gothic"/>
                </w14:checkbox>
              </w:sdtPr>
              <w:sdtEndPr>
                <w:rPr>
                  <w:rFonts w:hint="eastAsia" w:ascii="宋体" w:hAnsi="宋体" w:eastAsia="宋体" w:cs="宋体"/>
                  <w:b w:val="0"/>
                  <w:bCs w:val="0"/>
                  <w:color w:val="auto"/>
                  <w:kern w:val="0"/>
                  <w:sz w:val="24"/>
                  <w:highlight w:val="none"/>
                </w:rPr>
              </w:sdtEndPr>
              <w:sdtContent>
                <w:r>
                  <w:rPr>
                    <w:rFonts w:hint="eastAsia" w:ascii="宋体" w:hAnsi="宋体" w:eastAsia="宋体" w:cs="宋体"/>
                    <w:b w:val="0"/>
                    <w:bCs w:val="0"/>
                    <w:color w:val="auto"/>
                    <w:kern w:val="0"/>
                    <w:sz w:val="24"/>
                    <w:highlight w:val="none"/>
                  </w:rPr>
                  <w:t>☐</w:t>
                </w:r>
              </w:sdtContent>
            </w:sdt>
            <w:r>
              <w:rPr>
                <w:rFonts w:hint="eastAsia" w:ascii="宋体" w:hAnsi="宋体" w:eastAsia="宋体" w:cs="宋体"/>
                <w:b w:val="0"/>
                <w:bCs w:val="0"/>
                <w:color w:val="auto"/>
                <w:kern w:val="0"/>
                <w:sz w:val="24"/>
                <w:highlight w:val="none"/>
                <w:lang w:val="en-US" w:eastAsia="zh-CN"/>
              </w:rPr>
              <w:t xml:space="preserve"> </w:t>
            </w:r>
            <w:r>
              <w:rPr>
                <w:rFonts w:hint="eastAsia" w:ascii="宋体" w:hAnsi="宋体" w:eastAsia="宋体" w:cs="宋体"/>
                <w:b w:val="0"/>
                <w:bCs w:val="0"/>
                <w:color w:val="auto"/>
                <w:kern w:val="0"/>
                <w:sz w:val="24"/>
                <w:highlight w:val="none"/>
              </w:rPr>
              <w:t>B组织，</w:t>
            </w:r>
            <w:r>
              <w:rPr>
                <w:rFonts w:hint="eastAsia" w:ascii="宋体" w:hAnsi="宋体" w:eastAsia="宋体" w:cs="宋体"/>
                <w:b w:val="0"/>
                <w:bCs w:val="0"/>
                <w:color w:val="auto"/>
                <w:sz w:val="24"/>
                <w:highlight w:val="none"/>
              </w:rPr>
              <w:t>时间：</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,地点：</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，联系人：</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，联系方式：</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szCs w:val="20"/>
                <w:highlight w:val="none"/>
              </w:rPr>
              <w:t>。</w:t>
            </w:r>
          </w:p>
          <w:p w14:paraId="2DA51EF7">
            <w:pPr>
              <w:pStyle w:val="79"/>
              <w:spacing w:line="360" w:lineRule="auto"/>
              <w:ind w:firstLine="0" w:firstLineChars="0"/>
              <w:rPr>
                <w:rFonts w:hint="eastAsia" w:ascii="宋体" w:hAnsi="宋体" w:eastAsia="宋体" w:cs="宋体"/>
                <w:b/>
                <w:bCs/>
                <w:color w:val="auto"/>
                <w:kern w:val="0"/>
                <w:sz w:val="24"/>
                <w:highlight w:val="none"/>
              </w:rPr>
            </w:pPr>
            <w:sdt>
              <w:sdtPr>
                <w:rPr>
                  <w:rFonts w:hint="eastAsia" w:ascii="宋体" w:hAnsi="宋体" w:eastAsia="宋体" w:cs="宋体"/>
                  <w:color w:val="auto"/>
                  <w:kern w:val="0"/>
                  <w:sz w:val="24"/>
                  <w:highlight w:val="none"/>
                </w:rPr>
                <w:id w:val="147476514"/>
                <w14:checkbox>
                  <w14:checked w14:val="1"/>
                  <w14:checkedState w14:val="00FE" w14:font="Wingdings"/>
                  <w14:uncheckedState w14:val="2610" w14:font="MS Gothic"/>
                </w14:checkbox>
              </w:sdtPr>
              <w:sdtEndPr>
                <w:rPr>
                  <w:rFonts w:hint="eastAsia" w:ascii="宋体" w:hAnsi="宋体" w:eastAsia="宋体" w:cs="宋体"/>
                  <w:b w:val="0"/>
                  <w:bCs w:val="0"/>
                  <w:color w:val="auto"/>
                  <w:kern w:val="0"/>
                  <w:sz w:val="24"/>
                  <w:highlight w:val="none"/>
                </w:rPr>
              </w:sdtEndPr>
              <w:sdtContent>
                <w:r>
                  <w:rPr>
                    <w:rFonts w:hint="eastAsia" w:ascii="Wingdings" w:hAnsi="Wingdings" w:eastAsia="宋体" w:cs="宋体"/>
                    <w:b w:val="0"/>
                    <w:bCs w:val="0"/>
                    <w:color w:val="auto"/>
                    <w:kern w:val="0"/>
                    <w:sz w:val="24"/>
                    <w:szCs w:val="21"/>
                    <w:highlight w:val="none"/>
                    <w:lang w:val="en-US" w:eastAsia="zh-CN" w:bidi="ar-SA"/>
                  </w:rPr>
                  <w:t>þ</w:t>
                </w:r>
              </w:sdtContent>
            </w:sdt>
            <w:r>
              <w:rPr>
                <w:rFonts w:hint="eastAsia" w:ascii="宋体" w:hAnsi="宋体" w:eastAsia="宋体" w:cs="宋体"/>
                <w:b w:val="0"/>
                <w:bCs w:val="0"/>
                <w:color w:val="auto"/>
                <w:kern w:val="0"/>
                <w:sz w:val="24"/>
                <w:highlight w:val="none"/>
                <w:lang w:val="en-US" w:eastAsia="zh-CN"/>
              </w:rPr>
              <w:t xml:space="preserve"> </w:t>
            </w:r>
            <w:r>
              <w:rPr>
                <w:rFonts w:hint="eastAsia" w:ascii="宋体" w:hAnsi="宋体" w:eastAsia="宋体" w:cs="宋体"/>
                <w:b/>
                <w:bCs/>
                <w:color w:val="auto"/>
                <w:kern w:val="0"/>
                <w:sz w:val="24"/>
                <w:highlight w:val="none"/>
              </w:rPr>
              <w:t>C不统一组织，供应商在获取采购文件后，自行至项目现场考察。以充分了解工地位置、情况、道路、储存空间、装卸限制及任何其他足以影响承包价的情况，任何因忽视或误解工地情况而导致的索赔或工期延长申请将不被批准。</w:t>
            </w:r>
          </w:p>
          <w:p w14:paraId="7F820779">
            <w:pPr>
              <w:pStyle w:val="79"/>
              <w:spacing w:line="360" w:lineRule="auto"/>
              <w:ind w:firstLine="0" w:firstLineChars="0"/>
              <w:rPr>
                <w:color w:val="auto"/>
                <w:highlight w:val="none"/>
              </w:rPr>
            </w:pPr>
            <w:r>
              <w:rPr>
                <w:rFonts w:hint="eastAsia" w:ascii="宋体" w:hAnsi="宋体" w:eastAsia="宋体" w:cs="宋体"/>
                <w:b/>
                <w:bCs/>
                <w:color w:val="auto"/>
                <w:kern w:val="0"/>
                <w:sz w:val="24"/>
                <w:highlight w:val="none"/>
              </w:rPr>
              <w:t>地点：</w:t>
            </w:r>
            <w:r>
              <w:rPr>
                <w:rFonts w:hint="eastAsia" w:ascii="宋体" w:hAnsi="宋体" w:eastAsia="宋体" w:cs="宋体"/>
                <w:b/>
                <w:bCs/>
                <w:color w:val="auto"/>
                <w:kern w:val="0"/>
                <w:sz w:val="24"/>
                <w:highlight w:val="none"/>
                <w:u w:val="single"/>
              </w:rPr>
              <w:t>杭州市下沙6号大街436号</w:t>
            </w:r>
            <w:r>
              <w:rPr>
                <w:rFonts w:hint="eastAsia" w:ascii="宋体" w:hAnsi="宋体" w:eastAsia="宋体" w:cs="宋体"/>
                <w:b/>
                <w:bCs/>
                <w:color w:val="auto"/>
                <w:kern w:val="0"/>
                <w:sz w:val="24"/>
                <w:highlight w:val="none"/>
              </w:rPr>
              <w:t>，联系人：</w:t>
            </w:r>
            <w:r>
              <w:rPr>
                <w:rFonts w:hint="eastAsia" w:ascii="宋体" w:hAnsi="宋体" w:eastAsia="宋体" w:cs="宋体"/>
                <w:b/>
                <w:bCs/>
                <w:color w:val="auto"/>
                <w:kern w:val="0"/>
                <w:sz w:val="24"/>
                <w:highlight w:val="none"/>
                <w:u w:val="single"/>
              </w:rPr>
              <w:t>王老师</w:t>
            </w:r>
            <w:r>
              <w:rPr>
                <w:rFonts w:hint="eastAsia" w:ascii="宋体" w:hAnsi="宋体" w:eastAsia="宋体" w:cs="宋体"/>
                <w:b/>
                <w:bCs/>
                <w:color w:val="auto"/>
                <w:kern w:val="0"/>
                <w:sz w:val="24"/>
                <w:highlight w:val="none"/>
                <w:u w:val="single"/>
                <w:lang w:val="en-US" w:eastAsia="zh-CN"/>
              </w:rPr>
              <w:t xml:space="preserve"> </w:t>
            </w:r>
            <w:r>
              <w:rPr>
                <w:rFonts w:hint="eastAsia" w:ascii="宋体" w:hAnsi="宋体" w:eastAsia="宋体" w:cs="宋体"/>
                <w:b/>
                <w:bCs/>
                <w:color w:val="auto"/>
                <w:kern w:val="0"/>
                <w:sz w:val="24"/>
                <w:highlight w:val="none"/>
              </w:rPr>
              <w:t>，联系方式：</w:t>
            </w:r>
            <w:r>
              <w:rPr>
                <w:rFonts w:hint="eastAsia" w:ascii="宋体" w:hAnsi="宋体" w:eastAsia="宋体" w:cs="宋体"/>
                <w:b/>
                <w:bCs/>
                <w:color w:val="auto"/>
                <w:kern w:val="0"/>
                <w:sz w:val="24"/>
                <w:highlight w:val="none"/>
                <w:u w:val="single"/>
              </w:rPr>
              <w:t>0571-86579988</w:t>
            </w:r>
            <w:r>
              <w:rPr>
                <w:rFonts w:hint="eastAsia" w:ascii="宋体" w:hAnsi="宋体" w:eastAsia="宋体" w:cs="宋体"/>
                <w:b/>
                <w:bCs/>
                <w:color w:val="auto"/>
                <w:kern w:val="0"/>
                <w:sz w:val="24"/>
                <w:highlight w:val="none"/>
              </w:rPr>
              <w:t>。</w:t>
            </w:r>
          </w:p>
        </w:tc>
      </w:tr>
      <w:tr w14:paraId="4382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F557B2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093" w:type="dxa"/>
            <w:vAlign w:val="center"/>
          </w:tcPr>
          <w:p w14:paraId="7915F2C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327" w:type="dxa"/>
            <w:vAlign w:val="center"/>
          </w:tcPr>
          <w:p w14:paraId="67D9B408">
            <w:pPr>
              <w:spacing w:line="360" w:lineRule="auto"/>
              <w:rPr>
                <w:rFonts w:hint="eastAsia" w:ascii="宋体" w:hAnsi="宋体" w:eastAsia="宋体" w:cs="宋体"/>
                <w:b/>
                <w:bCs/>
                <w:color w:val="auto"/>
                <w:sz w:val="24"/>
                <w:highlight w:val="none"/>
                <w:lang w:eastAsia="zh-CN"/>
              </w:rPr>
            </w:pPr>
            <w:sdt>
              <w:sdtPr>
                <w:rPr>
                  <w:rFonts w:hint="eastAsia" w:ascii="宋体" w:hAnsi="宋体" w:cs="宋体"/>
                  <w:color w:val="auto"/>
                  <w:kern w:val="0"/>
                  <w:sz w:val="24"/>
                  <w:highlight w:val="none"/>
                </w:rPr>
                <w:id w:val="586211181"/>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ascii="Wingdings" w:hAnsi="Wingdings" w:eastAsia="宋体" w:cs="宋体"/>
                    <w:b/>
                    <w:bCs/>
                    <w:color w:val="auto"/>
                    <w:kern w:val="0"/>
                    <w:sz w:val="24"/>
                    <w:szCs w:val="24"/>
                    <w:highlight w:val="none"/>
                    <w:lang w:val="en-US" w:eastAsia="zh-CN" w:bidi="ar-SA"/>
                  </w:rPr>
                  <w:t>þ</w:t>
                </w:r>
              </w:sdtContent>
            </w:sdt>
            <w:r>
              <w:rPr>
                <w:rFonts w:hint="eastAsia" w:ascii="宋体" w:hAnsi="宋体" w:cs="宋体"/>
                <w:b/>
                <w:bCs/>
                <w:color w:val="auto"/>
                <w:kern w:val="0"/>
                <w:sz w:val="24"/>
                <w:highlight w:val="none"/>
              </w:rPr>
              <w:t>A</w:t>
            </w:r>
            <w:r>
              <w:rPr>
                <w:rFonts w:hint="eastAsia" w:ascii="宋体" w:hAnsi="宋体" w:cs="宋体"/>
                <w:b/>
                <w:bCs/>
                <w:color w:val="auto"/>
                <w:sz w:val="24"/>
                <w:highlight w:val="none"/>
              </w:rPr>
              <w:t>不要求提供</w:t>
            </w:r>
            <w:r>
              <w:rPr>
                <w:rFonts w:hint="eastAsia" w:ascii="宋体" w:hAnsi="宋体" w:cs="宋体"/>
                <w:b/>
                <w:bCs/>
                <w:color w:val="auto"/>
                <w:sz w:val="24"/>
                <w:highlight w:val="none"/>
                <w:lang w:eastAsia="zh-CN"/>
              </w:rPr>
              <w:t>；</w:t>
            </w:r>
          </w:p>
          <w:p w14:paraId="70C1147F">
            <w:pPr>
              <w:spacing w:line="360" w:lineRule="auto"/>
              <w:rPr>
                <w:rFonts w:hint="eastAsia" w:ascii="宋体" w:hAnsi="宋体" w:eastAsia="宋体" w:cs="宋体"/>
                <w:color w:val="auto"/>
                <w:kern w:val="0"/>
                <w:sz w:val="24"/>
                <w:highlight w:val="none"/>
                <w:lang w:eastAsia="zh-CN"/>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b w:val="0"/>
                  <w:bCs w:val="0"/>
                  <w:color w:val="auto"/>
                  <w:kern w:val="0"/>
                  <w:sz w:val="24"/>
                  <w:highlight w:val="none"/>
                </w:rPr>
              </w:sdtEndPr>
              <w:sdtContent>
                <w:r>
                  <w:rPr>
                    <w:rFonts w:hint="eastAsia" w:ascii="MS Gothic" w:hAnsi="MS Gothic" w:eastAsia="宋体" w:cs="宋体"/>
                    <w:b w:val="0"/>
                    <w:bCs w:val="0"/>
                    <w:color w:val="auto"/>
                    <w:kern w:val="0"/>
                    <w:sz w:val="24"/>
                    <w:szCs w:val="24"/>
                    <w:highlight w:val="none"/>
                    <w:lang w:val="en-US" w:eastAsia="zh-CN" w:bidi="ar-SA"/>
                  </w:rPr>
                  <w:t>☐</w:t>
                </w:r>
              </w:sdtContent>
            </w:sdt>
            <w:r>
              <w:rPr>
                <w:rFonts w:hint="eastAsia" w:ascii="宋体" w:hAnsi="宋体" w:cs="宋体"/>
                <w:b w:val="0"/>
                <w:bCs w:val="0"/>
                <w:color w:val="auto"/>
                <w:kern w:val="0"/>
                <w:sz w:val="24"/>
                <w:highlight w:val="none"/>
              </w:rPr>
              <w:t>B要求提供</w:t>
            </w:r>
            <w:r>
              <w:rPr>
                <w:rFonts w:hint="eastAsia" w:ascii="宋体" w:hAnsi="宋体" w:cs="宋体"/>
                <w:b w:val="0"/>
                <w:bCs w:val="0"/>
                <w:color w:val="auto"/>
                <w:kern w:val="0"/>
                <w:sz w:val="24"/>
                <w:highlight w:val="none"/>
                <w:lang w:eastAsia="zh-CN"/>
              </w:rPr>
              <w:t>。</w:t>
            </w:r>
          </w:p>
          <w:p w14:paraId="7CC6BB69">
            <w:pPr>
              <w:spacing w:line="360" w:lineRule="auto"/>
              <w:rPr>
                <w:rFonts w:hint="default" w:ascii="宋体" w:hAnsi="宋体" w:cs="宋体"/>
                <w:color w:val="auto"/>
                <w:kern w:val="0"/>
                <w:sz w:val="24"/>
                <w:highlight w:val="none"/>
                <w:lang w:val="en-US"/>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p>
          <w:p w14:paraId="4C3FFE0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kern w:val="0"/>
                <w:sz w:val="24"/>
                <w:highlight w:val="none"/>
                <w:u w:val="single"/>
              </w:rPr>
              <w:t>详见需求</w:t>
            </w:r>
            <w:r>
              <w:rPr>
                <w:rFonts w:hint="eastAsia" w:ascii="宋体" w:hAnsi="宋体" w:cs="宋体"/>
                <w:color w:val="auto"/>
                <w:kern w:val="0"/>
                <w:sz w:val="24"/>
                <w:highlight w:val="none"/>
              </w:rPr>
              <w:t>；</w:t>
            </w:r>
          </w:p>
          <w:p w14:paraId="2D38221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评审办法</w:t>
            </w:r>
            <w:r>
              <w:rPr>
                <w:rFonts w:hint="eastAsia" w:ascii="宋体" w:hAnsi="宋体" w:cs="宋体"/>
                <w:color w:val="auto"/>
                <w:kern w:val="0"/>
                <w:sz w:val="24"/>
                <w:highlight w:val="none"/>
              </w:rPr>
              <w:t>；</w:t>
            </w:r>
          </w:p>
          <w:p w14:paraId="3D9CA10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95CFFF9">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。请供应商在上述时间内提供样品并按规定位置安装完毕。超过截止时间的，采购人或采购代理机构将不予接收，并将清场并封闭样品现场。</w:t>
            </w:r>
          </w:p>
          <w:p w14:paraId="1E7833E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(6)采购活动结束后，对于未成交供应商提供的样品，采购人、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将通知未成交供应商在规定的时间内取回，逾期未取回的，采购人、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不负保管义务；对于成交供应商提供的样品，采购人将进行保管、封存，并作为履约验收的参考。</w:t>
            </w:r>
          </w:p>
          <w:p w14:paraId="034265B8">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14:paraId="4F25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EE219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093" w:type="dxa"/>
            <w:vAlign w:val="center"/>
          </w:tcPr>
          <w:p w14:paraId="5D5B6012">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327" w:type="dxa"/>
            <w:vAlign w:val="center"/>
          </w:tcPr>
          <w:p w14:paraId="38EF6D2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05456896"/>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ascii="Wingdings" w:hAnsi="Wingdings" w:cs="宋体"/>
                    <w:b/>
                    <w:bCs/>
                    <w:color w:val="auto"/>
                    <w:kern w:val="0"/>
                    <w:sz w:val="24"/>
                    <w:highlight w:val="none"/>
                  </w:rPr>
                  <w:t></w:t>
                </w:r>
              </w:sdtContent>
            </w:sdt>
            <w:r>
              <w:rPr>
                <w:rFonts w:hint="eastAsia" w:ascii="宋体" w:hAnsi="宋体" w:cs="宋体"/>
                <w:b/>
                <w:bCs/>
                <w:color w:val="auto"/>
                <w:kern w:val="0"/>
                <w:sz w:val="24"/>
                <w:highlight w:val="none"/>
              </w:rPr>
              <w:t>A</w:t>
            </w:r>
            <w:r>
              <w:rPr>
                <w:rFonts w:hint="eastAsia" w:ascii="宋体" w:hAnsi="宋体" w:cs="宋体"/>
                <w:b/>
                <w:bCs/>
                <w:color w:val="auto"/>
                <w:sz w:val="24"/>
                <w:highlight w:val="none"/>
              </w:rPr>
              <w:t>不组织。</w:t>
            </w:r>
          </w:p>
          <w:p w14:paraId="18ADDA8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45EE62A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分钟，讲解次序以响应文件解密时间先后次序为准，讲解演示人员不超过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人。讲解演示结束后按要求解答磋商小组提问。</w:t>
            </w:r>
          </w:p>
          <w:p w14:paraId="3E7891F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4CEE3D9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方式一：政采云平台在线讲解演示。政采云平台在线讲解需供应商根据政采云平台操作要求做好准备工作，提前完善软硬件配置环境。</w:t>
            </w:r>
          </w:p>
          <w:p w14:paraId="163A534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05450C96">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3762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7F94635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093" w:type="dxa"/>
            <w:vMerge w:val="restart"/>
            <w:vAlign w:val="center"/>
          </w:tcPr>
          <w:p w14:paraId="7542C44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327" w:type="dxa"/>
            <w:vAlign w:val="center"/>
          </w:tcPr>
          <w:p w14:paraId="54E0E0E3">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（1）资格证明文件：见采购文件第二部分11.1。</w:t>
            </w:r>
          </w:p>
          <w:p w14:paraId="027E458C">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tc>
      </w:tr>
      <w:tr w14:paraId="62DF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10E37744">
            <w:pPr>
              <w:snapToGrid w:val="0"/>
              <w:spacing w:line="360" w:lineRule="auto"/>
              <w:jc w:val="center"/>
              <w:rPr>
                <w:rFonts w:ascii="宋体" w:hAnsi="宋体" w:cs="宋体"/>
                <w:color w:val="auto"/>
                <w:sz w:val="24"/>
                <w:highlight w:val="none"/>
              </w:rPr>
            </w:pPr>
          </w:p>
        </w:tc>
        <w:tc>
          <w:tcPr>
            <w:tcW w:w="2093" w:type="dxa"/>
            <w:vMerge w:val="continue"/>
            <w:vAlign w:val="center"/>
          </w:tcPr>
          <w:p w14:paraId="6134DFB7">
            <w:pPr>
              <w:snapToGrid w:val="0"/>
              <w:spacing w:line="360" w:lineRule="auto"/>
              <w:jc w:val="center"/>
              <w:rPr>
                <w:rFonts w:ascii="宋体" w:hAnsi="宋体" w:cs="宋体"/>
                <w:b/>
                <w:color w:val="auto"/>
                <w:sz w:val="24"/>
                <w:highlight w:val="none"/>
              </w:rPr>
            </w:pPr>
          </w:p>
        </w:tc>
        <w:tc>
          <w:tcPr>
            <w:tcW w:w="6327" w:type="dxa"/>
            <w:vAlign w:val="center"/>
          </w:tcPr>
          <w:p w14:paraId="7D25C5B4">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（2）资信证明文件：根据采购文件第四部分评审标准提供。</w:t>
            </w:r>
          </w:p>
        </w:tc>
      </w:tr>
      <w:tr w14:paraId="748C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7E217D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093" w:type="dxa"/>
            <w:vAlign w:val="center"/>
          </w:tcPr>
          <w:p w14:paraId="6FCE3FF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327" w:type="dxa"/>
            <w:vAlign w:val="center"/>
          </w:tcPr>
          <w:p w14:paraId="7E097CB9">
            <w:pPr>
              <w:snapToGrid w:val="0"/>
              <w:spacing w:line="360" w:lineRule="auto"/>
              <w:rPr>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4449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2C589C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093" w:type="dxa"/>
            <w:vAlign w:val="center"/>
          </w:tcPr>
          <w:p w14:paraId="1DF773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327" w:type="dxa"/>
            <w:vAlign w:val="center"/>
          </w:tcPr>
          <w:p w14:paraId="28FAEFBE">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r>
              <w:rPr>
                <w:rFonts w:hint="eastAsia" w:ascii="宋体" w:hAnsi="宋体" w:cs="宋体"/>
                <w:b/>
                <w:color w:val="auto"/>
                <w:kern w:val="0"/>
                <w:sz w:val="24"/>
                <w:highlight w:val="none"/>
                <w:lang w:val="zh-CN"/>
              </w:rPr>
              <w:t>提醒：验收时检测费用由采购人承担，不包含在总价中。</w:t>
            </w:r>
          </w:p>
          <w:p w14:paraId="1E850AF4">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14:paraId="3E70D585">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14:paraId="52F39911">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最后报价超过采购文件中规定的预算金额或者最高限价的；</w:t>
            </w:r>
          </w:p>
          <w:p w14:paraId="21AAEA73">
            <w:pPr>
              <w:spacing w:line="360" w:lineRule="auto"/>
              <w:ind w:firstLine="241" w:firstLineChars="100"/>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lang w:eastAsia="zh-CN"/>
              </w:rPr>
              <w:t>；</w:t>
            </w:r>
          </w:p>
          <w:p w14:paraId="1F17FCF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供应商对根据修正原则修正后的报价不确认的</w:t>
            </w:r>
            <w:r>
              <w:rPr>
                <w:rFonts w:hint="eastAsia" w:ascii="宋体" w:hAnsi="宋体" w:cs="宋体"/>
                <w:b/>
                <w:color w:val="auto"/>
                <w:sz w:val="24"/>
                <w:highlight w:val="none"/>
              </w:rPr>
              <w:t>。</w:t>
            </w:r>
          </w:p>
        </w:tc>
      </w:tr>
      <w:tr w14:paraId="7F75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66B97BE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093" w:type="dxa"/>
            <w:vAlign w:val="center"/>
          </w:tcPr>
          <w:p w14:paraId="7A5274B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327" w:type="dxa"/>
            <w:vAlign w:val="center"/>
          </w:tcPr>
          <w:p w14:paraId="2452DC67">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582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DE26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093" w:type="dxa"/>
            <w:vAlign w:val="center"/>
          </w:tcPr>
          <w:p w14:paraId="4E6B85F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327" w:type="dxa"/>
            <w:vAlign w:val="center"/>
          </w:tcPr>
          <w:p w14:paraId="25D27C33">
            <w:pPr>
              <w:pStyle w:val="33"/>
              <w:spacing w:line="360" w:lineRule="auto"/>
              <w:rPr>
                <w:rFonts w:hAnsi="宋体" w:cs="宋体"/>
                <w:color w:val="auto"/>
                <w:kern w:val="28"/>
                <w:sz w:val="24"/>
                <w:szCs w:val="24"/>
                <w:highlight w:val="none"/>
              </w:rPr>
            </w:pPr>
            <w:r>
              <w:rPr>
                <w:rFonts w:hint="eastAsia" w:hAnsi="宋体" w:cs="宋体"/>
                <w:color w:val="auto"/>
                <w:kern w:val="28"/>
                <w:sz w:val="24"/>
                <w:szCs w:val="24"/>
                <w:highlight w:val="none"/>
              </w:rPr>
              <w:t>备份响应文件送达地点：</w:t>
            </w:r>
            <w:r>
              <w:rPr>
                <w:rFonts w:hint="eastAsia" w:hAnsi="宋体" w:cs="宋体"/>
                <w:color w:val="auto"/>
                <w:kern w:val="28"/>
                <w:sz w:val="24"/>
                <w:szCs w:val="24"/>
                <w:highlight w:val="none"/>
                <w:u w:val="single"/>
              </w:rPr>
              <w:t>杭州市环站东路97号</w:t>
            </w:r>
            <w:r>
              <w:rPr>
                <w:rFonts w:hint="eastAsia" w:hAnsi="宋体" w:cs="宋体"/>
                <w:color w:val="auto"/>
                <w:kern w:val="28"/>
                <w:sz w:val="24"/>
                <w:szCs w:val="24"/>
                <w:highlight w:val="none"/>
                <w:u w:val="single"/>
                <w:lang w:eastAsia="zh-CN"/>
              </w:rPr>
              <w:t>云峰大厦1号楼</w:t>
            </w:r>
            <w:r>
              <w:rPr>
                <w:rFonts w:hint="eastAsia" w:hAnsi="宋体" w:cs="宋体"/>
                <w:color w:val="auto"/>
                <w:kern w:val="28"/>
                <w:sz w:val="24"/>
                <w:szCs w:val="24"/>
                <w:highlight w:val="none"/>
                <w:u w:val="single"/>
              </w:rPr>
              <w:t>13楼</w:t>
            </w:r>
            <w:r>
              <w:rPr>
                <w:rFonts w:hint="eastAsia" w:hAnsi="宋体" w:cs="宋体"/>
                <w:color w:val="auto"/>
                <w:kern w:val="28"/>
                <w:sz w:val="24"/>
                <w:szCs w:val="24"/>
                <w:highlight w:val="none"/>
              </w:rPr>
              <w:t>；</w:t>
            </w:r>
          </w:p>
          <w:p w14:paraId="5088C7A8">
            <w:pPr>
              <w:pStyle w:val="33"/>
              <w:spacing w:line="360" w:lineRule="auto"/>
              <w:rPr>
                <w:rFonts w:hAnsi="宋体" w:cs="宋体"/>
                <w:color w:val="auto"/>
                <w:sz w:val="24"/>
                <w:szCs w:val="24"/>
                <w:highlight w:val="none"/>
              </w:rPr>
            </w:pPr>
            <w:r>
              <w:rPr>
                <w:rFonts w:hint="eastAsia" w:hAnsi="宋体" w:cs="宋体"/>
                <w:color w:val="auto"/>
                <w:kern w:val="28"/>
                <w:sz w:val="24"/>
                <w:szCs w:val="24"/>
                <w:highlight w:val="none"/>
              </w:rPr>
              <w:t>备份响应文件签收人员联系电话：</w:t>
            </w:r>
            <w:r>
              <w:rPr>
                <w:rFonts w:hint="eastAsia" w:hAnsi="宋体" w:cs="宋体"/>
                <w:color w:val="auto"/>
                <w:sz w:val="24"/>
                <w:highlight w:val="none"/>
                <w:u w:val="single"/>
              </w:rPr>
              <w:t>胡馨月 17816022721</w:t>
            </w:r>
            <w:r>
              <w:rPr>
                <w:rFonts w:hint="eastAsia" w:hAnsi="宋体" w:cs="宋体"/>
                <w:color w:val="auto"/>
                <w:sz w:val="24"/>
                <w:szCs w:val="24"/>
                <w:highlight w:val="none"/>
              </w:rPr>
              <w:t>。</w:t>
            </w:r>
          </w:p>
          <w:p w14:paraId="339F717B">
            <w:pPr>
              <w:pStyle w:val="33"/>
              <w:spacing w:line="360" w:lineRule="auto"/>
              <w:rPr>
                <w:rFonts w:hAnsi="宋体" w:cs="宋体"/>
                <w:color w:val="auto"/>
                <w:kern w:val="28"/>
                <w:sz w:val="24"/>
                <w:highlight w:val="none"/>
              </w:rPr>
            </w:pP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tc>
      </w:tr>
      <w:tr w14:paraId="2A75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7E1DE0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093" w:type="dxa"/>
            <w:vAlign w:val="center"/>
          </w:tcPr>
          <w:p w14:paraId="6E8D561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6327" w:type="dxa"/>
            <w:vAlign w:val="center"/>
          </w:tcPr>
          <w:p w14:paraId="2B804AC3">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4"/>
                <w:highlight w:val="none"/>
              </w:rPr>
              <w:t>。</w:t>
            </w:r>
          </w:p>
        </w:tc>
      </w:tr>
      <w:tr w14:paraId="6B46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01BB005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14</w:t>
            </w:r>
          </w:p>
        </w:tc>
        <w:tc>
          <w:tcPr>
            <w:tcW w:w="2093" w:type="dxa"/>
            <w:vAlign w:val="center"/>
          </w:tcPr>
          <w:p w14:paraId="46F67D2D">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成交候选人数量</w:t>
            </w:r>
          </w:p>
        </w:tc>
        <w:tc>
          <w:tcPr>
            <w:tcW w:w="6327" w:type="dxa"/>
            <w:vAlign w:val="center"/>
          </w:tcPr>
          <w:p w14:paraId="12DBCE42">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3家</w:t>
            </w:r>
            <w:r>
              <w:rPr>
                <w:rFonts w:hint="eastAsia" w:ascii="宋体" w:hAnsi="宋体" w:cs="宋体"/>
                <w:color w:val="auto"/>
                <w:kern w:val="0"/>
                <w:sz w:val="24"/>
                <w:highlight w:val="none"/>
                <w:lang w:val="en" w:eastAsia="zh-CN"/>
              </w:rPr>
              <w:t>。</w:t>
            </w:r>
          </w:p>
        </w:tc>
      </w:tr>
      <w:tr w14:paraId="2B0D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5504CE37">
            <w:pPr>
              <w:snapToGrid w:val="0"/>
              <w:spacing w:line="360" w:lineRule="auto"/>
              <w:jc w:val="center"/>
              <w:rPr>
                <w:rFonts w:hint="eastAsia" w:ascii="宋体" w:hAnsi="宋体" w:cs="宋体"/>
                <w:color w:val="auto"/>
                <w:sz w:val="24"/>
                <w:highlight w:val="none"/>
                <w:lang w:val="en-US" w:eastAsia="zh-CN"/>
              </w:rPr>
            </w:pPr>
          </w:p>
          <w:p w14:paraId="24723180">
            <w:pPr>
              <w:snapToGrid w:val="0"/>
              <w:spacing w:line="360" w:lineRule="auto"/>
              <w:jc w:val="center"/>
              <w:rPr>
                <w:rFonts w:hint="eastAsia" w:ascii="宋体" w:hAnsi="宋体" w:cs="宋体"/>
                <w:color w:val="auto"/>
                <w:sz w:val="24"/>
                <w:highlight w:val="none"/>
                <w:lang w:val="en-US" w:eastAsia="zh-CN"/>
              </w:rPr>
            </w:pPr>
          </w:p>
          <w:p w14:paraId="71BB9184">
            <w:pPr>
              <w:snapToGrid w:val="0"/>
              <w:spacing w:line="360" w:lineRule="auto"/>
              <w:jc w:val="center"/>
              <w:rPr>
                <w:rFonts w:hint="eastAsia" w:ascii="宋体" w:hAnsi="宋体" w:cs="宋体"/>
                <w:color w:val="auto"/>
                <w:sz w:val="24"/>
                <w:highlight w:val="none"/>
                <w:lang w:val="en-US" w:eastAsia="zh-CN"/>
              </w:rPr>
            </w:pPr>
          </w:p>
          <w:p w14:paraId="7DEA9357">
            <w:pPr>
              <w:snapToGrid w:val="0"/>
              <w:spacing w:line="360" w:lineRule="auto"/>
              <w:jc w:val="center"/>
              <w:rPr>
                <w:rFonts w:hint="eastAsia" w:ascii="宋体" w:hAnsi="宋体" w:cs="宋体"/>
                <w:color w:val="auto"/>
                <w:sz w:val="24"/>
                <w:highlight w:val="none"/>
                <w:lang w:val="en-US" w:eastAsia="zh-CN"/>
              </w:rPr>
            </w:pPr>
          </w:p>
          <w:p w14:paraId="07B5A21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15</w:t>
            </w:r>
          </w:p>
        </w:tc>
        <w:tc>
          <w:tcPr>
            <w:tcW w:w="2093" w:type="dxa"/>
            <w:vAlign w:val="center"/>
          </w:tcPr>
          <w:p w14:paraId="5423B125">
            <w:pP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327" w:type="dxa"/>
            <w:vAlign w:val="center"/>
          </w:tcPr>
          <w:p w14:paraId="68E860EF">
            <w:pPr>
              <w:widowControl/>
              <w:spacing w:line="360" w:lineRule="auto"/>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lang w:eastAsia="zh-CN"/>
              </w:rPr>
              <w:t>）</w:t>
            </w:r>
            <w:r>
              <w:rPr>
                <w:rFonts w:hint="eastAsia" w:ascii="宋体" w:hAnsi="宋体" w:cs="宋体"/>
                <w:b/>
                <w:color w:val="auto"/>
                <w:sz w:val="24"/>
                <w:highlight w:val="none"/>
              </w:rPr>
              <w:t>本项目招标服务费收费标准</w:t>
            </w:r>
            <w:r>
              <w:rPr>
                <w:rFonts w:hint="eastAsia" w:ascii="宋体" w:hAnsi="宋体" w:cs="宋体"/>
                <w:b/>
                <w:color w:val="auto"/>
                <w:sz w:val="24"/>
                <w:highlight w:val="none"/>
                <w:lang w:eastAsia="zh-CN"/>
              </w:rPr>
              <w:t>：</w:t>
            </w:r>
          </w:p>
          <w:p w14:paraId="095391A3">
            <w:pPr>
              <w:widowControl/>
              <w:spacing w:line="360" w:lineRule="auto"/>
              <w:rPr>
                <w:rFonts w:ascii="宋体" w:hAnsi="宋体" w:cs="宋体"/>
                <w:b/>
                <w:color w:val="auto"/>
                <w:sz w:val="24"/>
                <w:highlight w:val="none"/>
              </w:rPr>
            </w:pPr>
            <w:r>
              <w:rPr>
                <w:rFonts w:hint="eastAsia" w:ascii="宋体" w:hAnsi="宋体" w:cs="宋体"/>
                <w:b/>
                <w:color w:val="auto"/>
                <w:sz w:val="24"/>
                <w:highlight w:val="none"/>
              </w:rPr>
              <w:t>招标代理费：参照计价格[2002]1980号文规定八折计取，不足伍仟元按伍仟元计。</w:t>
            </w:r>
          </w:p>
          <w:p w14:paraId="0813A45A">
            <w:pPr>
              <w:widowControl/>
              <w:spacing w:line="360" w:lineRule="auto"/>
              <w:rPr>
                <w:rFonts w:ascii="宋体" w:hAnsi="宋体" w:cs="宋体"/>
                <w:b/>
                <w:color w:val="auto"/>
                <w:sz w:val="24"/>
                <w:highlight w:val="none"/>
              </w:rPr>
            </w:pPr>
            <w:r>
              <w:rPr>
                <w:rFonts w:hint="eastAsia" w:ascii="宋体" w:hAnsi="宋体" w:cs="宋体"/>
                <w:b/>
                <w:color w:val="auto"/>
                <w:sz w:val="24"/>
                <w:highlight w:val="none"/>
              </w:rPr>
              <w:t>工程造价咨询费：</w:t>
            </w:r>
            <w:r>
              <w:rPr>
                <w:rFonts w:hint="eastAsia" w:ascii="宋体" w:hAnsi="宋体" w:cs="宋体"/>
                <w:b w:val="0"/>
                <w:bCs/>
                <w:color w:val="auto"/>
                <w:sz w:val="24"/>
                <w:highlight w:val="none"/>
              </w:rPr>
              <w:sym w:font="Wingdings" w:char="00A8"/>
            </w:r>
            <w:r>
              <w:rPr>
                <w:rFonts w:hint="eastAsia" w:ascii="宋体" w:hAnsi="宋体" w:cs="宋体"/>
                <w:b w:val="0"/>
                <w:bCs/>
                <w:color w:val="auto"/>
                <w:sz w:val="24"/>
                <w:highlight w:val="none"/>
              </w:rPr>
              <w:t>无；</w:t>
            </w:r>
            <w:r>
              <w:rPr>
                <w:rFonts w:hint="eastAsia" w:ascii="宋体" w:hAnsi="宋体" w:cs="宋体"/>
                <w:b/>
                <w:color w:val="auto"/>
                <w:sz w:val="24"/>
                <w:highlight w:val="none"/>
              </w:rPr>
              <w:sym w:font="Wingdings" w:char="00FE"/>
            </w:r>
            <w:r>
              <w:rPr>
                <w:rFonts w:hint="eastAsia" w:ascii="宋体" w:hAnsi="宋体" w:cs="宋体"/>
                <w:b/>
                <w:color w:val="auto"/>
                <w:sz w:val="24"/>
                <w:highlight w:val="none"/>
              </w:rPr>
              <w:t>参照计价格[2009] 84号文件收费标准八折计取，不足叁仟元按叁仟元计。</w:t>
            </w:r>
          </w:p>
          <w:p w14:paraId="56CFCD78">
            <w:pPr>
              <w:widowControl/>
              <w:spacing w:line="360" w:lineRule="auto"/>
              <w:rPr>
                <w:rFonts w:ascii="宋体" w:hAnsi="宋体" w:cs="宋体"/>
                <w:b/>
                <w:bCs/>
                <w:color w:val="auto"/>
                <w:sz w:val="24"/>
                <w:highlight w:val="none"/>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支付方：</w:t>
            </w:r>
          </w:p>
          <w:p w14:paraId="25EB3912">
            <w:pPr>
              <w:widowControl/>
              <w:spacing w:line="360" w:lineRule="auto"/>
              <w:rPr>
                <w:rFonts w:ascii="宋体" w:hAnsi="宋体" w:cs="宋体"/>
                <w:b w:val="0"/>
                <w:bCs w:val="0"/>
                <w:color w:val="auto"/>
                <w:sz w:val="24"/>
                <w:highlight w:val="none"/>
              </w:rPr>
            </w:pPr>
            <w:r>
              <w:rPr>
                <w:rFonts w:hint="eastAsia" w:ascii="宋体" w:hAnsi="宋体" w:cs="宋体"/>
                <w:b w:val="0"/>
                <w:bCs w:val="0"/>
                <w:color w:val="auto"/>
                <w:sz w:val="24"/>
                <w:highlight w:val="none"/>
              </w:rPr>
              <w:sym w:font="Wingdings" w:char="00A8"/>
            </w:r>
            <w:r>
              <w:rPr>
                <w:rFonts w:hint="eastAsia" w:ascii="宋体" w:hAnsi="宋体" w:cs="宋体"/>
                <w:b w:val="0"/>
                <w:bCs w:val="0"/>
                <w:color w:val="auto"/>
                <w:sz w:val="24"/>
                <w:highlight w:val="none"/>
              </w:rPr>
              <w:t>由采购人在项目招标完成后一次性支付；</w:t>
            </w:r>
          </w:p>
          <w:p w14:paraId="5FF87540">
            <w:pPr>
              <w:widowControl/>
              <w:spacing w:line="360" w:lineRule="auto"/>
              <w:rPr>
                <w:rFonts w:ascii="宋体" w:hAnsi="宋体" w:cs="宋体"/>
                <w:b/>
                <w:bCs/>
                <w:color w:val="auto"/>
                <w:sz w:val="24"/>
                <w:highlight w:val="none"/>
              </w:rPr>
            </w:pPr>
            <w:r>
              <w:rPr>
                <w:rFonts w:hint="eastAsia" w:ascii="宋体" w:hAnsi="宋体" w:cs="宋体"/>
                <w:b/>
                <w:bCs/>
                <w:color w:val="auto"/>
                <w:sz w:val="24"/>
                <w:highlight w:val="none"/>
              </w:rPr>
              <w:sym w:font="Wingdings" w:char="00FE"/>
            </w:r>
            <w:r>
              <w:rPr>
                <w:rFonts w:hint="eastAsia" w:ascii="宋体" w:hAnsi="宋体" w:cs="宋体"/>
                <w:b/>
                <w:bCs/>
                <w:color w:val="auto"/>
                <w:sz w:val="24"/>
                <w:highlight w:val="none"/>
              </w:rPr>
              <w:t>由中标人在领取中标通知书后7个工作日内一次性缴纳。</w:t>
            </w:r>
          </w:p>
          <w:p w14:paraId="0FC899AA">
            <w:pPr>
              <w:widowControl/>
              <w:spacing w:line="360" w:lineRule="auto"/>
              <w:rPr>
                <w:rFonts w:ascii="宋体" w:hAnsi="宋体" w:cs="宋体"/>
                <w:color w:val="auto"/>
                <w:sz w:val="24"/>
                <w:highlight w:val="none"/>
              </w:rPr>
            </w:pPr>
            <w:r>
              <w:rPr>
                <w:rFonts w:hint="eastAsia" w:ascii="宋体" w:hAnsi="宋体" w:cs="宋体"/>
                <w:color w:val="auto"/>
                <w:sz w:val="24"/>
                <w:highlight w:val="none"/>
              </w:rPr>
              <w:t>收款单位：浙江省建设工程设备招标有限公司</w:t>
            </w:r>
          </w:p>
          <w:p w14:paraId="3D2D0D1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开户银行：中国建设银行股份有限公司杭州大关支行</w:t>
            </w:r>
          </w:p>
          <w:p w14:paraId="0A21E373">
            <w:pPr>
              <w:spacing w:line="360" w:lineRule="auto"/>
              <w:rPr>
                <w:rFonts w:ascii="宋体" w:hAnsi="宋体" w:cs="宋体"/>
                <w:color w:val="auto"/>
                <w:sz w:val="24"/>
                <w:highlight w:val="none"/>
              </w:rPr>
            </w:pPr>
            <w:r>
              <w:rPr>
                <w:rFonts w:hint="eastAsia" w:ascii="宋体" w:hAnsi="宋体" w:cs="宋体"/>
                <w:color w:val="auto"/>
                <w:sz w:val="24"/>
                <w:highlight w:val="none"/>
              </w:rPr>
              <w:t>帐    号：33001616383053002342</w:t>
            </w:r>
          </w:p>
          <w:p w14:paraId="16C51355">
            <w:pPr>
              <w:spacing w:line="360" w:lineRule="auto"/>
              <w:rPr>
                <w:rFonts w:ascii="宋体" w:hAnsi="宋体" w:cs="宋体"/>
                <w:snapToGrid w:val="0"/>
                <w:color w:val="auto"/>
                <w:kern w:val="28"/>
                <w:sz w:val="24"/>
                <w:highlight w:val="none"/>
              </w:rPr>
            </w:pPr>
            <w:r>
              <w:rPr>
                <w:rFonts w:hint="eastAsia" w:ascii="宋体" w:hAnsi="宋体" w:cs="宋体"/>
                <w:color w:val="auto"/>
                <w:sz w:val="24"/>
                <w:highlight w:val="none"/>
              </w:rPr>
              <w:t>注：打款时备注项目编号，项目名称等信息。</w:t>
            </w:r>
          </w:p>
        </w:tc>
      </w:tr>
      <w:tr w14:paraId="063EF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09488260">
            <w:pPr>
              <w:snapToGrid w:val="0"/>
              <w:spacing w:line="360" w:lineRule="auto"/>
              <w:jc w:val="center"/>
              <w:rPr>
                <w:rFonts w:hint="eastAsia" w:ascii="宋体" w:hAnsi="宋体" w:cs="宋体"/>
                <w:color w:val="auto"/>
                <w:sz w:val="24"/>
                <w:highlight w:val="none"/>
                <w:lang w:val="en-US" w:eastAsia="zh-CN"/>
              </w:rPr>
            </w:pPr>
          </w:p>
          <w:p w14:paraId="269264FB">
            <w:pPr>
              <w:snapToGrid w:val="0"/>
              <w:spacing w:line="360" w:lineRule="auto"/>
              <w:jc w:val="center"/>
              <w:rPr>
                <w:rFonts w:hint="eastAsia" w:ascii="宋体" w:hAnsi="宋体" w:cs="宋体"/>
                <w:color w:val="auto"/>
                <w:sz w:val="24"/>
                <w:highlight w:val="none"/>
                <w:lang w:val="en-US" w:eastAsia="zh-CN"/>
              </w:rPr>
            </w:pPr>
          </w:p>
          <w:p w14:paraId="1996FFCD">
            <w:pPr>
              <w:snapToGrid w:val="0"/>
              <w:spacing w:line="360" w:lineRule="auto"/>
              <w:jc w:val="center"/>
              <w:rPr>
                <w:rFonts w:hint="eastAsia" w:ascii="宋体" w:hAnsi="宋体" w:cs="宋体"/>
                <w:color w:val="auto"/>
                <w:sz w:val="24"/>
                <w:highlight w:val="none"/>
                <w:lang w:val="en-US" w:eastAsia="zh-CN"/>
              </w:rPr>
            </w:pPr>
          </w:p>
          <w:p w14:paraId="74813241">
            <w:pPr>
              <w:snapToGrid w:val="0"/>
              <w:spacing w:line="360" w:lineRule="auto"/>
              <w:jc w:val="center"/>
              <w:rPr>
                <w:rFonts w:hint="eastAsia" w:ascii="宋体" w:hAnsi="宋体" w:cs="宋体"/>
                <w:color w:val="auto"/>
                <w:sz w:val="24"/>
                <w:highlight w:val="none"/>
                <w:lang w:val="en-US" w:eastAsia="zh-CN"/>
              </w:rPr>
            </w:pPr>
          </w:p>
          <w:p w14:paraId="2DFB6479">
            <w:pPr>
              <w:snapToGrid w:val="0"/>
              <w:spacing w:line="360" w:lineRule="auto"/>
              <w:jc w:val="center"/>
              <w:rPr>
                <w:rFonts w:hint="eastAsia" w:ascii="宋体" w:hAnsi="宋体" w:cs="宋体"/>
                <w:color w:val="auto"/>
                <w:sz w:val="24"/>
                <w:highlight w:val="none"/>
                <w:lang w:val="en-US" w:eastAsia="zh-CN"/>
              </w:rPr>
            </w:pPr>
          </w:p>
          <w:p w14:paraId="46D804B3">
            <w:pPr>
              <w:snapToGrid w:val="0"/>
              <w:spacing w:line="360" w:lineRule="auto"/>
              <w:jc w:val="center"/>
              <w:rPr>
                <w:rFonts w:hint="eastAsia" w:ascii="宋体" w:hAnsi="宋体" w:cs="宋体"/>
                <w:color w:val="auto"/>
                <w:sz w:val="24"/>
                <w:highlight w:val="none"/>
                <w:lang w:val="en-US" w:eastAsia="zh-CN"/>
              </w:rPr>
            </w:pPr>
          </w:p>
          <w:p w14:paraId="03710CF4">
            <w:pPr>
              <w:snapToGrid w:val="0"/>
              <w:spacing w:line="360" w:lineRule="auto"/>
              <w:jc w:val="center"/>
              <w:rPr>
                <w:rFonts w:hint="eastAsia" w:ascii="宋体" w:hAnsi="宋体" w:cs="宋体"/>
                <w:color w:val="auto"/>
                <w:sz w:val="24"/>
                <w:highlight w:val="none"/>
                <w:lang w:val="en-US" w:eastAsia="zh-CN"/>
              </w:rPr>
            </w:pPr>
          </w:p>
          <w:p w14:paraId="1D8660A2">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2093" w:type="dxa"/>
            <w:vAlign w:val="center"/>
          </w:tcPr>
          <w:p w14:paraId="339FD42A">
            <w:pPr>
              <w:snapToGrid w:val="0"/>
              <w:spacing w:line="360" w:lineRule="auto"/>
              <w:jc w:val="center"/>
              <w:rPr>
                <w:rFonts w:hint="default" w:cs="仿宋_GB2312" w:asciiTheme="minorEastAsia" w:hAnsiTheme="minorEastAsia" w:eastAsiaTheme="minorEastAsia"/>
                <w:b/>
                <w:color w:val="auto"/>
                <w:sz w:val="24"/>
                <w:highlight w:val="none"/>
                <w:lang w:val="en-US" w:eastAsia="zh-CN"/>
              </w:rPr>
            </w:pPr>
            <w:r>
              <w:rPr>
                <w:rFonts w:hint="eastAsia" w:cs="仿宋_GB2312" w:asciiTheme="minorEastAsia" w:hAnsiTheme="minorEastAsia" w:eastAsiaTheme="minorEastAsia"/>
                <w:b/>
                <w:color w:val="auto"/>
                <w:sz w:val="24"/>
                <w:highlight w:val="none"/>
                <w:lang w:val="en-US" w:eastAsia="zh-CN"/>
              </w:rPr>
              <w:t>其他说明</w:t>
            </w:r>
          </w:p>
        </w:tc>
        <w:tc>
          <w:tcPr>
            <w:tcW w:w="6327" w:type="dxa"/>
            <w:vAlign w:val="center"/>
          </w:tcPr>
          <w:p w14:paraId="067602E7">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（1）中标通知书发出之日起30日（鼓励有条件的缩短至10个工作日）内，中标供应商持中标通知书与采购人签订合同；合同签订后需在2个工作日内进行备案公示。</w:t>
            </w:r>
          </w:p>
          <w:p w14:paraId="43CC85F3">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（2）中标供应商在收到中标通知后7个工作日内提交纸质版胶装投标文件（内容同电子投标文件）一正两副或系统解密版三份，用于项目资料存档。（邮寄地址：杭州市环站东路97号云峰大厦1号楼13楼 胡馨月 17816022721收）</w:t>
            </w:r>
          </w:p>
          <w:p w14:paraId="28B27A5D">
            <w:pPr>
              <w:spacing w:line="360" w:lineRule="auto"/>
              <w:rPr>
                <w:rFonts w:ascii="宋体" w:hAnsi="宋体" w:cs="宋体"/>
                <w:snapToGrid w:val="0"/>
                <w:color w:val="auto"/>
                <w:kern w:val="28"/>
                <w:sz w:val="24"/>
                <w:highlight w:val="none"/>
              </w:rPr>
            </w:pPr>
            <w:r>
              <w:rPr>
                <w:rFonts w:hint="eastAsia" w:ascii="宋体" w:hAnsi="宋体" w:cs="宋体"/>
                <w:b/>
                <w:bCs/>
                <w:snapToGrid w:val="0"/>
                <w:color w:val="auto"/>
                <w:kern w:val="28"/>
                <w:sz w:val="24"/>
                <w:highlight w:val="none"/>
              </w:rPr>
              <w:t>（3）根据《浙江省财政厅关于进一步规范政府采购秩序促进公平竞争的通知》（浙财采监〔2025〕2号）相关规定，在评审结束后、合同签订前，采购人、采购代理机构应及时通过网站查询、原件核对等方式对中标（成交）供应商在投标（响应）文件中涉及客观分评审内容的检测报告、认证证书等资料的真实性进行复核；如采购人或采购代理机构向供应商要求提交涉及客观分评审内容的资料时，中标（成交）供应商应积极配合，因未及时提供导致不利于供应商的判断，责任由供应商自行承担。</w:t>
            </w:r>
          </w:p>
        </w:tc>
      </w:tr>
    </w:tbl>
    <w:p w14:paraId="0F6CA578">
      <w:pPr>
        <w:snapToGrid w:val="0"/>
        <w:spacing w:line="360" w:lineRule="auto"/>
        <w:jc w:val="center"/>
        <w:rPr>
          <w:rFonts w:ascii="宋体" w:hAnsi="宋体" w:cs="宋体"/>
          <w:b/>
          <w:color w:val="auto"/>
          <w:sz w:val="32"/>
          <w:szCs w:val="20"/>
          <w:highlight w:val="none"/>
        </w:rPr>
      </w:pPr>
    </w:p>
    <w:bookmarkEnd w:id="10"/>
    <w:p w14:paraId="5BFEF9FF">
      <w:pPr>
        <w:widowControl/>
        <w:adjustRightInd/>
        <w:jc w:val="left"/>
        <w:rPr>
          <w:rFonts w:ascii="宋体" w:hAnsi="宋体" w:cs="宋体"/>
          <w:b/>
          <w:color w:val="auto"/>
          <w:sz w:val="32"/>
          <w:szCs w:val="20"/>
          <w:highlight w:val="none"/>
        </w:rPr>
      </w:pPr>
      <w:bookmarkStart w:id="13" w:name="_Toc164416483"/>
      <w:bookmarkStart w:id="14" w:name="第三部分"/>
      <w:r>
        <w:rPr>
          <w:rFonts w:hint="eastAsia" w:ascii="宋体" w:hAnsi="宋体" w:cs="宋体"/>
          <w:b/>
          <w:color w:val="auto"/>
          <w:sz w:val="32"/>
          <w:szCs w:val="20"/>
          <w:highlight w:val="none"/>
        </w:rPr>
        <w:br w:type="page"/>
      </w:r>
    </w:p>
    <w:p w14:paraId="3880117A">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1A3D0D3F">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36C8768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13F38EDC">
      <w:pPr>
        <w:snapToGrid w:val="0"/>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2.定义</w:t>
      </w:r>
    </w:p>
    <w:p w14:paraId="5F9C3CC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14:paraId="3A597DF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”系指竞争性磋商公告中载明的本项目的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68965EC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14:paraId="72DA904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0DA3FD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46CF4B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3C8521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系指不适用本项目的要求，“※”系指磋商过程中可能实质性变动的内容。</w:t>
      </w:r>
    </w:p>
    <w:p w14:paraId="5DF6030B">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2CD824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803858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629F8979">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0E81F65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65F595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4217FC2">
      <w:pPr>
        <w:pStyle w:val="3"/>
        <w:tabs>
          <w:tab w:val="left" w:pos="0"/>
          <w:tab w:val="clear" w:pos="432"/>
        </w:tabs>
        <w:ind w:left="0" w:firstLine="480" w:firstLineChars="200"/>
        <w:rPr>
          <w:color w:val="auto"/>
          <w:highlight w:val="none"/>
          <w:lang w:val="en-US"/>
        </w:rPr>
      </w:pPr>
      <w:r>
        <w:rPr>
          <w:rFonts w:ascii="宋体" w:hAnsi="宋体" w:eastAsia="宋体" w:cs="宋体"/>
          <w:b w:val="0"/>
          <w:bCs w:val="0"/>
          <w:color w:val="auto"/>
          <w:sz w:val="24"/>
          <w:szCs w:val="24"/>
          <w:highlight w:val="none"/>
          <w:lang w:val="en-US"/>
        </w:rPr>
        <w:t xml:space="preserve">3.2.4 </w:t>
      </w:r>
      <w:r>
        <w:rPr>
          <w:rFonts w:hint="eastAsia" w:ascii="宋体" w:hAnsi="宋体" w:eastAsia="宋体" w:cs="宋体"/>
          <w:b w:val="0"/>
          <w:bCs w:val="0"/>
          <w:color w:val="auto"/>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50AD77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6AF6F9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E44F1D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EE5E43F">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14:paraId="13E0DBF7">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AD997B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4FE470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F8C9F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spacing w:line="360" w:lineRule="auto"/>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3.6可享受中小企业扶持政策的供应商应按照磋商文件格式要求提供《中小企业声明函》，</w:t>
      </w:r>
      <w:r>
        <w:rPr>
          <w:rFonts w:hint="eastAsia" w:cs="宋体" w:asciiTheme="minorEastAsia" w:hAnsiTheme="minorEastAsia" w:eastAsiaTheme="minorEastAsia"/>
          <w:b/>
          <w:bCs/>
          <w:color w:val="auto"/>
          <w:sz w:val="24"/>
          <w:highlight w:val="none"/>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b/>
          <w:bCs/>
          <w:color w:val="auto"/>
          <w:sz w:val="24"/>
          <w:highlight w:val="none"/>
        </w:rPr>
        <w:t>。</w:t>
      </w:r>
    </w:p>
    <w:p w14:paraId="458197D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1CCB7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7AB80564">
      <w:pPr>
        <w:pStyle w:val="3"/>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477A26C3">
      <w:pPr>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B0376C7">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b/>
          <w:bCs/>
          <w:color w:val="auto"/>
          <w:sz w:val="24"/>
          <w:highlight w:val="none"/>
        </w:rPr>
        <w:t>、补偿救济</w:t>
      </w:r>
    </w:p>
    <w:p w14:paraId="0FA23D17">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4.1在线询问、质疑、投诉</w:t>
      </w:r>
    </w:p>
    <w:p w14:paraId="0F94E02E">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color w:val="auto"/>
          <w:highlight w:val="none"/>
          <w:lang w:val="en-US" w:eastAsia="zh-CN"/>
        </w:rPr>
        <w:t>政务</w:t>
      </w:r>
      <w:r>
        <w:rPr>
          <w:rFonts w:hint="eastAsia"/>
          <w:color w:val="auto"/>
          <w:highlight w:val="none"/>
        </w:rPr>
        <w:t>服务网-政府采购投诉处理-在线办理。</w:t>
      </w:r>
    </w:p>
    <w:p w14:paraId="46448B42">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0A6EAB20">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7BE157">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902AE29">
      <w:pPr>
        <w:pStyle w:val="33"/>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35C24E4B">
      <w:pPr>
        <w:pStyle w:val="33"/>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1F96D0D4">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14:paraId="55D85D75">
      <w:pPr>
        <w:pStyle w:val="33"/>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14:paraId="4EC5AD10">
      <w:pPr>
        <w:pStyle w:val="33"/>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0A838284">
      <w:pPr>
        <w:pStyle w:val="33"/>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C875E39">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00B35998">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7A8BC04B">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6AB807D6">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268CD41E">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0967BED4">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194A653D">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C443F50">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14:paraId="235B4411">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14:paraId="4E9E14B9">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5187DFAC">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5787ADD0">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6E1155C">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3D4BBD98">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9D1BB36">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14:paraId="58BE01E7">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4.4.4以联合体形式参加政府采购活动的，其投诉应当由组成联合体的所有供应商共同提出。</w:t>
      </w:r>
    </w:p>
    <w:p w14:paraId="57C529BD">
      <w:pPr>
        <w:pStyle w:val="889"/>
        <w:shd w:val="clear" w:color="auto" w:fill="FFFFFF"/>
        <w:adjustRightInd w:val="0"/>
        <w:snapToGrid w:val="0"/>
        <w:spacing w:before="0" w:beforeAutospacing="0" w:after="0" w:afterAutospacing="0" w:line="360" w:lineRule="auto"/>
        <w:ind w:firstLine="480" w:firstLineChars="200"/>
        <w:contextualSpacing/>
        <w:rPr>
          <w:rFonts w:hint="eastAsia" w:ascii="宋体" w:hAnsi="宋体" w:cs="仿宋"/>
          <w:color w:val="auto"/>
          <w:sz w:val="24"/>
          <w:highlight w:val="none"/>
        </w:rPr>
      </w:pPr>
      <w:r>
        <w:rPr>
          <w:rFonts w:hint="eastAsia" w:asciiTheme="minorEastAsia" w:hAnsiTheme="minorEastAsia" w:eastAsiaTheme="minorEastAsia"/>
          <w:color w:val="auto"/>
          <w:highlight w:val="none"/>
        </w:rPr>
        <w:t>4.</w:t>
      </w:r>
      <w:r>
        <w:rPr>
          <w:rFonts w:hint="eastAsia" w:asciiTheme="minorEastAsia" w:hAnsiTheme="minorEastAsia" w:eastAsiaTheme="minorEastAsia"/>
          <w:color w:val="auto"/>
          <w:highlight w:val="none"/>
          <w:lang w:val="en-US" w:eastAsia="zh-CN"/>
        </w:rPr>
        <w:t>4</w:t>
      </w:r>
      <w:r>
        <w:rPr>
          <w:rFonts w:hint="eastAsia" w:asciiTheme="minorEastAsia" w:hAnsiTheme="minorEastAsia" w:eastAsiaTheme="minorEastAsia"/>
          <w:color w:val="auto"/>
          <w:highlight w:val="none"/>
        </w:rPr>
        <w:t>.5</w:t>
      </w:r>
      <w:r>
        <w:rPr>
          <w:rFonts w:hint="eastAsia"/>
          <w:color w:val="auto"/>
          <w:highlight w:val="none"/>
        </w:rPr>
        <w:t>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w:t>
      </w:r>
      <w:r>
        <w:rPr>
          <w:rFonts w:hint="eastAsia"/>
          <w:color w:val="auto"/>
          <w:highlight w:val="none"/>
          <w:lang w:val="en-US" w:eastAsia="zh-CN"/>
        </w:rPr>
        <w:t>老师</w:t>
      </w:r>
      <w:r>
        <w:rPr>
          <w:rFonts w:hint="eastAsia"/>
          <w:color w:val="auto"/>
          <w:highlight w:val="none"/>
        </w:rPr>
        <w:t>，电话：</w:t>
      </w:r>
      <w:r>
        <w:rPr>
          <w:rFonts w:hint="eastAsia" w:ascii="宋体" w:hAnsi="宋体" w:eastAsia="宋体" w:cs="宋体"/>
          <w:i w:val="0"/>
          <w:caps w:val="0"/>
          <w:color w:val="auto"/>
          <w:spacing w:val="0"/>
          <w:sz w:val="24"/>
          <w:szCs w:val="24"/>
          <w:highlight w:val="none"/>
          <w:lang w:val="en-US" w:eastAsia="zh-CN"/>
        </w:rPr>
        <w:t>0571-87800218</w:t>
      </w:r>
      <w:r>
        <w:rPr>
          <w:rFonts w:hint="eastAsia" w:ascii="宋体" w:hAnsi="宋体" w:cs="仿宋"/>
          <w:color w:val="auto"/>
          <w:sz w:val="24"/>
          <w:highlight w:val="none"/>
        </w:rPr>
        <w:t>。</w:t>
      </w:r>
    </w:p>
    <w:p w14:paraId="3818BCFF">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14:paraId="2A946174">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1FBB70EF">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02FEA4B4">
      <w:pPr>
        <w:pStyle w:val="131"/>
        <w:snapToGrid w:val="0"/>
        <w:spacing w:before="0"/>
        <w:ind w:firstLine="360"/>
        <w:rPr>
          <w:rFonts w:ascii="宋体" w:hAnsi="宋体" w:cs="宋体"/>
          <w:color w:val="auto"/>
          <w:sz w:val="18"/>
          <w:szCs w:val="18"/>
          <w:highlight w:val="none"/>
        </w:rPr>
      </w:pPr>
    </w:p>
    <w:p w14:paraId="7B9523FB">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14:paraId="3BC50491">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5．采购文件的构成</w:t>
      </w:r>
    </w:p>
    <w:p w14:paraId="1BEE6326">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14:paraId="667752C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14:paraId="727BEED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14:paraId="4E057601">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9C9A60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14:paraId="3524385F">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3CC73559">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3876F9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241963A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采购文件的澄清、修改</w:t>
      </w:r>
    </w:p>
    <w:p w14:paraId="09C74BE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46CB26C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B379D83">
      <w:pPr>
        <w:pStyle w:val="23"/>
        <w:rPr>
          <w:rFonts w:hAnsi="宋体" w:cs="宋体"/>
          <w:color w:val="auto"/>
          <w:sz w:val="18"/>
          <w:szCs w:val="18"/>
          <w:highlight w:val="none"/>
          <w:lang w:val="en-US"/>
        </w:rPr>
      </w:pPr>
    </w:p>
    <w:p w14:paraId="08EAEBA5">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14:paraId="25D7BED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采购文件的获取</w:t>
      </w:r>
    </w:p>
    <w:p w14:paraId="5353A6E8">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14:paraId="5888366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14:paraId="6B51A41B">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70C795E8">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14:paraId="4C0A0BB4">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14:paraId="258AD01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14:paraId="21A9C8E1">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6F71CC65">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14:paraId="0AE97AC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157EF8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3B5B36D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Start w:id="17" w:name="_Hlk101257010"/>
      <w:r>
        <w:rPr>
          <w:rFonts w:hint="eastAsia" w:ascii="宋体" w:hAnsi="宋体" w:cs="宋体"/>
          <w:snapToGrid w:val="0"/>
          <w:color w:val="auto"/>
          <w:kern w:val="28"/>
          <w:sz w:val="24"/>
          <w:szCs w:val="20"/>
          <w:highlight w:val="none"/>
        </w:rPr>
        <w:t>（如果有)</w:t>
      </w:r>
      <w:bookmarkEnd w:id="16"/>
      <w:bookmarkEnd w:id="17"/>
      <w:r>
        <w:rPr>
          <w:rFonts w:hint="eastAsia" w:ascii="宋体" w:hAnsi="宋体" w:cs="宋体"/>
          <w:snapToGrid w:val="0"/>
          <w:color w:val="auto"/>
          <w:kern w:val="28"/>
          <w:sz w:val="24"/>
          <w:szCs w:val="20"/>
          <w:highlight w:val="none"/>
        </w:rPr>
        <w:t>；</w:t>
      </w:r>
    </w:p>
    <w:p w14:paraId="5C627DA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833199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CB1A82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D68960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14:paraId="302C6B5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43C92C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11.2.3分包意向协议（如果有)；</w:t>
      </w:r>
    </w:p>
    <w:p w14:paraId="487BF2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73933AF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14:paraId="0B28361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14:paraId="182A2759">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261EDA9F">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249936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11.3.1报价单；</w:t>
      </w:r>
    </w:p>
    <w:p w14:paraId="11B11AF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11.3.2已标价工程量清单；</w:t>
      </w:r>
    </w:p>
    <w:p w14:paraId="7187AE61">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11.3.3中小企业声明函。</w:t>
      </w:r>
    </w:p>
    <w:p w14:paraId="173AB0DF">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14:paraId="669F5441">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供应商提供虚假材料的，响应文件无效。</w:t>
      </w:r>
    </w:p>
    <w:p w14:paraId="3E57F5DC">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供应商可事先在公开官网查询、核对相关证书和报告内容，确保投标（响应）文件资料准确无误。供应商应对响应文件中材料的真实性、合法性负责。</w:t>
      </w:r>
    </w:p>
    <w:p w14:paraId="79A7F602">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6E53F577">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10403B8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40ADDCE5">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315B3C2">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14:paraId="4D086772">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3CC483F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196CE33F">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14:paraId="4FA2F12E">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49A2A3D1">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43ABBC9C">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35C6880F">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可以视情况延长响应文件提交的截止时间。在上述情况下，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与供应商以前在响应文件提交截止时间方面的全部权利、责任和义务，将适用于延长至新的响应文件提交截止时间。</w:t>
      </w:r>
    </w:p>
    <w:p w14:paraId="351447D3">
      <w:pPr>
        <w:pStyle w:val="33"/>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14:paraId="75544BDB">
      <w:pPr>
        <w:pStyle w:val="33"/>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p w14:paraId="2F4961CB">
      <w:pPr>
        <w:pStyle w:val="33"/>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14:paraId="2EB16337">
      <w:pPr>
        <w:pStyle w:val="33"/>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w:t>
      </w:r>
    </w:p>
    <w:p w14:paraId="532976F8">
      <w:pPr>
        <w:pStyle w:val="33"/>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将拒绝接受逾期送达的备份响应文件。邮寄过程中，电子备份响应文件发生泄露、遗失、损坏或延期送达等情况的，由供应商自行负责。</w:t>
      </w:r>
    </w:p>
    <w:p w14:paraId="2BE01B02">
      <w:pPr>
        <w:pStyle w:val="33"/>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14:paraId="40577DFD">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14:paraId="61E804F1">
      <w:pPr>
        <w:pStyle w:val="25"/>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14:paraId="57DBC14D">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14:paraId="14D3D68F">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44C4F022">
      <w:pPr>
        <w:pStyle w:val="131"/>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14:paraId="58F8458C">
      <w:pPr>
        <w:pStyle w:val="131"/>
        <w:spacing w:before="0"/>
        <w:ind w:firstLine="480"/>
        <w:rPr>
          <w:rFonts w:ascii="宋体" w:hAnsi="宋体" w:cs="宋体"/>
          <w:color w:val="auto"/>
          <w:highlight w:val="none"/>
        </w:rPr>
      </w:pPr>
      <w:r>
        <w:rPr>
          <w:rFonts w:hint="eastAsia" w:ascii="宋体" w:hAnsi="宋体" w:cs="宋体"/>
          <w:color w:val="auto"/>
          <w:highlight w:val="none"/>
        </w:rPr>
        <w:t>17.3在原定响应文件有效期满之前，如果出现特殊情况，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可以以书面形式通知供应商延长响应文件有效期。供应商同意延长的，不得要求或被允许修改其响应文件，供应商拒绝延长的，其响应文件无效。</w:t>
      </w:r>
    </w:p>
    <w:p w14:paraId="51147B23">
      <w:pPr>
        <w:pStyle w:val="131"/>
        <w:spacing w:before="0"/>
        <w:ind w:firstLine="643"/>
        <w:rPr>
          <w:rFonts w:ascii="宋体" w:hAnsi="宋体" w:cs="宋体"/>
          <w:b/>
          <w:color w:val="auto"/>
          <w:sz w:val="32"/>
          <w:highlight w:val="none"/>
        </w:rPr>
      </w:pPr>
    </w:p>
    <w:p w14:paraId="45C7E013">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14:paraId="34C38DC5">
      <w:pPr>
        <w:pStyle w:val="557"/>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14:paraId="45030AEF">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按照采购文件规定的时间通过电子交易平台组织响应文件开启，所有供应商均应当准时在线参加。供应商不足3家的，不得开启。</w:t>
      </w:r>
    </w:p>
    <w:p w14:paraId="19D5FEF0">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依托电子交易平台发起开始解密指令，供应商按照平台提示和采购文件的规定在半小时内完成在线解密。</w:t>
      </w:r>
    </w:p>
    <w:p w14:paraId="16EB664C">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1DBB44BA">
      <w:pPr>
        <w:pStyle w:val="557"/>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79789D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或磋商小组依据法律法规和采购文件的规定，对供应商的资格进行审查。</w:t>
      </w:r>
    </w:p>
    <w:p w14:paraId="662F9981">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14:paraId="720BF6A8">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对未通过资格审查的供应商，采购人或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5AD18DEF">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合格供应商不足3家的，不再评审。</w:t>
      </w:r>
    </w:p>
    <w:p w14:paraId="1E65B4DE">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18BDD043">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将在资格审查时通过“信用中国”网站(www.creditchina.gov.cn)、中国政府采购网(www.ccgp.gov.cn)渠道查询供应商接受资格审查时的信用记录。</w:t>
      </w:r>
    </w:p>
    <w:p w14:paraId="3C28207C">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14:paraId="08FE3D39">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66A7A1A4">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4F6540D">
      <w:pPr>
        <w:pStyle w:val="131"/>
        <w:spacing w:before="0"/>
        <w:ind w:firstLine="0" w:firstLineChars="0"/>
        <w:rPr>
          <w:rFonts w:ascii="宋体" w:hAnsi="宋体" w:cs="宋体"/>
          <w:color w:val="auto"/>
          <w:kern w:val="0"/>
          <w:szCs w:val="24"/>
          <w:highlight w:val="none"/>
        </w:rPr>
      </w:pPr>
    </w:p>
    <w:p w14:paraId="6973DF51">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14:paraId="2AF61797">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14:paraId="22754A65">
      <w:pPr>
        <w:spacing w:line="360" w:lineRule="auto"/>
        <w:rPr>
          <w:rFonts w:ascii="宋体" w:hAnsi="宋体" w:cs="宋体"/>
          <w:b/>
          <w:color w:val="auto"/>
          <w:sz w:val="24"/>
          <w:highlight w:val="none"/>
        </w:rPr>
      </w:pPr>
    </w:p>
    <w:p w14:paraId="6B310591">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14:paraId="687020F4">
      <w:pPr>
        <w:pStyle w:val="25"/>
        <w:spacing w:line="360" w:lineRule="auto"/>
        <w:ind w:left="479" w:hanging="479" w:hangingChars="199"/>
        <w:rPr>
          <w:rFonts w:cs="宋体"/>
          <w:b/>
          <w:color w:val="auto"/>
          <w:highlight w:val="none"/>
        </w:rPr>
      </w:pPr>
      <w:r>
        <w:rPr>
          <w:rFonts w:hint="eastAsia" w:cs="宋体"/>
          <w:b/>
          <w:color w:val="auto"/>
          <w:highlight w:val="none"/>
        </w:rPr>
        <w:t>22. 确定成交供应商</w:t>
      </w:r>
    </w:p>
    <w:p w14:paraId="67A80751">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0C9DAE0E">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320DFD0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23.1自成交供应商确定之日起1个工作日内，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通过电子交易平台向成交供应商发出成交通知书，同时编制发布采购结果公告。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也可以以纸质形式进行成交通知。</w:t>
      </w:r>
    </w:p>
    <w:p w14:paraId="04067398">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2A7C64C">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00E4310C">
      <w:pPr>
        <w:widowControl/>
        <w:shd w:val="clear" w:color="auto" w:fill="FFFFFF"/>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23.4</w:t>
      </w:r>
      <w:r>
        <w:rPr>
          <w:rFonts w:hint="eastAsia" w:ascii="宋体" w:hAnsi="宋体" w:eastAsia="宋体" w:cs="宋体"/>
          <w:b w:val="0"/>
          <w:bCs/>
          <w:color w:val="auto"/>
          <w:sz w:val="24"/>
          <w:szCs w:val="24"/>
          <w:highlight w:val="none"/>
        </w:rPr>
        <w:t>由于</w:t>
      </w:r>
      <w:r>
        <w:rPr>
          <w:rFonts w:hint="eastAsia" w:ascii="宋体" w:hAnsi="宋体" w:eastAsia="宋体" w:cs="宋体"/>
          <w:bCs/>
          <w:color w:val="auto"/>
          <w:sz w:val="24"/>
          <w:szCs w:val="24"/>
          <w:highlight w:val="none"/>
        </w:rPr>
        <w:t>成交供应商原因导致重新采购的，应当承担支付代理费和专家评审费等费用在内的赔偿责任。</w:t>
      </w:r>
    </w:p>
    <w:p w14:paraId="1D3C3428">
      <w:pPr>
        <w:snapToGrid w:val="0"/>
        <w:spacing w:line="360" w:lineRule="auto"/>
        <w:ind w:left="120" w:leftChars="57" w:firstLine="482" w:firstLineChars="150"/>
        <w:jc w:val="center"/>
        <w:rPr>
          <w:rFonts w:ascii="宋体" w:hAnsi="宋体" w:cs="宋体"/>
          <w:b/>
          <w:color w:val="auto"/>
          <w:sz w:val="32"/>
          <w:highlight w:val="none"/>
        </w:rPr>
      </w:pPr>
    </w:p>
    <w:p w14:paraId="4975CE3E">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14:paraId="4A06CA2D">
      <w:pPr>
        <w:pStyle w:val="25"/>
        <w:snapToGrid w:val="0"/>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5DF5686">
      <w:pPr>
        <w:pStyle w:val="25"/>
        <w:snapToGrid w:val="0"/>
        <w:spacing w:line="360" w:lineRule="auto"/>
        <w:ind w:left="479" w:hanging="479" w:hangingChars="199"/>
        <w:rPr>
          <w:rFonts w:cs="宋体"/>
          <w:b/>
          <w:color w:val="auto"/>
          <w:highlight w:val="none"/>
        </w:rPr>
      </w:pPr>
      <w:r>
        <w:rPr>
          <w:rFonts w:hint="eastAsia" w:cs="宋体"/>
          <w:b/>
          <w:color w:val="auto"/>
          <w:highlight w:val="none"/>
        </w:rPr>
        <w:t>25. 合同的签订</w:t>
      </w:r>
    </w:p>
    <w:p w14:paraId="68AE143F">
      <w:pPr>
        <w:widowControl/>
        <w:shd w:val="clear" w:color="auto" w:fill="FFFFFF"/>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3D074ABC">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45E35E3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752252A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1B59A8C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14:paraId="638FC5AD">
      <w:pPr>
        <w:pStyle w:val="25"/>
        <w:snapToGrid w:val="0"/>
        <w:spacing w:line="360" w:lineRule="auto"/>
        <w:ind w:left="479" w:hanging="479" w:hangingChars="199"/>
        <w:rPr>
          <w:rFonts w:cs="宋体"/>
          <w:b/>
          <w:color w:val="auto"/>
          <w:highlight w:val="none"/>
        </w:rPr>
      </w:pPr>
      <w:r>
        <w:rPr>
          <w:rFonts w:hint="eastAsia" w:cs="宋体"/>
          <w:b/>
          <w:color w:val="auto"/>
          <w:highlight w:val="none"/>
        </w:rPr>
        <w:t>26. 履约保证金</w:t>
      </w:r>
    </w:p>
    <w:p w14:paraId="1D422CAC">
      <w:pPr>
        <w:tabs>
          <w:tab w:val="left" w:pos="0"/>
        </w:tabs>
        <w:snapToGrid w:val="0"/>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。杭州市政府采购网公布的供应商履约评价为满分的供应商，采购单位应当免收履约保证金。确需收取履约保证金的，履约保证金缴纳最高比例由不超过</w:t>
      </w:r>
      <w:r>
        <w:rPr>
          <w:rFonts w:hint="eastAsia" w:ascii="宋体" w:hAnsi="宋体" w:cs="宋体"/>
          <w:color w:val="auto"/>
          <w:kern w:val="2"/>
          <w:sz w:val="24"/>
          <w:highlight w:val="none"/>
        </w:rPr>
        <w:t>合同金额的</w:t>
      </w:r>
      <w:r>
        <w:rPr>
          <w:rFonts w:ascii="宋体" w:hAnsi="宋体" w:cs="宋体"/>
          <w:color w:val="auto"/>
          <w:kern w:val="2"/>
          <w:sz w:val="24"/>
          <w:highlight w:val="none"/>
        </w:rPr>
        <w:t>1%</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采购单位鼓励供应商采取履约保函形式提供信用保证；供应商提供保函的，采购单位不得拒收。项目验收结束后应及时退还，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018198C">
      <w:pPr>
        <w:pStyle w:val="3"/>
        <w:snapToGrid w:val="0"/>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21BD6B82">
      <w:pPr>
        <w:pStyle w:val="3"/>
        <w:rPr>
          <w:color w:val="auto"/>
          <w:highlight w:val="none"/>
        </w:rPr>
      </w:pPr>
      <w:r>
        <w:rPr>
          <w:rFonts w:ascii="宋体" w:hAnsi="宋体" w:eastAsia="宋体" w:cs="Times New Roman"/>
          <w:b/>
          <w:bCs/>
          <w:color w:val="auto"/>
          <w:kern w:val="2"/>
          <w:sz w:val="24"/>
          <w:szCs w:val="32"/>
          <w:highlight w:val="none"/>
          <w:lang w:val="en-US"/>
        </w:rPr>
        <w:t>27.预付款</w:t>
      </w:r>
    </w:p>
    <w:p w14:paraId="7674042F">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5085294B">
      <w:pPr>
        <w:rPr>
          <w:color w:val="auto"/>
          <w:highlight w:val="none"/>
        </w:rPr>
      </w:pPr>
    </w:p>
    <w:p w14:paraId="7AA8E11D">
      <w:pPr>
        <w:snapToGrid w:val="0"/>
        <w:spacing w:line="360" w:lineRule="auto"/>
        <w:ind w:firstLine="3357" w:firstLineChars="1045"/>
        <w:rPr>
          <w:rFonts w:ascii="宋体" w:hAnsi="宋体" w:cs="宋体"/>
          <w:b/>
          <w:color w:val="auto"/>
          <w:sz w:val="32"/>
          <w:highlight w:val="none"/>
        </w:rPr>
      </w:pPr>
    </w:p>
    <w:p w14:paraId="069C2720">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14:paraId="6D94CDB6">
      <w:pPr>
        <w:pStyle w:val="131"/>
        <w:snapToGrid w:val="0"/>
        <w:spacing w:before="0"/>
        <w:ind w:firstLine="0" w:firstLineChars="0"/>
        <w:rPr>
          <w:rFonts w:ascii="宋体" w:hAnsi="宋体" w:cs="宋体"/>
          <w:color w:val="auto"/>
          <w:highlight w:val="none"/>
        </w:rPr>
      </w:pPr>
      <w:r>
        <w:rPr>
          <w:rFonts w:ascii="宋体" w:hAnsi="宋体" w:cs="宋体"/>
          <w:b/>
          <w:bCs/>
          <w:color w:val="auto"/>
          <w:kern w:val="2"/>
          <w:szCs w:val="20"/>
          <w:highlight w:val="none"/>
        </w:rPr>
        <w:t>2</w:t>
      </w:r>
      <w:r>
        <w:rPr>
          <w:rFonts w:ascii="宋体" w:hAnsi="宋体" w:cs="宋体"/>
          <w:b/>
          <w:bCs/>
          <w:color w:val="auto"/>
          <w:kern w:val="2"/>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54F730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FEA4B8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2779F83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968499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75EDD0D3">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DB74E8B">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19177AC">
      <w:pPr>
        <w:tabs>
          <w:tab w:val="left" w:pos="0"/>
        </w:tabs>
        <w:spacing w:line="360" w:lineRule="auto"/>
        <w:ind w:firstLine="480"/>
        <w:rPr>
          <w:rFonts w:ascii="宋体" w:hAnsi="宋体" w:cs="宋体"/>
          <w:color w:val="auto"/>
          <w:sz w:val="24"/>
          <w:highlight w:val="none"/>
        </w:rPr>
      </w:pPr>
    </w:p>
    <w:p w14:paraId="7496ED7D">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九、验收</w:t>
      </w:r>
    </w:p>
    <w:p w14:paraId="32321451">
      <w:pPr>
        <w:pStyle w:val="25"/>
        <w:spacing w:line="360" w:lineRule="auto"/>
        <w:ind w:firstLine="0" w:firstLineChars="0"/>
        <w:rPr>
          <w:rFonts w:cs="宋体"/>
          <w:b/>
          <w:color w:val="auto"/>
          <w:highlight w:val="none"/>
        </w:rPr>
      </w:pPr>
      <w:r>
        <w:rPr>
          <w:rFonts w:hint="eastAsia" w:cs="宋体"/>
          <w:b/>
          <w:color w:val="auto"/>
          <w:highlight w:val="none"/>
        </w:rPr>
        <w:t>30.验收</w:t>
      </w:r>
    </w:p>
    <w:p w14:paraId="62265F6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ADD4C4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264BE12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2F356D">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4DA239AD">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bookmarkStart w:id="19" w:name="_Hlt74714665"/>
      <w:bookmarkEnd w:id="19"/>
      <w:bookmarkStart w:id="20" w:name="_Hlt75236011"/>
      <w:bookmarkEnd w:id="20"/>
      <w:bookmarkStart w:id="21" w:name="_Hlt74729768"/>
      <w:bookmarkEnd w:id="21"/>
      <w:bookmarkStart w:id="22" w:name="_Hlt74707468"/>
      <w:bookmarkEnd w:id="22"/>
      <w:bookmarkStart w:id="23" w:name="_Hlt75236290"/>
      <w:bookmarkEnd w:id="23"/>
      <w:bookmarkStart w:id="24" w:name="_Hlt68403820"/>
      <w:bookmarkEnd w:id="24"/>
      <w:bookmarkStart w:id="25" w:name="_Hlt68072998"/>
      <w:bookmarkEnd w:id="25"/>
      <w:bookmarkStart w:id="26" w:name="_Hlt75236101"/>
      <w:bookmarkEnd w:id="26"/>
      <w:bookmarkStart w:id="27" w:name="_Hlt68072990"/>
      <w:bookmarkEnd w:id="27"/>
      <w:bookmarkStart w:id="28" w:name="_Hlt68073093"/>
      <w:bookmarkEnd w:id="28"/>
      <w:bookmarkStart w:id="29" w:name="_Hlt74730295"/>
      <w:bookmarkEnd w:id="29"/>
      <w:bookmarkStart w:id="30" w:name="_Hlt68057669"/>
      <w:bookmarkEnd w:id="30"/>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05E3F97">
      <w:pPr>
        <w:pStyle w:val="80"/>
        <w:rPr>
          <w:color w:val="auto"/>
          <w:highlight w:val="none"/>
        </w:rPr>
        <w:sectPr>
          <w:pgSz w:w="11905" w:h="16838"/>
          <w:pgMar w:top="1417" w:right="1417" w:bottom="1417" w:left="1417" w:header="850" w:footer="992" w:gutter="0"/>
          <w:pgNumType w:fmt="decimal"/>
          <w:cols w:space="0" w:num="1"/>
          <w:titlePg/>
          <w:rtlGutter w:val="0"/>
          <w:docGrid w:linePitch="312" w:charSpace="0"/>
        </w:sectPr>
      </w:pPr>
    </w:p>
    <w:bookmarkEnd w:id="13"/>
    <w:bookmarkEnd w:id="14"/>
    <w:p w14:paraId="60696D02">
      <w:pPr>
        <w:pStyle w:val="33"/>
        <w:spacing w:line="360" w:lineRule="auto"/>
        <w:jc w:val="center"/>
        <w:rPr>
          <w:rFonts w:hAnsi="宋体" w:cs="宋体"/>
          <w:b/>
          <w:snapToGrid/>
          <w:color w:val="auto"/>
          <w:sz w:val="36"/>
          <w:szCs w:val="20"/>
          <w:highlight w:val="none"/>
        </w:rPr>
      </w:pPr>
      <w:bookmarkStart w:id="31" w:name="第四部分"/>
      <w:r>
        <w:rPr>
          <w:rFonts w:hint="eastAsia" w:hAnsi="宋体" w:cs="宋体"/>
          <w:b/>
          <w:snapToGrid/>
          <w:color w:val="auto"/>
          <w:sz w:val="36"/>
          <w:szCs w:val="20"/>
          <w:highlight w:val="none"/>
        </w:rPr>
        <w:t>第三部分 采购需求</w:t>
      </w:r>
    </w:p>
    <w:p w14:paraId="26AD2581">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一、工程概况</w:t>
      </w:r>
    </w:p>
    <w:p w14:paraId="7B0AA30C">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项目概况为杭州四中下沙校区综合楼西（学生成长中心）改造，</w:t>
      </w:r>
      <w:r>
        <w:rPr>
          <w:rFonts w:hint="eastAsia" w:ascii="宋体" w:hAnsi="宋体" w:cs="宋体"/>
          <w:color w:val="auto"/>
          <w:sz w:val="24"/>
          <w:highlight w:val="none"/>
          <w:lang w:val="en-US" w:eastAsia="zh-CN"/>
        </w:rPr>
        <w:t>为室内新增钢结构楼梯、局部结构加固、室内地面装修、顶面装修、墙面装修、隔墙装修、门窗更换及安装工程</w:t>
      </w:r>
      <w:r>
        <w:rPr>
          <w:rFonts w:hint="eastAsia" w:ascii="宋体" w:hAnsi="宋体" w:cs="宋体"/>
          <w:color w:val="auto"/>
          <w:sz w:val="24"/>
          <w:highlight w:val="none"/>
          <w:shd w:val="clear" w:color="auto" w:fill="FFFFFF" w:themeFill="background1"/>
        </w:rPr>
        <w:t>，</w:t>
      </w:r>
      <w:r>
        <w:rPr>
          <w:rFonts w:hint="eastAsia" w:ascii="宋体" w:hAnsi="宋体"/>
          <w:color w:val="auto"/>
          <w:sz w:val="24"/>
          <w:highlight w:val="none"/>
        </w:rPr>
        <w:t xml:space="preserve">具体内容和工程做法详见施工图及设计说明。 </w:t>
      </w:r>
    </w:p>
    <w:p w14:paraId="79D96AD5">
      <w:pPr>
        <w:spacing w:line="360" w:lineRule="auto"/>
        <w:jc w:val="left"/>
        <w:rPr>
          <w:rFonts w:ascii="宋体" w:hAnsi="宋体" w:cs="仿宋_GB2312"/>
          <w:color w:val="auto"/>
          <w:sz w:val="24"/>
          <w:highlight w:val="none"/>
        </w:rPr>
      </w:pPr>
      <w:r>
        <w:rPr>
          <w:rFonts w:hint="eastAsia" w:ascii="宋体" w:hAnsi="宋体" w:cs="仿宋_GB2312"/>
          <w:b/>
          <w:bCs/>
          <w:color w:val="auto"/>
          <w:sz w:val="24"/>
          <w:highlight w:val="none"/>
        </w:rPr>
        <w:t xml:space="preserve">二、工程内容 </w:t>
      </w:r>
    </w:p>
    <w:p w14:paraId="344919C3">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1.工程名称</w:t>
      </w:r>
    </w:p>
    <w:p w14:paraId="0C8F82EC">
      <w:pPr>
        <w:spacing w:line="360" w:lineRule="auto"/>
        <w:ind w:left="210" w:leftChars="100" w:firstLine="480" w:firstLineChars="200"/>
        <w:jc w:val="left"/>
        <w:rPr>
          <w:rFonts w:ascii="宋体" w:hAnsi="宋体"/>
          <w:color w:val="auto"/>
          <w:sz w:val="24"/>
          <w:highlight w:val="none"/>
        </w:rPr>
      </w:pPr>
      <w:r>
        <w:rPr>
          <w:rFonts w:hint="eastAsia" w:ascii="宋体" w:hAnsi="宋体"/>
          <w:color w:val="auto"/>
          <w:sz w:val="24"/>
          <w:highlight w:val="none"/>
        </w:rPr>
        <w:t>杭州四中下沙校区综合楼西（学生成长中心）改造</w:t>
      </w:r>
    </w:p>
    <w:p w14:paraId="52DBA0A1">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2.现场条件</w:t>
      </w:r>
    </w:p>
    <w:p w14:paraId="1387C08F">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具备项目施工条件</w:t>
      </w:r>
    </w:p>
    <w:p w14:paraId="37C5BC23">
      <w:pPr>
        <w:spacing w:line="360" w:lineRule="auto"/>
        <w:ind w:firstLine="240" w:firstLineChars="100"/>
        <w:rPr>
          <w:rFonts w:ascii="宋体" w:hAnsi="宋体" w:cs="仿宋_GB2312"/>
          <w:color w:val="auto"/>
          <w:sz w:val="24"/>
          <w:highlight w:val="none"/>
        </w:rPr>
      </w:pPr>
      <w:r>
        <w:rPr>
          <w:rFonts w:ascii="宋体" w:hAnsi="宋体" w:cs="仿宋_GB2312"/>
          <w:color w:val="auto"/>
          <w:sz w:val="24"/>
          <w:highlight w:val="none"/>
        </w:rPr>
        <w:t>3.</w:t>
      </w:r>
      <w:r>
        <w:rPr>
          <w:rFonts w:hint="eastAsia" w:ascii="宋体" w:hAnsi="宋体" w:cs="仿宋_GB2312"/>
          <w:color w:val="auto"/>
          <w:sz w:val="24"/>
          <w:highlight w:val="none"/>
        </w:rPr>
        <w:t>人员要求</w:t>
      </w:r>
    </w:p>
    <w:p w14:paraId="3E79BB05">
      <w:pPr>
        <w:spacing w:line="360" w:lineRule="auto"/>
        <w:ind w:firstLine="422" w:firstLineChars="200"/>
        <w:rPr>
          <w:rFonts w:hint="eastAsia" w:ascii="宋体" w:hAnsi="宋体" w:cs="宋体"/>
          <w:b/>
          <w:bCs w:val="0"/>
          <w:color w:val="auto"/>
          <w:sz w:val="24"/>
          <w:highlight w:val="none"/>
        </w:rPr>
      </w:pPr>
      <w:r>
        <w:rPr>
          <w:rFonts w:hint="eastAsia" w:ascii="宋体" w:hAnsi="宋体" w:cs="宋体"/>
          <w:b/>
          <w:bCs w:val="0"/>
          <w:color w:val="auto"/>
          <w:highlight w:val="none"/>
        </w:rPr>
        <w:t>▲</w:t>
      </w:r>
      <w:r>
        <w:rPr>
          <w:rFonts w:hint="eastAsia" w:ascii="宋体" w:hAnsi="宋体"/>
          <w:b/>
          <w:bCs w:val="0"/>
          <w:color w:val="auto"/>
          <w:sz w:val="24"/>
          <w:highlight w:val="none"/>
        </w:rPr>
        <w:t>1）</w:t>
      </w:r>
      <w:r>
        <w:rPr>
          <w:rFonts w:hint="eastAsia" w:ascii="宋体" w:hAnsi="宋体" w:cs="宋体"/>
          <w:b/>
          <w:bCs w:val="0"/>
          <w:color w:val="auto"/>
          <w:sz w:val="24"/>
          <w:highlight w:val="none"/>
        </w:rPr>
        <w:t>企业主要负责人（法定代表人、企业经理、企业分管安全生产的副经理、企业技术负责人）具有“三类人员”A类证书，企业经理、企业分管安全生产的副经理、企业技术负责人具有企业任命书；</w:t>
      </w:r>
    </w:p>
    <w:p w14:paraId="16B569A1">
      <w:pPr>
        <w:spacing w:line="360" w:lineRule="auto"/>
        <w:ind w:firstLine="422" w:firstLineChars="200"/>
        <w:rPr>
          <w:rFonts w:hint="eastAsia" w:ascii="宋体" w:hAnsi="宋体" w:eastAsia="宋体" w:cs="宋体"/>
          <w:b/>
          <w:bCs w:val="0"/>
          <w:color w:val="auto"/>
          <w:sz w:val="24"/>
          <w:highlight w:val="none"/>
          <w:lang w:eastAsia="zh-CN"/>
        </w:rPr>
      </w:pPr>
      <w:r>
        <w:rPr>
          <w:rFonts w:hint="eastAsia" w:ascii="宋体" w:hAnsi="宋体" w:cs="宋体"/>
          <w:b/>
          <w:bCs w:val="0"/>
          <w:color w:val="auto"/>
          <w:highlight w:val="none"/>
        </w:rPr>
        <w:t>▲</w:t>
      </w:r>
      <w:r>
        <w:rPr>
          <w:rFonts w:hint="eastAsia" w:ascii="宋体" w:hAnsi="宋体"/>
          <w:b/>
          <w:bCs w:val="0"/>
          <w:color w:val="auto"/>
          <w:sz w:val="24"/>
          <w:highlight w:val="none"/>
        </w:rPr>
        <w:t>2）</w:t>
      </w:r>
      <w:r>
        <w:rPr>
          <w:rFonts w:hint="eastAsia" w:ascii="宋体" w:hAnsi="宋体" w:cs="宋体"/>
          <w:b/>
          <w:bCs w:val="0"/>
          <w:color w:val="auto"/>
          <w:sz w:val="24"/>
          <w:highlight w:val="none"/>
        </w:rPr>
        <w:t>拟派现场安全生产专职管理人员具有“三类人员”有效C类证书</w:t>
      </w:r>
      <w:r>
        <w:rPr>
          <w:rFonts w:hint="eastAsia" w:ascii="宋体" w:hAnsi="宋体" w:cs="宋体"/>
          <w:b/>
          <w:bCs w:val="0"/>
          <w:color w:val="auto"/>
          <w:sz w:val="24"/>
          <w:highlight w:val="none"/>
          <w:lang w:eastAsia="zh-CN"/>
        </w:rPr>
        <w:t>。</w:t>
      </w:r>
    </w:p>
    <w:p w14:paraId="6AA48ABA">
      <w:pPr>
        <w:spacing w:line="360" w:lineRule="auto"/>
        <w:ind w:left="210" w:leftChars="100"/>
        <w:jc w:val="left"/>
        <w:rPr>
          <w:rFonts w:ascii="宋体" w:hAnsi="宋体" w:cs="仿宋_GB2312"/>
          <w:color w:val="auto"/>
          <w:sz w:val="24"/>
          <w:highlight w:val="none"/>
        </w:rPr>
      </w:pPr>
      <w:r>
        <w:rPr>
          <w:rFonts w:ascii="宋体" w:hAnsi="宋体" w:cs="仿宋_GB2312"/>
          <w:color w:val="auto"/>
          <w:sz w:val="24"/>
          <w:highlight w:val="none"/>
        </w:rPr>
        <w:t>4</w:t>
      </w:r>
      <w:r>
        <w:rPr>
          <w:rFonts w:hint="eastAsia" w:ascii="宋体" w:hAnsi="宋体" w:cs="仿宋_GB2312"/>
          <w:color w:val="auto"/>
          <w:sz w:val="24"/>
          <w:highlight w:val="none"/>
        </w:rPr>
        <w:t>.工程承包范围</w:t>
      </w:r>
    </w:p>
    <w:p w14:paraId="68D4CA2D">
      <w:pPr>
        <w:spacing w:line="360" w:lineRule="auto"/>
        <w:ind w:left="210" w:leftChars="100" w:firstLine="480" w:firstLineChars="200"/>
        <w:jc w:val="left"/>
        <w:rPr>
          <w:rFonts w:hint="eastAsia" w:ascii="宋体" w:hAnsi="宋体"/>
          <w:color w:val="auto"/>
          <w:sz w:val="24"/>
          <w:highlight w:val="none"/>
        </w:rPr>
      </w:pPr>
      <w:r>
        <w:rPr>
          <w:rFonts w:hint="eastAsia" w:ascii="宋体" w:hAnsi="宋体"/>
          <w:color w:val="auto"/>
          <w:sz w:val="24"/>
          <w:highlight w:val="none"/>
        </w:rPr>
        <w:t>工程内容：项目概况为杭州四中下沙校区综合楼西（学生成长中心）改造，具体内容和工程做法详见施工图及设计说明。</w:t>
      </w:r>
    </w:p>
    <w:p w14:paraId="390EC9CD">
      <w:pPr>
        <w:spacing w:line="360" w:lineRule="auto"/>
        <w:ind w:left="210" w:leftChars="100"/>
        <w:jc w:val="left"/>
        <w:rPr>
          <w:rFonts w:hint="eastAsia" w:ascii="宋体" w:hAnsi="宋体"/>
          <w:color w:val="auto"/>
          <w:sz w:val="24"/>
          <w:highlight w:val="none"/>
        </w:rPr>
      </w:pPr>
      <w:r>
        <w:rPr>
          <w:rFonts w:hint="eastAsia" w:ascii="宋体" w:hAnsi="宋体"/>
          <w:color w:val="auto"/>
          <w:sz w:val="24"/>
          <w:highlight w:val="none"/>
        </w:rPr>
        <w:t>工程承包范围：</w:t>
      </w:r>
    </w:p>
    <w:p w14:paraId="2DD6E629">
      <w:pPr>
        <w:spacing w:line="360" w:lineRule="auto"/>
        <w:ind w:left="210" w:leftChars="100" w:firstLine="480" w:firstLineChars="200"/>
        <w:jc w:val="left"/>
        <w:rPr>
          <w:rFonts w:hint="eastAsia" w:ascii="宋体" w:hAnsi="宋体"/>
          <w:color w:val="auto"/>
          <w:sz w:val="24"/>
          <w:highlight w:val="none"/>
        </w:rPr>
      </w:pPr>
      <w:r>
        <w:rPr>
          <w:rFonts w:hint="eastAsia" w:ascii="宋体" w:hAnsi="宋体"/>
          <w:color w:val="auto"/>
          <w:sz w:val="24"/>
          <w:highlight w:val="none"/>
        </w:rPr>
        <w:t>1）招标范围内的全部工程内容（具体详见招标文件、工程量清单及其编制说明)；可能出现的图纸修改引起的工程量增减以及其他发包人明确指令要求完成的工作量。</w:t>
      </w:r>
    </w:p>
    <w:p w14:paraId="064DCD71">
      <w:pPr>
        <w:spacing w:line="360" w:lineRule="auto"/>
        <w:ind w:left="210" w:leftChars="100" w:firstLine="480" w:firstLineChars="200"/>
        <w:jc w:val="left"/>
        <w:rPr>
          <w:rFonts w:hint="eastAsia" w:ascii="宋体" w:hAnsi="宋体"/>
          <w:color w:val="auto"/>
          <w:sz w:val="24"/>
          <w:highlight w:val="none"/>
        </w:rPr>
      </w:pPr>
      <w:r>
        <w:rPr>
          <w:rFonts w:hint="eastAsia" w:ascii="宋体" w:hAnsi="宋体"/>
          <w:color w:val="auto"/>
          <w:sz w:val="24"/>
          <w:highlight w:val="none"/>
        </w:rPr>
        <w:t>2）可能出现的施工图修改引起的工程量增减以及根据招标人明确指令需在招标范围外增加的工程量及招标范围内减少的工程量。</w:t>
      </w:r>
    </w:p>
    <w:p w14:paraId="61633F61">
      <w:pPr>
        <w:spacing w:line="360" w:lineRule="auto"/>
        <w:ind w:left="210" w:leftChars="100" w:firstLine="480" w:firstLineChars="200"/>
        <w:jc w:val="left"/>
        <w:rPr>
          <w:rFonts w:ascii="宋体" w:hAnsi="宋体"/>
          <w:color w:val="auto"/>
          <w:sz w:val="24"/>
          <w:highlight w:val="none"/>
        </w:rPr>
      </w:pPr>
      <w:r>
        <w:rPr>
          <w:rFonts w:hint="eastAsia" w:ascii="宋体" w:hAnsi="宋体"/>
          <w:color w:val="auto"/>
          <w:sz w:val="24"/>
          <w:highlight w:val="none"/>
        </w:rPr>
        <w:t>本项目采用固定单价，工程量按实结算。供应商所报价格中应包含规费、税金、企业管理费、措施费等国家、省、市强制性要求的费用。若磋商供应商报价不足或未报价，则视作优惠，一旦中标，磋商供应商自行承担该费用。竞争性磋商报价以最终报价为准，综合单价按同比例调整（同步调整其他费用）。</w:t>
      </w:r>
    </w:p>
    <w:p w14:paraId="15961E94">
      <w:pPr>
        <w:spacing w:line="360" w:lineRule="auto"/>
        <w:ind w:firstLine="240" w:firstLineChars="100"/>
        <w:jc w:val="left"/>
        <w:rPr>
          <w:rFonts w:ascii="宋体" w:hAnsi="宋体" w:cs="仿宋_GB2312"/>
          <w:color w:val="auto"/>
          <w:sz w:val="24"/>
          <w:highlight w:val="none"/>
        </w:rPr>
      </w:pPr>
      <w:r>
        <w:rPr>
          <w:rFonts w:ascii="宋体" w:hAnsi="宋体" w:cs="仿宋_GB2312"/>
          <w:color w:val="auto"/>
          <w:sz w:val="24"/>
          <w:highlight w:val="none"/>
        </w:rPr>
        <w:t>5</w:t>
      </w:r>
      <w:r>
        <w:rPr>
          <w:rFonts w:hint="eastAsia" w:ascii="宋体" w:hAnsi="宋体" w:cs="仿宋_GB2312"/>
          <w:color w:val="auto"/>
          <w:sz w:val="24"/>
          <w:highlight w:val="none"/>
        </w:rPr>
        <w:t>.工程质量标准</w:t>
      </w:r>
    </w:p>
    <w:p w14:paraId="45693F20">
      <w:pPr>
        <w:spacing w:line="360" w:lineRule="auto"/>
        <w:ind w:left="210" w:leftChars="100" w:firstLine="480" w:firstLineChars="200"/>
        <w:jc w:val="left"/>
        <w:rPr>
          <w:rFonts w:ascii="宋体" w:hAnsi="宋体"/>
          <w:color w:val="auto"/>
          <w:sz w:val="24"/>
          <w:highlight w:val="none"/>
        </w:rPr>
      </w:pPr>
      <w:r>
        <w:rPr>
          <w:rFonts w:hint="eastAsia" w:ascii="宋体" w:hAnsi="宋体"/>
          <w:color w:val="auto"/>
          <w:sz w:val="24"/>
          <w:highlight w:val="none"/>
        </w:rPr>
        <w:t>达到工程施工质量验收规范合格标准</w:t>
      </w:r>
    </w:p>
    <w:p w14:paraId="58E185C1">
      <w:pPr>
        <w:spacing w:line="360" w:lineRule="auto"/>
        <w:ind w:left="210" w:leftChars="100"/>
        <w:jc w:val="left"/>
        <w:rPr>
          <w:rFonts w:ascii="宋体" w:hAnsi="宋体" w:cs="仿宋_GB2312"/>
          <w:color w:val="auto"/>
          <w:sz w:val="24"/>
          <w:highlight w:val="none"/>
        </w:rPr>
      </w:pPr>
      <w:r>
        <w:rPr>
          <w:rFonts w:ascii="宋体" w:hAnsi="宋体" w:cs="仿宋_GB2312"/>
          <w:color w:val="auto"/>
          <w:sz w:val="24"/>
          <w:highlight w:val="none"/>
        </w:rPr>
        <w:t>6</w:t>
      </w:r>
      <w:r>
        <w:rPr>
          <w:rFonts w:hint="eastAsia" w:ascii="宋体" w:hAnsi="宋体" w:cs="仿宋_GB2312"/>
          <w:color w:val="auto"/>
          <w:sz w:val="24"/>
          <w:highlight w:val="none"/>
        </w:rPr>
        <w:t>.工程施工要求</w:t>
      </w:r>
    </w:p>
    <w:p w14:paraId="21EB061B">
      <w:pPr>
        <w:spacing w:line="360" w:lineRule="auto"/>
        <w:ind w:left="210" w:leftChars="100" w:firstLine="355" w:firstLineChars="148"/>
        <w:jc w:val="left"/>
        <w:rPr>
          <w:rFonts w:hint="eastAsia"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.1技术规范要求：</w:t>
      </w:r>
    </w:p>
    <w:p w14:paraId="3D075E5A">
      <w:pPr>
        <w:spacing w:line="360" w:lineRule="auto"/>
        <w:ind w:left="210" w:leftChars="100" w:firstLine="355" w:firstLineChars="148"/>
        <w:jc w:val="left"/>
        <w:rPr>
          <w:rFonts w:hint="eastAsia" w:ascii="宋体" w:hAnsi="宋体"/>
          <w:color w:val="auto"/>
          <w:sz w:val="24"/>
          <w:highlight w:val="none"/>
        </w:rPr>
      </w:pPr>
      <w:r>
        <w:rPr>
          <w:rFonts w:hint="eastAsia" w:ascii="宋体" w:hAnsi="宋体"/>
          <w:color w:val="auto"/>
          <w:sz w:val="24"/>
          <w:highlight w:val="none"/>
        </w:rPr>
        <w:t>（1）本工程项目的材料、设备、施工必须达到现行中华人民共和国及省、市、行业的一切有关法规、规范的要求，如标准及规范要求有出入则以较严格者为准。</w:t>
      </w:r>
    </w:p>
    <w:p w14:paraId="61C53942">
      <w:pPr>
        <w:spacing w:line="360" w:lineRule="auto"/>
        <w:ind w:left="210" w:leftChars="100" w:firstLine="355" w:firstLineChars="148"/>
        <w:jc w:val="left"/>
        <w:rPr>
          <w:rFonts w:hint="eastAsia" w:ascii="宋体" w:hAnsi="宋体"/>
          <w:color w:val="auto"/>
          <w:sz w:val="24"/>
          <w:highlight w:val="none"/>
        </w:rPr>
      </w:pPr>
      <w:r>
        <w:rPr>
          <w:rFonts w:hint="eastAsia" w:ascii="宋体" w:hAnsi="宋体"/>
          <w:color w:val="auto"/>
          <w:sz w:val="24"/>
          <w:highlight w:val="none"/>
        </w:rPr>
        <w:t>（2）对本工程所采用的标准或规范的任何部分，当成交供应商认为改用其他标准或规范，同样能够保证工程达到相同质量或更高的质量时，成交供应商可提出申请报经采购人审批后采用，但这种批准不免除成交供应商根据合同规定应承担的任何责任。申请报告中应对原采用的标准或规范与所建议改用的其他标准或规范之间的差异进行详细说明。获批之前成交供应商仍应执行原采用的标准或规范。</w:t>
      </w:r>
    </w:p>
    <w:p w14:paraId="222B89F9">
      <w:pPr>
        <w:spacing w:line="360" w:lineRule="auto"/>
        <w:ind w:left="210" w:leftChars="100" w:firstLine="355" w:firstLineChars="148"/>
        <w:jc w:val="left"/>
        <w:rPr>
          <w:rFonts w:hint="eastAsia"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.2安全文明施工要求</w:t>
      </w:r>
    </w:p>
    <w:p w14:paraId="48765658">
      <w:pPr>
        <w:spacing w:line="360" w:lineRule="auto"/>
        <w:ind w:left="210" w:leftChars="100" w:firstLine="355" w:firstLineChars="148"/>
        <w:jc w:val="left"/>
        <w:rPr>
          <w:rFonts w:hint="eastAsia" w:ascii="宋体" w:hAnsi="宋体"/>
          <w:color w:val="auto"/>
          <w:sz w:val="24"/>
          <w:highlight w:val="none"/>
        </w:rPr>
      </w:pPr>
      <w:r>
        <w:rPr>
          <w:rFonts w:hint="eastAsia" w:ascii="宋体" w:hAnsi="宋体"/>
          <w:color w:val="auto"/>
          <w:sz w:val="24"/>
          <w:highlight w:val="none"/>
        </w:rPr>
        <w:t>（1）成交供应商应对进度施工现场的施工人员进行安全文明施工教育，配备必要的劳动保护用具，保证工程的施工安全和人身安全。</w:t>
      </w:r>
    </w:p>
    <w:p w14:paraId="534914A2">
      <w:pPr>
        <w:spacing w:line="360" w:lineRule="auto"/>
        <w:ind w:left="210" w:leftChars="100" w:firstLine="355" w:firstLineChars="148"/>
        <w:jc w:val="left"/>
        <w:rPr>
          <w:rFonts w:hint="eastAsia" w:ascii="宋体" w:hAnsi="宋体"/>
          <w:color w:val="auto"/>
          <w:sz w:val="24"/>
          <w:highlight w:val="none"/>
        </w:rPr>
      </w:pPr>
      <w:r>
        <w:rPr>
          <w:rFonts w:hint="eastAsia" w:ascii="宋体" w:hAnsi="宋体"/>
          <w:color w:val="auto"/>
          <w:sz w:val="24"/>
          <w:highlight w:val="none"/>
        </w:rPr>
        <w:t>（2）成交供应商应强化安全意识，抓好安全生产，杜绝事故发生，施工中若因供应商原因发生安全及人身事故由成交供应商自行负责处理，并承担全部费用。</w:t>
      </w:r>
    </w:p>
    <w:p w14:paraId="11D49BCE">
      <w:pPr>
        <w:spacing w:line="360" w:lineRule="auto"/>
        <w:ind w:left="210" w:leftChars="100" w:firstLine="355" w:firstLineChars="148"/>
        <w:jc w:val="left"/>
        <w:rPr>
          <w:rFonts w:hint="eastAsia" w:ascii="宋体" w:hAnsi="宋体"/>
          <w:color w:val="auto"/>
          <w:sz w:val="24"/>
          <w:highlight w:val="none"/>
        </w:rPr>
      </w:pPr>
      <w:r>
        <w:rPr>
          <w:rFonts w:hint="eastAsia" w:ascii="宋体" w:hAnsi="宋体"/>
          <w:color w:val="auto"/>
          <w:sz w:val="24"/>
          <w:highlight w:val="none"/>
        </w:rPr>
        <w:t>（3）成交供应商须遵守地方政府和有关部门及采购人对施工场地交通、环卫、安全和施工噪音等的管理规定，并按规定办理相关审批手续。</w:t>
      </w:r>
    </w:p>
    <w:p w14:paraId="6EB89AC0">
      <w:pPr>
        <w:spacing w:line="360" w:lineRule="auto"/>
        <w:ind w:left="210" w:leftChars="100" w:firstLine="355" w:firstLineChars="148"/>
        <w:jc w:val="left"/>
        <w:rPr>
          <w:rFonts w:ascii="宋体" w:hAnsi="宋体"/>
          <w:color w:val="auto"/>
          <w:sz w:val="24"/>
          <w:highlight w:val="none"/>
        </w:rPr>
      </w:pPr>
      <w:r>
        <w:rPr>
          <w:rFonts w:hint="eastAsia" w:ascii="宋体" w:hAnsi="宋体"/>
          <w:color w:val="auto"/>
          <w:sz w:val="24"/>
          <w:highlight w:val="none"/>
        </w:rPr>
        <w:t>（4）成交供应商应采取有效措施尽量减小尘土和噪音污染，需要进行夜间作业时应经有关部门批准。</w:t>
      </w:r>
    </w:p>
    <w:p w14:paraId="6CAD0498">
      <w:pPr>
        <w:spacing w:line="360" w:lineRule="auto"/>
        <w:ind w:left="210" w:leftChars="100" w:firstLine="355" w:firstLineChars="148"/>
        <w:jc w:val="left"/>
        <w:rPr>
          <w:rFonts w:hint="eastAsia" w:ascii="宋体" w:hAnsi="宋体"/>
          <w:color w:val="auto"/>
          <w:sz w:val="24"/>
          <w:highlight w:val="none"/>
        </w:rPr>
      </w:pPr>
      <w:r>
        <w:rPr>
          <w:rFonts w:hint="eastAsia" w:ascii="宋体" w:hAnsi="宋体"/>
          <w:color w:val="auto"/>
          <w:sz w:val="24"/>
          <w:highlight w:val="none"/>
        </w:rPr>
        <w:t>（5）因项目实施期间，相关施工区域仍将维持正常运行，为减少对正常教学秩序的影响，要求确保文明施工措施到位。</w:t>
      </w:r>
    </w:p>
    <w:p w14:paraId="07A46484">
      <w:pPr>
        <w:spacing w:line="360" w:lineRule="auto"/>
        <w:ind w:left="210" w:leftChars="100" w:firstLine="355" w:firstLineChars="148"/>
        <w:jc w:val="left"/>
        <w:rPr>
          <w:rFonts w:hint="eastAsia"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.3其它施工过程中需注意事项</w:t>
      </w:r>
    </w:p>
    <w:p w14:paraId="71B15B07">
      <w:pPr>
        <w:spacing w:line="360" w:lineRule="auto"/>
        <w:ind w:left="210" w:leftChars="100" w:firstLine="355" w:firstLineChars="148"/>
        <w:jc w:val="left"/>
        <w:rPr>
          <w:rFonts w:hint="eastAsia" w:ascii="宋体" w:hAnsi="宋体"/>
          <w:color w:val="auto"/>
          <w:sz w:val="24"/>
          <w:highlight w:val="none"/>
        </w:rPr>
      </w:pPr>
      <w:r>
        <w:rPr>
          <w:rFonts w:hint="eastAsia" w:ascii="宋体" w:hAnsi="宋体"/>
          <w:color w:val="auto"/>
          <w:sz w:val="24"/>
          <w:highlight w:val="none"/>
        </w:rPr>
        <w:t>（1）本工程在施工期间，成交供应商应注意保护好采购人周边现有成品，如有损坏，须无条件修复至采购人满意。</w:t>
      </w:r>
    </w:p>
    <w:p w14:paraId="7FA12076">
      <w:pPr>
        <w:spacing w:line="360" w:lineRule="auto"/>
        <w:ind w:left="210" w:leftChars="100" w:firstLine="355" w:firstLineChars="148"/>
        <w:jc w:val="left"/>
        <w:rPr>
          <w:rFonts w:hint="eastAsia" w:ascii="宋体" w:hAnsi="宋体"/>
          <w:color w:val="auto"/>
          <w:sz w:val="24"/>
          <w:highlight w:val="none"/>
        </w:rPr>
      </w:pPr>
      <w:r>
        <w:rPr>
          <w:rFonts w:hint="eastAsia" w:ascii="宋体" w:hAnsi="宋体"/>
          <w:color w:val="auto"/>
          <w:sz w:val="24"/>
          <w:highlight w:val="none"/>
        </w:rPr>
        <w:t>（2）废弃材料不得丢弃或随意堆放在校园内，清理产生的拆除费、搬运费、交通运输费等各项费用均由供应商自行考虑并计入响应总价且一次性包干</w:t>
      </w:r>
    </w:p>
    <w:p w14:paraId="6EEA2E34">
      <w:pPr>
        <w:spacing w:line="360" w:lineRule="auto"/>
        <w:ind w:left="210" w:leftChars="100" w:firstLine="355" w:firstLineChars="148"/>
        <w:jc w:val="left"/>
        <w:rPr>
          <w:rFonts w:ascii="宋体" w:hAnsi="宋体"/>
          <w:color w:val="auto"/>
          <w:sz w:val="24"/>
          <w:highlight w:val="none"/>
        </w:rPr>
      </w:pPr>
      <w:r>
        <w:rPr>
          <w:rFonts w:hint="eastAsia" w:ascii="宋体" w:hAnsi="宋体"/>
          <w:color w:val="auto"/>
          <w:sz w:val="24"/>
          <w:highlight w:val="none"/>
        </w:rPr>
        <w:t>（3）工程完工后，成交供应商需对施工现场进行全面的清洁工作。</w:t>
      </w:r>
    </w:p>
    <w:p w14:paraId="45253190">
      <w:pPr>
        <w:spacing w:line="360" w:lineRule="auto"/>
        <w:ind w:left="210" w:leftChars="100"/>
        <w:jc w:val="left"/>
        <w:rPr>
          <w:rFonts w:ascii="宋体" w:hAnsi="宋体" w:cs="仿宋_GB2312"/>
          <w:color w:val="auto"/>
          <w:sz w:val="24"/>
          <w:highlight w:val="none"/>
        </w:rPr>
      </w:pPr>
      <w:r>
        <w:rPr>
          <w:rFonts w:ascii="宋体" w:hAnsi="宋体" w:cs="仿宋_GB2312"/>
          <w:color w:val="auto"/>
          <w:sz w:val="24"/>
          <w:highlight w:val="none"/>
        </w:rPr>
        <w:t>7</w:t>
      </w:r>
      <w:r>
        <w:rPr>
          <w:rFonts w:hint="eastAsia" w:ascii="宋体" w:hAnsi="宋体" w:cs="仿宋_GB2312"/>
          <w:color w:val="auto"/>
          <w:sz w:val="24"/>
          <w:highlight w:val="none"/>
        </w:rPr>
        <w:t>.工程管理要求</w:t>
      </w:r>
    </w:p>
    <w:p w14:paraId="2C4DDE8A">
      <w:pPr>
        <w:spacing w:line="360" w:lineRule="auto"/>
        <w:ind w:firstLine="566" w:firstLineChars="236"/>
        <w:jc w:val="left"/>
        <w:rPr>
          <w:rFonts w:hint="eastAsia" w:ascii="宋体" w:hAnsi="宋体"/>
          <w:color w:val="auto"/>
          <w:sz w:val="24"/>
          <w:highlight w:val="none"/>
        </w:rPr>
      </w:pPr>
      <w:r>
        <w:rPr>
          <w:rFonts w:hint="eastAsia" w:ascii="宋体" w:hAnsi="宋体"/>
          <w:color w:val="auto"/>
          <w:sz w:val="24"/>
          <w:highlight w:val="none"/>
        </w:rPr>
        <w:t>（1）成交供应商应严格按已确认的施工图纸和施工技术方案组织施工，并无条件地接受采购人对施工质量的监督和管理。施工过程中，成交供应商必须要严格把关，按照相应规范标准要求施工，如出现不符合标准要求的情况，成交供应商必须无条件返工，直至达到规范标准要求。所发生的费用均由成交供应商承担。</w:t>
      </w:r>
    </w:p>
    <w:p w14:paraId="5A808EF2">
      <w:pPr>
        <w:spacing w:line="360" w:lineRule="auto"/>
        <w:ind w:firstLine="566" w:firstLineChars="236"/>
        <w:jc w:val="left"/>
        <w:rPr>
          <w:rFonts w:hint="eastAsia" w:ascii="宋体" w:hAnsi="宋体"/>
          <w:color w:val="auto"/>
          <w:sz w:val="24"/>
          <w:highlight w:val="none"/>
        </w:rPr>
      </w:pPr>
      <w:r>
        <w:rPr>
          <w:rFonts w:hint="eastAsia" w:ascii="宋体" w:hAnsi="宋体"/>
          <w:color w:val="auto"/>
          <w:sz w:val="24"/>
          <w:highlight w:val="none"/>
        </w:rPr>
        <w:t>（2）成交供应商在响应文件中承诺的管理人员未经采购人同意，承包人不得调换和撤离，并按工程进度及时到位。采购人有权要求承包人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14:paraId="1D12E1C9">
      <w:pPr>
        <w:spacing w:line="360" w:lineRule="auto"/>
        <w:ind w:firstLine="566" w:firstLineChars="236"/>
        <w:jc w:val="left"/>
        <w:rPr>
          <w:rFonts w:hint="eastAsia" w:ascii="宋体" w:hAnsi="宋体"/>
          <w:color w:val="auto"/>
          <w:sz w:val="24"/>
          <w:highlight w:val="none"/>
        </w:rPr>
      </w:pPr>
      <w:r>
        <w:rPr>
          <w:rFonts w:hint="eastAsia" w:ascii="宋体" w:hAnsi="宋体"/>
          <w:color w:val="auto"/>
          <w:sz w:val="24"/>
          <w:highlight w:val="none"/>
        </w:rPr>
        <w:t>（3）成交供应商应有详细的工程安全措施和安全组织及配备专职安全负责人的说明和承诺，以确保安全施工。</w:t>
      </w:r>
    </w:p>
    <w:p w14:paraId="32103E29">
      <w:pPr>
        <w:spacing w:line="360" w:lineRule="auto"/>
        <w:ind w:firstLine="566" w:firstLineChars="236"/>
        <w:jc w:val="left"/>
        <w:rPr>
          <w:rFonts w:hint="eastAsia" w:ascii="宋体" w:hAnsi="宋体"/>
          <w:color w:val="auto"/>
          <w:sz w:val="24"/>
          <w:highlight w:val="none"/>
        </w:rPr>
      </w:pPr>
      <w:r>
        <w:rPr>
          <w:rFonts w:hint="eastAsia" w:ascii="宋体" w:hAnsi="宋体"/>
          <w:color w:val="auto"/>
          <w:sz w:val="24"/>
          <w:highlight w:val="none"/>
        </w:rPr>
        <w:t>（4）成交供应商在进场施工前，应对建筑、结构施工图及现场实物、预埋件等进行核对并对不符合要求部分提出整改意见，若成交供应商未及时提出意见造成的有关损失由成交供应商承担。</w:t>
      </w:r>
    </w:p>
    <w:p w14:paraId="76A4C8CA">
      <w:pPr>
        <w:spacing w:line="360" w:lineRule="auto"/>
        <w:ind w:firstLine="566" w:firstLineChars="236"/>
        <w:jc w:val="left"/>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）电力不足或停电，自备发电机，其费用由成交供应商自行承担。</w:t>
      </w:r>
    </w:p>
    <w:p w14:paraId="5F2ED5F2">
      <w:pPr>
        <w:spacing w:line="360" w:lineRule="auto"/>
        <w:ind w:firstLine="566" w:firstLineChars="236"/>
        <w:jc w:val="left"/>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）成交供应商在工程施工全过程中要认真做好产品保护。因失窃或失火造成的损失均由成交供应商负责，凡由此而损及采购方利益时，采购方将向成交供应商索赔。</w:t>
      </w:r>
    </w:p>
    <w:p w14:paraId="06733419">
      <w:pPr>
        <w:spacing w:line="360" w:lineRule="auto"/>
        <w:ind w:firstLine="566" w:firstLineChars="236"/>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7</w:t>
      </w:r>
      <w:r>
        <w:rPr>
          <w:rFonts w:hint="eastAsia" w:ascii="宋体" w:hAnsi="宋体"/>
          <w:color w:val="auto"/>
          <w:sz w:val="24"/>
          <w:highlight w:val="none"/>
        </w:rPr>
        <w:t>）本工程工期较紧，响应文件中须提供详细的技术组织措施，确保按时完工。成交供应商因工程需要进行夜间施工时，应提前告知，得到采购人认可后，方可施工，且要采取措施降低噪音，并做好周围居民的告示和解释工作，以取得谅解，避免产生矛盾和冲突。</w:t>
      </w:r>
    </w:p>
    <w:p w14:paraId="538C78A4">
      <w:pPr>
        <w:spacing w:line="360" w:lineRule="auto"/>
        <w:ind w:firstLine="566" w:firstLineChars="236"/>
        <w:jc w:val="left"/>
        <w:rPr>
          <w:rFonts w:hint="eastAsia" w:ascii="宋体" w:hAnsi="宋体"/>
          <w:color w:val="auto"/>
          <w:sz w:val="24"/>
          <w:highlight w:val="none"/>
        </w:rPr>
      </w:pPr>
      <w:r>
        <w:rPr>
          <w:rFonts w:hint="eastAsia" w:ascii="宋体" w:hAnsi="宋体"/>
          <w:color w:val="auto"/>
          <w:sz w:val="24"/>
          <w:highlight w:val="none"/>
        </w:rPr>
        <w:t>（8）为减少改造工程对学校正常学习工作的影响，应按学校管理要求临时调整施工时间、施工方案等，施工作业环境的种种不利因素，如夜间施工、垃圾装袋外运等等均需由供应商考虑，并将所需费用包含在磋商报价中。</w:t>
      </w:r>
    </w:p>
    <w:p w14:paraId="6B8D39DB">
      <w:pPr>
        <w:spacing w:line="360" w:lineRule="auto"/>
        <w:ind w:firstLine="566" w:firstLineChars="236"/>
        <w:jc w:val="left"/>
        <w:rPr>
          <w:rFonts w:hint="eastAsia" w:ascii="宋体" w:hAnsi="宋体"/>
          <w:color w:val="auto"/>
          <w:sz w:val="24"/>
          <w:highlight w:val="none"/>
        </w:rPr>
      </w:pPr>
      <w:r>
        <w:rPr>
          <w:rFonts w:hint="eastAsia" w:ascii="宋体" w:hAnsi="宋体"/>
          <w:color w:val="auto"/>
          <w:sz w:val="24"/>
          <w:highlight w:val="none"/>
        </w:rPr>
        <w:t>（9）施工期间，所有施工人员的食宿均由成交供应商自行安排。</w:t>
      </w:r>
    </w:p>
    <w:p w14:paraId="756946EE">
      <w:pPr>
        <w:spacing w:line="360" w:lineRule="auto"/>
        <w:ind w:firstLine="566" w:firstLineChars="236"/>
        <w:jc w:val="left"/>
        <w:rPr>
          <w:rFonts w:hint="eastAsia" w:ascii="宋体" w:hAnsi="宋体"/>
          <w:color w:val="auto"/>
          <w:sz w:val="24"/>
          <w:highlight w:val="none"/>
        </w:rPr>
      </w:pPr>
      <w:r>
        <w:rPr>
          <w:rFonts w:hint="eastAsia" w:ascii="宋体" w:hAnsi="宋体"/>
          <w:color w:val="auto"/>
          <w:sz w:val="24"/>
          <w:highlight w:val="none"/>
        </w:rPr>
        <w:t>（10）工程管理其他要求：</w:t>
      </w:r>
    </w:p>
    <w:p w14:paraId="70309878">
      <w:pPr>
        <w:spacing w:line="360" w:lineRule="auto"/>
        <w:ind w:firstLine="424" w:firstLineChars="177"/>
        <w:jc w:val="left"/>
        <w:rPr>
          <w:rFonts w:ascii="宋体" w:hAnsi="宋体"/>
          <w:color w:val="auto"/>
          <w:sz w:val="24"/>
          <w:highlight w:val="none"/>
        </w:rPr>
      </w:pPr>
      <w:r>
        <w:rPr>
          <w:rFonts w:hint="eastAsia" w:ascii="宋体" w:hAnsi="宋体"/>
          <w:color w:val="auto"/>
          <w:sz w:val="24"/>
          <w:highlight w:val="none"/>
        </w:rPr>
        <w:t>1）本项目施工现场采购人不提供食宿，施工期间，所有施工人员的食宿均由成交供应商自行安排，材料的堆放及停车必须服从采购人的安排。</w:t>
      </w:r>
    </w:p>
    <w:p w14:paraId="2B711026">
      <w:pPr>
        <w:spacing w:line="360" w:lineRule="auto"/>
        <w:ind w:firstLine="424" w:firstLineChars="177"/>
        <w:jc w:val="left"/>
        <w:rPr>
          <w:rFonts w:hint="eastAsia" w:ascii="宋体" w:hAnsi="宋体"/>
          <w:color w:val="auto"/>
          <w:sz w:val="24"/>
          <w:highlight w:val="none"/>
        </w:rPr>
      </w:pPr>
      <w:r>
        <w:rPr>
          <w:rFonts w:hint="eastAsia" w:ascii="宋体" w:hAnsi="宋体"/>
          <w:color w:val="auto"/>
          <w:sz w:val="24"/>
          <w:highlight w:val="none"/>
        </w:rPr>
        <w:t>2）成交供应商须满足学校管理的要求、遵守学校的有关管理制度，服从监理的管理和协调，确保施工项目的安全、高效、顺利进行，满足采购人的日常需求，防范消防等安全事件的发生。</w:t>
      </w:r>
    </w:p>
    <w:p w14:paraId="1790939E">
      <w:pPr>
        <w:spacing w:line="360" w:lineRule="auto"/>
        <w:ind w:firstLine="424" w:firstLineChars="177"/>
        <w:jc w:val="left"/>
        <w:rPr>
          <w:rFonts w:hint="eastAsia" w:ascii="宋体" w:hAnsi="宋体"/>
          <w:color w:val="auto"/>
          <w:sz w:val="24"/>
          <w:highlight w:val="none"/>
        </w:rPr>
      </w:pPr>
      <w:r>
        <w:rPr>
          <w:rFonts w:hint="eastAsia" w:ascii="宋体" w:hAnsi="宋体"/>
          <w:color w:val="auto"/>
          <w:sz w:val="24"/>
          <w:highlight w:val="none"/>
        </w:rPr>
        <w:t>3）施工期间，如遇重大的活动、节庆、参观、来访、大型会议等，成交供应商应给予配合，并无条件按采购人要求做好施工现场及其周边的卫生、特殊防护等，必要时需要中断施工等等，均需要由供应商在磋商报价中充分考虑并包含。</w:t>
      </w:r>
    </w:p>
    <w:p w14:paraId="158DA1C2">
      <w:pPr>
        <w:spacing w:line="360" w:lineRule="auto"/>
        <w:ind w:firstLine="424" w:firstLineChars="177"/>
        <w:jc w:val="left"/>
        <w:rPr>
          <w:rFonts w:hint="eastAsia"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）施工现场严禁吸烟。</w:t>
      </w:r>
    </w:p>
    <w:p w14:paraId="45CDF2ED">
      <w:pPr>
        <w:spacing w:line="360" w:lineRule="auto"/>
        <w:ind w:firstLine="424" w:firstLineChars="177"/>
        <w:jc w:val="left"/>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）如涉及疫情管理需要，成交供应商须严格遵守采购人要求，所有进场人员需按照采购人要求</w:t>
      </w:r>
    </w:p>
    <w:p w14:paraId="4DB60D63">
      <w:pPr>
        <w:spacing w:line="360" w:lineRule="auto"/>
        <w:ind w:left="210" w:leftChars="100"/>
        <w:jc w:val="left"/>
        <w:rPr>
          <w:rFonts w:ascii="宋体" w:hAnsi="宋体" w:cs="仿宋_GB2312"/>
          <w:color w:val="auto"/>
          <w:sz w:val="24"/>
          <w:highlight w:val="none"/>
        </w:rPr>
      </w:pPr>
      <w:r>
        <w:rPr>
          <w:rFonts w:ascii="宋体" w:hAnsi="宋体" w:cs="仿宋_GB2312"/>
          <w:color w:val="auto"/>
          <w:sz w:val="24"/>
          <w:highlight w:val="none"/>
        </w:rPr>
        <w:t>8</w:t>
      </w:r>
      <w:r>
        <w:rPr>
          <w:rFonts w:hint="eastAsia" w:ascii="宋体" w:hAnsi="宋体" w:cs="仿宋_GB2312"/>
          <w:color w:val="auto"/>
          <w:sz w:val="24"/>
          <w:highlight w:val="none"/>
        </w:rPr>
        <w:t xml:space="preserve">.工程主要材料（设备）要求  </w:t>
      </w:r>
    </w:p>
    <w:p w14:paraId="210A49B7">
      <w:pPr>
        <w:spacing w:line="360" w:lineRule="auto"/>
        <w:ind w:firstLine="424" w:firstLineChars="177"/>
        <w:jc w:val="left"/>
        <w:rPr>
          <w:rFonts w:hint="eastAsia"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.1材料选择</w:t>
      </w:r>
    </w:p>
    <w:p w14:paraId="09EE2F72">
      <w:pPr>
        <w:spacing w:line="360" w:lineRule="auto"/>
        <w:ind w:firstLine="424" w:firstLineChars="177"/>
        <w:jc w:val="left"/>
        <w:rPr>
          <w:rFonts w:hint="eastAsia" w:ascii="宋体" w:hAnsi="宋体"/>
          <w:color w:val="auto"/>
          <w:sz w:val="24"/>
          <w:highlight w:val="none"/>
        </w:rPr>
      </w:pPr>
      <w:r>
        <w:rPr>
          <w:rFonts w:hint="eastAsia" w:ascii="宋体" w:hAnsi="宋体"/>
          <w:color w:val="auto"/>
          <w:sz w:val="24"/>
          <w:highlight w:val="none"/>
        </w:rPr>
        <w:t>（1）本项目涉及的主要材料和设备，各供应商必须根据涉及施工图的要求进行选材并报价。</w:t>
      </w:r>
    </w:p>
    <w:p w14:paraId="7EC0533D">
      <w:pPr>
        <w:spacing w:line="360" w:lineRule="auto"/>
        <w:ind w:firstLine="424" w:firstLineChars="177"/>
        <w:jc w:val="left"/>
        <w:rPr>
          <w:rFonts w:hint="eastAsia" w:ascii="宋体" w:hAnsi="宋体"/>
          <w:color w:val="auto"/>
          <w:sz w:val="24"/>
          <w:highlight w:val="none"/>
        </w:rPr>
      </w:pPr>
      <w:r>
        <w:rPr>
          <w:rFonts w:hint="eastAsia" w:ascii="宋体" w:hAnsi="宋体"/>
          <w:color w:val="auto"/>
          <w:sz w:val="24"/>
          <w:highlight w:val="none"/>
        </w:rPr>
        <w:t>（2）主要材料品牌要求详见“工程量清单编制总说明”</w:t>
      </w:r>
    </w:p>
    <w:p w14:paraId="6B293FE3">
      <w:pPr>
        <w:spacing w:line="360" w:lineRule="auto"/>
        <w:ind w:firstLine="424" w:firstLineChars="177"/>
        <w:jc w:val="left"/>
        <w:rPr>
          <w:rFonts w:hint="eastAsia" w:ascii="宋体" w:hAnsi="宋体"/>
          <w:color w:val="auto"/>
          <w:sz w:val="24"/>
          <w:highlight w:val="none"/>
        </w:rPr>
      </w:pPr>
      <w:r>
        <w:rPr>
          <w:rFonts w:hint="eastAsia" w:ascii="宋体" w:hAnsi="宋体"/>
          <w:color w:val="auto"/>
          <w:sz w:val="24"/>
          <w:highlight w:val="none"/>
        </w:rPr>
        <w:t>（3）所有材料必须符合设计图纸及采购人要求，由供应商根据磋商文件及施工图的要求进行报价。</w:t>
      </w:r>
    </w:p>
    <w:p w14:paraId="70ECEC5D">
      <w:pPr>
        <w:spacing w:line="360" w:lineRule="auto"/>
        <w:ind w:firstLine="424" w:firstLineChars="177"/>
        <w:jc w:val="left"/>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）采购人对材料设备无推荐品牌要求的，供应商也应在主要材料（设备）价格表中标明选择的品牌，未标明的，一旦成交，采购人有权根据需求指定任意品牌，且最终磋商报价不予调整。</w:t>
      </w:r>
    </w:p>
    <w:p w14:paraId="6E097243">
      <w:pPr>
        <w:spacing w:line="360" w:lineRule="auto"/>
        <w:ind w:firstLine="424" w:firstLineChars="177"/>
        <w:jc w:val="left"/>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详细情况见施工图设计、技术说明及相关标准图集。各响应单位在进行综合单价报价时必须结合施工图、磋商文件中的相关条款及清单描述进行报价，组价时应结合供应商现场勘察情况包括完成所有工序工作内容的全部费用。清单子目中未能对各节点详图进行完全性描述的必须结合施工图详细节点进行报价，清单描述中未及的施工工艺必须结合施工图纸要求进行报价，否则视为已计入相应项目综合单价中，成交后将不调整综合单价。</w:t>
      </w:r>
    </w:p>
    <w:p w14:paraId="15CD3E29">
      <w:pPr>
        <w:spacing w:line="360" w:lineRule="auto"/>
        <w:ind w:firstLine="424" w:firstLineChars="177"/>
        <w:jc w:val="left"/>
        <w:rPr>
          <w:rFonts w:hint="eastAsia"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.2材料的质量要求：</w:t>
      </w:r>
    </w:p>
    <w:p w14:paraId="08E3EF2A">
      <w:pPr>
        <w:spacing w:line="360" w:lineRule="auto"/>
        <w:ind w:firstLine="424" w:firstLineChars="177"/>
        <w:jc w:val="left"/>
        <w:rPr>
          <w:rFonts w:hint="eastAsia" w:ascii="宋体" w:hAnsi="宋体"/>
          <w:color w:val="auto"/>
          <w:sz w:val="24"/>
          <w:highlight w:val="none"/>
        </w:rPr>
      </w:pPr>
      <w:r>
        <w:rPr>
          <w:rFonts w:hint="eastAsia" w:ascii="宋体" w:hAnsi="宋体"/>
          <w:color w:val="auto"/>
          <w:sz w:val="24"/>
          <w:highlight w:val="none"/>
        </w:rPr>
        <w:t>（1）在免费保修期内，成交供应商对有缺陷的部位必须无偿地给予修理与更换，并承担一切由此引起的对采购人或第三者的直接损失，除非该缺陷是由于人为破坏或合同规定的不可抗力因素造成的损坏。</w:t>
      </w:r>
    </w:p>
    <w:p w14:paraId="76DB3D60">
      <w:pPr>
        <w:spacing w:line="360" w:lineRule="auto"/>
        <w:ind w:firstLine="424" w:firstLineChars="177"/>
        <w:jc w:val="left"/>
        <w:rPr>
          <w:rFonts w:hint="eastAsia" w:ascii="宋体" w:hAnsi="宋体"/>
          <w:color w:val="auto"/>
          <w:sz w:val="24"/>
          <w:highlight w:val="none"/>
        </w:rPr>
      </w:pPr>
      <w:r>
        <w:rPr>
          <w:rFonts w:hint="eastAsia" w:ascii="宋体" w:hAnsi="宋体"/>
          <w:color w:val="auto"/>
          <w:sz w:val="24"/>
          <w:highlight w:val="none"/>
        </w:rPr>
        <w:t>（2）供应商应对所选用的材料的技术满足度和质量负全部责任，其责任不因该品牌是否为采购人推荐减轻或更改。当供应商选定的产品质量达不到设计要求和磋商文件要求的技术指标时，采购人保留更换的权利，且成交价不予调整。</w:t>
      </w:r>
    </w:p>
    <w:p w14:paraId="11A3E545">
      <w:pPr>
        <w:spacing w:line="360" w:lineRule="auto"/>
        <w:ind w:firstLine="424" w:firstLineChars="177"/>
        <w:jc w:val="left"/>
        <w:rPr>
          <w:rFonts w:ascii="宋体" w:hAnsi="宋体" w:cs="仿宋_GB2312"/>
          <w:b/>
          <w:bCs/>
          <w:color w:val="auto"/>
          <w:sz w:val="24"/>
          <w:highlight w:val="none"/>
        </w:rPr>
      </w:pPr>
      <w:r>
        <w:rPr>
          <w:rFonts w:hint="eastAsia" w:ascii="宋体" w:hAnsi="宋体"/>
          <w:color w:val="auto"/>
          <w:sz w:val="24"/>
          <w:highlight w:val="none"/>
        </w:rPr>
        <w:t>（3）室内装饰用材均需满足相应环保要求，采购人有权聘请独立第三方检测机构对室内装饰用材进行环保检测，如不合格供应商须免费更换，且采购人保留索赔的权利。</w:t>
      </w:r>
    </w:p>
    <w:p w14:paraId="2A50A494">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三、商务要求</w:t>
      </w:r>
    </w:p>
    <w:p w14:paraId="67AB74B3">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1.工期要求：</w:t>
      </w:r>
      <w:r>
        <w:rPr>
          <w:rFonts w:hint="eastAsia" w:ascii="宋体" w:hAnsi="宋体"/>
          <w:color w:val="auto"/>
          <w:sz w:val="24"/>
          <w:highlight w:val="none"/>
          <w:u w:val="single"/>
        </w:rPr>
        <w:t xml:space="preserve">  合同签订接采购人开工通知后</w:t>
      </w:r>
      <w:r>
        <w:rPr>
          <w:rFonts w:hint="eastAsia" w:ascii="宋体" w:hAnsi="宋体"/>
          <w:color w:val="auto"/>
          <w:sz w:val="24"/>
          <w:highlight w:val="none"/>
          <w:u w:val="single"/>
          <w:lang w:val="en-US" w:eastAsia="zh-CN"/>
        </w:rPr>
        <w:t>35</w:t>
      </w:r>
      <w:r>
        <w:rPr>
          <w:rFonts w:hint="eastAsia" w:ascii="宋体" w:hAnsi="宋体"/>
          <w:color w:val="auto"/>
          <w:sz w:val="24"/>
          <w:highlight w:val="none"/>
          <w:u w:val="single"/>
        </w:rPr>
        <w:t>日历天内完成工程施工</w:t>
      </w:r>
      <w:r>
        <w:rPr>
          <w:rFonts w:hint="eastAsia" w:ascii="宋体" w:hAnsi="宋体"/>
          <w:color w:val="auto"/>
          <w:sz w:val="24"/>
          <w:highlight w:val="none"/>
          <w:u w:val="single"/>
          <w:lang w:eastAsia="zh-CN"/>
        </w:rPr>
        <w:t>。</w:t>
      </w:r>
      <w:r>
        <w:rPr>
          <w:rFonts w:hint="eastAsia" w:ascii="宋体" w:hAnsi="宋体"/>
          <w:color w:val="auto"/>
          <w:sz w:val="24"/>
          <w:highlight w:val="none"/>
          <w:u w:val="single"/>
        </w:rPr>
        <w:t xml:space="preserve">   </w:t>
      </w:r>
    </w:p>
    <w:p w14:paraId="0115539C">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2.工程地点：</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浙江省杭州第四中学下沙校区内</w:t>
      </w:r>
      <w:r>
        <w:rPr>
          <w:rFonts w:hint="eastAsia" w:ascii="宋体" w:hAnsi="宋体"/>
          <w:color w:val="auto"/>
          <w:sz w:val="24"/>
          <w:highlight w:val="none"/>
          <w:u w:val="single"/>
        </w:rPr>
        <w:t xml:space="preserve">                          </w:t>
      </w:r>
    </w:p>
    <w:p w14:paraId="5360A25E">
      <w:pPr>
        <w:spacing w:line="360" w:lineRule="auto"/>
        <w:ind w:left="210" w:leftChars="100"/>
        <w:jc w:val="left"/>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3.履约保证金：</w:t>
      </w:r>
      <w:r>
        <w:rPr>
          <w:rFonts w:ascii="宋体" w:hAnsi="宋体"/>
          <w:color w:val="auto"/>
          <w:sz w:val="24"/>
          <w:highlight w:val="none"/>
          <w:u w:val="single"/>
        </w:rPr>
        <w:t>以银行保函的形式提交，</w:t>
      </w:r>
      <w:r>
        <w:rPr>
          <w:rFonts w:hint="eastAsia" w:ascii="宋体" w:hAnsi="宋体"/>
          <w:color w:val="auto"/>
          <w:sz w:val="24"/>
          <w:highlight w:val="none"/>
          <w:u w:val="single"/>
        </w:rPr>
        <w:t>成交供应商</w:t>
      </w:r>
      <w:r>
        <w:rPr>
          <w:rFonts w:ascii="宋体" w:hAnsi="宋体"/>
          <w:color w:val="auto"/>
          <w:sz w:val="24"/>
          <w:highlight w:val="none"/>
          <w:u w:val="single"/>
        </w:rPr>
        <w:t>签订工程承包合同后</w:t>
      </w:r>
      <w:r>
        <w:rPr>
          <w:rFonts w:hint="eastAsia" w:ascii="宋体" w:hAnsi="宋体"/>
          <w:color w:val="auto"/>
          <w:sz w:val="24"/>
          <w:highlight w:val="none"/>
          <w:u w:val="single"/>
        </w:rPr>
        <w:t>7</w:t>
      </w:r>
      <w:r>
        <w:rPr>
          <w:rFonts w:ascii="宋体" w:hAnsi="宋体"/>
          <w:color w:val="auto"/>
          <w:sz w:val="24"/>
          <w:highlight w:val="none"/>
          <w:u w:val="single"/>
        </w:rPr>
        <w:t>日历天内应向</w:t>
      </w:r>
      <w:r>
        <w:rPr>
          <w:rFonts w:hint="eastAsia" w:ascii="宋体" w:hAnsi="宋体"/>
          <w:color w:val="auto"/>
          <w:sz w:val="24"/>
          <w:highlight w:val="none"/>
          <w:u w:val="single"/>
          <w:lang w:val="en-US" w:eastAsia="zh-CN"/>
        </w:rPr>
        <w:t>采购人</w:t>
      </w:r>
      <w:r>
        <w:rPr>
          <w:rFonts w:ascii="宋体" w:hAnsi="宋体"/>
          <w:color w:val="auto"/>
          <w:sz w:val="24"/>
          <w:highlight w:val="none"/>
          <w:u w:val="single"/>
        </w:rPr>
        <w:t>交纳合同价1%的履约保证金</w:t>
      </w:r>
      <w:r>
        <w:rPr>
          <w:rFonts w:hint="eastAsia" w:ascii="宋体" w:hAnsi="宋体"/>
          <w:color w:val="auto"/>
          <w:sz w:val="24"/>
          <w:highlight w:val="none"/>
          <w:u w:val="single"/>
          <w:lang w:eastAsia="zh-CN"/>
        </w:rPr>
        <w:t>。</w:t>
      </w:r>
    </w:p>
    <w:p w14:paraId="62E264E8">
      <w:pPr>
        <w:spacing w:line="360" w:lineRule="auto"/>
        <w:ind w:left="210" w:leftChars="100"/>
        <w:jc w:val="left"/>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4</w:t>
      </w:r>
      <w:r>
        <w:rPr>
          <w:rFonts w:hint="eastAsia" w:ascii="宋体" w:hAnsi="宋体" w:cs="仿宋_GB2312"/>
          <w:color w:val="auto"/>
          <w:sz w:val="24"/>
          <w:highlight w:val="none"/>
        </w:rPr>
        <w:t>.付款条件（进度和方式）详见合同</w:t>
      </w:r>
      <w:r>
        <w:rPr>
          <w:rFonts w:hint="eastAsia" w:ascii="宋体" w:hAnsi="宋体" w:cs="仿宋_GB2312"/>
          <w:color w:val="auto"/>
          <w:sz w:val="24"/>
          <w:highlight w:val="none"/>
          <w:lang w:eastAsia="zh-CN"/>
        </w:rPr>
        <w:t>。</w:t>
      </w:r>
    </w:p>
    <w:p w14:paraId="08A7037D">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四、履约验收</w:t>
      </w:r>
    </w:p>
    <w:p w14:paraId="730E5EAF">
      <w:pPr>
        <w:spacing w:line="360" w:lineRule="auto"/>
        <w:ind w:firstLine="424" w:firstLineChars="177"/>
        <w:rPr>
          <w:rFonts w:hint="eastAsia" w:ascii="宋体" w:hAnsi="宋体"/>
          <w:color w:val="auto"/>
          <w:sz w:val="24"/>
          <w:highlight w:val="none"/>
        </w:rPr>
      </w:pPr>
      <w:r>
        <w:rPr>
          <w:rFonts w:hint="eastAsia" w:ascii="宋体" w:hAnsi="宋体"/>
          <w:color w:val="auto"/>
          <w:sz w:val="24"/>
          <w:highlight w:val="none"/>
        </w:rPr>
        <w:t>（1）采购人按照《杭州市政府采购履约验收暂行办法》（杭财采监[2019]10号）规定组织对供应商履约的验收。如果发现与合同中要求不符，供应商须承担由此发生的一切损失和费用，并接受相应的处理。规定组织对成交供应商履约的验收。验收方成员应当在验收书上签字，并承担相应的法律责任。如果发现与合同中要求不符，成交供应商须承担由此发生的一切损失和费用，并接受相应的处理。</w:t>
      </w:r>
    </w:p>
    <w:p w14:paraId="2D2FBDD1">
      <w:pPr>
        <w:spacing w:line="360" w:lineRule="auto"/>
        <w:ind w:firstLine="424" w:firstLineChars="177"/>
        <w:rPr>
          <w:rFonts w:hint="eastAsia" w:ascii="宋体" w:hAnsi="宋体"/>
          <w:color w:val="auto"/>
          <w:sz w:val="24"/>
          <w:highlight w:val="none"/>
        </w:rPr>
      </w:pPr>
      <w:r>
        <w:rPr>
          <w:rFonts w:hint="eastAsia" w:ascii="宋体" w:hAnsi="宋体"/>
          <w:color w:val="auto"/>
          <w:sz w:val="24"/>
          <w:highlight w:val="none"/>
        </w:rPr>
        <w:t>（2）严格按照合同开展履约验收。采购人成立验收小组，按照合同、施工图纸、清单的约定对成交供应商履约情况进行验收，验收时，按照合同、施工图纸、清单的约定及工程相关验收标准对工程实施情况进行确认，出具验收报告并经验收小组全体成员签字。采购人根据验收报告形成验收意见并经采购人与成交供应商签字盖章，并在财政指定媒体上公示无异议后生效。验收结果与采购合同约定的资金支付及履约保证金返还条件挂钩。履约验收的各项资料应当存档备查。</w:t>
      </w:r>
    </w:p>
    <w:p w14:paraId="20235075">
      <w:pPr>
        <w:spacing w:line="360" w:lineRule="auto"/>
        <w:ind w:firstLine="424" w:firstLineChars="177"/>
        <w:rPr>
          <w:rFonts w:hint="eastAsia" w:ascii="宋体" w:hAnsi="宋体"/>
          <w:color w:val="auto"/>
          <w:sz w:val="24"/>
          <w:highlight w:val="none"/>
        </w:rPr>
      </w:pPr>
      <w:r>
        <w:rPr>
          <w:rFonts w:hint="eastAsia" w:ascii="宋体" w:hAnsi="宋体"/>
          <w:color w:val="auto"/>
          <w:sz w:val="24"/>
          <w:highlight w:val="none"/>
        </w:rPr>
        <w:t>（3）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1761785D">
      <w:pPr>
        <w:spacing w:line="360" w:lineRule="auto"/>
        <w:ind w:firstLine="424" w:firstLineChars="177"/>
        <w:rPr>
          <w:rFonts w:hint="eastAsia" w:ascii="宋体" w:hAnsi="宋体"/>
          <w:color w:val="auto"/>
          <w:sz w:val="24"/>
          <w:highlight w:val="none"/>
        </w:rPr>
      </w:pPr>
      <w:r>
        <w:rPr>
          <w:rFonts w:hint="eastAsia" w:ascii="宋体" w:hAnsi="宋体"/>
          <w:color w:val="auto"/>
          <w:sz w:val="24"/>
          <w:highlight w:val="none"/>
        </w:rPr>
        <w:t>（4）验收产生的费用首次验收费用由采购人承担，如首次验收不合格，后续验收费用由成交供应商支付。</w:t>
      </w:r>
    </w:p>
    <w:p w14:paraId="3404327D">
      <w:pPr>
        <w:spacing w:line="360" w:lineRule="auto"/>
        <w:ind w:firstLine="424" w:firstLineChars="177"/>
        <w:rPr>
          <w:rFonts w:hint="eastAsia" w:ascii="宋体" w:hAnsi="宋体"/>
          <w:color w:val="auto"/>
          <w:sz w:val="24"/>
          <w:highlight w:val="none"/>
        </w:rPr>
      </w:pPr>
      <w:r>
        <w:rPr>
          <w:rFonts w:hint="eastAsia" w:ascii="宋体" w:hAnsi="宋体"/>
          <w:color w:val="auto"/>
          <w:sz w:val="24"/>
          <w:highlight w:val="none"/>
        </w:rPr>
        <w:t>（5）验收内容及资料要求：工程验收应符合国家强制性规定、政策要求、安全标准、行业或企业有关标准等。</w:t>
      </w:r>
    </w:p>
    <w:p w14:paraId="000E5095">
      <w:pPr>
        <w:spacing w:line="360" w:lineRule="auto"/>
        <w:ind w:firstLine="424" w:firstLineChars="177"/>
        <w:rPr>
          <w:rFonts w:hint="eastAsia" w:ascii="宋体" w:hAnsi="宋体"/>
          <w:color w:val="auto"/>
          <w:sz w:val="24"/>
          <w:highlight w:val="none"/>
        </w:rPr>
      </w:pPr>
      <w:r>
        <w:rPr>
          <w:rFonts w:hint="eastAsia" w:ascii="宋体" w:hAnsi="宋体"/>
          <w:color w:val="auto"/>
          <w:sz w:val="24"/>
          <w:highlight w:val="none"/>
        </w:rPr>
        <w:t>5.2验收内容</w:t>
      </w:r>
    </w:p>
    <w:tbl>
      <w:tblPr>
        <w:tblStyle w:val="62"/>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409"/>
        <w:gridCol w:w="5163"/>
      </w:tblGrid>
      <w:tr w14:paraId="7C92D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45" w:type="dxa"/>
            <w:noWrap w:val="0"/>
            <w:vAlign w:val="center"/>
          </w:tcPr>
          <w:p w14:paraId="1BFB167A">
            <w:pPr>
              <w:widowControl/>
              <w:adjustRightInd/>
              <w:jc w:val="center"/>
              <w:rPr>
                <w:rFonts w:cs="宋体"/>
                <w:bCs/>
                <w:snapToGrid w:val="0"/>
                <w:color w:val="auto"/>
                <w:kern w:val="0"/>
                <w:sz w:val="24"/>
                <w:highlight w:val="none"/>
              </w:rPr>
            </w:pPr>
            <w:r>
              <w:rPr>
                <w:rFonts w:hint="eastAsia" w:ascii="宋体" w:hAnsi="宋体" w:cs="宋体"/>
                <w:bCs/>
                <w:snapToGrid w:val="0"/>
                <w:color w:val="auto"/>
                <w:kern w:val="0"/>
                <w:sz w:val="24"/>
                <w:highlight w:val="none"/>
              </w:rPr>
              <w:t>序号</w:t>
            </w:r>
          </w:p>
        </w:tc>
        <w:tc>
          <w:tcPr>
            <w:tcW w:w="2409" w:type="dxa"/>
            <w:noWrap w:val="0"/>
            <w:vAlign w:val="center"/>
          </w:tcPr>
          <w:p w14:paraId="675A287D">
            <w:pPr>
              <w:widowControl/>
              <w:adjustRightInd/>
              <w:jc w:val="center"/>
              <w:rPr>
                <w:rFonts w:cs="宋体"/>
                <w:bCs/>
                <w:snapToGrid w:val="0"/>
                <w:color w:val="auto"/>
                <w:kern w:val="0"/>
                <w:sz w:val="24"/>
                <w:highlight w:val="none"/>
              </w:rPr>
            </w:pPr>
            <w:r>
              <w:rPr>
                <w:rFonts w:hint="eastAsia" w:ascii="宋体" w:hAnsi="宋体" w:cs="宋体"/>
                <w:bCs/>
                <w:snapToGrid w:val="0"/>
                <w:color w:val="auto"/>
                <w:kern w:val="0"/>
                <w:sz w:val="24"/>
                <w:highlight w:val="none"/>
              </w:rPr>
              <w:t>验收内容</w:t>
            </w:r>
          </w:p>
        </w:tc>
        <w:tc>
          <w:tcPr>
            <w:tcW w:w="5163" w:type="dxa"/>
            <w:noWrap w:val="0"/>
            <w:vAlign w:val="center"/>
          </w:tcPr>
          <w:p w14:paraId="468CD9E5">
            <w:pPr>
              <w:widowControl/>
              <w:adjustRightInd/>
              <w:jc w:val="center"/>
              <w:rPr>
                <w:rFonts w:cs="宋体"/>
                <w:bCs/>
                <w:snapToGrid w:val="0"/>
                <w:color w:val="auto"/>
                <w:kern w:val="0"/>
                <w:sz w:val="24"/>
                <w:highlight w:val="none"/>
              </w:rPr>
            </w:pPr>
            <w:r>
              <w:rPr>
                <w:rFonts w:hint="eastAsia" w:ascii="宋体" w:hAnsi="宋体" w:cs="宋体"/>
                <w:bCs/>
                <w:snapToGrid w:val="0"/>
                <w:color w:val="auto"/>
                <w:kern w:val="0"/>
                <w:sz w:val="24"/>
                <w:highlight w:val="none"/>
              </w:rPr>
              <w:t xml:space="preserve"> 验收标准</w:t>
            </w:r>
          </w:p>
        </w:tc>
      </w:tr>
      <w:tr w14:paraId="43333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45" w:type="dxa"/>
            <w:noWrap w:val="0"/>
            <w:vAlign w:val="center"/>
          </w:tcPr>
          <w:p w14:paraId="6C871210">
            <w:pPr>
              <w:widowControl/>
              <w:adjustRightInd/>
              <w:jc w:val="center"/>
              <w:rPr>
                <w:rFonts w:cs="宋体"/>
                <w:bCs/>
                <w:snapToGrid w:val="0"/>
                <w:color w:val="auto"/>
                <w:kern w:val="0"/>
                <w:sz w:val="24"/>
                <w:highlight w:val="none"/>
              </w:rPr>
            </w:pPr>
            <w:r>
              <w:rPr>
                <w:rFonts w:hint="eastAsia" w:ascii="宋体" w:hAnsi="宋体" w:cs="宋体"/>
                <w:bCs/>
                <w:snapToGrid w:val="0"/>
                <w:color w:val="auto"/>
                <w:kern w:val="0"/>
                <w:sz w:val="24"/>
                <w:highlight w:val="none"/>
              </w:rPr>
              <w:t>1</w:t>
            </w:r>
          </w:p>
        </w:tc>
        <w:tc>
          <w:tcPr>
            <w:tcW w:w="2409" w:type="dxa"/>
            <w:noWrap w:val="0"/>
            <w:vAlign w:val="center"/>
          </w:tcPr>
          <w:p w14:paraId="617FDBA8">
            <w:pPr>
              <w:widowControl/>
              <w:adjustRightInd/>
              <w:jc w:val="center"/>
              <w:rPr>
                <w:rFonts w:cs="宋体"/>
                <w:bCs/>
                <w:snapToGrid w:val="0"/>
                <w:color w:val="auto"/>
                <w:kern w:val="0"/>
                <w:sz w:val="24"/>
                <w:highlight w:val="none"/>
              </w:rPr>
            </w:pPr>
            <w:r>
              <w:rPr>
                <w:rFonts w:hint="eastAsia" w:ascii="宋体" w:hAnsi="宋体" w:cs="宋体"/>
                <w:bCs/>
                <w:snapToGrid w:val="0"/>
                <w:color w:val="auto"/>
                <w:kern w:val="0"/>
                <w:sz w:val="24"/>
                <w:highlight w:val="none"/>
              </w:rPr>
              <w:t>施工质量</w:t>
            </w:r>
          </w:p>
        </w:tc>
        <w:tc>
          <w:tcPr>
            <w:tcW w:w="5163" w:type="dxa"/>
            <w:noWrap w:val="0"/>
            <w:vAlign w:val="center"/>
          </w:tcPr>
          <w:p w14:paraId="72CCBDF5">
            <w:pPr>
              <w:widowControl/>
              <w:adjustRightInd/>
              <w:jc w:val="center"/>
              <w:rPr>
                <w:rFonts w:cs="宋体"/>
                <w:snapToGrid w:val="0"/>
                <w:color w:val="auto"/>
                <w:kern w:val="0"/>
                <w:sz w:val="24"/>
                <w:highlight w:val="none"/>
              </w:rPr>
            </w:pPr>
            <w:r>
              <w:rPr>
                <w:rFonts w:hint="eastAsia" w:ascii="宋体" w:hAnsi="宋体" w:cs="宋体"/>
                <w:snapToGrid w:val="0"/>
                <w:color w:val="auto"/>
                <w:kern w:val="0"/>
                <w:sz w:val="24"/>
                <w:highlight w:val="none"/>
              </w:rPr>
              <w:t>符合（工程施工质量验收规范）合格标准</w:t>
            </w:r>
          </w:p>
        </w:tc>
      </w:tr>
      <w:tr w14:paraId="03A69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45" w:type="dxa"/>
            <w:noWrap w:val="0"/>
            <w:vAlign w:val="center"/>
          </w:tcPr>
          <w:p w14:paraId="1624E80C">
            <w:pPr>
              <w:widowControl/>
              <w:adjustRightInd/>
              <w:jc w:val="center"/>
              <w:rPr>
                <w:rFonts w:cs="宋体"/>
                <w:bCs/>
                <w:snapToGrid w:val="0"/>
                <w:color w:val="auto"/>
                <w:kern w:val="0"/>
                <w:sz w:val="24"/>
                <w:highlight w:val="none"/>
              </w:rPr>
            </w:pPr>
            <w:r>
              <w:rPr>
                <w:rFonts w:hint="eastAsia" w:ascii="宋体" w:hAnsi="宋体" w:cs="宋体"/>
                <w:bCs/>
                <w:snapToGrid w:val="0"/>
                <w:color w:val="auto"/>
                <w:kern w:val="0"/>
                <w:sz w:val="24"/>
                <w:highlight w:val="none"/>
              </w:rPr>
              <w:t>2</w:t>
            </w:r>
          </w:p>
        </w:tc>
        <w:tc>
          <w:tcPr>
            <w:tcW w:w="2409" w:type="dxa"/>
            <w:noWrap w:val="0"/>
            <w:vAlign w:val="center"/>
          </w:tcPr>
          <w:p w14:paraId="10E4ABD0">
            <w:pPr>
              <w:widowControl/>
              <w:adjustRightInd/>
              <w:jc w:val="center"/>
              <w:rPr>
                <w:rFonts w:cs="宋体"/>
                <w:bCs/>
                <w:snapToGrid w:val="0"/>
                <w:color w:val="auto"/>
                <w:kern w:val="0"/>
                <w:sz w:val="24"/>
                <w:highlight w:val="none"/>
              </w:rPr>
            </w:pPr>
            <w:r>
              <w:rPr>
                <w:rFonts w:hint="eastAsia" w:ascii="宋体" w:hAnsi="宋体" w:cs="宋体"/>
                <w:bCs/>
                <w:snapToGrid w:val="0"/>
                <w:color w:val="auto"/>
                <w:kern w:val="0"/>
                <w:sz w:val="24"/>
                <w:highlight w:val="none"/>
              </w:rPr>
              <w:t>施工进度</w:t>
            </w:r>
          </w:p>
        </w:tc>
        <w:tc>
          <w:tcPr>
            <w:tcW w:w="5163" w:type="dxa"/>
            <w:noWrap w:val="0"/>
            <w:vAlign w:val="center"/>
          </w:tcPr>
          <w:p w14:paraId="2914CE94">
            <w:pPr>
              <w:widowControl/>
              <w:adjustRightInd/>
              <w:jc w:val="center"/>
              <w:rPr>
                <w:rFonts w:cs="宋体"/>
                <w:snapToGrid w:val="0"/>
                <w:color w:val="auto"/>
                <w:kern w:val="0"/>
                <w:sz w:val="24"/>
                <w:highlight w:val="none"/>
              </w:rPr>
            </w:pPr>
            <w:r>
              <w:rPr>
                <w:rFonts w:hint="eastAsia" w:ascii="宋体" w:hAnsi="宋体" w:cs="宋体"/>
                <w:snapToGrid w:val="0"/>
                <w:color w:val="auto"/>
                <w:kern w:val="0"/>
                <w:sz w:val="24"/>
                <w:highlight w:val="none"/>
              </w:rPr>
              <w:t>在合同工期内完成施工，并通过验收</w:t>
            </w:r>
          </w:p>
        </w:tc>
      </w:tr>
      <w:tr w14:paraId="45C63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45" w:type="dxa"/>
            <w:noWrap w:val="0"/>
            <w:vAlign w:val="center"/>
          </w:tcPr>
          <w:p w14:paraId="78D469AE">
            <w:pPr>
              <w:widowControl/>
              <w:adjustRightInd/>
              <w:jc w:val="center"/>
              <w:rPr>
                <w:rFonts w:cs="宋体"/>
                <w:bCs/>
                <w:snapToGrid w:val="0"/>
                <w:color w:val="auto"/>
                <w:kern w:val="0"/>
                <w:sz w:val="24"/>
                <w:highlight w:val="none"/>
              </w:rPr>
            </w:pPr>
            <w:r>
              <w:rPr>
                <w:rFonts w:hint="eastAsia" w:ascii="宋体" w:hAnsi="宋体" w:cs="宋体"/>
                <w:bCs/>
                <w:snapToGrid w:val="0"/>
                <w:color w:val="auto"/>
                <w:kern w:val="0"/>
                <w:sz w:val="24"/>
                <w:highlight w:val="none"/>
              </w:rPr>
              <w:t>3</w:t>
            </w:r>
          </w:p>
        </w:tc>
        <w:tc>
          <w:tcPr>
            <w:tcW w:w="2409" w:type="dxa"/>
            <w:noWrap w:val="0"/>
            <w:vAlign w:val="center"/>
          </w:tcPr>
          <w:p w14:paraId="344DF0C2">
            <w:pPr>
              <w:widowControl/>
              <w:adjustRightInd/>
              <w:jc w:val="center"/>
              <w:rPr>
                <w:rFonts w:cs="宋体"/>
                <w:bCs/>
                <w:snapToGrid w:val="0"/>
                <w:color w:val="auto"/>
                <w:kern w:val="0"/>
                <w:sz w:val="24"/>
                <w:highlight w:val="none"/>
              </w:rPr>
            </w:pPr>
            <w:r>
              <w:rPr>
                <w:rFonts w:hint="eastAsia" w:ascii="宋体" w:hAnsi="宋体" w:cs="宋体"/>
                <w:bCs/>
                <w:snapToGrid w:val="0"/>
                <w:color w:val="auto"/>
                <w:kern w:val="0"/>
                <w:sz w:val="24"/>
                <w:highlight w:val="none"/>
              </w:rPr>
              <w:t>安全文明施工</w:t>
            </w:r>
          </w:p>
        </w:tc>
        <w:tc>
          <w:tcPr>
            <w:tcW w:w="5163" w:type="dxa"/>
            <w:noWrap w:val="0"/>
            <w:vAlign w:val="center"/>
          </w:tcPr>
          <w:p w14:paraId="271A800A">
            <w:pPr>
              <w:widowControl/>
              <w:adjustRightInd/>
              <w:snapToGrid w:val="0"/>
              <w:jc w:val="center"/>
              <w:rPr>
                <w:rFonts w:cs="宋体"/>
                <w:snapToGrid w:val="0"/>
                <w:color w:val="auto"/>
                <w:kern w:val="0"/>
                <w:sz w:val="24"/>
                <w:highlight w:val="none"/>
              </w:rPr>
            </w:pPr>
            <w:r>
              <w:rPr>
                <w:rFonts w:hint="eastAsia" w:ascii="宋体" w:hAnsi="宋体" w:cs="宋体"/>
                <w:snapToGrid w:val="0"/>
                <w:color w:val="auto"/>
                <w:kern w:val="0"/>
                <w:sz w:val="24"/>
                <w:highlight w:val="none"/>
              </w:rPr>
              <w:t>符合《建筑施工安全检查标准》要求</w:t>
            </w:r>
          </w:p>
        </w:tc>
      </w:tr>
      <w:tr w14:paraId="1FC0B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45" w:type="dxa"/>
            <w:noWrap w:val="0"/>
            <w:vAlign w:val="center"/>
          </w:tcPr>
          <w:p w14:paraId="14326F16">
            <w:pPr>
              <w:widowControl/>
              <w:adjustRightInd/>
              <w:jc w:val="center"/>
              <w:rPr>
                <w:rFonts w:cs="宋体"/>
                <w:snapToGrid w:val="0"/>
                <w:color w:val="auto"/>
                <w:kern w:val="0"/>
                <w:sz w:val="24"/>
                <w:highlight w:val="none"/>
              </w:rPr>
            </w:pPr>
            <w:r>
              <w:rPr>
                <w:rFonts w:hint="eastAsia" w:ascii="宋体" w:hAnsi="宋体" w:cs="宋体"/>
                <w:snapToGrid w:val="0"/>
                <w:color w:val="auto"/>
                <w:kern w:val="0"/>
                <w:sz w:val="24"/>
                <w:highlight w:val="none"/>
              </w:rPr>
              <w:t>4</w:t>
            </w:r>
          </w:p>
        </w:tc>
        <w:tc>
          <w:tcPr>
            <w:tcW w:w="2409" w:type="dxa"/>
            <w:noWrap w:val="0"/>
            <w:vAlign w:val="center"/>
          </w:tcPr>
          <w:p w14:paraId="0ACB8116">
            <w:pPr>
              <w:widowControl/>
              <w:adjustRightInd/>
              <w:jc w:val="center"/>
              <w:rPr>
                <w:rFonts w:cs="宋体"/>
                <w:bCs/>
                <w:snapToGrid w:val="0"/>
                <w:color w:val="auto"/>
                <w:kern w:val="0"/>
                <w:sz w:val="24"/>
                <w:highlight w:val="none"/>
              </w:rPr>
            </w:pPr>
            <w:r>
              <w:rPr>
                <w:rFonts w:hint="eastAsia" w:ascii="宋体" w:hAnsi="宋体" w:cs="宋体"/>
                <w:bCs/>
                <w:snapToGrid w:val="0"/>
                <w:color w:val="auto"/>
                <w:kern w:val="0"/>
                <w:sz w:val="24"/>
                <w:highlight w:val="none"/>
              </w:rPr>
              <w:t>施工材料</w:t>
            </w:r>
          </w:p>
        </w:tc>
        <w:tc>
          <w:tcPr>
            <w:tcW w:w="5163" w:type="dxa"/>
            <w:noWrap w:val="0"/>
            <w:vAlign w:val="center"/>
          </w:tcPr>
          <w:p w14:paraId="6CD47628">
            <w:pPr>
              <w:widowControl/>
              <w:adjustRightInd/>
              <w:jc w:val="center"/>
              <w:rPr>
                <w:rFonts w:cs="宋体"/>
                <w:snapToGrid w:val="0"/>
                <w:color w:val="auto"/>
                <w:kern w:val="0"/>
                <w:sz w:val="24"/>
                <w:highlight w:val="none"/>
              </w:rPr>
            </w:pPr>
            <w:r>
              <w:rPr>
                <w:rFonts w:hint="eastAsia" w:ascii="宋体" w:hAnsi="宋体" w:cs="宋体"/>
                <w:snapToGrid w:val="0"/>
                <w:color w:val="auto"/>
                <w:kern w:val="0"/>
                <w:sz w:val="24"/>
                <w:highlight w:val="none"/>
              </w:rPr>
              <w:t>符合投标文件品牌要求</w:t>
            </w:r>
          </w:p>
        </w:tc>
      </w:tr>
      <w:tr w14:paraId="05B0B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45" w:type="dxa"/>
            <w:noWrap w:val="0"/>
            <w:vAlign w:val="center"/>
          </w:tcPr>
          <w:p w14:paraId="6F93935D">
            <w:pPr>
              <w:widowControl/>
              <w:adjustRightInd/>
              <w:jc w:val="center"/>
              <w:rPr>
                <w:rFonts w:cs="宋体"/>
                <w:bCs/>
                <w:snapToGrid w:val="0"/>
                <w:color w:val="auto"/>
                <w:kern w:val="0"/>
                <w:sz w:val="24"/>
                <w:highlight w:val="none"/>
              </w:rPr>
            </w:pPr>
            <w:r>
              <w:rPr>
                <w:rFonts w:hint="eastAsia" w:ascii="宋体" w:hAnsi="宋体" w:cs="宋体"/>
                <w:bCs/>
                <w:snapToGrid w:val="0"/>
                <w:color w:val="auto"/>
                <w:kern w:val="0"/>
                <w:sz w:val="24"/>
                <w:highlight w:val="none"/>
              </w:rPr>
              <w:t>5</w:t>
            </w:r>
          </w:p>
        </w:tc>
        <w:tc>
          <w:tcPr>
            <w:tcW w:w="2409" w:type="dxa"/>
            <w:noWrap w:val="0"/>
            <w:vAlign w:val="center"/>
          </w:tcPr>
          <w:p w14:paraId="31A33EA3">
            <w:pPr>
              <w:widowControl/>
              <w:adjustRightInd/>
              <w:jc w:val="center"/>
              <w:rPr>
                <w:rFonts w:cs="宋体"/>
                <w:bCs/>
                <w:snapToGrid w:val="0"/>
                <w:color w:val="auto"/>
                <w:kern w:val="0"/>
                <w:sz w:val="24"/>
                <w:highlight w:val="none"/>
              </w:rPr>
            </w:pPr>
            <w:r>
              <w:rPr>
                <w:rFonts w:hint="eastAsia" w:ascii="宋体" w:hAnsi="宋体" w:cs="宋体"/>
                <w:bCs/>
                <w:snapToGrid w:val="0"/>
                <w:color w:val="auto"/>
                <w:kern w:val="0"/>
                <w:sz w:val="24"/>
                <w:highlight w:val="none"/>
              </w:rPr>
              <w:t>其他资料</w:t>
            </w:r>
          </w:p>
        </w:tc>
        <w:tc>
          <w:tcPr>
            <w:tcW w:w="5163" w:type="dxa"/>
            <w:noWrap w:val="0"/>
            <w:vAlign w:val="center"/>
          </w:tcPr>
          <w:p w14:paraId="7C4631EF">
            <w:pPr>
              <w:widowControl/>
              <w:adjustRightInd/>
              <w:jc w:val="center"/>
              <w:rPr>
                <w:rFonts w:cs="宋体"/>
                <w:snapToGrid w:val="0"/>
                <w:color w:val="auto"/>
                <w:kern w:val="0"/>
                <w:sz w:val="24"/>
                <w:highlight w:val="none"/>
              </w:rPr>
            </w:pPr>
            <w:r>
              <w:rPr>
                <w:rFonts w:hint="eastAsia" w:ascii="宋体" w:hAnsi="宋体" w:cs="宋体"/>
                <w:snapToGrid w:val="0"/>
                <w:color w:val="auto"/>
                <w:kern w:val="0"/>
                <w:sz w:val="24"/>
                <w:highlight w:val="none"/>
              </w:rPr>
              <w:t>符合杭州市工程竣工验收标准</w:t>
            </w:r>
          </w:p>
        </w:tc>
      </w:tr>
      <w:tr w14:paraId="0DB24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45" w:type="dxa"/>
            <w:noWrap w:val="0"/>
            <w:vAlign w:val="center"/>
          </w:tcPr>
          <w:p w14:paraId="292D7401">
            <w:pPr>
              <w:widowControl/>
              <w:adjustRightInd/>
              <w:jc w:val="center"/>
              <w:rPr>
                <w:rFonts w:cs="宋体"/>
                <w:bCs/>
                <w:snapToGrid w:val="0"/>
                <w:color w:val="auto"/>
                <w:kern w:val="0"/>
                <w:sz w:val="24"/>
                <w:highlight w:val="none"/>
              </w:rPr>
            </w:pPr>
            <w:r>
              <w:rPr>
                <w:rFonts w:hint="eastAsia" w:ascii="宋体" w:hAnsi="宋体" w:cs="宋体"/>
                <w:bCs/>
                <w:snapToGrid w:val="0"/>
                <w:color w:val="auto"/>
                <w:kern w:val="0"/>
                <w:sz w:val="24"/>
                <w:highlight w:val="none"/>
              </w:rPr>
              <w:t>6</w:t>
            </w:r>
          </w:p>
        </w:tc>
        <w:tc>
          <w:tcPr>
            <w:tcW w:w="2409" w:type="dxa"/>
            <w:noWrap w:val="0"/>
            <w:vAlign w:val="center"/>
          </w:tcPr>
          <w:p w14:paraId="7805DCE0">
            <w:pPr>
              <w:widowControl/>
              <w:adjustRightInd/>
              <w:jc w:val="center"/>
              <w:rPr>
                <w:rFonts w:cs="宋体"/>
                <w:bCs/>
                <w:snapToGrid w:val="0"/>
                <w:color w:val="auto"/>
                <w:kern w:val="0"/>
                <w:sz w:val="24"/>
                <w:highlight w:val="none"/>
              </w:rPr>
            </w:pPr>
            <w:r>
              <w:rPr>
                <w:rFonts w:hint="eastAsia" w:ascii="宋体" w:hAnsi="宋体" w:cs="宋体"/>
                <w:bCs/>
                <w:snapToGrid w:val="0"/>
                <w:color w:val="auto"/>
                <w:kern w:val="0"/>
                <w:sz w:val="24"/>
                <w:highlight w:val="none"/>
              </w:rPr>
              <w:t>实地查验工程质量</w:t>
            </w:r>
          </w:p>
        </w:tc>
        <w:tc>
          <w:tcPr>
            <w:tcW w:w="5163" w:type="dxa"/>
            <w:noWrap w:val="0"/>
            <w:vAlign w:val="center"/>
          </w:tcPr>
          <w:p w14:paraId="5C049EFC">
            <w:pPr>
              <w:widowControl/>
              <w:adjustRightInd/>
              <w:jc w:val="center"/>
              <w:rPr>
                <w:rFonts w:cs="宋体"/>
                <w:snapToGrid w:val="0"/>
                <w:color w:val="auto"/>
                <w:kern w:val="0"/>
                <w:sz w:val="24"/>
                <w:highlight w:val="none"/>
              </w:rPr>
            </w:pPr>
            <w:r>
              <w:rPr>
                <w:rFonts w:hint="eastAsia" w:ascii="宋体" w:hAnsi="宋体" w:cs="宋体"/>
                <w:snapToGrid w:val="0"/>
                <w:color w:val="auto"/>
                <w:kern w:val="0"/>
                <w:sz w:val="24"/>
                <w:highlight w:val="none"/>
              </w:rPr>
              <w:t>通过现场抽查检验项目实际施工质量</w:t>
            </w:r>
          </w:p>
        </w:tc>
      </w:tr>
    </w:tbl>
    <w:p w14:paraId="5D4825E0">
      <w:pPr>
        <w:spacing w:line="360" w:lineRule="auto"/>
        <w:ind w:firstLine="424" w:firstLineChars="177"/>
        <w:rPr>
          <w:rFonts w:hint="eastAsia" w:ascii="宋体" w:hAnsi="宋体"/>
          <w:color w:val="auto"/>
          <w:sz w:val="24"/>
          <w:highlight w:val="none"/>
        </w:rPr>
      </w:pPr>
      <w:r>
        <w:rPr>
          <w:rFonts w:hint="eastAsia" w:ascii="宋体" w:hAnsi="宋体"/>
          <w:color w:val="auto"/>
          <w:sz w:val="24"/>
          <w:highlight w:val="none"/>
        </w:rPr>
        <w:t>5.3验收资料要求</w:t>
      </w:r>
    </w:p>
    <w:p w14:paraId="1354984C">
      <w:pPr>
        <w:spacing w:line="360" w:lineRule="auto"/>
        <w:ind w:firstLine="424" w:firstLineChars="177"/>
        <w:rPr>
          <w:rFonts w:hint="eastAsia" w:ascii="宋体" w:hAnsi="宋体"/>
          <w:color w:val="auto"/>
          <w:sz w:val="24"/>
          <w:highlight w:val="none"/>
        </w:rPr>
      </w:pPr>
      <w:r>
        <w:rPr>
          <w:rFonts w:hint="eastAsia" w:ascii="宋体" w:hAnsi="宋体"/>
          <w:color w:val="auto"/>
          <w:sz w:val="24"/>
          <w:highlight w:val="none"/>
        </w:rPr>
        <w:t>验收资料要求包括（不限于）以下内容：</w:t>
      </w:r>
    </w:p>
    <w:p w14:paraId="4F22D11E">
      <w:pPr>
        <w:spacing w:line="360" w:lineRule="auto"/>
        <w:ind w:firstLine="424" w:firstLineChars="177"/>
        <w:rPr>
          <w:rFonts w:hint="eastAsia" w:ascii="宋体" w:hAnsi="宋体"/>
          <w:color w:val="auto"/>
          <w:sz w:val="24"/>
          <w:highlight w:val="none"/>
        </w:rPr>
      </w:pPr>
      <w:r>
        <w:rPr>
          <w:rFonts w:hint="eastAsia" w:ascii="宋体" w:hAnsi="宋体"/>
          <w:color w:val="auto"/>
          <w:sz w:val="24"/>
          <w:highlight w:val="none"/>
        </w:rPr>
        <w:t>（1）合同</w:t>
      </w:r>
    </w:p>
    <w:p w14:paraId="0B537753">
      <w:pPr>
        <w:spacing w:line="360" w:lineRule="auto"/>
        <w:ind w:firstLine="424" w:firstLineChars="177"/>
        <w:rPr>
          <w:rFonts w:hint="eastAsia" w:ascii="宋体" w:hAnsi="宋体"/>
          <w:color w:val="auto"/>
          <w:sz w:val="24"/>
          <w:highlight w:val="none"/>
        </w:rPr>
      </w:pPr>
      <w:r>
        <w:rPr>
          <w:rFonts w:hint="eastAsia" w:ascii="宋体" w:hAnsi="宋体"/>
          <w:color w:val="auto"/>
          <w:sz w:val="24"/>
          <w:highlight w:val="none"/>
        </w:rPr>
        <w:t>（2）采购文件</w:t>
      </w:r>
    </w:p>
    <w:p w14:paraId="4E2D5A33">
      <w:pPr>
        <w:spacing w:line="360" w:lineRule="auto"/>
        <w:ind w:firstLine="424" w:firstLineChars="177"/>
        <w:rPr>
          <w:rFonts w:hint="eastAsia" w:ascii="宋体" w:hAnsi="宋体"/>
          <w:color w:val="auto"/>
          <w:sz w:val="24"/>
          <w:highlight w:val="none"/>
        </w:rPr>
      </w:pPr>
      <w:r>
        <w:rPr>
          <w:rFonts w:hint="eastAsia" w:ascii="宋体" w:hAnsi="宋体"/>
          <w:color w:val="auto"/>
          <w:sz w:val="24"/>
          <w:highlight w:val="none"/>
        </w:rPr>
        <w:t>（3）投标文件</w:t>
      </w:r>
    </w:p>
    <w:p w14:paraId="67D3975A">
      <w:pPr>
        <w:spacing w:line="360" w:lineRule="auto"/>
        <w:ind w:firstLine="424" w:firstLineChars="177"/>
        <w:rPr>
          <w:rFonts w:hint="eastAsia" w:ascii="宋体" w:hAnsi="宋体"/>
          <w:color w:val="auto"/>
          <w:sz w:val="24"/>
          <w:highlight w:val="none"/>
        </w:rPr>
      </w:pPr>
      <w:r>
        <w:rPr>
          <w:rFonts w:hint="eastAsia" w:ascii="宋体" w:hAnsi="宋体"/>
          <w:color w:val="auto"/>
          <w:sz w:val="24"/>
          <w:highlight w:val="none"/>
        </w:rPr>
        <w:t>（4）竣工验收报告（包含施工单位工程竣工报告、监理单位质量评估报告、勘察单位质量检查报告、设计单位质量检查报告）、单位工程质量控制资料核查记录、单位工程安全和功能检验资料核查及主要功能抽查记录、施工方案、施工组织设计、施工进度计划、施工材料报验等竣工资料。</w:t>
      </w:r>
    </w:p>
    <w:p w14:paraId="07F6E1FF">
      <w:pPr>
        <w:spacing w:line="360" w:lineRule="auto"/>
        <w:ind w:firstLine="424" w:firstLineChars="177"/>
        <w:rPr>
          <w:rFonts w:hint="eastAsia" w:ascii="宋体" w:hAnsi="宋体"/>
          <w:color w:val="auto"/>
          <w:sz w:val="24"/>
          <w:highlight w:val="none"/>
        </w:rPr>
      </w:pPr>
      <w:r>
        <w:rPr>
          <w:rFonts w:hint="eastAsia" w:ascii="宋体" w:hAnsi="宋体"/>
          <w:color w:val="auto"/>
          <w:sz w:val="24"/>
          <w:highlight w:val="none"/>
        </w:rPr>
        <w:t>（5）图纸会审纪要、设计联系单等设计技术资料</w:t>
      </w:r>
    </w:p>
    <w:p w14:paraId="181DB454">
      <w:pPr>
        <w:spacing w:line="360" w:lineRule="auto"/>
        <w:ind w:firstLine="424" w:firstLineChars="177"/>
        <w:rPr>
          <w:rFonts w:hint="eastAsia" w:ascii="宋体" w:hAnsi="宋体"/>
          <w:color w:val="auto"/>
          <w:sz w:val="24"/>
          <w:highlight w:val="none"/>
        </w:rPr>
      </w:pPr>
      <w:r>
        <w:rPr>
          <w:rFonts w:hint="eastAsia" w:ascii="宋体" w:hAnsi="宋体"/>
          <w:color w:val="auto"/>
          <w:sz w:val="24"/>
          <w:highlight w:val="none"/>
        </w:rPr>
        <w:t>（6）项目管理人员到位情况：施工人员名单、证书及到位情况、每日签到表、社保缴纳证明材料。</w:t>
      </w:r>
    </w:p>
    <w:p w14:paraId="58E2122A">
      <w:pPr>
        <w:spacing w:line="360" w:lineRule="auto"/>
        <w:ind w:firstLine="424" w:firstLineChars="177"/>
        <w:rPr>
          <w:rFonts w:hint="eastAsia" w:ascii="宋体" w:hAnsi="宋体"/>
          <w:color w:val="auto"/>
          <w:sz w:val="24"/>
          <w:highlight w:val="none"/>
        </w:rPr>
      </w:pPr>
      <w:r>
        <w:rPr>
          <w:rFonts w:hint="eastAsia" w:ascii="宋体" w:hAnsi="宋体"/>
          <w:color w:val="auto"/>
          <w:sz w:val="24"/>
          <w:highlight w:val="none"/>
        </w:rPr>
        <w:t>（7）其他需提供的相关材料。</w:t>
      </w:r>
    </w:p>
    <w:p w14:paraId="3C1F17B9">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五、其他要求</w:t>
      </w:r>
    </w:p>
    <w:p w14:paraId="22383B9E">
      <w:pPr>
        <w:spacing w:line="360" w:lineRule="auto"/>
        <w:ind w:firstLine="424" w:firstLineChars="177"/>
        <w:rPr>
          <w:rFonts w:hint="eastAsia" w:ascii="宋体" w:hAnsi="宋体"/>
          <w:color w:val="auto"/>
          <w:sz w:val="24"/>
          <w:highlight w:val="none"/>
        </w:rPr>
      </w:pPr>
      <w:r>
        <w:rPr>
          <w:rFonts w:hint="eastAsia" w:ascii="宋体" w:hAnsi="宋体"/>
          <w:color w:val="auto"/>
          <w:sz w:val="24"/>
          <w:highlight w:val="none"/>
        </w:rPr>
        <w:t>具体详见工程量清单。</w:t>
      </w:r>
    </w:p>
    <w:p w14:paraId="3B32BC97">
      <w:pPr>
        <w:spacing w:line="360" w:lineRule="auto"/>
        <w:jc w:val="left"/>
        <w:rPr>
          <w:rFonts w:hint="eastAsia" w:ascii="宋体" w:hAnsi="宋体" w:cs="宋体"/>
          <w:b/>
          <w:color w:val="auto"/>
          <w:sz w:val="24"/>
          <w:highlight w:val="none"/>
        </w:rPr>
      </w:pPr>
    </w:p>
    <w:p w14:paraId="51B6F2BC">
      <w:pPr>
        <w:pStyle w:val="2"/>
        <w:rPr>
          <w:color w:val="auto"/>
          <w:highlight w:val="none"/>
        </w:rPr>
      </w:pPr>
    </w:p>
    <w:p w14:paraId="6A897983">
      <w:pPr>
        <w:snapToGrid w:val="0"/>
        <w:spacing w:line="360" w:lineRule="auto"/>
        <w:jc w:val="center"/>
        <w:rPr>
          <w:rFonts w:ascii="宋体" w:hAnsi="宋体" w:cs="宋体"/>
          <w:b/>
          <w:color w:val="auto"/>
          <w:sz w:val="36"/>
          <w:szCs w:val="20"/>
          <w:highlight w:val="none"/>
        </w:rPr>
      </w:pPr>
      <w:r>
        <w:rPr>
          <w:rFonts w:hint="eastAsia" w:ascii="宋体" w:hAnsi="宋体" w:cs="宋体"/>
          <w:b/>
          <w:color w:val="auto"/>
          <w:sz w:val="24"/>
          <w:highlight w:val="none"/>
        </w:rPr>
        <w:br w:type="page"/>
      </w:r>
      <w:r>
        <w:rPr>
          <w:rFonts w:hint="eastAsia" w:ascii="宋体" w:hAnsi="宋体" w:cs="宋体"/>
          <w:b/>
          <w:color w:val="auto"/>
          <w:sz w:val="36"/>
          <w:szCs w:val="20"/>
          <w:highlight w:val="none"/>
        </w:rPr>
        <w:t>第四部分</w:t>
      </w:r>
      <w:bookmarkStart w:id="32" w:name="_Toc184308077"/>
      <w:bookmarkEnd w:id="32"/>
      <w:bookmarkStart w:id="33" w:name="_Toc184310289"/>
      <w:bookmarkEnd w:id="33"/>
      <w:bookmarkStart w:id="34" w:name="_Toc184313261"/>
      <w:bookmarkEnd w:id="34"/>
      <w:bookmarkStart w:id="35" w:name="_Toc184308045"/>
      <w:bookmarkEnd w:id="35"/>
      <w:bookmarkStart w:id="36" w:name="_Toc184308048"/>
      <w:bookmarkEnd w:id="36"/>
      <w:bookmarkStart w:id="37" w:name="_Toc184314475"/>
      <w:bookmarkEnd w:id="37"/>
      <w:bookmarkStart w:id="38" w:name="_Toc184310316"/>
      <w:bookmarkEnd w:id="38"/>
      <w:bookmarkStart w:id="39" w:name="_Toc184308091"/>
      <w:bookmarkEnd w:id="39"/>
      <w:bookmarkStart w:id="40" w:name="_Toc184314469"/>
      <w:bookmarkEnd w:id="40"/>
      <w:bookmarkStart w:id="41" w:name="_Toc184310328"/>
      <w:bookmarkEnd w:id="41"/>
      <w:bookmarkStart w:id="42" w:name="_Toc184314453"/>
      <w:bookmarkEnd w:id="42"/>
      <w:bookmarkStart w:id="43" w:name="_Toc184312081"/>
      <w:bookmarkEnd w:id="43"/>
      <w:bookmarkStart w:id="44" w:name="_Toc184313254"/>
      <w:bookmarkEnd w:id="44"/>
      <w:bookmarkStart w:id="45" w:name="_Toc184310306"/>
      <w:bookmarkEnd w:id="45"/>
      <w:bookmarkStart w:id="46" w:name="_Toc184310305"/>
      <w:bookmarkEnd w:id="46"/>
      <w:bookmarkStart w:id="47" w:name="_Toc184314455"/>
      <w:bookmarkEnd w:id="47"/>
      <w:bookmarkStart w:id="48" w:name="_Toc184310336"/>
      <w:bookmarkEnd w:id="48"/>
      <w:bookmarkStart w:id="49" w:name="_Toc184314478"/>
      <w:bookmarkEnd w:id="49"/>
      <w:bookmarkStart w:id="50" w:name="_Toc184314479"/>
      <w:bookmarkEnd w:id="50"/>
      <w:bookmarkStart w:id="51" w:name="_Toc184314422"/>
      <w:bookmarkEnd w:id="51"/>
      <w:bookmarkStart w:id="52" w:name="_Toc184312100"/>
      <w:bookmarkEnd w:id="52"/>
      <w:bookmarkStart w:id="53" w:name="_Toc184308056"/>
      <w:bookmarkEnd w:id="53"/>
      <w:bookmarkStart w:id="54" w:name="_Toc184313286"/>
      <w:bookmarkEnd w:id="54"/>
      <w:bookmarkStart w:id="55" w:name="_Toc184308039"/>
      <w:bookmarkEnd w:id="55"/>
      <w:bookmarkStart w:id="56" w:name="_Toc184313269"/>
      <w:bookmarkEnd w:id="56"/>
      <w:bookmarkStart w:id="57" w:name="_Toc184312069"/>
      <w:bookmarkEnd w:id="57"/>
      <w:bookmarkStart w:id="58" w:name="_Toc184312125"/>
      <w:bookmarkEnd w:id="58"/>
      <w:bookmarkStart w:id="59" w:name="_Toc184310320"/>
      <w:bookmarkEnd w:id="59"/>
      <w:bookmarkStart w:id="60" w:name="_Toc184313249"/>
      <w:bookmarkEnd w:id="60"/>
      <w:bookmarkStart w:id="61" w:name="_Toc184308102"/>
      <w:bookmarkEnd w:id="61"/>
      <w:bookmarkStart w:id="62" w:name="_Toc184308080"/>
      <w:bookmarkEnd w:id="62"/>
      <w:bookmarkStart w:id="63" w:name="_Toc184314482"/>
      <w:bookmarkEnd w:id="63"/>
      <w:bookmarkStart w:id="64" w:name="_Toc184313264"/>
      <w:bookmarkEnd w:id="64"/>
      <w:bookmarkStart w:id="65" w:name="_Toc184314418"/>
      <w:bookmarkEnd w:id="65"/>
      <w:bookmarkStart w:id="66" w:name="_Toc184312088"/>
      <w:bookmarkEnd w:id="66"/>
      <w:bookmarkStart w:id="67" w:name="_Toc184310341"/>
      <w:bookmarkEnd w:id="67"/>
      <w:bookmarkStart w:id="68" w:name="_Toc184310294"/>
      <w:bookmarkEnd w:id="68"/>
      <w:bookmarkStart w:id="69" w:name="_Toc184308068"/>
      <w:bookmarkEnd w:id="69"/>
      <w:bookmarkStart w:id="70" w:name="_Toc184308046"/>
      <w:bookmarkEnd w:id="70"/>
      <w:bookmarkStart w:id="71" w:name="_Toc184310333"/>
      <w:bookmarkEnd w:id="71"/>
      <w:bookmarkStart w:id="72" w:name="_Toc184313283"/>
      <w:bookmarkEnd w:id="72"/>
      <w:bookmarkStart w:id="73" w:name="_Toc184310287"/>
      <w:bookmarkEnd w:id="73"/>
      <w:bookmarkStart w:id="74" w:name="_Toc184313301"/>
      <w:bookmarkEnd w:id="74"/>
      <w:bookmarkStart w:id="75" w:name="_Toc184310282"/>
      <w:bookmarkEnd w:id="75"/>
      <w:bookmarkStart w:id="76" w:name="_Toc184314481"/>
      <w:bookmarkEnd w:id="76"/>
      <w:bookmarkStart w:id="77" w:name="_Toc184312130"/>
      <w:bookmarkEnd w:id="77"/>
      <w:bookmarkStart w:id="78" w:name="_Toc184310310"/>
      <w:bookmarkEnd w:id="78"/>
      <w:bookmarkStart w:id="79" w:name="_Toc184314444"/>
      <w:bookmarkEnd w:id="79"/>
      <w:bookmarkStart w:id="80" w:name="_Toc184313250"/>
      <w:bookmarkEnd w:id="80"/>
      <w:bookmarkStart w:id="81" w:name="_Toc184312129"/>
      <w:bookmarkEnd w:id="81"/>
      <w:bookmarkStart w:id="82" w:name="_Toc184312119"/>
      <w:bookmarkEnd w:id="82"/>
      <w:bookmarkStart w:id="83" w:name="_Toc184310331"/>
      <w:bookmarkEnd w:id="83"/>
      <w:bookmarkStart w:id="84" w:name="_Toc184310286"/>
      <w:bookmarkEnd w:id="84"/>
      <w:bookmarkStart w:id="85" w:name="_Toc184312085"/>
      <w:bookmarkEnd w:id="85"/>
      <w:bookmarkStart w:id="86" w:name="_Toc184310339"/>
      <w:bookmarkEnd w:id="86"/>
      <w:bookmarkStart w:id="87" w:name="_Toc184313247"/>
      <w:bookmarkEnd w:id="87"/>
      <w:bookmarkStart w:id="88" w:name="_Toc184314467"/>
      <w:bookmarkEnd w:id="88"/>
      <w:bookmarkStart w:id="89" w:name="_Toc184314465"/>
      <w:bookmarkEnd w:id="89"/>
      <w:bookmarkStart w:id="90" w:name="_Toc184314451"/>
      <w:bookmarkEnd w:id="90"/>
      <w:bookmarkStart w:id="91" w:name="_Toc184310279"/>
      <w:bookmarkEnd w:id="91"/>
      <w:bookmarkStart w:id="92" w:name="_Toc184312127"/>
      <w:bookmarkEnd w:id="92"/>
      <w:bookmarkStart w:id="93" w:name="_Toc184310308"/>
      <w:bookmarkEnd w:id="93"/>
      <w:bookmarkStart w:id="94" w:name="_Toc184314440"/>
      <w:bookmarkEnd w:id="94"/>
      <w:bookmarkStart w:id="95" w:name="_Toc184314472"/>
      <w:bookmarkEnd w:id="95"/>
      <w:bookmarkStart w:id="96" w:name="_Toc184310318"/>
      <w:bookmarkEnd w:id="96"/>
      <w:bookmarkStart w:id="97" w:name="_Toc184308059"/>
      <w:bookmarkEnd w:id="97"/>
      <w:bookmarkStart w:id="98" w:name="_Toc184314480"/>
      <w:bookmarkEnd w:id="98"/>
      <w:bookmarkStart w:id="99" w:name="_Toc184310342"/>
      <w:bookmarkEnd w:id="99"/>
      <w:bookmarkStart w:id="100" w:name="_Toc184312126"/>
      <w:bookmarkEnd w:id="100"/>
      <w:bookmarkStart w:id="101" w:name="_Toc184312114"/>
      <w:bookmarkEnd w:id="101"/>
      <w:bookmarkStart w:id="102" w:name="_Toc184314420"/>
      <w:bookmarkEnd w:id="102"/>
      <w:bookmarkStart w:id="103" w:name="_Toc184313277"/>
      <w:bookmarkEnd w:id="103"/>
      <w:bookmarkStart w:id="104" w:name="_Toc184314434"/>
      <w:bookmarkEnd w:id="104"/>
      <w:bookmarkStart w:id="105" w:name="_Toc184312134"/>
      <w:bookmarkEnd w:id="105"/>
      <w:bookmarkStart w:id="106" w:name="_Toc184313289"/>
      <w:bookmarkEnd w:id="106"/>
      <w:bookmarkStart w:id="107" w:name="_Toc184310307"/>
      <w:bookmarkEnd w:id="107"/>
      <w:bookmarkStart w:id="108" w:name="_Toc184308040"/>
      <w:bookmarkEnd w:id="108"/>
      <w:bookmarkStart w:id="109" w:name="_Toc184313287"/>
      <w:bookmarkEnd w:id="109"/>
      <w:bookmarkStart w:id="110" w:name="_Toc184308057"/>
      <w:bookmarkEnd w:id="110"/>
      <w:bookmarkStart w:id="111" w:name="_Toc184308078"/>
      <w:bookmarkEnd w:id="111"/>
      <w:bookmarkStart w:id="112" w:name="_Toc184310314"/>
      <w:bookmarkEnd w:id="112"/>
      <w:bookmarkStart w:id="113" w:name="_Toc184310283"/>
      <w:bookmarkEnd w:id="113"/>
      <w:bookmarkStart w:id="114" w:name="_Toc184312084"/>
      <w:bookmarkEnd w:id="114"/>
      <w:bookmarkStart w:id="115" w:name="_Toc184314435"/>
      <w:bookmarkEnd w:id="115"/>
      <w:bookmarkStart w:id="116" w:name="_Toc184312110"/>
      <w:bookmarkEnd w:id="116"/>
      <w:bookmarkStart w:id="117" w:name="_Toc184308098"/>
      <w:bookmarkEnd w:id="117"/>
      <w:bookmarkStart w:id="118" w:name="_Toc184308055"/>
      <w:bookmarkEnd w:id="118"/>
      <w:bookmarkStart w:id="119" w:name="_Toc184314429"/>
      <w:bookmarkEnd w:id="119"/>
      <w:bookmarkStart w:id="120" w:name="_Toc184308037"/>
      <w:bookmarkEnd w:id="120"/>
      <w:bookmarkStart w:id="121" w:name="_Toc184314454"/>
      <w:bookmarkEnd w:id="121"/>
      <w:bookmarkStart w:id="122" w:name="_Toc184308060"/>
      <w:bookmarkEnd w:id="122"/>
      <w:bookmarkStart w:id="123" w:name="_Toc184314425"/>
      <w:bookmarkEnd w:id="123"/>
      <w:bookmarkStart w:id="124" w:name="_Toc184312072"/>
      <w:bookmarkEnd w:id="124"/>
      <w:bookmarkStart w:id="125" w:name="_Toc184312073"/>
      <w:bookmarkEnd w:id="125"/>
      <w:bookmarkStart w:id="126" w:name="_Toc184313243"/>
      <w:bookmarkEnd w:id="126"/>
      <w:bookmarkStart w:id="127" w:name="_Toc184308087"/>
      <w:bookmarkEnd w:id="127"/>
      <w:bookmarkStart w:id="128" w:name="_Toc184310275"/>
      <w:bookmarkEnd w:id="128"/>
      <w:bookmarkStart w:id="129" w:name="_Toc184312068"/>
      <w:bookmarkEnd w:id="129"/>
      <w:bookmarkStart w:id="130" w:name="_Toc184313299"/>
      <w:bookmarkEnd w:id="130"/>
      <w:bookmarkStart w:id="131" w:name="_Toc184313275"/>
      <w:bookmarkEnd w:id="131"/>
      <w:bookmarkStart w:id="132" w:name="_Toc184308049"/>
      <w:bookmarkEnd w:id="132"/>
      <w:bookmarkStart w:id="133" w:name="_Toc184308036"/>
      <w:bookmarkEnd w:id="133"/>
      <w:bookmarkStart w:id="134" w:name="_Toc184312099"/>
      <w:bookmarkEnd w:id="134"/>
      <w:bookmarkStart w:id="135" w:name="_Toc184308061"/>
      <w:bookmarkEnd w:id="135"/>
      <w:bookmarkStart w:id="136" w:name="_Toc184313282"/>
      <w:bookmarkEnd w:id="136"/>
      <w:bookmarkStart w:id="137" w:name="_Toc184313280"/>
      <w:bookmarkEnd w:id="137"/>
      <w:bookmarkStart w:id="138" w:name="_Toc184313258"/>
      <w:bookmarkEnd w:id="138"/>
      <w:bookmarkStart w:id="139" w:name="_Toc184313288"/>
      <w:bookmarkEnd w:id="139"/>
      <w:bookmarkStart w:id="140" w:name="_Toc184308088"/>
      <w:bookmarkEnd w:id="140"/>
      <w:bookmarkStart w:id="141" w:name="_Toc184308096"/>
      <w:bookmarkEnd w:id="141"/>
      <w:bookmarkStart w:id="142" w:name="_Toc184310276"/>
      <w:bookmarkEnd w:id="142"/>
      <w:bookmarkStart w:id="143" w:name="_Toc184310340"/>
      <w:bookmarkEnd w:id="143"/>
      <w:bookmarkStart w:id="144" w:name="_Toc184313305"/>
      <w:bookmarkEnd w:id="144"/>
      <w:bookmarkStart w:id="145" w:name="_Toc184308052"/>
      <w:bookmarkEnd w:id="145"/>
      <w:bookmarkStart w:id="146" w:name="_Toc184313271"/>
      <w:bookmarkEnd w:id="146"/>
      <w:bookmarkStart w:id="147" w:name="_Toc184308100"/>
      <w:bookmarkEnd w:id="147"/>
      <w:bookmarkStart w:id="148" w:name="_Toc184313251"/>
      <w:bookmarkEnd w:id="148"/>
      <w:bookmarkStart w:id="149" w:name="_Toc184313253"/>
      <w:bookmarkEnd w:id="149"/>
      <w:bookmarkStart w:id="150" w:name="_Toc184310273"/>
      <w:bookmarkEnd w:id="150"/>
      <w:bookmarkStart w:id="151" w:name="_Toc184308099"/>
      <w:bookmarkEnd w:id="151"/>
      <w:bookmarkStart w:id="152" w:name="_Toc184314470"/>
      <w:bookmarkEnd w:id="152"/>
      <w:bookmarkStart w:id="153" w:name="_Toc184312091"/>
      <w:bookmarkEnd w:id="153"/>
      <w:bookmarkStart w:id="154" w:name="_Toc184308063"/>
      <w:bookmarkEnd w:id="154"/>
      <w:bookmarkStart w:id="155" w:name="_Toc184314432"/>
      <w:bookmarkEnd w:id="155"/>
      <w:bookmarkStart w:id="156" w:name="_Toc184313293"/>
      <w:bookmarkEnd w:id="156"/>
      <w:bookmarkStart w:id="157" w:name="_Toc184310274"/>
      <w:bookmarkEnd w:id="157"/>
      <w:bookmarkStart w:id="158" w:name="_Toc184308093"/>
      <w:bookmarkEnd w:id="158"/>
      <w:bookmarkStart w:id="159" w:name="_Toc184312109"/>
      <w:bookmarkEnd w:id="159"/>
      <w:bookmarkStart w:id="160" w:name="_Toc184312075"/>
      <w:bookmarkEnd w:id="160"/>
      <w:bookmarkStart w:id="161" w:name="_Toc184310325"/>
      <w:bookmarkEnd w:id="161"/>
      <w:bookmarkStart w:id="162" w:name="_Toc184313281"/>
      <w:bookmarkEnd w:id="162"/>
      <w:bookmarkStart w:id="163" w:name="_Toc184313242"/>
      <w:bookmarkEnd w:id="163"/>
      <w:bookmarkStart w:id="164" w:name="_Toc184310337"/>
      <w:bookmarkEnd w:id="164"/>
      <w:bookmarkStart w:id="165" w:name="_Toc184312103"/>
      <w:bookmarkEnd w:id="165"/>
      <w:bookmarkStart w:id="166" w:name="_Toc184313310"/>
      <w:bookmarkEnd w:id="166"/>
      <w:bookmarkStart w:id="167" w:name="_Toc184312101"/>
      <w:bookmarkEnd w:id="167"/>
      <w:bookmarkStart w:id="168" w:name="_Toc184308076"/>
      <w:bookmarkEnd w:id="168"/>
      <w:bookmarkStart w:id="169" w:name="_Toc184314436"/>
      <w:bookmarkEnd w:id="169"/>
      <w:bookmarkStart w:id="170" w:name="_Toc184313273"/>
      <w:bookmarkEnd w:id="170"/>
      <w:bookmarkStart w:id="171" w:name="_Toc184314427"/>
      <w:bookmarkEnd w:id="171"/>
      <w:bookmarkStart w:id="172" w:name="_Toc184313262"/>
      <w:bookmarkEnd w:id="172"/>
      <w:bookmarkStart w:id="173" w:name="_Toc184314460"/>
      <w:bookmarkEnd w:id="173"/>
      <w:bookmarkStart w:id="174" w:name="_Toc184313256"/>
      <w:bookmarkEnd w:id="174"/>
      <w:bookmarkStart w:id="175" w:name="_Toc184308072"/>
      <w:bookmarkEnd w:id="175"/>
      <w:bookmarkStart w:id="176" w:name="_Toc184310272"/>
      <w:bookmarkEnd w:id="176"/>
      <w:bookmarkStart w:id="177" w:name="_Toc184314448"/>
      <w:bookmarkEnd w:id="177"/>
      <w:bookmarkStart w:id="178" w:name="_Toc184308092"/>
      <w:bookmarkEnd w:id="178"/>
      <w:bookmarkStart w:id="179" w:name="_Toc184310291"/>
      <w:bookmarkEnd w:id="179"/>
      <w:bookmarkStart w:id="180" w:name="_Toc184314476"/>
      <w:bookmarkEnd w:id="180"/>
      <w:bookmarkStart w:id="181" w:name="_Toc184310304"/>
      <w:bookmarkEnd w:id="181"/>
      <w:bookmarkStart w:id="182" w:name="_Toc184308074"/>
      <w:bookmarkEnd w:id="182"/>
      <w:bookmarkStart w:id="183" w:name="_Toc184314414"/>
      <w:bookmarkEnd w:id="183"/>
      <w:bookmarkStart w:id="184" w:name="_Toc184314426"/>
      <w:bookmarkEnd w:id="184"/>
      <w:bookmarkStart w:id="185" w:name="_Toc184312071"/>
      <w:bookmarkEnd w:id="185"/>
      <w:bookmarkStart w:id="186" w:name="_Toc184314457"/>
      <w:bookmarkEnd w:id="186"/>
      <w:bookmarkStart w:id="187" w:name="_Toc184312131"/>
      <w:bookmarkEnd w:id="187"/>
      <w:bookmarkStart w:id="188" w:name="_Toc184308050"/>
      <w:bookmarkEnd w:id="188"/>
      <w:bookmarkStart w:id="189" w:name="_Toc184313239"/>
      <w:bookmarkEnd w:id="189"/>
      <w:bookmarkStart w:id="190" w:name="_Toc184310303"/>
      <w:bookmarkEnd w:id="190"/>
      <w:bookmarkStart w:id="191" w:name="_Toc184308066"/>
      <w:bookmarkEnd w:id="191"/>
      <w:bookmarkStart w:id="192" w:name="_Toc184314439"/>
      <w:bookmarkEnd w:id="192"/>
      <w:bookmarkStart w:id="193" w:name="_Toc184312117"/>
      <w:bookmarkEnd w:id="193"/>
      <w:bookmarkStart w:id="194" w:name="_Toc184314416"/>
      <w:bookmarkEnd w:id="194"/>
      <w:bookmarkStart w:id="195" w:name="_Toc184308064"/>
      <w:bookmarkEnd w:id="195"/>
      <w:bookmarkStart w:id="196" w:name="_Toc184313300"/>
      <w:bookmarkEnd w:id="196"/>
      <w:bookmarkStart w:id="197" w:name="_Toc184308085"/>
      <w:bookmarkEnd w:id="197"/>
      <w:bookmarkStart w:id="198" w:name="_Toc184308089"/>
      <w:bookmarkEnd w:id="198"/>
      <w:bookmarkStart w:id="199" w:name="_Toc184308069"/>
      <w:bookmarkEnd w:id="199"/>
      <w:bookmarkStart w:id="200" w:name="_Toc184313279"/>
      <w:bookmarkEnd w:id="200"/>
      <w:bookmarkStart w:id="201" w:name="_Toc184313238"/>
      <w:bookmarkEnd w:id="201"/>
      <w:bookmarkStart w:id="202" w:name="_Toc184310309"/>
      <w:bookmarkEnd w:id="202"/>
      <w:bookmarkStart w:id="203" w:name="_Toc184312139"/>
      <w:bookmarkEnd w:id="203"/>
      <w:bookmarkStart w:id="204" w:name="_Toc184310327"/>
      <w:bookmarkEnd w:id="204"/>
      <w:bookmarkStart w:id="205" w:name="_Toc184314421"/>
      <w:bookmarkEnd w:id="205"/>
      <w:bookmarkStart w:id="206" w:name="_Toc184314450"/>
      <w:bookmarkEnd w:id="206"/>
      <w:bookmarkStart w:id="207" w:name="_Toc184313276"/>
      <w:bookmarkEnd w:id="207"/>
      <w:bookmarkStart w:id="208" w:name="_Toc184308070"/>
      <w:bookmarkEnd w:id="208"/>
      <w:bookmarkStart w:id="209" w:name="_Toc184310285"/>
      <w:bookmarkEnd w:id="209"/>
      <w:bookmarkStart w:id="210" w:name="_Toc184314415"/>
      <w:bookmarkEnd w:id="210"/>
      <w:bookmarkStart w:id="211" w:name="_Toc184312087"/>
      <w:bookmarkEnd w:id="211"/>
      <w:bookmarkStart w:id="212" w:name="_Toc184310332"/>
      <w:bookmarkEnd w:id="212"/>
      <w:bookmarkStart w:id="213" w:name="_Toc184312138"/>
      <w:bookmarkEnd w:id="213"/>
      <w:bookmarkStart w:id="214" w:name="_Toc184313265"/>
      <w:bookmarkEnd w:id="214"/>
      <w:bookmarkStart w:id="215" w:name="_Toc184310278"/>
      <w:bookmarkEnd w:id="215"/>
      <w:bookmarkStart w:id="216" w:name="_Toc184308065"/>
      <w:bookmarkEnd w:id="216"/>
      <w:bookmarkStart w:id="217" w:name="_Toc184314468"/>
      <w:bookmarkEnd w:id="217"/>
      <w:bookmarkStart w:id="218" w:name="_Toc184314443"/>
      <w:bookmarkEnd w:id="218"/>
      <w:bookmarkStart w:id="219" w:name="_Toc184312122"/>
      <w:bookmarkEnd w:id="219"/>
      <w:bookmarkStart w:id="220" w:name="_Toc184313303"/>
      <w:bookmarkEnd w:id="220"/>
      <w:bookmarkStart w:id="221" w:name="_Toc184313259"/>
      <w:bookmarkEnd w:id="221"/>
      <w:bookmarkStart w:id="222" w:name="_Toc184312118"/>
      <w:bookmarkEnd w:id="222"/>
      <w:bookmarkStart w:id="223" w:name="_Toc184313244"/>
      <w:bookmarkEnd w:id="223"/>
      <w:bookmarkStart w:id="224" w:name="_Toc184313294"/>
      <w:bookmarkEnd w:id="224"/>
      <w:bookmarkStart w:id="225" w:name="_Toc184312128"/>
      <w:bookmarkEnd w:id="225"/>
      <w:bookmarkStart w:id="226" w:name="_Toc184312098"/>
      <w:bookmarkEnd w:id="226"/>
      <w:bookmarkStart w:id="227" w:name="_Toc184310315"/>
      <w:bookmarkEnd w:id="227"/>
      <w:bookmarkStart w:id="228" w:name="_Toc184312074"/>
      <w:bookmarkEnd w:id="228"/>
      <w:bookmarkStart w:id="229" w:name="_Toc184312082"/>
      <w:bookmarkEnd w:id="229"/>
      <w:bookmarkStart w:id="230" w:name="_Toc184313306"/>
      <w:bookmarkEnd w:id="230"/>
      <w:bookmarkStart w:id="231" w:name="_Toc184308079"/>
      <w:bookmarkEnd w:id="231"/>
      <w:bookmarkStart w:id="232" w:name="_Toc184308041"/>
      <w:bookmarkEnd w:id="232"/>
      <w:bookmarkStart w:id="233" w:name="_Toc184312107"/>
      <w:bookmarkEnd w:id="233"/>
      <w:bookmarkStart w:id="234" w:name="_Toc184313268"/>
      <w:bookmarkEnd w:id="234"/>
      <w:bookmarkStart w:id="235" w:name="_Toc184312070"/>
      <w:bookmarkEnd w:id="235"/>
      <w:bookmarkStart w:id="236" w:name="_Toc184312079"/>
      <w:bookmarkEnd w:id="236"/>
      <w:bookmarkStart w:id="237" w:name="_Toc184314466"/>
      <w:bookmarkEnd w:id="237"/>
      <w:bookmarkStart w:id="238" w:name="_Toc184310330"/>
      <w:bookmarkEnd w:id="238"/>
      <w:bookmarkStart w:id="239" w:name="_Toc184314441"/>
      <w:bookmarkEnd w:id="239"/>
      <w:bookmarkStart w:id="240" w:name="_Toc184313260"/>
      <w:bookmarkEnd w:id="240"/>
      <w:bookmarkStart w:id="241" w:name="_Toc184308097"/>
      <w:bookmarkEnd w:id="241"/>
      <w:bookmarkStart w:id="242" w:name="_Toc184308108"/>
      <w:bookmarkEnd w:id="242"/>
      <w:bookmarkStart w:id="243" w:name="_Toc184310288"/>
      <w:bookmarkEnd w:id="243"/>
      <w:bookmarkStart w:id="244" w:name="_Toc184312097"/>
      <w:bookmarkEnd w:id="244"/>
      <w:bookmarkStart w:id="245" w:name="_Toc184312077"/>
      <w:bookmarkEnd w:id="245"/>
      <w:bookmarkStart w:id="246" w:name="_Toc184313309"/>
      <w:bookmarkEnd w:id="246"/>
      <w:bookmarkStart w:id="247" w:name="_Toc184310326"/>
      <w:bookmarkEnd w:id="247"/>
      <w:bookmarkStart w:id="248" w:name="_Toc184313308"/>
      <w:bookmarkEnd w:id="248"/>
      <w:bookmarkStart w:id="249" w:name="_Toc184312108"/>
      <w:bookmarkEnd w:id="249"/>
      <w:bookmarkStart w:id="250" w:name="_Toc184313284"/>
      <w:bookmarkEnd w:id="250"/>
      <w:bookmarkStart w:id="251" w:name="_Toc184308038"/>
      <w:bookmarkEnd w:id="251"/>
      <w:bookmarkStart w:id="252" w:name="_Toc184313266"/>
      <w:bookmarkEnd w:id="252"/>
      <w:bookmarkStart w:id="253" w:name="_Toc184310329"/>
      <w:bookmarkEnd w:id="253"/>
      <w:bookmarkStart w:id="254" w:name="_Toc184314446"/>
      <w:bookmarkEnd w:id="254"/>
      <w:bookmarkStart w:id="255" w:name="_Toc184308043"/>
      <w:bookmarkEnd w:id="255"/>
      <w:bookmarkStart w:id="256" w:name="_Toc184310311"/>
      <w:bookmarkEnd w:id="256"/>
      <w:bookmarkStart w:id="257" w:name="_Toc184308101"/>
      <w:bookmarkEnd w:id="257"/>
      <w:bookmarkStart w:id="258" w:name="_Toc184310280"/>
      <w:bookmarkEnd w:id="258"/>
      <w:bookmarkStart w:id="259" w:name="_Toc184313241"/>
      <w:bookmarkEnd w:id="259"/>
      <w:bookmarkStart w:id="260" w:name="_Toc184312086"/>
      <w:bookmarkEnd w:id="260"/>
      <w:bookmarkStart w:id="261" w:name="_Toc184308054"/>
      <w:bookmarkEnd w:id="261"/>
      <w:bookmarkStart w:id="262" w:name="_Toc184310312"/>
      <w:bookmarkEnd w:id="262"/>
      <w:bookmarkStart w:id="263" w:name="_Toc184308083"/>
      <w:bookmarkEnd w:id="263"/>
      <w:bookmarkStart w:id="264" w:name="_Toc184313290"/>
      <w:bookmarkEnd w:id="264"/>
      <w:bookmarkStart w:id="265" w:name="_Toc184310281"/>
      <w:bookmarkEnd w:id="265"/>
      <w:bookmarkStart w:id="266" w:name="_Toc184308062"/>
      <w:bookmarkEnd w:id="266"/>
      <w:bookmarkStart w:id="267" w:name="_Toc184310334"/>
      <w:bookmarkEnd w:id="267"/>
      <w:bookmarkStart w:id="268" w:name="_Toc184308044"/>
      <w:bookmarkEnd w:id="268"/>
      <w:bookmarkStart w:id="269" w:name="_Toc184314417"/>
      <w:bookmarkEnd w:id="269"/>
      <w:bookmarkStart w:id="270" w:name="_Toc184310321"/>
      <w:bookmarkEnd w:id="270"/>
      <w:bookmarkStart w:id="271" w:name="_Toc184313291"/>
      <w:bookmarkEnd w:id="271"/>
      <w:bookmarkStart w:id="272" w:name="_Toc184314411"/>
      <w:bookmarkEnd w:id="272"/>
      <w:bookmarkStart w:id="273" w:name="_Toc184313298"/>
      <w:bookmarkEnd w:id="273"/>
      <w:bookmarkStart w:id="274" w:name="_Toc184310293"/>
      <w:bookmarkEnd w:id="274"/>
      <w:bookmarkStart w:id="275" w:name="_Toc184312094"/>
      <w:bookmarkEnd w:id="275"/>
      <w:bookmarkStart w:id="276" w:name="_Toc184308082"/>
      <w:bookmarkEnd w:id="276"/>
      <w:bookmarkStart w:id="277" w:name="_Toc184313274"/>
      <w:bookmarkEnd w:id="277"/>
      <w:bookmarkStart w:id="278" w:name="_Toc184313263"/>
      <w:bookmarkEnd w:id="278"/>
      <w:bookmarkStart w:id="279" w:name="_Toc184308053"/>
      <w:bookmarkEnd w:id="279"/>
      <w:bookmarkStart w:id="280" w:name="_Toc184312067"/>
      <w:bookmarkEnd w:id="280"/>
      <w:bookmarkStart w:id="281" w:name="_Toc184314413"/>
      <w:bookmarkEnd w:id="281"/>
      <w:bookmarkStart w:id="282" w:name="_Toc184308084"/>
      <w:bookmarkEnd w:id="282"/>
      <w:bookmarkStart w:id="283" w:name="_Toc184312115"/>
      <w:bookmarkEnd w:id="283"/>
      <w:bookmarkStart w:id="284" w:name="_Toc184310317"/>
      <w:bookmarkEnd w:id="284"/>
      <w:bookmarkStart w:id="285" w:name="_Toc184312137"/>
      <w:bookmarkEnd w:id="285"/>
      <w:bookmarkStart w:id="286" w:name="_Toc184313246"/>
      <w:bookmarkEnd w:id="286"/>
      <w:bookmarkStart w:id="287" w:name="_Toc184308106"/>
      <w:bookmarkEnd w:id="287"/>
      <w:bookmarkStart w:id="288" w:name="_Toc184312124"/>
      <w:bookmarkEnd w:id="288"/>
      <w:bookmarkStart w:id="289" w:name="_Toc184313245"/>
      <w:bookmarkEnd w:id="289"/>
      <w:bookmarkStart w:id="290" w:name="_Toc184314464"/>
      <w:bookmarkEnd w:id="290"/>
      <w:bookmarkStart w:id="291" w:name="_Toc184312090"/>
      <w:bookmarkEnd w:id="291"/>
      <w:bookmarkStart w:id="292" w:name="_Toc184314437"/>
      <w:bookmarkEnd w:id="292"/>
      <w:bookmarkStart w:id="293" w:name="_Toc184313272"/>
      <w:bookmarkEnd w:id="293"/>
      <w:bookmarkStart w:id="294" w:name="_Toc184313255"/>
      <w:bookmarkEnd w:id="294"/>
      <w:bookmarkStart w:id="295" w:name="_Toc184312078"/>
      <w:bookmarkEnd w:id="295"/>
      <w:bookmarkStart w:id="296" w:name="_Toc184312106"/>
      <w:bookmarkEnd w:id="296"/>
      <w:bookmarkStart w:id="297" w:name="_Toc184313252"/>
      <w:bookmarkEnd w:id="297"/>
      <w:bookmarkStart w:id="298" w:name="_Toc184310290"/>
      <w:bookmarkEnd w:id="298"/>
      <w:bookmarkStart w:id="299" w:name="_Toc184314412"/>
      <w:bookmarkEnd w:id="299"/>
      <w:bookmarkStart w:id="300" w:name="_Toc184313292"/>
      <w:bookmarkEnd w:id="300"/>
      <w:bookmarkStart w:id="301" w:name="_Toc184308058"/>
      <w:bookmarkEnd w:id="301"/>
      <w:bookmarkStart w:id="302" w:name="_Toc184314462"/>
      <w:bookmarkEnd w:id="302"/>
      <w:bookmarkStart w:id="303" w:name="_Toc184313295"/>
      <w:bookmarkEnd w:id="303"/>
      <w:bookmarkStart w:id="304" w:name="_Toc184310313"/>
      <w:bookmarkEnd w:id="304"/>
      <w:bookmarkStart w:id="305" w:name="_Toc184312083"/>
      <w:bookmarkEnd w:id="305"/>
      <w:bookmarkStart w:id="306" w:name="_Toc184314447"/>
      <w:bookmarkEnd w:id="306"/>
      <w:bookmarkStart w:id="307" w:name="_Toc184312133"/>
      <w:bookmarkEnd w:id="307"/>
      <w:bookmarkStart w:id="308" w:name="_Toc184312132"/>
      <w:bookmarkEnd w:id="308"/>
      <w:bookmarkStart w:id="309" w:name="_Toc184314477"/>
      <w:bookmarkEnd w:id="309"/>
      <w:bookmarkStart w:id="310" w:name="_Toc184310338"/>
      <w:bookmarkEnd w:id="310"/>
      <w:bookmarkStart w:id="311" w:name="_Toc184314410"/>
      <w:bookmarkEnd w:id="311"/>
      <w:bookmarkStart w:id="312" w:name="_Toc184312093"/>
      <w:bookmarkEnd w:id="312"/>
      <w:bookmarkStart w:id="313" w:name="_Toc184310319"/>
      <w:bookmarkEnd w:id="313"/>
      <w:bookmarkStart w:id="314" w:name="_Toc184310323"/>
      <w:bookmarkEnd w:id="314"/>
      <w:bookmarkStart w:id="315" w:name="_Toc184310343"/>
      <w:bookmarkEnd w:id="315"/>
      <w:bookmarkStart w:id="316" w:name="_Toc184314474"/>
      <w:bookmarkEnd w:id="316"/>
      <w:bookmarkStart w:id="317" w:name="_Toc184310301"/>
      <w:bookmarkEnd w:id="317"/>
      <w:bookmarkStart w:id="318" w:name="_Toc184308086"/>
      <w:bookmarkEnd w:id="318"/>
      <w:bookmarkStart w:id="319" w:name="_Toc184314456"/>
      <w:bookmarkEnd w:id="319"/>
      <w:bookmarkStart w:id="320" w:name="_Toc184312096"/>
      <w:bookmarkEnd w:id="320"/>
      <w:bookmarkStart w:id="321" w:name="_Toc184313297"/>
      <w:bookmarkEnd w:id="321"/>
      <w:bookmarkStart w:id="322" w:name="_Toc184312080"/>
      <w:bookmarkEnd w:id="322"/>
      <w:bookmarkStart w:id="323" w:name="_Toc184310299"/>
      <w:bookmarkEnd w:id="323"/>
      <w:bookmarkStart w:id="324" w:name="_Toc184313302"/>
      <w:bookmarkEnd w:id="324"/>
      <w:bookmarkStart w:id="325" w:name="_Toc184312123"/>
      <w:bookmarkEnd w:id="325"/>
      <w:bookmarkStart w:id="326" w:name="_Toc184312135"/>
      <w:bookmarkEnd w:id="326"/>
      <w:bookmarkStart w:id="327" w:name="_Toc184314452"/>
      <w:bookmarkEnd w:id="327"/>
      <w:bookmarkStart w:id="328" w:name="_Toc184312089"/>
      <w:bookmarkEnd w:id="328"/>
      <w:bookmarkStart w:id="329" w:name="_Toc184312102"/>
      <w:bookmarkEnd w:id="329"/>
      <w:bookmarkStart w:id="330" w:name="_Toc184308105"/>
      <w:bookmarkEnd w:id="330"/>
      <w:bookmarkStart w:id="331" w:name="_Toc184308073"/>
      <w:bookmarkEnd w:id="331"/>
      <w:bookmarkStart w:id="332" w:name="_Toc184312111"/>
      <w:bookmarkEnd w:id="332"/>
      <w:bookmarkStart w:id="333" w:name="_Toc184313248"/>
      <w:bookmarkEnd w:id="333"/>
      <w:bookmarkStart w:id="334" w:name="_Toc184310292"/>
      <w:bookmarkEnd w:id="334"/>
      <w:bookmarkStart w:id="335" w:name="_Toc184310296"/>
      <w:bookmarkEnd w:id="335"/>
      <w:bookmarkStart w:id="336" w:name="_Toc184313285"/>
      <w:bookmarkEnd w:id="336"/>
      <w:bookmarkStart w:id="337" w:name="_Toc184313304"/>
      <w:bookmarkEnd w:id="337"/>
      <w:bookmarkStart w:id="338" w:name="_Toc184314431"/>
      <w:bookmarkEnd w:id="338"/>
      <w:bookmarkStart w:id="339" w:name="_Toc184314438"/>
      <w:bookmarkEnd w:id="339"/>
      <w:bookmarkStart w:id="340" w:name="_Toc184314430"/>
      <w:bookmarkEnd w:id="340"/>
      <w:bookmarkStart w:id="341" w:name="_Toc184308090"/>
      <w:bookmarkEnd w:id="341"/>
      <w:bookmarkStart w:id="342" w:name="_Toc184308107"/>
      <w:bookmarkEnd w:id="342"/>
      <w:bookmarkStart w:id="343" w:name="_Toc184308051"/>
      <w:bookmarkEnd w:id="343"/>
      <w:bookmarkStart w:id="344" w:name="_Toc184314461"/>
      <w:bookmarkEnd w:id="344"/>
      <w:bookmarkStart w:id="345" w:name="_Toc184312120"/>
      <w:bookmarkEnd w:id="345"/>
      <w:bookmarkStart w:id="346" w:name="_Toc184312112"/>
      <w:bookmarkEnd w:id="346"/>
      <w:bookmarkStart w:id="347" w:name="_Toc184312121"/>
      <w:bookmarkEnd w:id="347"/>
      <w:bookmarkStart w:id="348" w:name="_Toc184313267"/>
      <w:bookmarkEnd w:id="348"/>
      <w:bookmarkStart w:id="349" w:name="_Toc184313296"/>
      <w:bookmarkEnd w:id="349"/>
      <w:bookmarkStart w:id="350" w:name="_Toc184314424"/>
      <w:bookmarkEnd w:id="350"/>
      <w:bookmarkStart w:id="351" w:name="_Toc184308095"/>
      <w:bookmarkEnd w:id="351"/>
      <w:bookmarkStart w:id="352" w:name="_Toc184314445"/>
      <w:bookmarkEnd w:id="352"/>
      <w:bookmarkStart w:id="353" w:name="_Toc184314433"/>
      <w:bookmarkEnd w:id="353"/>
      <w:bookmarkStart w:id="354" w:name="_Toc184314419"/>
      <w:bookmarkEnd w:id="354"/>
      <w:bookmarkStart w:id="355" w:name="_Toc184308042"/>
      <w:bookmarkEnd w:id="355"/>
      <w:bookmarkStart w:id="356" w:name="_Toc184308104"/>
      <w:bookmarkEnd w:id="356"/>
      <w:bookmarkStart w:id="357" w:name="_Toc184310284"/>
      <w:bookmarkEnd w:id="357"/>
      <w:bookmarkStart w:id="358" w:name="_Toc184310335"/>
      <w:bookmarkEnd w:id="358"/>
      <w:bookmarkStart w:id="359" w:name="_Toc184310324"/>
      <w:bookmarkEnd w:id="359"/>
      <w:bookmarkStart w:id="360" w:name="_Toc184312105"/>
      <w:bookmarkEnd w:id="360"/>
      <w:bookmarkStart w:id="361" w:name="_Toc184308047"/>
      <w:bookmarkEnd w:id="361"/>
      <w:bookmarkStart w:id="362" w:name="_Toc184312116"/>
      <w:bookmarkEnd w:id="362"/>
      <w:bookmarkStart w:id="363" w:name="_Toc184314463"/>
      <w:bookmarkEnd w:id="363"/>
      <w:bookmarkStart w:id="364" w:name="_Toc184308103"/>
      <w:bookmarkEnd w:id="364"/>
      <w:bookmarkStart w:id="365" w:name="_Toc184312076"/>
      <w:bookmarkEnd w:id="365"/>
      <w:bookmarkStart w:id="366" w:name="_Toc184310344"/>
      <w:bookmarkEnd w:id="366"/>
      <w:bookmarkStart w:id="367" w:name="_Toc184308071"/>
      <w:bookmarkEnd w:id="367"/>
      <w:bookmarkStart w:id="368" w:name="_Toc184313270"/>
      <w:bookmarkEnd w:id="368"/>
      <w:bookmarkStart w:id="369" w:name="_Toc184312092"/>
      <w:bookmarkEnd w:id="369"/>
      <w:bookmarkStart w:id="370" w:name="_Toc184312095"/>
      <w:bookmarkEnd w:id="370"/>
      <w:bookmarkStart w:id="371" w:name="_Toc184314442"/>
      <w:bookmarkEnd w:id="371"/>
      <w:bookmarkStart w:id="372" w:name="_Toc184310277"/>
      <w:bookmarkEnd w:id="372"/>
      <w:bookmarkStart w:id="373" w:name="_Toc184310297"/>
      <w:bookmarkEnd w:id="373"/>
      <w:bookmarkStart w:id="374" w:name="_Toc184310302"/>
      <w:bookmarkEnd w:id="374"/>
      <w:bookmarkStart w:id="375" w:name="_Toc184310322"/>
      <w:bookmarkEnd w:id="375"/>
      <w:bookmarkStart w:id="376" w:name="_Toc184314471"/>
      <w:bookmarkEnd w:id="376"/>
      <w:bookmarkStart w:id="377" w:name="_Toc184313240"/>
      <w:bookmarkEnd w:id="377"/>
      <w:bookmarkStart w:id="378" w:name="_Toc184312136"/>
      <w:bookmarkEnd w:id="378"/>
      <w:bookmarkStart w:id="379" w:name="_Toc184308094"/>
      <w:bookmarkEnd w:id="379"/>
      <w:bookmarkStart w:id="380" w:name="_Toc184310300"/>
      <w:bookmarkEnd w:id="380"/>
      <w:bookmarkStart w:id="381" w:name="_Toc184314459"/>
      <w:bookmarkEnd w:id="381"/>
      <w:bookmarkStart w:id="382" w:name="_Toc184308075"/>
      <w:bookmarkEnd w:id="382"/>
      <w:bookmarkStart w:id="383" w:name="_Toc184313257"/>
      <w:bookmarkEnd w:id="383"/>
      <w:bookmarkStart w:id="384" w:name="_Toc184310298"/>
      <w:bookmarkEnd w:id="384"/>
      <w:bookmarkStart w:id="385" w:name="_Toc184312104"/>
      <w:bookmarkEnd w:id="385"/>
      <w:bookmarkStart w:id="386" w:name="_Toc184313278"/>
      <w:bookmarkEnd w:id="386"/>
      <w:bookmarkStart w:id="387" w:name="_Toc184310295"/>
      <w:bookmarkEnd w:id="387"/>
      <w:bookmarkStart w:id="388" w:name="_Toc184314428"/>
      <w:bookmarkEnd w:id="388"/>
      <w:bookmarkStart w:id="389" w:name="_Toc184314449"/>
      <w:bookmarkEnd w:id="389"/>
      <w:bookmarkStart w:id="390" w:name="_Toc184314423"/>
      <w:bookmarkEnd w:id="390"/>
      <w:bookmarkStart w:id="391" w:name="_Toc184312113"/>
      <w:bookmarkEnd w:id="391"/>
      <w:bookmarkStart w:id="392" w:name="_Toc184314458"/>
      <w:bookmarkEnd w:id="392"/>
      <w:bookmarkStart w:id="393" w:name="_Toc184308081"/>
      <w:bookmarkEnd w:id="393"/>
      <w:bookmarkStart w:id="394" w:name="_Toc184308067"/>
      <w:bookmarkEnd w:id="394"/>
      <w:bookmarkStart w:id="395" w:name="_Toc184314473"/>
      <w:bookmarkEnd w:id="395"/>
      <w:bookmarkStart w:id="396" w:name="_Toc184313307"/>
      <w:bookmarkEnd w:id="396"/>
      <w:r>
        <w:rPr>
          <w:rFonts w:hint="eastAsia" w:ascii="宋体" w:hAnsi="宋体" w:cs="宋体"/>
          <w:b/>
          <w:color w:val="auto"/>
          <w:sz w:val="36"/>
          <w:szCs w:val="20"/>
          <w:highlight w:val="none"/>
        </w:rPr>
        <w:t xml:space="preserve"> 评审办法</w:t>
      </w:r>
    </w:p>
    <w:p w14:paraId="44F1DFB3">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2"/>
        <w:tblW w:w="9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7554"/>
        <w:gridCol w:w="957"/>
      </w:tblGrid>
      <w:tr w14:paraId="3E506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10" w:type="dxa"/>
            <w:vAlign w:val="center"/>
          </w:tcPr>
          <w:p w14:paraId="1BBAB0FF">
            <w:pPr>
              <w:snapToGrid w:val="0"/>
              <w:spacing w:line="240" w:lineRule="auto"/>
              <w:jc w:val="center"/>
              <w:outlineLvl w:val="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序号</w:t>
            </w:r>
          </w:p>
        </w:tc>
        <w:tc>
          <w:tcPr>
            <w:tcW w:w="7554" w:type="dxa"/>
            <w:vAlign w:val="center"/>
          </w:tcPr>
          <w:p w14:paraId="62C26179">
            <w:pPr>
              <w:snapToGrid w:val="0"/>
              <w:spacing w:line="240" w:lineRule="auto"/>
              <w:jc w:val="center"/>
              <w:outlineLvl w:val="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评审标准</w:t>
            </w:r>
          </w:p>
        </w:tc>
        <w:tc>
          <w:tcPr>
            <w:tcW w:w="957" w:type="dxa"/>
            <w:vAlign w:val="center"/>
          </w:tcPr>
          <w:p w14:paraId="33ECC44C">
            <w:pPr>
              <w:snapToGrid w:val="0"/>
              <w:spacing w:line="240" w:lineRule="auto"/>
              <w:jc w:val="center"/>
              <w:outlineLvl w:val="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权重</w:t>
            </w:r>
          </w:p>
        </w:tc>
      </w:tr>
      <w:tr w14:paraId="547B2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910" w:type="dxa"/>
            <w:vAlign w:val="center"/>
          </w:tcPr>
          <w:p w14:paraId="71B20CFD">
            <w:pPr>
              <w:snapToGrid w:val="0"/>
              <w:spacing w:line="24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554" w:type="dxa"/>
            <w:shd w:val="clear" w:color="auto" w:fill="auto"/>
            <w:vAlign w:val="center"/>
          </w:tcPr>
          <w:p w14:paraId="5DF97F6E">
            <w:pPr>
              <w:spacing w:line="240" w:lineRule="auto"/>
              <w:jc w:val="left"/>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客观分</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rPr>
              <w:t>供应商自2022年1月1日【合同签订时间为准】以来承担过同类项目业绩，一项工程得1分，最高得1分。</w:t>
            </w:r>
          </w:p>
          <w:p w14:paraId="2EDEA257">
            <w:pPr>
              <w:spacing w:line="240" w:lineRule="auto"/>
              <w:jc w:val="left"/>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证明材料：施工合同复印件（加盖公章），未提供或提供资料不完整的均不得分。</w:t>
            </w:r>
          </w:p>
        </w:tc>
        <w:tc>
          <w:tcPr>
            <w:tcW w:w="957" w:type="dxa"/>
            <w:shd w:val="clear" w:color="auto" w:fill="auto"/>
            <w:vAlign w:val="center"/>
          </w:tcPr>
          <w:p w14:paraId="2E1E150E">
            <w:pPr>
              <w:spacing w:line="24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r>
      <w:tr w14:paraId="305CF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910" w:type="dxa"/>
            <w:vAlign w:val="center"/>
          </w:tcPr>
          <w:p w14:paraId="38009E07">
            <w:pPr>
              <w:snapToGrid w:val="0"/>
              <w:spacing w:line="24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554" w:type="dxa"/>
            <w:shd w:val="clear" w:color="auto" w:fill="auto"/>
            <w:vAlign w:val="center"/>
          </w:tcPr>
          <w:p w14:paraId="255847C1">
            <w:pPr>
              <w:spacing w:line="240" w:lineRule="auto"/>
              <w:jc w:val="left"/>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客观分</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rPr>
              <w:t>供应商具备有效质量体系认证证书得1分，具备有效环境管理体系认证证书得1分，具备有效职业健康安全管理体系认证证书得1分。（须提供证书复印件并加盖公章、国家市场监督管理总局全国认证认可信息服务公共平台（www.cnca.gov.cn）的查询截图，原件备查）</w:t>
            </w:r>
          </w:p>
        </w:tc>
        <w:tc>
          <w:tcPr>
            <w:tcW w:w="957" w:type="dxa"/>
            <w:shd w:val="clear" w:color="auto" w:fill="auto"/>
            <w:vAlign w:val="center"/>
          </w:tcPr>
          <w:p w14:paraId="6F10A833">
            <w:pPr>
              <w:spacing w:line="24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p>
        </w:tc>
      </w:tr>
      <w:tr w14:paraId="7B35F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910" w:type="dxa"/>
            <w:vAlign w:val="center"/>
          </w:tcPr>
          <w:p w14:paraId="23662879">
            <w:pPr>
              <w:snapToGrid w:val="0"/>
              <w:spacing w:line="24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554" w:type="dxa"/>
            <w:shd w:val="clear" w:color="auto" w:fill="auto"/>
            <w:vAlign w:val="center"/>
          </w:tcPr>
          <w:p w14:paraId="45347065">
            <w:pPr>
              <w:spacing w:line="240" w:lineRule="auto"/>
              <w:jc w:val="left"/>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客观分</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rPr>
              <w:t>项目经理、技术负责人的到位率承诺，承诺到位率100%的得2分，90%（含）-100%得1分，90%以下不得分。（提供承诺函，格式自拟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tc>
        <w:tc>
          <w:tcPr>
            <w:tcW w:w="957" w:type="dxa"/>
            <w:shd w:val="clear" w:color="auto" w:fill="auto"/>
            <w:vAlign w:val="center"/>
          </w:tcPr>
          <w:p w14:paraId="40435D5B">
            <w:pPr>
              <w:spacing w:line="24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p>
        </w:tc>
      </w:tr>
      <w:tr w14:paraId="1B3D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910" w:type="dxa"/>
            <w:vAlign w:val="center"/>
          </w:tcPr>
          <w:p w14:paraId="36C91601">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7554" w:type="dxa"/>
            <w:shd w:val="clear" w:color="auto" w:fill="auto"/>
            <w:vAlign w:val="center"/>
          </w:tcPr>
          <w:p w14:paraId="7491F4CD">
            <w:pPr>
              <w:spacing w:line="240" w:lineRule="auto"/>
              <w:jc w:val="left"/>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客观分</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rPr>
              <w:t>拟派项目经理具有中级工程师</w:t>
            </w:r>
            <w:r>
              <w:rPr>
                <w:rFonts w:hint="eastAsia" w:ascii="宋体" w:hAnsi="宋体" w:eastAsia="宋体" w:cs="宋体"/>
                <w:color w:val="auto"/>
                <w:sz w:val="24"/>
                <w:szCs w:val="24"/>
                <w:highlight w:val="none"/>
                <w:lang w:val="en-US" w:eastAsia="zh-CN"/>
              </w:rPr>
              <w:t>及以上</w:t>
            </w:r>
            <w:r>
              <w:rPr>
                <w:rFonts w:hint="eastAsia" w:ascii="宋体" w:hAnsi="宋体" w:eastAsia="宋体" w:cs="宋体"/>
                <w:color w:val="auto"/>
                <w:sz w:val="24"/>
                <w:szCs w:val="24"/>
                <w:highlight w:val="none"/>
              </w:rPr>
              <w:t>职称的得2分，其余不得分。(证明材料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职称证书复印件并提供投标单位近三月任意一月</w:t>
            </w:r>
            <w:r>
              <w:rPr>
                <w:rFonts w:hint="eastAsia" w:ascii="宋体" w:hAnsi="宋体" w:eastAsia="宋体" w:cs="宋体"/>
                <w:color w:val="auto"/>
                <w:sz w:val="24"/>
                <w:szCs w:val="24"/>
                <w:highlight w:val="none"/>
                <w:lang w:val="en-US" w:eastAsia="zh-CN"/>
              </w:rPr>
              <w:t>为其</w:t>
            </w:r>
            <w:r>
              <w:rPr>
                <w:rFonts w:hint="eastAsia" w:ascii="宋体" w:hAnsi="宋体" w:eastAsia="宋体" w:cs="宋体"/>
                <w:color w:val="auto"/>
                <w:sz w:val="24"/>
                <w:szCs w:val="24"/>
                <w:highlight w:val="none"/>
              </w:rPr>
              <w:t>缴纳社保的证明资料原件的扫描件并加盖投标单位公章)</w:t>
            </w:r>
          </w:p>
        </w:tc>
        <w:tc>
          <w:tcPr>
            <w:tcW w:w="957" w:type="dxa"/>
            <w:shd w:val="clear" w:color="auto" w:fill="auto"/>
            <w:vAlign w:val="center"/>
          </w:tcPr>
          <w:p w14:paraId="7552F529">
            <w:pPr>
              <w:spacing w:line="24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p>
        </w:tc>
      </w:tr>
      <w:tr w14:paraId="7BE70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910" w:type="dxa"/>
            <w:vAlign w:val="center"/>
          </w:tcPr>
          <w:p w14:paraId="038DD88C">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554" w:type="dxa"/>
            <w:shd w:val="clear" w:color="auto" w:fill="auto"/>
            <w:vAlign w:val="center"/>
          </w:tcPr>
          <w:p w14:paraId="43DEFCA7">
            <w:pPr>
              <w:spacing w:line="240" w:lineRule="auto"/>
              <w:jc w:val="left"/>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派驻现场的人员的配置情况：包括①内部管理制度如何满足本工程的施工的要求②团队实施人员配置合理性，人员经验、技术能力进行评分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评分范围</w:t>
            </w:r>
            <w:r>
              <w:rPr>
                <w:rFonts w:hint="eastAsia" w:ascii="宋体" w:hAnsi="宋体" w:eastAsia="宋体" w:cs="宋体"/>
                <w:color w:val="auto"/>
                <w:sz w:val="24"/>
                <w:szCs w:val="24"/>
                <w:highlight w:val="none"/>
              </w:rPr>
              <w:t>：5,4,3,2,1,0</w:t>
            </w:r>
            <w:r>
              <w:rPr>
                <w:rFonts w:hint="eastAsia" w:ascii="宋体" w:hAnsi="宋体" w:eastAsia="宋体" w:cs="宋体"/>
                <w:color w:val="auto"/>
                <w:sz w:val="24"/>
                <w:szCs w:val="24"/>
                <w:highlight w:val="none"/>
                <w:lang w:eastAsia="zh-CN"/>
              </w:rPr>
              <w:t>）</w:t>
            </w:r>
          </w:p>
        </w:tc>
        <w:tc>
          <w:tcPr>
            <w:tcW w:w="957" w:type="dxa"/>
            <w:shd w:val="clear" w:color="auto" w:fill="auto"/>
            <w:vAlign w:val="center"/>
          </w:tcPr>
          <w:p w14:paraId="3057364F">
            <w:pPr>
              <w:spacing w:line="24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w:t>
            </w:r>
          </w:p>
        </w:tc>
      </w:tr>
      <w:tr w14:paraId="6651B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910" w:type="dxa"/>
            <w:vAlign w:val="center"/>
          </w:tcPr>
          <w:p w14:paraId="74CC0D9F">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7554" w:type="dxa"/>
            <w:shd w:val="clear" w:color="auto" w:fill="auto"/>
            <w:vAlign w:val="center"/>
          </w:tcPr>
          <w:p w14:paraId="37451927">
            <w:pPr>
              <w:spacing w:line="240" w:lineRule="auto"/>
              <w:jc w:val="left"/>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根据供应商对于项目背景、概况、目的准确理解和把握情况进行评分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评分范围</w:t>
            </w:r>
            <w:r>
              <w:rPr>
                <w:rFonts w:hint="eastAsia" w:ascii="宋体" w:hAnsi="宋体" w:eastAsia="宋体" w:cs="宋体"/>
                <w:color w:val="auto"/>
                <w:sz w:val="24"/>
                <w:szCs w:val="24"/>
                <w:highlight w:val="none"/>
              </w:rPr>
              <w:t>：5,4,3,2,1,0</w:t>
            </w:r>
            <w:r>
              <w:rPr>
                <w:rFonts w:hint="eastAsia" w:ascii="宋体" w:hAnsi="宋体" w:eastAsia="宋体" w:cs="宋体"/>
                <w:color w:val="auto"/>
                <w:sz w:val="24"/>
                <w:szCs w:val="24"/>
                <w:highlight w:val="none"/>
                <w:lang w:eastAsia="zh-CN"/>
              </w:rPr>
              <w:t>）</w:t>
            </w:r>
          </w:p>
        </w:tc>
        <w:tc>
          <w:tcPr>
            <w:tcW w:w="957" w:type="dxa"/>
            <w:shd w:val="clear" w:color="auto" w:fill="auto"/>
            <w:vAlign w:val="center"/>
          </w:tcPr>
          <w:p w14:paraId="58D22930">
            <w:pPr>
              <w:spacing w:line="24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w:t>
            </w:r>
          </w:p>
        </w:tc>
      </w:tr>
      <w:tr w14:paraId="02EBE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910" w:type="dxa"/>
            <w:vAlign w:val="center"/>
          </w:tcPr>
          <w:p w14:paraId="2182F1AC">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7554" w:type="dxa"/>
            <w:shd w:val="clear" w:color="auto" w:fill="auto"/>
            <w:vAlign w:val="center"/>
          </w:tcPr>
          <w:p w14:paraId="62899FEC">
            <w:pPr>
              <w:spacing w:line="240" w:lineRule="auto"/>
              <w:jc w:val="left"/>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施工组织设计总体方案的科学性、完整性、合理性进行评分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评分范围</w:t>
            </w:r>
            <w:r>
              <w:rPr>
                <w:rFonts w:hint="eastAsia" w:ascii="宋体" w:hAnsi="宋体" w:eastAsia="宋体" w:cs="宋体"/>
                <w:color w:val="auto"/>
                <w:sz w:val="24"/>
                <w:szCs w:val="24"/>
                <w:highlight w:val="none"/>
              </w:rPr>
              <w:t>：5,4,3,2,1,0</w:t>
            </w:r>
            <w:r>
              <w:rPr>
                <w:rFonts w:hint="eastAsia" w:ascii="宋体" w:hAnsi="宋体" w:eastAsia="宋体" w:cs="宋体"/>
                <w:color w:val="auto"/>
                <w:sz w:val="24"/>
                <w:szCs w:val="24"/>
                <w:highlight w:val="none"/>
                <w:lang w:eastAsia="zh-CN"/>
              </w:rPr>
              <w:t>）</w:t>
            </w:r>
          </w:p>
        </w:tc>
        <w:tc>
          <w:tcPr>
            <w:tcW w:w="957" w:type="dxa"/>
            <w:shd w:val="clear" w:color="auto" w:fill="auto"/>
            <w:vAlign w:val="center"/>
          </w:tcPr>
          <w:p w14:paraId="7AB0E37E">
            <w:pPr>
              <w:spacing w:line="24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w:t>
            </w:r>
          </w:p>
        </w:tc>
      </w:tr>
      <w:tr w14:paraId="5E7E2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910" w:type="dxa"/>
            <w:vAlign w:val="center"/>
          </w:tcPr>
          <w:p w14:paraId="210D068E">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7554" w:type="dxa"/>
            <w:shd w:val="clear" w:color="auto" w:fill="auto"/>
            <w:vAlign w:val="center"/>
          </w:tcPr>
          <w:p w14:paraId="0C4BCD1C">
            <w:pPr>
              <w:spacing w:line="240" w:lineRule="auto"/>
              <w:jc w:val="left"/>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施工总平面布置情况：是否符合施工现场实际情况，施工总平面安排是否科学合理，符合本工程施工实际要求。根据材料堆场、施工用水用电、施工通道的安排和施工人员住宿安排计划是否科学性、合理性进行评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评分范围</w:t>
            </w:r>
            <w:r>
              <w:rPr>
                <w:rFonts w:hint="eastAsia" w:ascii="宋体" w:hAnsi="宋体" w:eastAsia="宋体" w:cs="宋体"/>
                <w:color w:val="auto"/>
                <w:sz w:val="24"/>
                <w:szCs w:val="24"/>
                <w:highlight w:val="none"/>
              </w:rPr>
              <w:t>：5,4,3,2,1,0</w:t>
            </w:r>
            <w:r>
              <w:rPr>
                <w:rFonts w:hint="eastAsia" w:ascii="宋体" w:hAnsi="宋体" w:eastAsia="宋体" w:cs="宋体"/>
                <w:color w:val="auto"/>
                <w:sz w:val="24"/>
                <w:szCs w:val="24"/>
                <w:highlight w:val="none"/>
                <w:lang w:eastAsia="zh-CN"/>
              </w:rPr>
              <w:t>）</w:t>
            </w:r>
          </w:p>
        </w:tc>
        <w:tc>
          <w:tcPr>
            <w:tcW w:w="957" w:type="dxa"/>
            <w:shd w:val="clear" w:color="auto" w:fill="auto"/>
            <w:vAlign w:val="center"/>
          </w:tcPr>
          <w:p w14:paraId="2F022FDF">
            <w:pPr>
              <w:spacing w:line="24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w:t>
            </w:r>
          </w:p>
        </w:tc>
      </w:tr>
      <w:tr w14:paraId="7F4B2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910" w:type="dxa"/>
            <w:vAlign w:val="center"/>
          </w:tcPr>
          <w:p w14:paraId="2E27DB62">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7554" w:type="dxa"/>
            <w:shd w:val="clear" w:color="auto" w:fill="auto"/>
            <w:vAlign w:val="center"/>
          </w:tcPr>
          <w:p w14:paraId="2936E43B">
            <w:pPr>
              <w:spacing w:line="240" w:lineRule="auto"/>
              <w:jc w:val="left"/>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拟投入主要材料表所选用材料的品质、性能、档次是否满足采购文件要求的程度进行评分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评分范围</w:t>
            </w:r>
            <w:r>
              <w:rPr>
                <w:rFonts w:hint="eastAsia" w:ascii="宋体" w:hAnsi="宋体" w:eastAsia="宋体" w:cs="宋体"/>
                <w:color w:val="auto"/>
                <w:sz w:val="24"/>
                <w:szCs w:val="24"/>
                <w:highlight w:val="none"/>
              </w:rPr>
              <w:t>：5,4,3,2,1,0</w:t>
            </w:r>
            <w:r>
              <w:rPr>
                <w:rFonts w:hint="eastAsia" w:ascii="宋体" w:hAnsi="宋体" w:eastAsia="宋体" w:cs="宋体"/>
                <w:color w:val="auto"/>
                <w:sz w:val="24"/>
                <w:szCs w:val="24"/>
                <w:highlight w:val="none"/>
                <w:lang w:eastAsia="zh-CN"/>
              </w:rPr>
              <w:t>）</w:t>
            </w:r>
          </w:p>
        </w:tc>
        <w:tc>
          <w:tcPr>
            <w:tcW w:w="957" w:type="dxa"/>
            <w:shd w:val="clear" w:color="auto" w:fill="auto"/>
            <w:vAlign w:val="center"/>
          </w:tcPr>
          <w:p w14:paraId="652F1820">
            <w:pPr>
              <w:spacing w:line="24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w:t>
            </w:r>
          </w:p>
        </w:tc>
      </w:tr>
      <w:tr w14:paraId="6C2A9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910" w:type="dxa"/>
            <w:vAlign w:val="center"/>
          </w:tcPr>
          <w:p w14:paraId="793711A8">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7554" w:type="dxa"/>
            <w:shd w:val="clear" w:color="auto" w:fill="auto"/>
            <w:vAlign w:val="center"/>
          </w:tcPr>
          <w:p w14:paraId="4AA04B6D">
            <w:pPr>
              <w:spacing w:line="240" w:lineRule="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拟投入的主要施工机械设备：包括①机械设备数量②主要施工机械进场计划等的满足性和合理性进行评分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评分范围</w:t>
            </w:r>
            <w:r>
              <w:rPr>
                <w:rFonts w:hint="eastAsia" w:ascii="宋体" w:hAnsi="宋体" w:eastAsia="宋体" w:cs="宋体"/>
                <w:color w:val="auto"/>
                <w:sz w:val="24"/>
                <w:szCs w:val="24"/>
                <w:highlight w:val="none"/>
              </w:rPr>
              <w:t>：5,4,3,2,1,0</w:t>
            </w:r>
            <w:r>
              <w:rPr>
                <w:rFonts w:hint="eastAsia" w:ascii="宋体" w:hAnsi="宋体" w:eastAsia="宋体" w:cs="宋体"/>
                <w:color w:val="auto"/>
                <w:sz w:val="24"/>
                <w:szCs w:val="24"/>
                <w:highlight w:val="none"/>
                <w:lang w:eastAsia="zh-CN"/>
              </w:rPr>
              <w:t>）</w:t>
            </w:r>
          </w:p>
        </w:tc>
        <w:tc>
          <w:tcPr>
            <w:tcW w:w="957" w:type="dxa"/>
            <w:shd w:val="clear" w:color="auto" w:fill="auto"/>
            <w:vAlign w:val="center"/>
          </w:tcPr>
          <w:p w14:paraId="35B537FB">
            <w:pPr>
              <w:spacing w:line="24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w:t>
            </w:r>
          </w:p>
        </w:tc>
      </w:tr>
      <w:tr w14:paraId="37E4D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910" w:type="dxa"/>
            <w:vAlign w:val="center"/>
          </w:tcPr>
          <w:p w14:paraId="70EF156C">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7554" w:type="dxa"/>
            <w:shd w:val="clear" w:color="auto" w:fill="auto"/>
            <w:vAlign w:val="center"/>
          </w:tcPr>
          <w:p w14:paraId="0936AA0A">
            <w:pPr>
              <w:spacing w:line="240" w:lineRule="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质量管理体系和保障措施：包括主要工序质量技术保证措施及手段，自控体系完整，能有效保证技术质量，达到承诺的质量标准；严禁使用（利旧）其他工程的材料的相关承诺及措施，对措施的科学性及合理性进行评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评分范围</w:t>
            </w:r>
            <w:r>
              <w:rPr>
                <w:rFonts w:hint="eastAsia" w:ascii="宋体" w:hAnsi="宋体" w:eastAsia="宋体" w:cs="宋体"/>
                <w:color w:val="auto"/>
                <w:sz w:val="24"/>
                <w:szCs w:val="24"/>
                <w:highlight w:val="none"/>
              </w:rPr>
              <w:t>：5,4,3,2,1,0</w:t>
            </w:r>
            <w:r>
              <w:rPr>
                <w:rFonts w:hint="eastAsia" w:ascii="宋体" w:hAnsi="宋体" w:eastAsia="宋体" w:cs="宋体"/>
                <w:color w:val="auto"/>
                <w:sz w:val="24"/>
                <w:szCs w:val="24"/>
                <w:highlight w:val="none"/>
                <w:lang w:eastAsia="zh-CN"/>
              </w:rPr>
              <w:t>）</w:t>
            </w:r>
          </w:p>
        </w:tc>
        <w:tc>
          <w:tcPr>
            <w:tcW w:w="957" w:type="dxa"/>
            <w:shd w:val="clear" w:color="auto" w:fill="auto"/>
            <w:vAlign w:val="center"/>
          </w:tcPr>
          <w:p w14:paraId="1726DF95">
            <w:pPr>
              <w:spacing w:line="24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w:t>
            </w:r>
          </w:p>
        </w:tc>
      </w:tr>
      <w:tr w14:paraId="74214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910" w:type="dxa"/>
            <w:vAlign w:val="center"/>
          </w:tcPr>
          <w:p w14:paraId="69CCBA4E">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7554" w:type="dxa"/>
            <w:shd w:val="clear" w:color="auto" w:fill="auto"/>
            <w:vAlign w:val="center"/>
          </w:tcPr>
          <w:p w14:paraId="278B397B">
            <w:pPr>
              <w:spacing w:line="240" w:lineRule="auto"/>
              <w:jc w:val="left"/>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安全施工措施、文明施工措施，对方案的完善性及针对性进行评分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评分范围</w:t>
            </w:r>
            <w:r>
              <w:rPr>
                <w:rFonts w:hint="eastAsia" w:ascii="宋体" w:hAnsi="宋体" w:eastAsia="宋体" w:cs="宋体"/>
                <w:color w:val="auto"/>
                <w:sz w:val="24"/>
                <w:szCs w:val="24"/>
                <w:highlight w:val="none"/>
              </w:rPr>
              <w:t>：5,4,3,2,1,0</w:t>
            </w:r>
            <w:r>
              <w:rPr>
                <w:rFonts w:hint="eastAsia" w:ascii="宋体" w:hAnsi="宋体" w:eastAsia="宋体" w:cs="宋体"/>
                <w:color w:val="auto"/>
                <w:sz w:val="24"/>
                <w:szCs w:val="24"/>
                <w:highlight w:val="none"/>
                <w:lang w:eastAsia="zh-CN"/>
              </w:rPr>
              <w:t>）</w:t>
            </w:r>
          </w:p>
        </w:tc>
        <w:tc>
          <w:tcPr>
            <w:tcW w:w="957" w:type="dxa"/>
            <w:shd w:val="clear" w:color="auto" w:fill="auto"/>
            <w:vAlign w:val="center"/>
          </w:tcPr>
          <w:p w14:paraId="538F5DEF">
            <w:pPr>
              <w:spacing w:line="24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w:t>
            </w:r>
          </w:p>
        </w:tc>
      </w:tr>
      <w:tr w14:paraId="7ADF7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910" w:type="dxa"/>
            <w:vAlign w:val="center"/>
          </w:tcPr>
          <w:p w14:paraId="75C686C4">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7554" w:type="dxa"/>
            <w:shd w:val="clear" w:color="auto" w:fill="auto"/>
            <w:vAlign w:val="center"/>
          </w:tcPr>
          <w:p w14:paraId="09062E32">
            <w:pPr>
              <w:spacing w:line="240" w:lineRule="auto"/>
              <w:jc w:val="left"/>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环境保护措施，噪音控制措施科学性、合理性进行评分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评分范围</w:t>
            </w:r>
            <w:r>
              <w:rPr>
                <w:rFonts w:hint="eastAsia" w:ascii="宋体" w:hAnsi="宋体" w:eastAsia="宋体" w:cs="宋体"/>
                <w:color w:val="auto"/>
                <w:sz w:val="24"/>
                <w:szCs w:val="24"/>
                <w:highlight w:val="none"/>
              </w:rPr>
              <w:t>：5,4,3,2,1,0</w:t>
            </w:r>
            <w:r>
              <w:rPr>
                <w:rFonts w:hint="eastAsia" w:ascii="宋体" w:hAnsi="宋体" w:eastAsia="宋体" w:cs="宋体"/>
                <w:color w:val="auto"/>
                <w:sz w:val="24"/>
                <w:szCs w:val="24"/>
                <w:highlight w:val="none"/>
                <w:lang w:eastAsia="zh-CN"/>
              </w:rPr>
              <w:t>）</w:t>
            </w:r>
          </w:p>
        </w:tc>
        <w:tc>
          <w:tcPr>
            <w:tcW w:w="957" w:type="dxa"/>
            <w:shd w:val="clear" w:color="auto" w:fill="auto"/>
            <w:vAlign w:val="center"/>
          </w:tcPr>
          <w:p w14:paraId="002C77A9">
            <w:pPr>
              <w:spacing w:line="24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w:t>
            </w:r>
          </w:p>
        </w:tc>
      </w:tr>
      <w:tr w14:paraId="43F27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10" w:type="dxa"/>
            <w:vAlign w:val="center"/>
          </w:tcPr>
          <w:p w14:paraId="004747EB">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7554" w:type="dxa"/>
            <w:shd w:val="clear" w:color="auto" w:fill="auto"/>
            <w:vAlign w:val="center"/>
          </w:tcPr>
          <w:p w14:paraId="468BAF87">
            <w:pPr>
              <w:spacing w:line="240" w:lineRule="auto"/>
              <w:jc w:val="left"/>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安全事故应急处理预案,对措预防措施的合理性及应急处理预案的可行性进行评分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评分范围</w:t>
            </w:r>
            <w:r>
              <w:rPr>
                <w:rFonts w:hint="eastAsia" w:ascii="宋体" w:hAnsi="宋体" w:eastAsia="宋体" w:cs="宋体"/>
                <w:color w:val="auto"/>
                <w:sz w:val="24"/>
                <w:szCs w:val="24"/>
                <w:highlight w:val="none"/>
              </w:rPr>
              <w:t>：5,4,3,2,1,0</w:t>
            </w:r>
            <w:r>
              <w:rPr>
                <w:rFonts w:hint="eastAsia" w:ascii="宋体" w:hAnsi="宋体" w:eastAsia="宋体" w:cs="宋体"/>
                <w:color w:val="auto"/>
                <w:sz w:val="24"/>
                <w:szCs w:val="24"/>
                <w:highlight w:val="none"/>
                <w:lang w:eastAsia="zh-CN"/>
              </w:rPr>
              <w:t>）</w:t>
            </w:r>
          </w:p>
        </w:tc>
        <w:tc>
          <w:tcPr>
            <w:tcW w:w="957" w:type="dxa"/>
            <w:shd w:val="clear" w:color="auto" w:fill="auto"/>
            <w:vAlign w:val="center"/>
          </w:tcPr>
          <w:p w14:paraId="4994D56D">
            <w:pPr>
              <w:spacing w:line="24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w:t>
            </w:r>
          </w:p>
        </w:tc>
      </w:tr>
      <w:tr w14:paraId="0B993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910" w:type="dxa"/>
            <w:vAlign w:val="center"/>
          </w:tcPr>
          <w:p w14:paraId="00554EBB">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7554" w:type="dxa"/>
            <w:shd w:val="clear" w:color="auto" w:fill="auto"/>
            <w:vAlign w:val="center"/>
          </w:tcPr>
          <w:p w14:paraId="0D4C9871">
            <w:pPr>
              <w:spacing w:line="240" w:lineRule="auto"/>
              <w:jc w:val="left"/>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服从采购人协调情况、统一管理及配合措施，根据措施的全面性、科学性、合理性及针对性、可操作性进行评分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评分范围</w:t>
            </w:r>
            <w:r>
              <w:rPr>
                <w:rFonts w:hint="eastAsia" w:ascii="宋体" w:hAnsi="宋体" w:eastAsia="宋体" w:cs="宋体"/>
                <w:color w:val="auto"/>
                <w:sz w:val="24"/>
                <w:szCs w:val="24"/>
                <w:highlight w:val="none"/>
              </w:rPr>
              <w:t>：5,4,3,2,1,0</w:t>
            </w:r>
            <w:r>
              <w:rPr>
                <w:rFonts w:hint="eastAsia" w:ascii="宋体" w:hAnsi="宋体" w:eastAsia="宋体" w:cs="宋体"/>
                <w:color w:val="auto"/>
                <w:sz w:val="24"/>
                <w:szCs w:val="24"/>
                <w:highlight w:val="none"/>
                <w:lang w:eastAsia="zh-CN"/>
              </w:rPr>
              <w:t>）</w:t>
            </w:r>
          </w:p>
        </w:tc>
        <w:tc>
          <w:tcPr>
            <w:tcW w:w="957" w:type="dxa"/>
            <w:shd w:val="clear" w:color="auto" w:fill="auto"/>
            <w:vAlign w:val="center"/>
          </w:tcPr>
          <w:p w14:paraId="068BD813">
            <w:pPr>
              <w:spacing w:line="24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w:t>
            </w:r>
          </w:p>
        </w:tc>
      </w:tr>
      <w:tr w14:paraId="14B17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910" w:type="dxa"/>
            <w:vAlign w:val="center"/>
          </w:tcPr>
          <w:p w14:paraId="5D3F634F">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7554" w:type="dxa"/>
            <w:shd w:val="clear" w:color="auto" w:fill="auto"/>
            <w:vAlign w:val="center"/>
          </w:tcPr>
          <w:p w14:paraId="0F26A186">
            <w:pPr>
              <w:spacing w:line="240" w:lineRule="auto"/>
              <w:jc w:val="left"/>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成品保护，工程完工后的精细保洁方案及保证措施：根据措施的全面性、科学性、合理性及针对性、可操作性进行评分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评分范围</w:t>
            </w:r>
            <w:r>
              <w:rPr>
                <w:rFonts w:hint="eastAsia" w:ascii="宋体" w:hAnsi="宋体" w:eastAsia="宋体" w:cs="宋体"/>
                <w:color w:val="auto"/>
                <w:sz w:val="24"/>
                <w:szCs w:val="24"/>
                <w:highlight w:val="none"/>
              </w:rPr>
              <w:t>：5,4,3,2,1,0</w:t>
            </w:r>
            <w:r>
              <w:rPr>
                <w:rFonts w:hint="eastAsia" w:ascii="宋体" w:hAnsi="宋体" w:eastAsia="宋体" w:cs="宋体"/>
                <w:color w:val="auto"/>
                <w:sz w:val="24"/>
                <w:szCs w:val="24"/>
                <w:highlight w:val="none"/>
                <w:lang w:eastAsia="zh-CN"/>
              </w:rPr>
              <w:t>）</w:t>
            </w:r>
          </w:p>
        </w:tc>
        <w:tc>
          <w:tcPr>
            <w:tcW w:w="957" w:type="dxa"/>
            <w:shd w:val="clear" w:color="auto" w:fill="auto"/>
            <w:vAlign w:val="center"/>
          </w:tcPr>
          <w:p w14:paraId="1117D7E5">
            <w:pPr>
              <w:spacing w:line="24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w:t>
            </w:r>
          </w:p>
        </w:tc>
      </w:tr>
      <w:tr w14:paraId="0AB1D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910" w:type="dxa"/>
            <w:vAlign w:val="center"/>
          </w:tcPr>
          <w:p w14:paraId="457972B1">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7554" w:type="dxa"/>
            <w:shd w:val="clear" w:color="auto" w:fill="auto"/>
            <w:vAlign w:val="center"/>
          </w:tcPr>
          <w:p w14:paraId="5B020B9A">
            <w:pPr>
              <w:spacing w:line="240" w:lineRule="auto"/>
              <w:jc w:val="left"/>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工程保修期、维护响应时间，根据工程保修期承诺情况和保修期内维护响应时间的及时性、合理性进行评分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评分范围</w:t>
            </w:r>
            <w:r>
              <w:rPr>
                <w:rFonts w:hint="eastAsia" w:ascii="宋体" w:hAnsi="宋体" w:eastAsia="宋体" w:cs="宋体"/>
                <w:color w:val="auto"/>
                <w:sz w:val="24"/>
                <w:szCs w:val="24"/>
                <w:highlight w:val="none"/>
              </w:rPr>
              <w:t>：5,4,3,2,1,0</w:t>
            </w:r>
            <w:r>
              <w:rPr>
                <w:rFonts w:hint="eastAsia" w:ascii="宋体" w:hAnsi="宋体" w:eastAsia="宋体" w:cs="宋体"/>
                <w:color w:val="auto"/>
                <w:sz w:val="24"/>
                <w:szCs w:val="24"/>
                <w:highlight w:val="none"/>
                <w:lang w:eastAsia="zh-CN"/>
              </w:rPr>
              <w:t>）</w:t>
            </w:r>
          </w:p>
        </w:tc>
        <w:tc>
          <w:tcPr>
            <w:tcW w:w="957" w:type="dxa"/>
            <w:shd w:val="clear" w:color="auto" w:fill="auto"/>
            <w:vAlign w:val="center"/>
          </w:tcPr>
          <w:p w14:paraId="34B71D2D">
            <w:pPr>
              <w:spacing w:line="24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w:t>
            </w:r>
          </w:p>
        </w:tc>
      </w:tr>
      <w:tr w14:paraId="649E2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910" w:type="dxa"/>
            <w:vAlign w:val="center"/>
          </w:tcPr>
          <w:p w14:paraId="655A171B">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7554" w:type="dxa"/>
            <w:shd w:val="clear" w:color="auto" w:fill="auto"/>
            <w:vAlign w:val="center"/>
          </w:tcPr>
          <w:p w14:paraId="38809672">
            <w:pPr>
              <w:spacing w:line="240" w:lineRule="auto"/>
              <w:jc w:val="left"/>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根据供应商提供的包括但不限于技术优化方案、项目合理化建议的合理性及针对性、可操作性进行评分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评分范围</w:t>
            </w:r>
            <w:r>
              <w:rPr>
                <w:rFonts w:hint="eastAsia" w:ascii="宋体" w:hAnsi="宋体" w:eastAsia="宋体" w:cs="宋体"/>
                <w:color w:val="auto"/>
                <w:sz w:val="24"/>
                <w:szCs w:val="24"/>
                <w:highlight w:val="none"/>
              </w:rPr>
              <w:t>：5,4,3,2,1,0</w:t>
            </w:r>
            <w:r>
              <w:rPr>
                <w:rFonts w:hint="eastAsia" w:ascii="宋体" w:hAnsi="宋体" w:eastAsia="宋体" w:cs="宋体"/>
                <w:color w:val="auto"/>
                <w:sz w:val="24"/>
                <w:szCs w:val="24"/>
                <w:highlight w:val="none"/>
                <w:lang w:eastAsia="zh-CN"/>
              </w:rPr>
              <w:t>）</w:t>
            </w:r>
          </w:p>
        </w:tc>
        <w:tc>
          <w:tcPr>
            <w:tcW w:w="957" w:type="dxa"/>
            <w:shd w:val="clear" w:color="auto" w:fill="auto"/>
            <w:vAlign w:val="center"/>
          </w:tcPr>
          <w:p w14:paraId="1F609D78">
            <w:pPr>
              <w:spacing w:line="24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w:t>
            </w:r>
          </w:p>
        </w:tc>
      </w:tr>
      <w:tr w14:paraId="4738A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910" w:type="dxa"/>
            <w:vAlign w:val="center"/>
          </w:tcPr>
          <w:p w14:paraId="3FFFAC19">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7554" w:type="dxa"/>
            <w:shd w:val="clear" w:color="auto" w:fill="auto"/>
            <w:vAlign w:val="center"/>
          </w:tcPr>
          <w:p w14:paraId="5738BE9A">
            <w:pPr>
              <w:spacing w:line="240" w:lineRule="auto"/>
              <w:jc w:val="left"/>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根据投标人优惠承诺对采购人是否切实有利，可行性进行评分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评分范围</w:t>
            </w:r>
            <w:r>
              <w:rPr>
                <w:rFonts w:hint="eastAsia" w:ascii="宋体" w:hAnsi="宋体" w:eastAsia="宋体" w:cs="宋体"/>
                <w:color w:val="auto"/>
                <w:sz w:val="24"/>
                <w:szCs w:val="24"/>
                <w:highlight w:val="none"/>
              </w:rPr>
              <w:t>：2,1,0</w:t>
            </w:r>
            <w:r>
              <w:rPr>
                <w:rFonts w:hint="eastAsia" w:ascii="宋体" w:hAnsi="宋体" w:eastAsia="宋体" w:cs="宋体"/>
                <w:color w:val="auto"/>
                <w:sz w:val="24"/>
                <w:szCs w:val="24"/>
                <w:highlight w:val="none"/>
                <w:lang w:eastAsia="zh-CN"/>
              </w:rPr>
              <w:t>）</w:t>
            </w:r>
          </w:p>
        </w:tc>
        <w:tc>
          <w:tcPr>
            <w:tcW w:w="957" w:type="dxa"/>
            <w:shd w:val="clear" w:color="auto" w:fill="auto"/>
            <w:vAlign w:val="center"/>
          </w:tcPr>
          <w:p w14:paraId="1C7F6940">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p>
        </w:tc>
      </w:tr>
      <w:tr w14:paraId="7CEBD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trPr>
        <w:tc>
          <w:tcPr>
            <w:tcW w:w="910" w:type="dxa"/>
            <w:vAlign w:val="center"/>
          </w:tcPr>
          <w:p w14:paraId="6B16B352">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7554" w:type="dxa"/>
            <w:shd w:val="clear" w:color="auto" w:fill="auto"/>
            <w:vAlign w:val="center"/>
          </w:tcPr>
          <w:p w14:paraId="136C0A06">
            <w:pPr>
              <w:spacing w:line="240" w:lineRule="auto"/>
              <w:jc w:val="both"/>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有效投标报价的最低价作为评审基准价，其最低报价为满分；按［投标报价得分=（评审基准价/投标最后报价）*20］的计算公式计算。</w:t>
            </w:r>
          </w:p>
          <w:p w14:paraId="094A68FD">
            <w:pPr>
              <w:spacing w:line="240" w:lineRule="auto"/>
              <w:jc w:val="both"/>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评审过程中，不得去掉报价中的最高报价和最低报价。</w:t>
            </w:r>
          </w:p>
          <w:p w14:paraId="68FDEB3B">
            <w:pPr>
              <w:spacing w:line="240" w:lineRule="auto"/>
              <w:jc w:val="both"/>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因落实政府采购政策需要进行价格调整的，以调整后的价格计算评审基准价和投标报价。</w:t>
            </w:r>
          </w:p>
        </w:tc>
        <w:tc>
          <w:tcPr>
            <w:tcW w:w="957" w:type="dxa"/>
            <w:shd w:val="clear" w:color="auto" w:fill="auto"/>
            <w:vAlign w:val="center"/>
          </w:tcPr>
          <w:p w14:paraId="014EADDB">
            <w:pPr>
              <w:spacing w:line="24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20</w:t>
            </w:r>
          </w:p>
        </w:tc>
      </w:tr>
    </w:tbl>
    <w:p w14:paraId="649929C5">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供应商编制响应文件（商务技术文件部分）时，建议按此目录（序号和内容）提供评审标准相应的商务技术资料。 </w:t>
      </w:r>
    </w:p>
    <w:p w14:paraId="04E72F14">
      <w:pPr>
        <w:jc w:val="left"/>
        <w:rPr>
          <w:rFonts w:ascii="宋体" w:hAnsi="宋体" w:cs="宋体"/>
          <w:b/>
          <w:color w:val="auto"/>
          <w:sz w:val="32"/>
          <w:highlight w:val="none"/>
        </w:rPr>
      </w:pPr>
      <w:r>
        <w:rPr>
          <w:rFonts w:hint="eastAsia" w:ascii="宋体" w:hAnsi="宋体" w:cs="宋体"/>
          <w:b/>
          <w:color w:val="auto"/>
          <w:sz w:val="32"/>
          <w:highlight w:val="none"/>
        </w:rPr>
        <w:br w:type="page"/>
      </w:r>
    </w:p>
    <w:p w14:paraId="59A6739C">
      <w:pPr>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32"/>
          <w:highlight w:val="none"/>
        </w:rPr>
        <w:t>一、评审方法</w:t>
      </w:r>
    </w:p>
    <w:p w14:paraId="727B403E">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14:paraId="329961E0">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二、评审标准</w:t>
      </w:r>
    </w:p>
    <w:p w14:paraId="3C7B6167">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见评审办法前附表。</w:t>
      </w:r>
    </w:p>
    <w:p w14:paraId="3D8D13A9">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三、评审程序</w:t>
      </w:r>
    </w:p>
    <w:p w14:paraId="2A4534B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7A2294A8">
      <w:pP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14:paraId="568FEE4F">
      <w:pPr>
        <w:spacing w:line="360" w:lineRule="auto"/>
        <w:ind w:firstLine="470" w:firstLineChars="196"/>
        <w:rPr>
          <w:rFonts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p>
    <w:p w14:paraId="13BC66E9">
      <w:pP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22B51E6F">
      <w:pP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 xml:space="preserve">3.2.3 </w:t>
      </w:r>
      <w:r>
        <w:rPr>
          <w:rFonts w:hint="eastAsia" w:ascii="宋体" w:hAnsi="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highlight w:val="none"/>
        </w:rPr>
        <w:t>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3FCEFEA9">
      <w:pP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14:paraId="76AA48B2">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4826F5B6">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FBB8E6E">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3.3.3 已提交响应文件的供应商，在提交最后报价之前，可以根据磋商情况退出磋商</w:t>
      </w:r>
    </w:p>
    <w:p w14:paraId="7248A4C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022056D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14:paraId="2E8AE83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14:paraId="086E29FB">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14:paraId="05F728D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14:paraId="508757C4">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14:paraId="004C5B64">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14:paraId="54215E9C">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14:paraId="39BD845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14:paraId="6D30809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14:paraId="6979036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14:paraId="0829ED08">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1B9D62B9">
      <w:pPr>
        <w:spacing w:line="360" w:lineRule="auto"/>
        <w:ind w:firstLine="482" w:firstLineChars="200"/>
        <w:rPr>
          <w:rFonts w:hint="eastAsia" w:ascii="宋体" w:hAnsi="宋体" w:eastAsia="宋体" w:cs="宋体"/>
          <w:b/>
          <w:color w:val="auto"/>
          <w:kern w:val="0"/>
          <w:sz w:val="24"/>
          <w:highlight w:val="none"/>
          <w:lang w:eastAsia="zh-CN"/>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3家</w:t>
      </w:r>
      <w:r>
        <w:rPr>
          <w:rFonts w:hint="eastAsia" w:ascii="宋体" w:hAnsi="宋体" w:cs="宋体"/>
          <w:color w:val="auto"/>
          <w:kern w:val="0"/>
          <w:sz w:val="24"/>
          <w:highlight w:val="none"/>
          <w:lang w:val="en" w:eastAsia="zh-CN"/>
        </w:rPr>
        <w:t>。</w:t>
      </w:r>
    </w:p>
    <w:p w14:paraId="19D4E22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3595AE04">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四、评审中的其他事项</w:t>
      </w:r>
    </w:p>
    <w:p w14:paraId="70B31F9F">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5CDF513">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14:paraId="4CA92A2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14:paraId="77E94D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14:paraId="0AF713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5F1753E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14:paraId="4A95F87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4.2.5响应文件中承诺的响应文件有效期少于采购文件中载明的响应文件有效期的；</w:t>
      </w:r>
    </w:p>
    <w:p w14:paraId="2AD0E0FF">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4.2.6响应文件出现不是唯一的、有选择性最后报价的</w:t>
      </w:r>
      <w:r>
        <w:rPr>
          <w:rFonts w:hint="eastAsia" w:ascii="宋体" w:hAnsi="宋体" w:cs="宋体"/>
          <w:color w:val="auto"/>
          <w:kern w:val="0"/>
          <w:sz w:val="24"/>
          <w:highlight w:val="none"/>
          <w:lang w:eastAsia="zh-CN"/>
        </w:rPr>
        <w:t>；</w:t>
      </w:r>
    </w:p>
    <w:p w14:paraId="2B072C84">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4.2.7最后报价超过采购文件中规定的预算金额或者最高限价的</w:t>
      </w:r>
      <w:r>
        <w:rPr>
          <w:rFonts w:hint="eastAsia" w:ascii="宋体" w:hAnsi="宋体" w:cs="宋体"/>
          <w:color w:val="auto"/>
          <w:kern w:val="0"/>
          <w:sz w:val="24"/>
          <w:highlight w:val="none"/>
          <w:lang w:eastAsia="zh-CN"/>
        </w:rPr>
        <w:t>；</w:t>
      </w:r>
    </w:p>
    <w:p w14:paraId="573604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供应商对根据修正原则修正后的报价不确认的；</w:t>
      </w:r>
    </w:p>
    <w:p w14:paraId="21A58F2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供应商提供虚假材料响应的；</w:t>
      </w:r>
    </w:p>
    <w:p w14:paraId="6F73B47F">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供应商有恶意串通、妨碍其他供应商的竞争行为、损害采购人或者其他供应商的合法权益情形的；</w:t>
      </w:r>
    </w:p>
    <w:p w14:paraId="08DA81A6">
      <w:pPr>
        <w:pStyle w:val="79"/>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4.2.11</w:t>
      </w:r>
      <w:r>
        <w:rPr>
          <w:rFonts w:hint="eastAsia" w:ascii="宋体" w:hAnsi="宋体" w:eastAsia="宋体" w:cs="宋体"/>
          <w:color w:val="auto"/>
          <w:kern w:val="0"/>
          <w:sz w:val="24"/>
          <w:szCs w:val="24"/>
          <w:highlight w:val="none"/>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58C3A58">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供应商仅提交备份响应文件，未在电子交易平台传输递交响应文件的，响应文件无效；</w:t>
      </w:r>
    </w:p>
    <w:p w14:paraId="35C199B1">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 xml:space="preserve"> 响应文件不满足采购文件的其它实质性要求的；</w:t>
      </w:r>
    </w:p>
    <w:p w14:paraId="076A9A0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30ED4E3">
      <w:pPr>
        <w:pStyle w:val="25"/>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14:paraId="1D98EE14">
      <w:pPr>
        <w:pStyle w:val="25"/>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14:paraId="448EE4DC">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00CFEE9F">
      <w:pPr>
        <w:pStyle w:val="25"/>
        <w:snapToGrid w:val="0"/>
        <w:spacing w:line="360" w:lineRule="auto"/>
        <w:rPr>
          <w:rFonts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14:paraId="52A137A8">
      <w:pPr>
        <w:pStyle w:val="25"/>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74E1E6A3">
      <w:pPr>
        <w:pStyle w:val="25"/>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14:paraId="0EBA2990">
      <w:pPr>
        <w:pStyle w:val="25"/>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14:paraId="6C1C0175">
      <w:pPr>
        <w:pStyle w:val="25"/>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4D0885A6">
      <w:pPr>
        <w:pStyle w:val="25"/>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14:paraId="2131059C">
      <w:pPr>
        <w:pStyle w:val="25"/>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14:paraId="3DFF87E3">
      <w:pPr>
        <w:pStyle w:val="25"/>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789B0E87">
      <w:pPr>
        <w:pStyle w:val="25"/>
        <w:snapToGrid w:val="0"/>
        <w:spacing w:line="360" w:lineRule="auto"/>
        <w:ind w:firstLine="0" w:firstLineChars="0"/>
        <w:rPr>
          <w:rFonts w:cs="宋体"/>
          <w:color w:val="auto"/>
          <w:highlight w:val="none"/>
        </w:rPr>
        <w:sectPr>
          <w:pgSz w:w="11905" w:h="16838"/>
          <w:pgMar w:top="1417" w:right="1417" w:bottom="1417" w:left="1417" w:header="850" w:footer="992" w:gutter="0"/>
          <w:pgNumType w:fmt="decimal"/>
          <w:cols w:space="0" w:num="1"/>
          <w:titlePg/>
          <w:rtlGutter w:val="0"/>
          <w:docGrid w:linePitch="0" w:charSpace="0"/>
        </w:sectPr>
      </w:pPr>
    </w:p>
    <w:bookmarkEnd w:id="31"/>
    <w:p w14:paraId="4DB75B67">
      <w:pPr>
        <w:spacing w:line="360" w:lineRule="auto"/>
        <w:jc w:val="center"/>
        <w:outlineLvl w:val="0"/>
        <w:rPr>
          <w:rFonts w:ascii="宋体" w:hAnsi="宋体" w:cs="宋体"/>
          <w:b/>
          <w:color w:val="auto"/>
          <w:sz w:val="36"/>
          <w:szCs w:val="36"/>
          <w:highlight w:val="none"/>
        </w:rPr>
      </w:pPr>
      <w:bookmarkStart w:id="397" w:name="第五部分"/>
      <w:bookmarkStart w:id="398" w:name="_Toc86217003"/>
      <w:r>
        <w:rPr>
          <w:rFonts w:hint="eastAsia" w:ascii="宋体" w:hAnsi="宋体" w:cs="宋体"/>
          <w:b/>
          <w:color w:val="auto"/>
          <w:sz w:val="36"/>
          <w:szCs w:val="36"/>
          <w:highlight w:val="none"/>
        </w:rPr>
        <w:t>第五部分 拟签订的合同文本</w:t>
      </w:r>
    </w:p>
    <w:p w14:paraId="19F17A79">
      <w:pPr>
        <w:ind w:right="2690"/>
        <w:jc w:val="right"/>
        <w:rPr>
          <w:rFonts w:cs="宋体"/>
          <w:b/>
          <w:color w:val="auto"/>
          <w:szCs w:val="28"/>
          <w:highlight w:val="none"/>
        </w:rPr>
      </w:pPr>
      <w:r>
        <w:rPr>
          <w:rFonts w:cs="宋体"/>
          <w:b/>
          <w:color w:val="auto"/>
          <w:szCs w:val="28"/>
          <w:highlight w:val="none"/>
        </w:rPr>
        <w:t>合同编号：</w:t>
      </w:r>
    </w:p>
    <w:p w14:paraId="04741F22">
      <w:pPr>
        <w:rPr>
          <w:rFonts w:cs="宋体"/>
          <w:b/>
          <w:color w:val="auto"/>
          <w:sz w:val="52"/>
          <w:szCs w:val="52"/>
          <w:highlight w:val="none"/>
        </w:rPr>
      </w:pPr>
    </w:p>
    <w:p w14:paraId="668537B0">
      <w:pPr>
        <w:pStyle w:val="970"/>
        <w:ind w:left="480" w:firstLine="1044"/>
        <w:jc w:val="center"/>
        <w:rPr>
          <w:rFonts w:cs="宋体"/>
          <w:b/>
          <w:color w:val="auto"/>
          <w:sz w:val="52"/>
          <w:szCs w:val="52"/>
          <w:highlight w:val="none"/>
        </w:rPr>
      </w:pPr>
    </w:p>
    <w:p w14:paraId="248A3519">
      <w:pPr>
        <w:jc w:val="center"/>
        <w:rPr>
          <w:rFonts w:cs="宋体"/>
          <w:b/>
          <w:color w:val="auto"/>
          <w:sz w:val="52"/>
          <w:szCs w:val="52"/>
          <w:highlight w:val="none"/>
        </w:rPr>
      </w:pPr>
      <w:r>
        <w:rPr>
          <w:rFonts w:hint="eastAsia" w:cs="宋体"/>
          <w:b/>
          <w:color w:val="auto"/>
          <w:sz w:val="52"/>
          <w:szCs w:val="52"/>
          <w:highlight w:val="none"/>
        </w:rPr>
        <w:t>建</w:t>
      </w:r>
    </w:p>
    <w:p w14:paraId="7182C008">
      <w:pPr>
        <w:jc w:val="center"/>
        <w:rPr>
          <w:rFonts w:cs="宋体"/>
          <w:b/>
          <w:color w:val="auto"/>
          <w:sz w:val="52"/>
          <w:szCs w:val="52"/>
          <w:highlight w:val="none"/>
        </w:rPr>
      </w:pPr>
      <w:r>
        <w:rPr>
          <w:rFonts w:hint="eastAsia" w:cs="宋体"/>
          <w:b/>
          <w:color w:val="auto"/>
          <w:sz w:val="52"/>
          <w:szCs w:val="52"/>
          <w:highlight w:val="none"/>
        </w:rPr>
        <w:t>设</w:t>
      </w:r>
    </w:p>
    <w:p w14:paraId="75B8EAF0">
      <w:pPr>
        <w:jc w:val="center"/>
        <w:rPr>
          <w:rFonts w:cs="宋体"/>
          <w:b/>
          <w:color w:val="auto"/>
          <w:sz w:val="52"/>
          <w:szCs w:val="52"/>
          <w:highlight w:val="none"/>
        </w:rPr>
      </w:pPr>
      <w:r>
        <w:rPr>
          <w:rFonts w:hint="eastAsia" w:cs="宋体"/>
          <w:b/>
          <w:color w:val="auto"/>
          <w:sz w:val="52"/>
          <w:szCs w:val="52"/>
          <w:highlight w:val="none"/>
        </w:rPr>
        <w:t>工</w:t>
      </w:r>
    </w:p>
    <w:p w14:paraId="6ADC7440">
      <w:pPr>
        <w:jc w:val="center"/>
        <w:rPr>
          <w:rFonts w:cs="宋体"/>
          <w:b/>
          <w:color w:val="auto"/>
          <w:sz w:val="52"/>
          <w:szCs w:val="52"/>
          <w:highlight w:val="none"/>
        </w:rPr>
      </w:pPr>
      <w:r>
        <w:rPr>
          <w:rFonts w:hint="eastAsia" w:cs="宋体"/>
          <w:b/>
          <w:color w:val="auto"/>
          <w:sz w:val="52"/>
          <w:szCs w:val="52"/>
          <w:highlight w:val="none"/>
        </w:rPr>
        <w:t>程</w:t>
      </w:r>
    </w:p>
    <w:p w14:paraId="4471B3CE">
      <w:pPr>
        <w:jc w:val="center"/>
        <w:rPr>
          <w:rFonts w:cs="宋体"/>
          <w:b/>
          <w:color w:val="auto"/>
          <w:sz w:val="52"/>
          <w:szCs w:val="52"/>
          <w:highlight w:val="none"/>
        </w:rPr>
      </w:pPr>
      <w:r>
        <w:rPr>
          <w:rFonts w:hint="eastAsia" w:cs="宋体"/>
          <w:b/>
          <w:color w:val="auto"/>
          <w:sz w:val="52"/>
          <w:szCs w:val="52"/>
          <w:highlight w:val="none"/>
        </w:rPr>
        <w:t>施</w:t>
      </w:r>
    </w:p>
    <w:p w14:paraId="728CE376">
      <w:pPr>
        <w:jc w:val="center"/>
        <w:rPr>
          <w:rFonts w:cs="宋体"/>
          <w:b/>
          <w:color w:val="auto"/>
          <w:sz w:val="52"/>
          <w:szCs w:val="52"/>
          <w:highlight w:val="none"/>
        </w:rPr>
      </w:pPr>
      <w:r>
        <w:rPr>
          <w:rFonts w:hint="eastAsia" w:cs="宋体"/>
          <w:b/>
          <w:color w:val="auto"/>
          <w:sz w:val="52"/>
          <w:szCs w:val="52"/>
          <w:highlight w:val="none"/>
        </w:rPr>
        <w:t>工</w:t>
      </w:r>
    </w:p>
    <w:p w14:paraId="4BBC83B9">
      <w:pPr>
        <w:jc w:val="center"/>
        <w:rPr>
          <w:rFonts w:cs="宋体"/>
          <w:b/>
          <w:color w:val="auto"/>
          <w:sz w:val="52"/>
          <w:szCs w:val="52"/>
          <w:highlight w:val="none"/>
        </w:rPr>
      </w:pPr>
      <w:r>
        <w:rPr>
          <w:rFonts w:hint="eastAsia" w:cs="宋体"/>
          <w:b/>
          <w:color w:val="auto"/>
          <w:sz w:val="52"/>
          <w:szCs w:val="52"/>
          <w:highlight w:val="none"/>
        </w:rPr>
        <w:t>合</w:t>
      </w:r>
    </w:p>
    <w:p w14:paraId="0E03E5B4">
      <w:pPr>
        <w:jc w:val="center"/>
        <w:rPr>
          <w:rFonts w:cs="宋体"/>
          <w:b/>
          <w:color w:val="auto"/>
          <w:sz w:val="52"/>
          <w:szCs w:val="52"/>
          <w:highlight w:val="none"/>
        </w:rPr>
      </w:pPr>
      <w:r>
        <w:rPr>
          <w:rFonts w:hint="eastAsia" w:cs="宋体"/>
          <w:b/>
          <w:color w:val="auto"/>
          <w:sz w:val="52"/>
          <w:szCs w:val="52"/>
          <w:highlight w:val="none"/>
        </w:rPr>
        <w:t>同</w:t>
      </w:r>
    </w:p>
    <w:p w14:paraId="7FC9AE9C">
      <w:pPr>
        <w:ind w:firstLine="1041"/>
        <w:jc w:val="center"/>
        <w:rPr>
          <w:rFonts w:cs="宋体"/>
          <w:b/>
          <w:color w:val="auto"/>
          <w:sz w:val="52"/>
          <w:szCs w:val="52"/>
          <w:highlight w:val="none"/>
        </w:rPr>
      </w:pPr>
    </w:p>
    <w:p w14:paraId="4F1EFB95">
      <w:pPr>
        <w:pStyle w:val="4"/>
        <w:spacing w:line="240" w:lineRule="auto"/>
        <w:jc w:val="center"/>
        <w:rPr>
          <w:rFonts w:ascii="宋体" w:hAnsi="宋体" w:cs="宋体"/>
          <w:b w:val="0"/>
          <w:bCs w:val="0"/>
          <w:color w:val="auto"/>
          <w:sz w:val="24"/>
          <w:szCs w:val="24"/>
          <w:highlight w:val="none"/>
        </w:rPr>
      </w:pPr>
      <w:r>
        <w:rPr>
          <w:rFonts w:hint="eastAsia" w:cs="宋体"/>
          <w:bCs w:val="0"/>
          <w:color w:val="auto"/>
          <w:sz w:val="21"/>
          <w:highlight w:val="none"/>
        </w:rPr>
        <w:br w:type="page"/>
      </w:r>
      <w:r>
        <w:rPr>
          <w:rFonts w:hint="eastAsia" w:ascii="宋体" w:hAnsi="宋体" w:cs="宋体"/>
          <w:bCs w:val="0"/>
          <w:color w:val="auto"/>
          <w:sz w:val="24"/>
          <w:szCs w:val="24"/>
          <w:highlight w:val="none"/>
        </w:rPr>
        <w:t>第一部分 合同协议书</w:t>
      </w:r>
    </w:p>
    <w:p w14:paraId="15D14269">
      <w:pPr>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rPr>
        <w:t>发包人（全称）：</w:t>
      </w:r>
      <w:r>
        <w:rPr>
          <w:rFonts w:hint="eastAsia" w:ascii="宋体" w:hAnsi="宋体" w:cs="宋体"/>
          <w:b/>
          <w:color w:val="auto"/>
          <w:sz w:val="24"/>
          <w:highlight w:val="none"/>
          <w:u w:val="single"/>
        </w:rPr>
        <w:t>浙江省杭州第四中学</w:t>
      </w:r>
    </w:p>
    <w:p w14:paraId="17C1D8F1">
      <w:pPr>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rPr>
        <w:t>承包人（全称）：</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val="en-US" w:eastAsia="zh-CN"/>
        </w:rPr>
        <w:t xml:space="preserve"> </w:t>
      </w:r>
      <w:r>
        <w:rPr>
          <w:rFonts w:hint="eastAsia" w:ascii="宋体" w:hAnsi="宋体" w:cs="宋体"/>
          <w:b/>
          <w:color w:val="auto"/>
          <w:sz w:val="24"/>
          <w:highlight w:val="none"/>
          <w:u w:val="single"/>
        </w:rPr>
        <w:t xml:space="preserve">  </w:t>
      </w:r>
    </w:p>
    <w:p w14:paraId="5D54AF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根据《中华人民共和国民法典》、《中华人民共和国建筑法》及有关法律规定，遵循平等、自愿、公平和诚实信用的原则，双方就</w:t>
      </w:r>
      <w:r>
        <w:rPr>
          <w:rFonts w:hint="eastAsia" w:ascii="宋体" w:hAnsi="宋体" w:cs="宋体"/>
          <w:b/>
          <w:color w:val="auto"/>
          <w:sz w:val="24"/>
          <w:highlight w:val="none"/>
          <w:u w:val="single"/>
        </w:rPr>
        <w:t xml:space="preserve">  </w:t>
      </w:r>
      <w:r>
        <w:rPr>
          <w:rFonts w:hint="eastAsia" w:ascii="宋体" w:hAnsi="宋体" w:cs="宋体"/>
          <w:color w:val="auto"/>
          <w:kern w:val="0"/>
          <w:sz w:val="24"/>
          <w:highlight w:val="none"/>
          <w:u w:val="single"/>
        </w:rPr>
        <w:t>杭州四中下沙校区综合楼西（学生成长中心）改造</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rPr>
        <w:t>施工及有关事项协商一致，共同达成如下协议：</w:t>
      </w:r>
    </w:p>
    <w:p w14:paraId="5EF7ECF6">
      <w:pPr>
        <w:tabs>
          <w:tab w:val="left" w:pos="864"/>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    一、工程概况</w:t>
      </w:r>
    </w:p>
    <w:p w14:paraId="50DF0414">
      <w:pPr>
        <w:spacing w:line="360" w:lineRule="auto"/>
        <w:ind w:firstLine="470" w:firstLineChars="196"/>
        <w:rPr>
          <w:rFonts w:ascii="宋体" w:hAnsi="宋体" w:cs="宋体"/>
          <w:color w:val="auto"/>
          <w:sz w:val="24"/>
          <w:highlight w:val="none"/>
          <w:u w:val="single"/>
        </w:rPr>
      </w:pPr>
      <w:r>
        <w:rPr>
          <w:rFonts w:hint="eastAsia" w:ascii="宋体" w:hAnsi="宋体" w:cs="宋体"/>
          <w:bCs/>
          <w:color w:val="auto"/>
          <w:sz w:val="24"/>
          <w:highlight w:val="none"/>
        </w:rPr>
        <w:t>1.工程名称</w:t>
      </w:r>
      <w:r>
        <w:rPr>
          <w:rFonts w:hint="eastAsia" w:ascii="宋体" w:hAnsi="宋体" w:cs="宋体"/>
          <w:color w:val="auto"/>
          <w:sz w:val="24"/>
          <w:highlight w:val="none"/>
        </w:rPr>
        <w:t>：</w:t>
      </w:r>
      <w:r>
        <w:rPr>
          <w:rFonts w:hint="eastAsia" w:ascii="宋体" w:hAnsi="宋体" w:cs="宋体"/>
          <w:color w:val="auto"/>
          <w:kern w:val="0"/>
          <w:sz w:val="24"/>
          <w:highlight w:val="none"/>
          <w:u w:val="single"/>
        </w:rPr>
        <w:t>杭州四中下沙校区综合楼西（学生成长中心）改造</w:t>
      </w:r>
      <w:r>
        <w:rPr>
          <w:rFonts w:hint="eastAsia" w:ascii="宋体" w:hAnsi="宋体" w:cs="宋体"/>
          <w:color w:val="auto"/>
          <w:sz w:val="24"/>
          <w:highlight w:val="none"/>
        </w:rPr>
        <w:t>。</w:t>
      </w:r>
    </w:p>
    <w:p w14:paraId="367F02A8">
      <w:pPr>
        <w:spacing w:line="360" w:lineRule="auto"/>
        <w:ind w:firstLine="470" w:firstLineChars="196"/>
        <w:rPr>
          <w:rFonts w:ascii="宋体" w:hAnsi="宋体" w:cs="宋体"/>
          <w:bCs/>
          <w:color w:val="auto"/>
          <w:sz w:val="24"/>
          <w:highlight w:val="none"/>
        </w:rPr>
      </w:pPr>
      <w:r>
        <w:rPr>
          <w:rFonts w:hint="eastAsia" w:ascii="宋体" w:hAnsi="宋体" w:cs="宋体"/>
          <w:bCs/>
          <w:color w:val="auto"/>
          <w:sz w:val="24"/>
          <w:highlight w:val="none"/>
        </w:rPr>
        <w:t>2.工程地点：</w:t>
      </w:r>
      <w:r>
        <w:rPr>
          <w:rFonts w:hint="eastAsia" w:ascii="宋体" w:hAnsi="宋体" w:cs="宋体"/>
          <w:b/>
          <w:color w:val="auto"/>
          <w:sz w:val="24"/>
          <w:highlight w:val="none"/>
          <w:u w:val="single"/>
        </w:rPr>
        <w:t xml:space="preserve">                         </w:t>
      </w:r>
    </w:p>
    <w:p w14:paraId="652C35EE">
      <w:pPr>
        <w:spacing w:line="360" w:lineRule="auto"/>
        <w:ind w:firstLine="470" w:firstLineChars="196"/>
        <w:rPr>
          <w:rFonts w:ascii="宋体" w:hAnsi="宋体" w:cs="宋体"/>
          <w:bCs/>
          <w:color w:val="auto"/>
          <w:sz w:val="24"/>
          <w:highlight w:val="none"/>
        </w:rPr>
      </w:pPr>
      <w:r>
        <w:rPr>
          <w:rFonts w:hint="eastAsia" w:ascii="宋体" w:hAnsi="宋体" w:cs="宋体"/>
          <w:bCs/>
          <w:color w:val="auto"/>
          <w:sz w:val="24"/>
          <w:highlight w:val="none"/>
        </w:rPr>
        <w:t>3.工程立项批准文号：</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 </w:t>
      </w:r>
      <w:r>
        <w:rPr>
          <w:rFonts w:hint="eastAsia" w:ascii="宋体" w:hAnsi="宋体" w:cs="宋体"/>
          <w:bCs/>
          <w:color w:val="auto"/>
          <w:sz w:val="24"/>
          <w:highlight w:val="none"/>
        </w:rPr>
        <w:t>。</w:t>
      </w:r>
    </w:p>
    <w:p w14:paraId="52D8A154">
      <w:pPr>
        <w:spacing w:line="360" w:lineRule="auto"/>
        <w:ind w:firstLine="470" w:firstLineChars="196"/>
        <w:rPr>
          <w:rFonts w:ascii="宋体" w:hAnsi="宋体" w:cs="宋体"/>
          <w:bCs/>
          <w:color w:val="auto"/>
          <w:sz w:val="24"/>
          <w:highlight w:val="none"/>
        </w:rPr>
      </w:pPr>
      <w:r>
        <w:rPr>
          <w:rFonts w:hint="eastAsia" w:ascii="宋体" w:hAnsi="宋体" w:cs="宋体"/>
          <w:bCs/>
          <w:color w:val="auto"/>
          <w:sz w:val="24"/>
          <w:highlight w:val="none"/>
        </w:rPr>
        <w:t>4.资金来源：</w:t>
      </w:r>
      <w:r>
        <w:rPr>
          <w:rFonts w:hint="eastAsia" w:ascii="宋体" w:hAnsi="宋体" w:cs="宋体"/>
          <w:bCs/>
          <w:color w:val="auto"/>
          <w:sz w:val="24"/>
          <w:highlight w:val="none"/>
          <w:u w:val="single"/>
        </w:rPr>
        <w:t>财政拨款</w:t>
      </w:r>
      <w:r>
        <w:rPr>
          <w:rFonts w:hint="eastAsia" w:ascii="宋体" w:hAnsi="宋体" w:cs="宋体"/>
          <w:bCs/>
          <w:color w:val="auto"/>
          <w:sz w:val="24"/>
          <w:highlight w:val="none"/>
        </w:rPr>
        <w:t>。</w:t>
      </w:r>
    </w:p>
    <w:p w14:paraId="2B160E46">
      <w:pPr>
        <w:spacing w:line="360" w:lineRule="auto"/>
        <w:ind w:firstLine="470" w:firstLineChars="196"/>
        <w:rPr>
          <w:rFonts w:ascii="宋体" w:hAnsi="宋体" w:cs="宋体"/>
          <w:bCs/>
          <w:color w:val="auto"/>
          <w:sz w:val="24"/>
          <w:highlight w:val="none"/>
          <w:u w:val="single"/>
        </w:rPr>
      </w:pPr>
      <w:r>
        <w:rPr>
          <w:rFonts w:hint="eastAsia" w:ascii="宋体" w:hAnsi="宋体" w:cs="宋体"/>
          <w:bCs/>
          <w:color w:val="auto"/>
          <w:sz w:val="24"/>
          <w:highlight w:val="none"/>
        </w:rPr>
        <w:t>5.工程内容：</w:t>
      </w:r>
      <w:bookmarkStart w:id="399" w:name="_Hlk118912196"/>
      <w:r>
        <w:rPr>
          <w:rFonts w:hint="eastAsia" w:ascii="宋体" w:hAnsi="宋体" w:cs="宋体"/>
          <w:color w:val="auto"/>
          <w:kern w:val="0"/>
          <w:sz w:val="24"/>
          <w:highlight w:val="none"/>
          <w:u w:val="single"/>
        </w:rPr>
        <w:t>杭州四中下沙校区综合楼西（学生成长中心）改造</w:t>
      </w:r>
      <w:r>
        <w:rPr>
          <w:rFonts w:hint="eastAsia" w:ascii="宋体" w:hAnsi="宋体" w:cs="宋体"/>
          <w:bCs/>
          <w:color w:val="auto"/>
          <w:sz w:val="24"/>
          <w:highlight w:val="none"/>
          <w:u w:val="single"/>
        </w:rPr>
        <w:t>。</w:t>
      </w:r>
      <w:bookmarkEnd w:id="399"/>
    </w:p>
    <w:p w14:paraId="5085966F">
      <w:pPr>
        <w:spacing w:line="360" w:lineRule="auto"/>
        <w:ind w:firstLine="470" w:firstLineChars="196"/>
        <w:rPr>
          <w:rFonts w:ascii="宋体" w:hAnsi="宋体" w:cs="宋体"/>
          <w:bCs/>
          <w:color w:val="auto"/>
          <w:sz w:val="24"/>
          <w:highlight w:val="none"/>
        </w:rPr>
      </w:pPr>
      <w:r>
        <w:rPr>
          <w:rFonts w:hint="eastAsia" w:ascii="宋体" w:hAnsi="宋体" w:cs="宋体"/>
          <w:color w:val="auto"/>
          <w:sz w:val="24"/>
          <w:highlight w:val="none"/>
        </w:rPr>
        <w:t>群体工程应附《承包人承揽工程项目一览表》（附件1）。</w:t>
      </w:r>
    </w:p>
    <w:p w14:paraId="5C988F6A">
      <w:pPr>
        <w:spacing w:line="360" w:lineRule="auto"/>
        <w:ind w:firstLine="470" w:firstLineChars="196"/>
        <w:rPr>
          <w:rFonts w:ascii="宋体" w:hAnsi="宋体" w:cs="宋体"/>
          <w:bCs/>
          <w:color w:val="auto"/>
          <w:sz w:val="24"/>
          <w:highlight w:val="none"/>
        </w:rPr>
      </w:pPr>
      <w:r>
        <w:rPr>
          <w:rFonts w:hint="eastAsia" w:ascii="宋体" w:hAnsi="宋体" w:cs="宋体"/>
          <w:bCs/>
          <w:color w:val="auto"/>
          <w:sz w:val="24"/>
          <w:highlight w:val="none"/>
        </w:rPr>
        <w:t>6.工程承包范围：</w:t>
      </w:r>
    </w:p>
    <w:p w14:paraId="0E27B437">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u w:val="single"/>
        </w:rPr>
        <w:t>招标范围内的全部工程内容（具体详见招标文件、工程量清单及其编制说明)；可能出现的图纸修改引起的工程量增减以及其他发包人明确指令要求完成的工作量</w:t>
      </w:r>
      <w:r>
        <w:rPr>
          <w:rFonts w:hint="eastAsia" w:ascii="宋体" w:hAnsi="宋体" w:cs="宋体"/>
          <w:color w:val="auto"/>
          <w:sz w:val="24"/>
          <w:highlight w:val="none"/>
        </w:rPr>
        <w:t>。</w:t>
      </w:r>
    </w:p>
    <w:p w14:paraId="58C703CE">
      <w:pPr>
        <w:tabs>
          <w:tab w:val="left" w:pos="864"/>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   二、合同工期</w:t>
      </w:r>
    </w:p>
    <w:p w14:paraId="31354AD9">
      <w:pPr>
        <w:spacing w:line="360" w:lineRule="auto"/>
        <w:ind w:firstLine="459"/>
        <w:rPr>
          <w:rFonts w:ascii="宋体" w:hAnsi="宋体" w:cs="宋体"/>
          <w:color w:val="auto"/>
          <w:sz w:val="24"/>
          <w:highlight w:val="none"/>
        </w:rPr>
      </w:pPr>
      <w:r>
        <w:rPr>
          <w:rFonts w:hint="eastAsia" w:ascii="宋体" w:hAnsi="宋体" w:cs="宋体"/>
          <w:color w:val="auto"/>
          <w:sz w:val="24"/>
          <w:highlight w:val="none"/>
        </w:rPr>
        <w:t>计划开工日期：</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年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CB41846">
      <w:pPr>
        <w:spacing w:line="360" w:lineRule="auto"/>
        <w:ind w:firstLine="459"/>
        <w:rPr>
          <w:rFonts w:ascii="宋体" w:hAnsi="宋体" w:cs="宋体"/>
          <w:color w:val="auto"/>
          <w:sz w:val="24"/>
          <w:highlight w:val="none"/>
        </w:rPr>
      </w:pPr>
      <w:r>
        <w:rPr>
          <w:rFonts w:hint="eastAsia" w:ascii="宋体" w:hAnsi="宋体" w:cs="宋体"/>
          <w:color w:val="auto"/>
          <w:sz w:val="24"/>
          <w:highlight w:val="none"/>
        </w:rPr>
        <w:t>计划竣工日期：</w:t>
      </w:r>
      <w:r>
        <w:rPr>
          <w:rFonts w:hint="eastAsia" w:ascii="宋体" w:hAnsi="宋体" w:cs="宋体"/>
          <w:b/>
          <w:bCs/>
          <w:color w:val="auto"/>
          <w:sz w:val="24"/>
          <w:highlight w:val="none"/>
          <w:u w:val="single"/>
        </w:rPr>
        <w:t></w:t>
      </w:r>
      <w:r>
        <w:rPr>
          <w:rFonts w:hint="eastAsia" w:ascii="宋体" w:hAnsi="宋体" w:cs="宋体"/>
          <w:b/>
          <w:bCs/>
          <w:color w:val="auto"/>
          <w:sz w:val="24"/>
          <w:highlight w:val="none"/>
          <w:u w:val="single"/>
          <w:lang w:val="en-US" w:eastAsia="zh-CN"/>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59607C68">
      <w:pPr>
        <w:spacing w:line="360" w:lineRule="auto"/>
        <w:ind w:firstLine="459"/>
        <w:rPr>
          <w:rFonts w:ascii="宋体" w:hAnsi="宋体" w:cs="宋体"/>
          <w:color w:val="auto"/>
          <w:sz w:val="24"/>
          <w:highlight w:val="none"/>
        </w:rPr>
      </w:pPr>
      <w:r>
        <w:rPr>
          <w:rFonts w:hint="eastAsia" w:ascii="宋体" w:hAnsi="宋体" w:cs="宋体"/>
          <w:color w:val="auto"/>
          <w:sz w:val="24"/>
          <w:highlight w:val="none"/>
        </w:rPr>
        <w:t>工期总日历天数：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。工期总日历天数与根据前述计划开竣工日期计算的工期天数不一致的，以工期总日历天数为准。</w:t>
      </w:r>
    </w:p>
    <w:p w14:paraId="35F22D6E">
      <w:pPr>
        <w:tabs>
          <w:tab w:val="left" w:pos="864"/>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    三、质量标准</w:t>
      </w:r>
    </w:p>
    <w:p w14:paraId="07F189D4">
      <w:pPr>
        <w:spacing w:line="360" w:lineRule="auto"/>
        <w:ind w:firstLine="459"/>
        <w:rPr>
          <w:rFonts w:ascii="宋体" w:hAnsi="宋体" w:cs="宋体"/>
          <w:color w:val="auto"/>
          <w:sz w:val="24"/>
          <w:highlight w:val="none"/>
        </w:rPr>
      </w:pPr>
      <w:r>
        <w:rPr>
          <w:rFonts w:hint="eastAsia" w:ascii="宋体" w:hAnsi="宋体" w:cs="宋体"/>
          <w:color w:val="auto"/>
          <w:sz w:val="24"/>
          <w:highlight w:val="none"/>
        </w:rPr>
        <w:t>工程质量符合</w:t>
      </w:r>
      <w:r>
        <w:rPr>
          <w:rFonts w:hint="eastAsia" w:ascii="宋体" w:hAnsi="宋体" w:cs="宋体"/>
          <w:color w:val="auto"/>
          <w:sz w:val="24"/>
          <w:highlight w:val="none"/>
          <w:u w:val="single"/>
        </w:rPr>
        <w:t></w:t>
      </w:r>
      <w:r>
        <w:rPr>
          <w:rFonts w:hint="eastAsia" w:ascii="宋体" w:hAnsi="宋体" w:cs="宋体"/>
          <w:b/>
          <w:color w:val="auto"/>
          <w:sz w:val="24"/>
          <w:highlight w:val="none"/>
          <w:u w:val="single"/>
        </w:rPr>
        <w:t>符合现行国家有关工程施工验收规范和标准的合格</w:t>
      </w:r>
      <w:r>
        <w:rPr>
          <w:rFonts w:hint="eastAsia" w:ascii="宋体" w:hAnsi="宋体" w:cs="宋体"/>
          <w:color w:val="auto"/>
          <w:sz w:val="24"/>
          <w:highlight w:val="none"/>
          <w:u w:val="single"/>
        </w:rPr>
        <w:t></w:t>
      </w:r>
      <w:r>
        <w:rPr>
          <w:rFonts w:hint="eastAsia" w:ascii="宋体" w:hAnsi="宋体" w:cs="宋体"/>
          <w:color w:val="auto"/>
          <w:sz w:val="24"/>
          <w:highlight w:val="none"/>
        </w:rPr>
        <w:t>标准。</w:t>
      </w:r>
    </w:p>
    <w:p w14:paraId="071EB1FA">
      <w:pPr>
        <w:tabs>
          <w:tab w:val="left" w:pos="864"/>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    四、签约合同价与合同价格形式</w:t>
      </w:r>
      <w:r>
        <w:rPr>
          <w:rFonts w:hint="eastAsia" w:ascii="宋体" w:hAnsi="宋体" w:cs="宋体"/>
          <w:b/>
          <w:bCs/>
          <w:color w:val="auto"/>
          <w:sz w:val="24"/>
          <w:highlight w:val="none"/>
        </w:rPr>
        <w:tab/>
      </w:r>
    </w:p>
    <w:p w14:paraId="7A3498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1.签约合同价为：</w:t>
      </w:r>
    </w:p>
    <w:p w14:paraId="31BE3DA7">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14:paraId="443DE2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其中：</w:t>
      </w:r>
    </w:p>
    <w:p w14:paraId="186908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（1）安全文明施工费：</w:t>
      </w:r>
    </w:p>
    <w:p w14:paraId="324ABE58">
      <w:pPr>
        <w:spacing w:line="360" w:lineRule="auto"/>
        <w:ind w:firstLine="1080" w:firstLineChars="450"/>
        <w:rPr>
          <w:rFonts w:ascii="宋体" w:hAnsi="宋体" w:cs="宋体"/>
          <w:color w:val="auto"/>
          <w:sz w:val="24"/>
          <w:highlight w:val="none"/>
        </w:rPr>
      </w:pPr>
      <w:r>
        <w:rPr>
          <w:rFonts w:hint="eastAsia" w:ascii="宋体" w:hAnsi="宋体" w:cs="宋体"/>
          <w:color w:val="auto"/>
          <w:sz w:val="24"/>
          <w:highlight w:val="none"/>
        </w:rPr>
        <w:t>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14:paraId="3C10AD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（2）材料和工程设备暂估价金额：</w:t>
      </w:r>
    </w:p>
    <w:p w14:paraId="66DB2D2F">
      <w:pPr>
        <w:spacing w:line="360" w:lineRule="auto"/>
        <w:ind w:firstLine="1080" w:firstLineChars="450"/>
        <w:rPr>
          <w:rFonts w:ascii="宋体" w:hAnsi="宋体" w:cs="宋体"/>
          <w:color w:val="auto"/>
          <w:sz w:val="24"/>
          <w:highlight w:val="none"/>
        </w:rPr>
      </w:pPr>
      <w:r>
        <w:rPr>
          <w:rFonts w:hint="eastAsia" w:ascii="宋体" w:hAnsi="宋体" w:cs="宋体"/>
          <w:color w:val="auto"/>
          <w:sz w:val="24"/>
          <w:highlight w:val="none"/>
        </w:rPr>
        <w:t>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ascii="宋体" w:hAnsi="宋体" w:cs="宋体"/>
          <w:color w:val="auto"/>
          <w:sz w:val="24"/>
          <w:highlight w:val="none"/>
        </w:rPr>
        <w:t xml:space="preserve"> </w:t>
      </w:r>
      <w:r>
        <w:rPr>
          <w:rFonts w:ascii="宋体" w:hAnsi="宋体" w:cs="宋体"/>
          <w:color w:val="auto"/>
          <w:sz w:val="24"/>
          <w:highlight w:val="none"/>
          <w:u w:val="single"/>
        </w:rPr>
        <w:t xml:space="preserve">  / </w:t>
      </w:r>
      <w:r>
        <w:rPr>
          <w:rFonts w:hint="eastAsia" w:ascii="宋体" w:hAnsi="宋体" w:cs="宋体"/>
          <w:color w:val="auto"/>
          <w:sz w:val="24"/>
          <w:highlight w:val="none"/>
        </w:rPr>
        <w:t>元)；</w:t>
      </w:r>
    </w:p>
    <w:p w14:paraId="48D5F2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（3）专业工程暂估价金额：</w:t>
      </w:r>
    </w:p>
    <w:p w14:paraId="6C39B9CF">
      <w:pPr>
        <w:spacing w:line="360" w:lineRule="auto"/>
        <w:ind w:firstLine="1080" w:firstLineChars="450"/>
        <w:rPr>
          <w:rFonts w:ascii="宋体" w:hAnsi="宋体" w:cs="宋体"/>
          <w:color w:val="auto"/>
          <w:sz w:val="24"/>
          <w:highlight w:val="none"/>
        </w:rPr>
      </w:pPr>
      <w:r>
        <w:rPr>
          <w:rFonts w:hint="eastAsia" w:ascii="宋体" w:hAnsi="宋体" w:cs="宋体"/>
          <w:color w:val="auto"/>
          <w:sz w:val="24"/>
          <w:highlight w:val="none"/>
        </w:rPr>
        <w:t>人民币（大写）</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14:paraId="112A3A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（4）暂列金额：</w:t>
      </w:r>
    </w:p>
    <w:p w14:paraId="3E377F7C">
      <w:pPr>
        <w:spacing w:line="360" w:lineRule="auto"/>
        <w:ind w:firstLine="1080" w:firstLineChars="450"/>
        <w:rPr>
          <w:rFonts w:ascii="宋体" w:hAnsi="宋体" w:cs="宋体"/>
          <w:color w:val="auto"/>
          <w:sz w:val="24"/>
          <w:highlight w:val="none"/>
        </w:rPr>
      </w:pPr>
      <w:r>
        <w:rPr>
          <w:rFonts w:hint="eastAsia" w:ascii="宋体" w:hAnsi="宋体" w:cs="宋体"/>
          <w:color w:val="auto"/>
          <w:sz w:val="24"/>
          <w:highlight w:val="none"/>
        </w:rPr>
        <w:t>人民币（大写）</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14:paraId="2FE440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2.合同价格形式：</w:t>
      </w:r>
      <w:r>
        <w:rPr>
          <w:rFonts w:hint="eastAsia" w:ascii="宋体" w:hAnsi="宋体" w:cs="宋体"/>
          <w:color w:val="auto"/>
          <w:sz w:val="24"/>
          <w:highlight w:val="none"/>
          <w:u w:val="single"/>
        </w:rPr>
        <w:t></w:t>
      </w:r>
      <w:r>
        <w:rPr>
          <w:rFonts w:hint="eastAsia" w:ascii="宋体" w:hAnsi="宋体" w:cs="宋体"/>
          <w:b/>
          <w:bCs/>
          <w:color w:val="auto"/>
          <w:sz w:val="24"/>
          <w:highlight w:val="none"/>
          <w:u w:val="single"/>
        </w:rPr>
        <w:t>固定单价合同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767F9E4">
      <w:pPr>
        <w:tabs>
          <w:tab w:val="left" w:pos="864"/>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    五、项目经理</w:t>
      </w:r>
    </w:p>
    <w:p w14:paraId="7C7B66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承包人项目经理：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84FF008">
      <w:pPr>
        <w:tabs>
          <w:tab w:val="left" w:pos="864"/>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    六、合同文件构成</w:t>
      </w:r>
    </w:p>
    <w:p w14:paraId="3D8CBBC7">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本协议书与下列文件一起构成合同文件：</w:t>
      </w:r>
    </w:p>
    <w:p w14:paraId="3364D6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（1）中标通知书（如果有）；</w:t>
      </w:r>
    </w:p>
    <w:p w14:paraId="702BA0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（2）投标函及其附录（如果有）； </w:t>
      </w:r>
    </w:p>
    <w:p w14:paraId="346C0BF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（3）专用合同条款及其附件；  </w:t>
      </w:r>
    </w:p>
    <w:p w14:paraId="49F80F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（4）通用合同条款；</w:t>
      </w:r>
    </w:p>
    <w:p w14:paraId="60EA5E9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（5）技术标准和要求；        </w:t>
      </w:r>
    </w:p>
    <w:p w14:paraId="5BF1C1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（6）图纸；</w:t>
      </w:r>
    </w:p>
    <w:p w14:paraId="39D20F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（7）已标价工程量清单或预算书；</w:t>
      </w:r>
    </w:p>
    <w:p w14:paraId="465CAA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（8）其他合同文件。</w:t>
      </w:r>
    </w:p>
    <w:p w14:paraId="04D03E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在合同订立及履行过程中形成的与合同有关的文件均构成合同文件组成部分。</w:t>
      </w:r>
    </w:p>
    <w:p w14:paraId="6A5C32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上述各项合同文件包括合同当事人就该项合同文件所作出的补充和修改，属于同一类内容的文件，应以最新签署的为准。专用合同条款及其附件须经合同当事人签字或盖章。</w:t>
      </w:r>
    </w:p>
    <w:p w14:paraId="5C9E133E">
      <w:pPr>
        <w:tabs>
          <w:tab w:val="left" w:pos="864"/>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    七、承诺</w:t>
      </w:r>
    </w:p>
    <w:p w14:paraId="69764CD0">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1.发包人承诺按照法律规定履行项目审批手续、筹集工程建设资金并按照合同约定的期限和方式支付合同价款。</w:t>
      </w:r>
    </w:p>
    <w:p w14:paraId="585AFBE3">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2.承包人承诺按照法律规定及合同约定组织完成工程施工，确保工程质量和安全，不进行转包及违法分包，并在缺陷责任期及保修期内承担相应的工程维修责任。</w:t>
      </w:r>
    </w:p>
    <w:p w14:paraId="408052E5">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3.发包人和承包人通过招投标形式签订合同的，双方理解并承诺不再就同一工程另行签订与合同实质性内容相背离的协议。</w:t>
      </w:r>
    </w:p>
    <w:p w14:paraId="2D5D90A6">
      <w:pPr>
        <w:tabs>
          <w:tab w:val="left" w:pos="864"/>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    八、词语含义</w:t>
      </w:r>
    </w:p>
    <w:p w14:paraId="27773590">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本协议书中词语含义与第二部分通用合同条款中赋予的含义相同。</w:t>
      </w:r>
    </w:p>
    <w:p w14:paraId="33957B24">
      <w:pPr>
        <w:tabs>
          <w:tab w:val="left" w:pos="864"/>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    九、签订时间</w:t>
      </w:r>
    </w:p>
    <w:p w14:paraId="77C32AA0">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本合同于</w:t>
      </w:r>
      <w:r>
        <w:rPr>
          <w:rFonts w:hint="eastAsia" w:ascii="宋体" w:hAnsi="宋体" w:cs="宋体"/>
          <w:bCs/>
          <w:color w:val="auto"/>
          <w:sz w:val="24"/>
          <w:highlight w:val="none"/>
          <w:u w:val="single"/>
        </w:rPr>
        <w:t xml:space="preserve">  </w:t>
      </w:r>
      <w:r>
        <w:rPr>
          <w:rFonts w:hint="eastAsia" w:ascii="宋体" w:hAnsi="宋体" w:cs="宋体"/>
          <w:b/>
          <w:color w:val="auto"/>
          <w:sz w:val="24"/>
          <w:highlight w:val="none"/>
          <w:u w:val="single"/>
        </w:rPr>
        <w:t xml:space="preserve">   </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月</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日签订。</w:t>
      </w:r>
    </w:p>
    <w:p w14:paraId="490C969D">
      <w:pPr>
        <w:tabs>
          <w:tab w:val="left" w:pos="864"/>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    十、签订地点</w:t>
      </w:r>
    </w:p>
    <w:p w14:paraId="549D2470">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本合同在</w:t>
      </w:r>
      <w:r>
        <w:rPr>
          <w:rFonts w:hint="eastAsia" w:ascii="宋体" w:hAnsi="宋体" w:cs="宋体"/>
          <w:bCs/>
          <w:color w:val="auto"/>
          <w:sz w:val="24"/>
          <w:highlight w:val="none"/>
          <w:u w:val="single"/>
        </w:rPr>
        <w:t xml:space="preserve">   </w:t>
      </w:r>
      <w:r>
        <w:rPr>
          <w:rFonts w:hint="eastAsia" w:ascii="宋体" w:hAnsi="宋体" w:cs="宋体"/>
          <w:b/>
          <w:color w:val="auto"/>
          <w:sz w:val="24"/>
          <w:highlight w:val="none"/>
          <w:u w:val="single"/>
        </w:rPr>
        <w:t>发包人指定地点</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签订。</w:t>
      </w:r>
    </w:p>
    <w:p w14:paraId="32C3A5FD">
      <w:pPr>
        <w:tabs>
          <w:tab w:val="left" w:pos="864"/>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    十一、补充协议</w:t>
      </w:r>
    </w:p>
    <w:p w14:paraId="6367D1B2">
      <w:pPr>
        <w:spacing w:line="360" w:lineRule="auto"/>
        <w:ind w:firstLine="480" w:firstLineChars="200"/>
        <w:rPr>
          <w:rFonts w:ascii="宋体" w:hAnsi="宋体" w:cs="宋体"/>
          <w:b/>
          <w:color w:val="auto"/>
          <w:sz w:val="24"/>
          <w:highlight w:val="none"/>
        </w:rPr>
      </w:pPr>
      <w:r>
        <w:rPr>
          <w:rFonts w:hint="eastAsia" w:ascii="宋体" w:hAnsi="宋体" w:cs="宋体"/>
          <w:bCs/>
          <w:color w:val="auto"/>
          <w:sz w:val="24"/>
          <w:highlight w:val="none"/>
        </w:rPr>
        <w:t>合同未尽事宜，合同当事人另行签订补充协议，补充协议是合同的组成部分。</w:t>
      </w:r>
    </w:p>
    <w:p w14:paraId="7CDC1D2B">
      <w:pPr>
        <w:tabs>
          <w:tab w:val="left" w:pos="864"/>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    十二、合同生效</w:t>
      </w:r>
    </w:p>
    <w:p w14:paraId="4B8E3033">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本合同自</w:t>
      </w:r>
      <w:r>
        <w:rPr>
          <w:rFonts w:hint="eastAsia" w:ascii="宋体" w:hAnsi="宋体" w:cs="宋体"/>
          <w:bCs/>
          <w:color w:val="auto"/>
          <w:sz w:val="24"/>
          <w:highlight w:val="none"/>
          <w:u w:val="single"/>
        </w:rPr>
        <w:t xml:space="preserve">   </w:t>
      </w:r>
      <w:r>
        <w:rPr>
          <w:rFonts w:hint="eastAsia" w:ascii="宋体" w:hAnsi="宋体" w:cs="宋体"/>
          <w:b/>
          <w:color w:val="auto"/>
          <w:sz w:val="24"/>
          <w:highlight w:val="none"/>
          <w:u w:val="single"/>
        </w:rPr>
        <w:t>双方签字盖章之日起</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生效。</w:t>
      </w:r>
    </w:p>
    <w:p w14:paraId="37048705">
      <w:pPr>
        <w:tabs>
          <w:tab w:val="left" w:pos="864"/>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    十三、合同份数</w:t>
      </w:r>
    </w:p>
    <w:p w14:paraId="179C6EDA">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本合同一式</w:t>
      </w:r>
      <w:r>
        <w:rPr>
          <w:rFonts w:hint="eastAsia" w:ascii="宋体" w:hAnsi="宋体" w:cs="宋体"/>
          <w:bCs/>
          <w:color w:val="auto"/>
          <w:sz w:val="24"/>
          <w:highlight w:val="none"/>
          <w:u w:val="single"/>
        </w:rPr>
        <w:t xml:space="preserve"> </w:t>
      </w:r>
      <w:r>
        <w:rPr>
          <w:rFonts w:hint="eastAsia" w:ascii="宋体" w:hAnsi="宋体" w:cs="宋体"/>
          <w:b/>
          <w:color w:val="auto"/>
          <w:sz w:val="24"/>
          <w:highlight w:val="none"/>
          <w:u w:val="single"/>
        </w:rPr>
        <w:t>柒</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份，均具有同等法律效力，发包人执</w:t>
      </w:r>
      <w:r>
        <w:rPr>
          <w:rFonts w:hint="eastAsia" w:ascii="宋体" w:hAnsi="宋体" w:cs="宋体"/>
          <w:bCs/>
          <w:color w:val="auto"/>
          <w:sz w:val="24"/>
          <w:highlight w:val="none"/>
          <w:u w:val="single"/>
        </w:rPr>
        <w:t xml:space="preserve"> </w:t>
      </w:r>
      <w:r>
        <w:rPr>
          <w:rFonts w:hint="eastAsia" w:ascii="宋体" w:hAnsi="宋体" w:cs="宋体"/>
          <w:b/>
          <w:color w:val="auto"/>
          <w:sz w:val="24"/>
          <w:highlight w:val="none"/>
          <w:u w:val="single"/>
        </w:rPr>
        <w:t>肆</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份，承包人执</w:t>
      </w:r>
      <w:r>
        <w:rPr>
          <w:rFonts w:hint="eastAsia" w:ascii="宋体" w:hAnsi="宋体" w:cs="宋体"/>
          <w:bCs/>
          <w:color w:val="auto"/>
          <w:sz w:val="24"/>
          <w:highlight w:val="none"/>
          <w:u w:val="single"/>
        </w:rPr>
        <w:t xml:space="preserve"> </w:t>
      </w:r>
      <w:r>
        <w:rPr>
          <w:rFonts w:hint="eastAsia" w:ascii="宋体" w:hAnsi="宋体" w:cs="宋体"/>
          <w:b/>
          <w:color w:val="auto"/>
          <w:sz w:val="24"/>
          <w:highlight w:val="none"/>
          <w:u w:val="single"/>
        </w:rPr>
        <w:t xml:space="preserve">叁 </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份。</w:t>
      </w:r>
    </w:p>
    <w:p w14:paraId="5D47CBCE">
      <w:pPr>
        <w:pStyle w:val="970"/>
        <w:spacing w:line="360" w:lineRule="auto"/>
        <w:ind w:left="480" w:firstLine="480"/>
        <w:rPr>
          <w:color w:val="auto"/>
          <w:sz w:val="24"/>
          <w:highlight w:val="none"/>
        </w:rPr>
      </w:pPr>
    </w:p>
    <w:p w14:paraId="43A4062C">
      <w:pPr>
        <w:pStyle w:val="970"/>
        <w:spacing w:line="360" w:lineRule="auto"/>
        <w:ind w:left="480" w:firstLine="480"/>
        <w:rPr>
          <w:color w:val="auto"/>
          <w:sz w:val="24"/>
          <w:highlight w:val="none"/>
        </w:rPr>
      </w:pPr>
    </w:p>
    <w:p w14:paraId="44609EF1">
      <w:pPr>
        <w:spacing w:line="360" w:lineRule="auto"/>
        <w:rPr>
          <w:rFonts w:ascii="宋体" w:hAnsi="宋体" w:cs="宋体"/>
          <w:color w:val="auto"/>
          <w:sz w:val="24"/>
          <w:highlight w:val="none"/>
        </w:rPr>
      </w:pPr>
      <w:r>
        <w:rPr>
          <w:rFonts w:hint="eastAsia" w:ascii="宋体" w:hAnsi="宋体" w:cs="宋体"/>
          <w:color w:val="auto"/>
          <w:sz w:val="24"/>
          <w:highlight w:val="none"/>
        </w:rPr>
        <w:t>发包人：  (公章)                      承包人：  (公章)</w:t>
      </w:r>
    </w:p>
    <w:p w14:paraId="5C4645AA">
      <w:pPr>
        <w:spacing w:line="360" w:lineRule="auto"/>
        <w:rPr>
          <w:rFonts w:ascii="宋体" w:hAnsi="宋体" w:cs="宋体"/>
          <w:color w:val="auto"/>
          <w:sz w:val="24"/>
          <w:highlight w:val="none"/>
        </w:rPr>
      </w:pPr>
      <w:r>
        <w:rPr>
          <w:rFonts w:hint="eastAsia" w:ascii="宋体" w:hAnsi="宋体" w:cs="宋体"/>
          <w:color w:val="auto"/>
          <w:sz w:val="24"/>
          <w:highlight w:val="none"/>
        </w:rPr>
        <w:t>法定代表人或其委托代理人：          法定代表人或其委托代理人：</w:t>
      </w:r>
    </w:p>
    <w:p w14:paraId="24E25D79">
      <w:pPr>
        <w:spacing w:line="360" w:lineRule="auto"/>
        <w:rPr>
          <w:rFonts w:ascii="宋体" w:hAnsi="宋体" w:cs="宋体"/>
          <w:color w:val="auto"/>
          <w:sz w:val="24"/>
          <w:highlight w:val="none"/>
        </w:rPr>
      </w:pPr>
      <w:r>
        <w:rPr>
          <w:rFonts w:hint="eastAsia" w:ascii="宋体" w:hAnsi="宋体" w:cs="宋体"/>
          <w:color w:val="auto"/>
          <w:sz w:val="24"/>
          <w:highlight w:val="none"/>
        </w:rPr>
        <w:t>（签字）                            （签字）</w:t>
      </w:r>
    </w:p>
    <w:p w14:paraId="46F922B1">
      <w:pPr>
        <w:tabs>
          <w:tab w:val="left" w:pos="4410"/>
        </w:tabs>
        <w:spacing w:line="360" w:lineRule="auto"/>
        <w:rPr>
          <w:rFonts w:ascii="宋体" w:hAnsi="宋体" w:cs="宋体"/>
          <w:color w:val="auto"/>
          <w:sz w:val="24"/>
          <w:highlight w:val="none"/>
        </w:rPr>
      </w:pPr>
      <w:r>
        <w:rPr>
          <w:rFonts w:hint="eastAsia" w:ascii="宋体" w:hAnsi="宋体" w:cs="宋体"/>
          <w:color w:val="auto"/>
          <w:sz w:val="24"/>
          <w:highlight w:val="none"/>
        </w:rPr>
        <w:t>组织机构代码：</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组织机构代码：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1078081C">
      <w:pPr>
        <w:spacing w:line="360" w:lineRule="auto"/>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 xml:space="preserve">       地  址：</w:t>
      </w:r>
      <w:r>
        <w:rPr>
          <w:rFonts w:hint="eastAsia" w:ascii="宋体" w:hAnsi="宋体" w:cs="宋体"/>
          <w:color w:val="auto"/>
          <w:sz w:val="24"/>
          <w:highlight w:val="none"/>
          <w:u w:val="single"/>
        </w:rPr>
        <w:t xml:space="preserve">            </w:t>
      </w:r>
      <w:r>
        <w:rPr>
          <w:rFonts w:ascii="宋体" w:hAnsi="宋体" w:cs="宋体"/>
          <w:color w:val="auto"/>
          <w:sz w:val="24"/>
          <w:highlight w:val="none"/>
        </w:rPr>
        <w:t xml:space="preserve"> </w:t>
      </w:r>
    </w:p>
    <w:p w14:paraId="2169F4C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邮政编码：</w:t>
      </w:r>
      <w:r>
        <w:rPr>
          <w:rFonts w:hint="eastAsia" w:ascii="宋体" w:hAnsi="宋体" w:cs="宋体"/>
          <w:color w:val="auto"/>
          <w:sz w:val="24"/>
          <w:highlight w:val="none"/>
          <w:u w:val="single"/>
        </w:rPr>
        <w:t xml:space="preserve">      </w:t>
      </w:r>
      <w:r>
        <w:rPr>
          <w:rFonts w:hint="eastAsia" w:ascii="宋体" w:hAnsi="宋体" w:cs="宋体"/>
          <w:color w:val="auto"/>
          <w:sz w:val="24"/>
          <w:highlight w:val="none"/>
        </w:rPr>
        <w:t xml:space="preserve">        邮政编码：</w:t>
      </w:r>
    </w:p>
    <w:p w14:paraId="022FCDCB">
      <w:pPr>
        <w:spacing w:line="360" w:lineRule="auto"/>
        <w:rPr>
          <w:rFonts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 xml:space="preserve">             法定代表人：</w:t>
      </w:r>
      <w:r>
        <w:rPr>
          <w:rFonts w:hint="eastAsia" w:ascii="宋体" w:hAnsi="宋体" w:cs="宋体"/>
          <w:color w:val="auto"/>
          <w:sz w:val="24"/>
          <w:highlight w:val="none"/>
          <w:u w:val="single"/>
        </w:rPr>
        <w:t xml:space="preserve">              </w:t>
      </w:r>
    </w:p>
    <w:p w14:paraId="36BD05B0">
      <w:pPr>
        <w:spacing w:line="360" w:lineRule="auto"/>
        <w:rPr>
          <w:rFonts w:ascii="宋体" w:hAnsi="宋体" w:cs="宋体"/>
          <w:color w:val="auto"/>
          <w:sz w:val="24"/>
          <w:highlight w:val="none"/>
        </w:rPr>
      </w:pPr>
      <w:r>
        <w:rPr>
          <w:rFonts w:hint="eastAsia" w:ascii="宋体" w:hAnsi="宋体" w:cs="宋体"/>
          <w:color w:val="auto"/>
          <w:sz w:val="24"/>
          <w:highlight w:val="none"/>
        </w:rPr>
        <w:t>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委托代理人：</w:t>
      </w:r>
      <w:r>
        <w:rPr>
          <w:rFonts w:hint="eastAsia" w:ascii="宋体" w:hAnsi="宋体" w:cs="宋体"/>
          <w:color w:val="auto"/>
          <w:sz w:val="24"/>
          <w:highlight w:val="none"/>
          <w:u w:val="single"/>
        </w:rPr>
        <w:t xml:space="preserve">                </w:t>
      </w:r>
    </w:p>
    <w:p w14:paraId="0D854717">
      <w:pPr>
        <w:spacing w:line="360" w:lineRule="auto"/>
        <w:rPr>
          <w:rFonts w:ascii="宋体" w:hAnsi="宋体" w:cs="宋体"/>
          <w:color w:val="auto"/>
          <w:sz w:val="24"/>
          <w:highlight w:val="none"/>
        </w:rPr>
      </w:pPr>
      <w:r>
        <w:rPr>
          <w:rFonts w:hint="eastAsia" w:ascii="宋体" w:hAnsi="宋体" w:cs="宋体"/>
          <w:color w:val="auto"/>
          <w:sz w:val="24"/>
          <w:highlight w:val="none"/>
        </w:rPr>
        <w:t>电  话：</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电  话：</w:t>
      </w:r>
      <w:r>
        <w:rPr>
          <w:rFonts w:hint="eastAsia" w:ascii="宋体" w:hAnsi="宋体" w:cs="宋体"/>
          <w:color w:val="auto"/>
          <w:sz w:val="24"/>
          <w:highlight w:val="none"/>
          <w:u w:val="single"/>
        </w:rPr>
        <w:t xml:space="preserve">          </w:t>
      </w:r>
    </w:p>
    <w:p w14:paraId="5D7ADFAA">
      <w:pPr>
        <w:spacing w:line="360" w:lineRule="auto"/>
        <w:rPr>
          <w:rFonts w:ascii="宋体" w:hAnsi="宋体" w:cs="宋体"/>
          <w:color w:val="auto"/>
          <w:sz w:val="24"/>
          <w:highlight w:val="none"/>
          <w:u w:val="single"/>
        </w:rPr>
      </w:pPr>
      <w:r>
        <w:rPr>
          <w:rFonts w:hint="eastAsia" w:ascii="宋体" w:hAnsi="宋体" w:cs="宋体"/>
          <w:color w:val="auto"/>
          <w:sz w:val="24"/>
          <w:highlight w:val="none"/>
        </w:rPr>
        <w:t>传  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传  真：</w:t>
      </w:r>
      <w:r>
        <w:rPr>
          <w:rFonts w:hint="eastAsia" w:ascii="宋体" w:hAnsi="宋体" w:cs="宋体"/>
          <w:color w:val="auto"/>
          <w:sz w:val="24"/>
          <w:highlight w:val="none"/>
          <w:u w:val="single"/>
        </w:rPr>
        <w:t xml:space="preserve">              </w:t>
      </w:r>
    </w:p>
    <w:p w14:paraId="66F44921">
      <w:pPr>
        <w:spacing w:line="360" w:lineRule="auto"/>
        <w:rPr>
          <w:rFonts w:ascii="宋体" w:hAnsi="宋体" w:cs="宋体"/>
          <w:color w:val="auto"/>
          <w:sz w:val="24"/>
          <w:highlight w:val="non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电子信箱：</w:t>
      </w:r>
      <w:r>
        <w:rPr>
          <w:rFonts w:hint="eastAsia" w:ascii="宋体" w:hAnsi="宋体" w:cs="宋体"/>
          <w:color w:val="auto"/>
          <w:sz w:val="24"/>
          <w:highlight w:val="none"/>
          <w:u w:val="single"/>
        </w:rPr>
        <w:t xml:space="preserve">      </w:t>
      </w:r>
    </w:p>
    <w:p w14:paraId="1DF9761F">
      <w:pPr>
        <w:spacing w:line="360" w:lineRule="auto"/>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 xml:space="preserve">  开户银行：</w:t>
      </w:r>
      <w:r>
        <w:rPr>
          <w:rFonts w:hint="eastAsia" w:ascii="宋体" w:hAnsi="宋体" w:cs="宋体"/>
          <w:color w:val="auto"/>
          <w:sz w:val="24"/>
          <w:highlight w:val="none"/>
          <w:u w:val="single"/>
        </w:rPr>
        <w:t xml:space="preserve">                     </w:t>
      </w:r>
      <w:r>
        <w:rPr>
          <w:rFonts w:ascii="宋体" w:hAnsi="宋体" w:cs="宋体"/>
          <w:color w:val="auto"/>
          <w:sz w:val="24"/>
          <w:highlight w:val="none"/>
        </w:rPr>
        <w:t xml:space="preserve"> </w:t>
      </w:r>
    </w:p>
    <w:p w14:paraId="0E04CD4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账  号：</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 xml:space="preserve">        账  号：</w:t>
      </w:r>
      <w:r>
        <w:rPr>
          <w:rFonts w:hint="eastAsia" w:ascii="宋体" w:hAnsi="宋体" w:cs="宋体"/>
          <w:color w:val="auto"/>
          <w:sz w:val="24"/>
          <w:highlight w:val="none"/>
          <w:u w:val="single"/>
        </w:rPr>
        <w:t xml:space="preserve">                      </w:t>
      </w:r>
    </w:p>
    <w:p w14:paraId="5828BFCB">
      <w:pPr>
        <w:pStyle w:val="33"/>
        <w:spacing w:line="360" w:lineRule="auto"/>
        <w:ind w:left="2100" w:hanging="2100"/>
        <w:jc w:val="center"/>
        <w:rPr>
          <w:rFonts w:hAnsi="宋体" w:cs="宋体"/>
          <w:b/>
          <w:bCs/>
          <w:color w:val="auto"/>
          <w:sz w:val="24"/>
          <w:szCs w:val="24"/>
          <w:highlight w:val="none"/>
        </w:rPr>
      </w:pPr>
      <w:r>
        <w:rPr>
          <w:rFonts w:hAnsi="宋体" w:cs="宋体"/>
          <w:color w:val="auto"/>
          <w:sz w:val="24"/>
          <w:szCs w:val="24"/>
          <w:highlight w:val="none"/>
        </w:rPr>
        <w:br w:type="page"/>
      </w:r>
      <w:r>
        <w:rPr>
          <w:rFonts w:hAnsi="宋体" w:cs="宋体"/>
          <w:b/>
          <w:color w:val="auto"/>
          <w:sz w:val="24"/>
          <w:szCs w:val="24"/>
          <w:highlight w:val="none"/>
        </w:rPr>
        <w:t xml:space="preserve">第二部分  </w:t>
      </w:r>
      <w:r>
        <w:rPr>
          <w:rFonts w:hAnsi="宋体" w:cs="宋体"/>
          <w:b/>
          <w:bCs/>
          <w:color w:val="auto"/>
          <w:sz w:val="24"/>
          <w:szCs w:val="24"/>
          <w:highlight w:val="none"/>
        </w:rPr>
        <w:t>通用条款（略)</w:t>
      </w:r>
    </w:p>
    <w:p w14:paraId="64BFA23B">
      <w:pPr>
        <w:pStyle w:val="33"/>
        <w:spacing w:line="360" w:lineRule="auto"/>
        <w:ind w:left="2100" w:hanging="2100"/>
        <w:jc w:val="center"/>
        <w:rPr>
          <w:rFonts w:hAnsi="宋体" w:cs="宋体"/>
          <w:color w:val="auto"/>
          <w:sz w:val="24"/>
          <w:szCs w:val="24"/>
          <w:highlight w:val="none"/>
        </w:rPr>
      </w:pPr>
      <w:r>
        <w:rPr>
          <w:rFonts w:hAnsi="宋体" w:cs="宋体"/>
          <w:color w:val="auto"/>
          <w:sz w:val="24"/>
          <w:szCs w:val="24"/>
          <w:highlight w:val="none"/>
        </w:rPr>
        <w:t>通用合同条款采用住房和城乡建设部、国家工商行政管理总局制定的《建设工程施工合同（示范文本）》（GF—2017—0201）的通用合同条款。</w:t>
      </w:r>
    </w:p>
    <w:p w14:paraId="345BE6E0">
      <w:pPr>
        <w:pStyle w:val="33"/>
        <w:spacing w:line="360" w:lineRule="auto"/>
        <w:ind w:left="2102" w:hanging="2100"/>
        <w:jc w:val="center"/>
        <w:rPr>
          <w:rFonts w:hAnsi="宋体" w:cs="宋体"/>
          <w:b/>
          <w:color w:val="auto"/>
          <w:sz w:val="24"/>
          <w:szCs w:val="24"/>
          <w:highlight w:val="none"/>
        </w:rPr>
      </w:pPr>
      <w:r>
        <w:rPr>
          <w:rFonts w:hAnsi="宋体" w:cs="宋体"/>
          <w:b/>
          <w:color w:val="auto"/>
          <w:sz w:val="24"/>
          <w:szCs w:val="24"/>
          <w:highlight w:val="none"/>
        </w:rPr>
        <w:t>第三部分 专用合同条款</w:t>
      </w:r>
    </w:p>
    <w:p w14:paraId="2C98EBC8">
      <w:pPr>
        <w:pStyle w:val="6"/>
        <w:spacing w:line="360" w:lineRule="auto"/>
        <w:ind w:left="0" w:firstLine="482" w:firstLineChars="200"/>
        <w:rPr>
          <w:rFonts w:ascii="宋体" w:hAnsi="宋体" w:eastAsia="宋体" w:cs="宋体"/>
          <w:bCs w:val="0"/>
          <w:color w:val="auto"/>
          <w:sz w:val="24"/>
          <w:szCs w:val="24"/>
          <w:highlight w:val="none"/>
        </w:rPr>
      </w:pPr>
      <w:r>
        <w:rPr>
          <w:rFonts w:ascii="宋体" w:hAnsi="宋体" w:eastAsia="宋体" w:cs="宋体"/>
          <w:bCs w:val="0"/>
          <w:color w:val="auto"/>
          <w:sz w:val="24"/>
          <w:szCs w:val="24"/>
          <w:highlight w:val="none"/>
        </w:rPr>
        <w:t>1. 一般约定</w:t>
      </w:r>
    </w:p>
    <w:p w14:paraId="1B795A7E">
      <w:pPr>
        <w:spacing w:line="360" w:lineRule="auto"/>
        <w:ind w:firstLine="420" w:firstLineChars="175"/>
        <w:rPr>
          <w:rFonts w:ascii="宋体" w:hAnsi="宋体"/>
          <w:color w:val="auto"/>
          <w:sz w:val="24"/>
          <w:highlight w:val="none"/>
        </w:rPr>
      </w:pPr>
      <w:r>
        <w:rPr>
          <w:rFonts w:ascii="宋体" w:hAnsi="宋体"/>
          <w:color w:val="auto"/>
          <w:sz w:val="24"/>
          <w:highlight w:val="none"/>
        </w:rPr>
        <w:t>1.1 词语定义</w:t>
      </w:r>
    </w:p>
    <w:p w14:paraId="4B1808CC">
      <w:pPr>
        <w:spacing w:line="360" w:lineRule="auto"/>
        <w:ind w:firstLine="420" w:firstLineChars="175"/>
        <w:rPr>
          <w:rFonts w:ascii="宋体" w:hAnsi="宋体"/>
          <w:color w:val="auto"/>
          <w:sz w:val="24"/>
          <w:highlight w:val="none"/>
        </w:rPr>
      </w:pPr>
      <w:r>
        <w:rPr>
          <w:rFonts w:ascii="宋体" w:hAnsi="宋体"/>
          <w:color w:val="auto"/>
          <w:sz w:val="24"/>
          <w:highlight w:val="none"/>
        </w:rPr>
        <w:t>1.1.1合同</w:t>
      </w:r>
    </w:p>
    <w:p w14:paraId="675EEF14">
      <w:pPr>
        <w:spacing w:line="360" w:lineRule="auto"/>
        <w:ind w:firstLine="420" w:firstLineChars="175"/>
        <w:rPr>
          <w:rFonts w:ascii="宋体" w:hAnsi="宋体"/>
          <w:color w:val="auto"/>
          <w:sz w:val="24"/>
          <w:highlight w:val="none"/>
        </w:rPr>
      </w:pPr>
      <w:r>
        <w:rPr>
          <w:rFonts w:ascii="宋体" w:hAnsi="宋体"/>
          <w:color w:val="auto"/>
          <w:sz w:val="24"/>
          <w:highlight w:val="none"/>
        </w:rPr>
        <w:t>1.1.1.10其他合同文件包括：</w:t>
      </w:r>
    </w:p>
    <w:p w14:paraId="6B146F0A">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施工组织设计：施工组织</w:t>
      </w:r>
      <w:r>
        <w:rPr>
          <w:color w:val="auto"/>
          <w:highlight w:val="none"/>
        </w:rPr>
        <w:fldChar w:fldCharType="begin"/>
      </w:r>
      <w:r>
        <w:rPr>
          <w:color w:val="auto"/>
          <w:highlight w:val="none"/>
        </w:rPr>
        <w:instrText xml:space="preserve"> HYPERLINK "http://baike.baidu.com/view/14417.htm" </w:instrText>
      </w:r>
      <w:r>
        <w:rPr>
          <w:color w:val="auto"/>
          <w:highlight w:val="none"/>
        </w:rPr>
        <w:fldChar w:fldCharType="separate"/>
      </w:r>
      <w:r>
        <w:rPr>
          <w:rFonts w:ascii="宋体" w:hAnsi="宋体"/>
          <w:b/>
          <w:color w:val="auto"/>
          <w:sz w:val="24"/>
          <w:highlight w:val="none"/>
          <w:u w:val="single"/>
        </w:rPr>
        <w:t>设计</w:t>
      </w:r>
      <w:r>
        <w:rPr>
          <w:rFonts w:ascii="宋体" w:hAnsi="宋体"/>
          <w:b/>
          <w:color w:val="auto"/>
          <w:sz w:val="24"/>
          <w:highlight w:val="none"/>
          <w:u w:val="single"/>
        </w:rPr>
        <w:fldChar w:fldCharType="end"/>
      </w:r>
      <w:r>
        <w:rPr>
          <w:rFonts w:ascii="宋体" w:hAnsi="宋体"/>
          <w:b/>
          <w:color w:val="auto"/>
          <w:sz w:val="24"/>
          <w:highlight w:val="none"/>
          <w:u w:val="single"/>
        </w:rPr>
        <w:t>是用来指导</w:t>
      </w:r>
      <w:r>
        <w:rPr>
          <w:color w:val="auto"/>
          <w:highlight w:val="none"/>
        </w:rPr>
        <w:fldChar w:fldCharType="begin"/>
      </w:r>
      <w:r>
        <w:rPr>
          <w:color w:val="auto"/>
          <w:highlight w:val="none"/>
        </w:rPr>
        <w:instrText xml:space="preserve"> HYPERLINK "http://baike.baidu.com/view/1094820.htm" </w:instrText>
      </w:r>
      <w:r>
        <w:rPr>
          <w:color w:val="auto"/>
          <w:highlight w:val="none"/>
        </w:rPr>
        <w:fldChar w:fldCharType="separate"/>
      </w:r>
      <w:r>
        <w:rPr>
          <w:rStyle w:val="76"/>
          <w:rFonts w:ascii="宋体" w:hAnsi="宋体" w:eastAsia="宋体"/>
          <w:b/>
          <w:color w:val="auto"/>
          <w:sz w:val="24"/>
          <w:szCs w:val="24"/>
          <w:highlight w:val="none"/>
        </w:rPr>
        <w:t>施工项目</w:t>
      </w:r>
      <w:r>
        <w:rPr>
          <w:rStyle w:val="76"/>
          <w:rFonts w:ascii="宋体" w:hAnsi="宋体" w:eastAsia="宋体"/>
          <w:b/>
          <w:color w:val="auto"/>
          <w:sz w:val="24"/>
          <w:szCs w:val="24"/>
          <w:highlight w:val="none"/>
        </w:rPr>
        <w:fldChar w:fldCharType="end"/>
      </w:r>
      <w:r>
        <w:rPr>
          <w:rFonts w:ascii="宋体" w:hAnsi="宋体"/>
          <w:b/>
          <w:color w:val="auto"/>
          <w:sz w:val="24"/>
          <w:highlight w:val="none"/>
          <w:u w:val="single"/>
        </w:rPr>
        <w:t>全过程各项活动的技术、经济和组织的综合性文件。</w:t>
      </w:r>
    </w:p>
    <w:p w14:paraId="698D4883">
      <w:pPr>
        <w:spacing w:line="360" w:lineRule="auto"/>
        <w:ind w:firstLine="480" w:firstLineChars="200"/>
        <w:rPr>
          <w:rFonts w:ascii="宋体" w:hAnsi="宋体"/>
          <w:color w:val="auto"/>
          <w:sz w:val="24"/>
          <w:highlight w:val="none"/>
        </w:rPr>
      </w:pPr>
      <w:r>
        <w:rPr>
          <w:rFonts w:ascii="宋体" w:hAnsi="宋体"/>
          <w:color w:val="auto"/>
          <w:sz w:val="24"/>
          <w:highlight w:val="none"/>
        </w:rPr>
        <w:t>1.1.2 合同当事人及其他相关方</w:t>
      </w:r>
    </w:p>
    <w:p w14:paraId="47032AD8">
      <w:pPr>
        <w:spacing w:line="360" w:lineRule="auto"/>
        <w:ind w:firstLine="480" w:firstLineChars="200"/>
        <w:rPr>
          <w:rFonts w:ascii="宋体" w:hAnsi="宋体"/>
          <w:color w:val="auto"/>
          <w:sz w:val="24"/>
          <w:highlight w:val="none"/>
        </w:rPr>
      </w:pPr>
      <w:r>
        <w:rPr>
          <w:rFonts w:ascii="宋体" w:hAnsi="宋体"/>
          <w:color w:val="auto"/>
          <w:sz w:val="24"/>
          <w:highlight w:val="none"/>
        </w:rPr>
        <w:t>1.1.2.4监理人：</w:t>
      </w:r>
      <w:r>
        <w:rPr>
          <w:rFonts w:ascii="宋体" w:hAnsi="宋体"/>
          <w:color w:val="auto"/>
          <w:sz w:val="24"/>
          <w:highlight w:val="none"/>
          <w:u w:val="single"/>
        </w:rPr>
        <w:t>               </w:t>
      </w:r>
      <w:r>
        <w:rPr>
          <w:rFonts w:ascii="宋体" w:hAnsi="宋体"/>
          <w:color w:val="auto"/>
          <w:sz w:val="24"/>
          <w:highlight w:val="none"/>
        </w:rPr>
        <w:t>：</w:t>
      </w:r>
    </w:p>
    <w:p w14:paraId="767E6FAD">
      <w:pPr>
        <w:spacing w:line="360" w:lineRule="auto"/>
        <w:ind w:firstLine="480" w:firstLineChars="200"/>
        <w:rPr>
          <w:rFonts w:ascii="宋体" w:hAnsi="宋体"/>
          <w:color w:val="auto"/>
          <w:sz w:val="24"/>
          <w:highlight w:val="none"/>
        </w:rPr>
      </w:pPr>
      <w:r>
        <w:rPr>
          <w:rFonts w:ascii="宋体" w:hAnsi="宋体"/>
          <w:color w:val="auto"/>
          <w:sz w:val="24"/>
          <w:highlight w:val="none"/>
        </w:rPr>
        <w:t>名    称：</w:t>
      </w:r>
      <w:r>
        <w:rPr>
          <w:rFonts w:ascii="宋体" w:hAnsi="宋体"/>
          <w:color w:val="auto"/>
          <w:sz w:val="24"/>
          <w:highlight w:val="none"/>
          <w:u w:val="single"/>
        </w:rPr>
        <w:t>                </w:t>
      </w:r>
      <w:r>
        <w:rPr>
          <w:rFonts w:hint="eastAsia" w:ascii="宋体" w:hAnsi="宋体"/>
          <w:color w:val="auto"/>
          <w:sz w:val="24"/>
          <w:highlight w:val="none"/>
          <w:u w:val="single"/>
        </w:rPr>
        <w:t xml:space="preserve">  </w:t>
      </w:r>
      <w:r>
        <w:rPr>
          <w:rFonts w:ascii="宋体" w:hAnsi="宋体"/>
          <w:color w:val="auto"/>
          <w:sz w:val="24"/>
          <w:highlight w:val="none"/>
          <w:u w:val="single"/>
        </w:rPr>
        <w:t></w:t>
      </w:r>
      <w:r>
        <w:rPr>
          <w:rFonts w:ascii="宋体" w:hAnsi="宋体"/>
          <w:color w:val="auto"/>
          <w:sz w:val="24"/>
          <w:highlight w:val="none"/>
        </w:rPr>
        <w:t>；</w:t>
      </w:r>
    </w:p>
    <w:p w14:paraId="215EF107">
      <w:pPr>
        <w:spacing w:line="360" w:lineRule="auto"/>
        <w:ind w:firstLine="480" w:firstLineChars="200"/>
        <w:rPr>
          <w:rFonts w:ascii="宋体" w:hAnsi="宋体"/>
          <w:color w:val="auto"/>
          <w:sz w:val="24"/>
          <w:highlight w:val="none"/>
        </w:rPr>
      </w:pPr>
      <w:r>
        <w:rPr>
          <w:rFonts w:ascii="宋体" w:hAnsi="宋体"/>
          <w:color w:val="auto"/>
          <w:sz w:val="24"/>
          <w:highlight w:val="none"/>
        </w:rPr>
        <w:t>资质类别和等级：</w:t>
      </w:r>
      <w:r>
        <w:rPr>
          <w:rFonts w:ascii="宋体" w:hAnsi="宋体"/>
          <w:color w:val="auto"/>
          <w:sz w:val="24"/>
          <w:highlight w:val="none"/>
          <w:u w:val="single"/>
        </w:rPr>
        <w:t xml:space="preserve">                </w:t>
      </w:r>
      <w:r>
        <w:rPr>
          <w:rFonts w:ascii="宋体" w:hAnsi="宋体"/>
          <w:color w:val="auto"/>
          <w:sz w:val="24"/>
          <w:highlight w:val="none"/>
        </w:rPr>
        <w:t>；</w:t>
      </w:r>
    </w:p>
    <w:p w14:paraId="3BE594A8">
      <w:pPr>
        <w:spacing w:line="360" w:lineRule="auto"/>
        <w:ind w:firstLine="480" w:firstLineChars="200"/>
        <w:rPr>
          <w:rFonts w:ascii="宋体" w:hAnsi="宋体"/>
          <w:color w:val="auto"/>
          <w:sz w:val="24"/>
          <w:highlight w:val="none"/>
        </w:rPr>
      </w:pPr>
      <w:r>
        <w:rPr>
          <w:rFonts w:ascii="宋体" w:hAnsi="宋体"/>
          <w:color w:val="auto"/>
          <w:sz w:val="24"/>
          <w:highlight w:val="none"/>
        </w:rPr>
        <w:t>联系电话：</w:t>
      </w:r>
      <w:r>
        <w:rPr>
          <w:rFonts w:ascii="宋体" w:hAnsi="宋体"/>
          <w:color w:val="auto"/>
          <w:sz w:val="24"/>
          <w:highlight w:val="none"/>
          <w:u w:val="single"/>
        </w:rPr>
        <w:t>                </w:t>
      </w:r>
      <w:r>
        <w:rPr>
          <w:rFonts w:ascii="宋体" w:hAnsi="宋体"/>
          <w:color w:val="auto"/>
          <w:sz w:val="24"/>
          <w:highlight w:val="none"/>
        </w:rPr>
        <w:t>；</w:t>
      </w:r>
    </w:p>
    <w:p w14:paraId="3B7FF34A">
      <w:pPr>
        <w:spacing w:line="360" w:lineRule="auto"/>
        <w:ind w:firstLine="480" w:firstLineChars="200"/>
        <w:rPr>
          <w:rFonts w:ascii="宋体" w:hAnsi="宋体"/>
          <w:color w:val="auto"/>
          <w:sz w:val="24"/>
          <w:highlight w:val="none"/>
        </w:rPr>
      </w:pPr>
      <w:r>
        <w:rPr>
          <w:rFonts w:ascii="宋体" w:hAnsi="宋体"/>
          <w:color w:val="auto"/>
          <w:sz w:val="24"/>
          <w:highlight w:val="none"/>
        </w:rPr>
        <w:t>电子信箱：</w:t>
      </w:r>
      <w:r>
        <w:rPr>
          <w:rFonts w:ascii="宋体" w:hAnsi="宋体"/>
          <w:color w:val="auto"/>
          <w:sz w:val="24"/>
          <w:highlight w:val="none"/>
          <w:u w:val="single"/>
        </w:rPr>
        <w:t>                </w:t>
      </w:r>
      <w:r>
        <w:rPr>
          <w:rFonts w:ascii="宋体" w:hAnsi="宋体"/>
          <w:color w:val="auto"/>
          <w:sz w:val="24"/>
          <w:highlight w:val="none"/>
        </w:rPr>
        <w:t>；</w:t>
      </w:r>
    </w:p>
    <w:p w14:paraId="69A0DE30">
      <w:pPr>
        <w:spacing w:line="360" w:lineRule="auto"/>
        <w:ind w:firstLine="480" w:firstLineChars="200"/>
        <w:rPr>
          <w:rFonts w:ascii="宋体" w:hAnsi="宋体"/>
          <w:color w:val="auto"/>
          <w:sz w:val="24"/>
          <w:highlight w:val="none"/>
        </w:rPr>
      </w:pPr>
      <w:r>
        <w:rPr>
          <w:rFonts w:ascii="宋体" w:hAnsi="宋体"/>
          <w:color w:val="auto"/>
          <w:sz w:val="24"/>
          <w:highlight w:val="none"/>
        </w:rPr>
        <w:t>通信地址：</w:t>
      </w:r>
      <w:r>
        <w:rPr>
          <w:rFonts w:ascii="宋体" w:hAnsi="宋体"/>
          <w:color w:val="auto"/>
          <w:sz w:val="24"/>
          <w:highlight w:val="none"/>
          <w:u w:val="single"/>
        </w:rPr>
        <w:t>                </w:t>
      </w:r>
      <w:r>
        <w:rPr>
          <w:rFonts w:ascii="宋体" w:hAnsi="宋体"/>
          <w:color w:val="auto"/>
          <w:sz w:val="24"/>
          <w:highlight w:val="none"/>
        </w:rPr>
        <w:t>。</w:t>
      </w:r>
    </w:p>
    <w:p w14:paraId="43D19D66">
      <w:pPr>
        <w:spacing w:line="360" w:lineRule="auto"/>
        <w:ind w:firstLine="480" w:firstLineChars="200"/>
        <w:rPr>
          <w:rFonts w:ascii="宋体" w:hAnsi="宋体"/>
          <w:color w:val="auto"/>
          <w:sz w:val="24"/>
          <w:highlight w:val="none"/>
        </w:rPr>
      </w:pPr>
      <w:r>
        <w:rPr>
          <w:rFonts w:ascii="宋体" w:hAnsi="宋体"/>
          <w:color w:val="auto"/>
          <w:sz w:val="24"/>
          <w:highlight w:val="none"/>
        </w:rPr>
        <w:t>1.1.2.5 设计人：</w:t>
      </w:r>
    </w:p>
    <w:p w14:paraId="2D0E1B5A">
      <w:pPr>
        <w:spacing w:line="360" w:lineRule="auto"/>
        <w:ind w:firstLine="480" w:firstLineChars="200"/>
        <w:rPr>
          <w:rFonts w:ascii="宋体" w:hAnsi="宋体"/>
          <w:b/>
          <w:color w:val="auto"/>
          <w:sz w:val="24"/>
          <w:highlight w:val="none"/>
          <w:u w:val="single"/>
        </w:rPr>
      </w:pPr>
      <w:r>
        <w:rPr>
          <w:rFonts w:ascii="宋体" w:hAnsi="宋体"/>
          <w:color w:val="auto"/>
          <w:sz w:val="24"/>
          <w:highlight w:val="none"/>
        </w:rPr>
        <w:t>名    称：</w:t>
      </w:r>
    </w:p>
    <w:p w14:paraId="492772F0">
      <w:pPr>
        <w:spacing w:line="360" w:lineRule="auto"/>
        <w:ind w:firstLine="480" w:firstLineChars="200"/>
        <w:rPr>
          <w:rFonts w:ascii="宋体" w:hAnsi="宋体"/>
          <w:b/>
          <w:color w:val="auto"/>
          <w:sz w:val="24"/>
          <w:highlight w:val="none"/>
          <w:u w:val="single"/>
        </w:rPr>
      </w:pPr>
      <w:r>
        <w:rPr>
          <w:rFonts w:ascii="宋体" w:hAnsi="宋体"/>
          <w:color w:val="auto"/>
          <w:sz w:val="24"/>
          <w:highlight w:val="none"/>
        </w:rPr>
        <w:t>资质类别和等级：</w:t>
      </w:r>
    </w:p>
    <w:p w14:paraId="4F1ABB73">
      <w:pPr>
        <w:spacing w:line="360" w:lineRule="auto"/>
        <w:ind w:firstLine="480" w:firstLineChars="200"/>
        <w:rPr>
          <w:rFonts w:ascii="宋体" w:hAnsi="宋体"/>
          <w:b/>
          <w:color w:val="auto"/>
          <w:sz w:val="24"/>
          <w:highlight w:val="none"/>
          <w:u w:val="single"/>
        </w:rPr>
      </w:pPr>
      <w:r>
        <w:rPr>
          <w:rFonts w:ascii="宋体" w:hAnsi="宋体"/>
          <w:color w:val="auto"/>
          <w:sz w:val="24"/>
          <w:highlight w:val="none"/>
        </w:rPr>
        <w:t>联系电话：</w:t>
      </w:r>
    </w:p>
    <w:p w14:paraId="1EC79710">
      <w:pPr>
        <w:spacing w:line="360" w:lineRule="auto"/>
        <w:ind w:firstLine="480" w:firstLineChars="200"/>
        <w:rPr>
          <w:rFonts w:ascii="宋体" w:hAnsi="宋体"/>
          <w:b/>
          <w:color w:val="auto"/>
          <w:sz w:val="24"/>
          <w:highlight w:val="none"/>
          <w:u w:val="single"/>
        </w:rPr>
      </w:pPr>
      <w:r>
        <w:rPr>
          <w:rFonts w:ascii="宋体" w:hAnsi="宋体"/>
          <w:color w:val="auto"/>
          <w:sz w:val="24"/>
          <w:highlight w:val="none"/>
        </w:rPr>
        <w:t>电子信箱：</w:t>
      </w:r>
    </w:p>
    <w:p w14:paraId="4060B8CF">
      <w:pPr>
        <w:spacing w:line="360" w:lineRule="auto"/>
        <w:ind w:firstLine="480" w:firstLineChars="200"/>
        <w:rPr>
          <w:rFonts w:ascii="宋体" w:hAnsi="宋体"/>
          <w:b/>
          <w:color w:val="auto"/>
          <w:sz w:val="24"/>
          <w:highlight w:val="none"/>
          <w:u w:val="single"/>
        </w:rPr>
      </w:pPr>
      <w:r>
        <w:rPr>
          <w:rFonts w:ascii="宋体" w:hAnsi="宋体"/>
          <w:color w:val="auto"/>
          <w:sz w:val="24"/>
          <w:highlight w:val="none"/>
        </w:rPr>
        <w:t>通信地址：</w:t>
      </w:r>
    </w:p>
    <w:p w14:paraId="2208AC2D">
      <w:pPr>
        <w:spacing w:line="360" w:lineRule="auto"/>
        <w:ind w:firstLine="480" w:firstLineChars="200"/>
        <w:rPr>
          <w:rFonts w:ascii="宋体" w:hAnsi="宋体"/>
          <w:color w:val="auto"/>
          <w:sz w:val="24"/>
          <w:highlight w:val="none"/>
        </w:rPr>
      </w:pPr>
      <w:r>
        <w:rPr>
          <w:rFonts w:ascii="宋体" w:hAnsi="宋体"/>
          <w:color w:val="auto"/>
          <w:sz w:val="24"/>
          <w:highlight w:val="none"/>
        </w:rPr>
        <w:t>1.1.3 工程和设备</w:t>
      </w:r>
    </w:p>
    <w:p w14:paraId="17A56A77">
      <w:pPr>
        <w:spacing w:line="360" w:lineRule="auto"/>
        <w:ind w:firstLine="480" w:firstLineChars="200"/>
        <w:rPr>
          <w:rFonts w:ascii="宋体" w:hAnsi="宋体"/>
          <w:color w:val="auto"/>
          <w:sz w:val="24"/>
          <w:highlight w:val="none"/>
        </w:rPr>
      </w:pPr>
      <w:r>
        <w:rPr>
          <w:rFonts w:ascii="宋体" w:hAnsi="宋体"/>
          <w:color w:val="auto"/>
          <w:sz w:val="24"/>
          <w:highlight w:val="none"/>
        </w:rPr>
        <w:t>1.1.3.7 作为施工现场组成部分的其他场所包括：</w:t>
      </w:r>
      <w:r>
        <w:rPr>
          <w:rFonts w:ascii="宋体" w:hAnsi="宋体"/>
          <w:b/>
          <w:color w:val="auto"/>
          <w:sz w:val="24"/>
          <w:highlight w:val="none"/>
          <w:u w:val="single"/>
        </w:rPr>
        <w:t>规划红线范围场地</w:t>
      </w:r>
      <w:r>
        <w:rPr>
          <w:rFonts w:ascii="宋体" w:hAnsi="宋体"/>
          <w:color w:val="auto"/>
          <w:sz w:val="24"/>
          <w:highlight w:val="none"/>
        </w:rPr>
        <w:t>。</w:t>
      </w:r>
    </w:p>
    <w:p w14:paraId="464CF951">
      <w:pPr>
        <w:spacing w:line="360" w:lineRule="auto"/>
        <w:ind w:firstLine="480" w:firstLineChars="200"/>
        <w:rPr>
          <w:rFonts w:ascii="宋体" w:hAnsi="宋体"/>
          <w:color w:val="auto"/>
          <w:sz w:val="24"/>
          <w:highlight w:val="none"/>
        </w:rPr>
      </w:pPr>
      <w:r>
        <w:rPr>
          <w:rFonts w:ascii="宋体" w:hAnsi="宋体"/>
          <w:color w:val="auto"/>
          <w:sz w:val="24"/>
          <w:highlight w:val="none"/>
        </w:rPr>
        <w:t>1.1.3.9 永久占地包括：</w:t>
      </w:r>
      <w:r>
        <w:rPr>
          <w:rFonts w:ascii="宋体" w:hAnsi="宋体"/>
          <w:b/>
          <w:color w:val="auto"/>
          <w:sz w:val="24"/>
          <w:highlight w:val="none"/>
          <w:u w:val="single"/>
        </w:rPr>
        <w:t>规划红线范围场地</w:t>
      </w:r>
      <w:r>
        <w:rPr>
          <w:rFonts w:ascii="宋体" w:hAnsi="宋体"/>
          <w:color w:val="auto"/>
          <w:sz w:val="24"/>
          <w:highlight w:val="none"/>
        </w:rPr>
        <w:t>。</w:t>
      </w:r>
    </w:p>
    <w:p w14:paraId="63251E06">
      <w:pPr>
        <w:pStyle w:val="58"/>
        <w:spacing w:before="48" w:after="48" w:line="360" w:lineRule="auto"/>
        <w:ind w:firstLine="480" w:firstLineChars="200"/>
        <w:rPr>
          <w:color w:val="auto"/>
          <w:highlight w:val="none"/>
        </w:rPr>
      </w:pPr>
      <w:r>
        <w:rPr>
          <w:color w:val="auto"/>
          <w:highlight w:val="none"/>
        </w:rPr>
        <w:t>1.1.3.10 临时占地包括：</w:t>
      </w:r>
      <w:r>
        <w:rPr>
          <w:b/>
          <w:color w:val="auto"/>
          <w:highlight w:val="none"/>
          <w:u w:val="single"/>
        </w:rPr>
        <w:t>指永久占地之外为实施合同工程需临时占用的土地</w:t>
      </w:r>
      <w:r>
        <w:rPr>
          <w:color w:val="auto"/>
          <w:highlight w:val="none"/>
        </w:rPr>
        <w:t>。</w:t>
      </w:r>
    </w:p>
    <w:p w14:paraId="41AFFDB2">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1.3法律 </w:t>
      </w:r>
    </w:p>
    <w:p w14:paraId="4BD50B72">
      <w:pPr>
        <w:spacing w:line="360" w:lineRule="auto"/>
        <w:ind w:left="596" w:leftChars="284"/>
        <w:rPr>
          <w:rFonts w:ascii="宋体" w:hAnsi="宋体"/>
          <w:color w:val="auto"/>
          <w:sz w:val="24"/>
          <w:highlight w:val="none"/>
        </w:rPr>
      </w:pPr>
      <w:r>
        <w:rPr>
          <w:rFonts w:ascii="宋体" w:hAnsi="宋体"/>
          <w:color w:val="auto"/>
          <w:sz w:val="24"/>
          <w:highlight w:val="none"/>
        </w:rPr>
        <w:t>适用于合同的其他规范性文件：</w:t>
      </w:r>
    </w:p>
    <w:p w14:paraId="0256559F">
      <w:pPr>
        <w:spacing w:line="360" w:lineRule="auto"/>
        <w:ind w:left="596" w:leftChars="284"/>
        <w:rPr>
          <w:rFonts w:ascii="宋体" w:hAnsi="宋体"/>
          <w:color w:val="auto"/>
          <w:sz w:val="24"/>
          <w:highlight w:val="none"/>
        </w:rPr>
      </w:pPr>
      <w:r>
        <w:rPr>
          <w:rFonts w:hint="eastAsia" w:ascii="宋体" w:hAnsi="宋体"/>
          <w:color w:val="auto"/>
          <w:sz w:val="24"/>
          <w:highlight w:val="none"/>
        </w:rPr>
        <w:t xml:space="preserve">1.3.1 </w:t>
      </w:r>
      <w:r>
        <w:rPr>
          <w:rFonts w:ascii="宋体" w:hAnsi="宋体"/>
          <w:color w:val="auto"/>
          <w:sz w:val="24"/>
          <w:highlight w:val="none"/>
        </w:rPr>
        <w:t> </w:t>
      </w:r>
      <w:r>
        <w:rPr>
          <w:rFonts w:hint="eastAsia" w:ascii="宋体" w:hAnsi="宋体"/>
          <w:color w:val="auto"/>
          <w:sz w:val="24"/>
          <w:highlight w:val="none"/>
        </w:rPr>
        <w:t>《杭州市建设工程工程量清单计价实施细则》(杭建市发〔2018〕578号)；</w:t>
      </w:r>
    </w:p>
    <w:p w14:paraId="0FE51335">
      <w:pPr>
        <w:spacing w:line="360" w:lineRule="auto"/>
        <w:ind w:left="596" w:leftChars="284"/>
        <w:rPr>
          <w:rFonts w:ascii="宋体" w:hAnsi="宋体"/>
          <w:color w:val="auto"/>
          <w:sz w:val="24"/>
          <w:highlight w:val="none"/>
        </w:rPr>
      </w:pPr>
      <w:r>
        <w:rPr>
          <w:rFonts w:hint="eastAsia" w:ascii="宋体" w:hAnsi="宋体"/>
          <w:color w:val="auto"/>
          <w:sz w:val="24"/>
          <w:highlight w:val="none"/>
        </w:rPr>
        <w:t xml:space="preserve">1.3.2 </w:t>
      </w:r>
      <w:r>
        <w:rPr>
          <w:rFonts w:ascii="宋体" w:hAnsi="宋体"/>
          <w:color w:val="auto"/>
          <w:sz w:val="24"/>
          <w:highlight w:val="none"/>
        </w:rPr>
        <w:t> </w:t>
      </w:r>
      <w:r>
        <w:rPr>
          <w:rFonts w:hint="eastAsia" w:ascii="宋体" w:hAnsi="宋体"/>
          <w:color w:val="auto"/>
          <w:sz w:val="24"/>
          <w:highlight w:val="none"/>
        </w:rPr>
        <w:t>《关于进一步加强杭州市建设工程市场要素价格动态管理的指导意见》（杭建市发〔2018〕579号）；</w:t>
      </w:r>
    </w:p>
    <w:p w14:paraId="6E8371E6">
      <w:pPr>
        <w:spacing w:line="360" w:lineRule="auto"/>
        <w:ind w:left="596" w:leftChars="284"/>
        <w:rPr>
          <w:rFonts w:ascii="宋体" w:hAnsi="宋体"/>
          <w:color w:val="auto"/>
          <w:sz w:val="24"/>
          <w:highlight w:val="none"/>
        </w:rPr>
      </w:pPr>
      <w:r>
        <w:rPr>
          <w:rFonts w:hint="eastAsia" w:ascii="宋体" w:hAnsi="宋体"/>
          <w:color w:val="auto"/>
          <w:sz w:val="24"/>
          <w:highlight w:val="none"/>
        </w:rPr>
        <w:t>1.3.3《关于发布&lt;杭州市新冠病毒肺炎疫情期间在建工程合同及工程价款调整的指导性细则&gt;的通知》（杭建市发〔2020〕164号）</w:t>
      </w:r>
    </w:p>
    <w:p w14:paraId="2D50E1BB">
      <w:pPr>
        <w:spacing w:line="360" w:lineRule="auto"/>
        <w:ind w:left="596" w:leftChars="284"/>
        <w:rPr>
          <w:rFonts w:ascii="宋体" w:hAnsi="宋体"/>
          <w:color w:val="auto"/>
          <w:sz w:val="24"/>
          <w:highlight w:val="none"/>
        </w:rPr>
      </w:pPr>
      <w:r>
        <w:rPr>
          <w:rFonts w:hint="eastAsia" w:ascii="宋体" w:hAnsi="宋体"/>
          <w:color w:val="auto"/>
          <w:sz w:val="24"/>
          <w:highlight w:val="none"/>
        </w:rPr>
        <w:t>1.3.4 《关于贯彻《省厅调整安全文明施工费的通知》的通知》（杭建市发〔2022〕54号）</w:t>
      </w:r>
    </w:p>
    <w:p w14:paraId="7F6AA7FF">
      <w:pPr>
        <w:spacing w:line="360" w:lineRule="auto"/>
        <w:ind w:left="596" w:leftChars="284"/>
        <w:rPr>
          <w:rFonts w:ascii="宋体" w:hAnsi="宋体"/>
          <w:color w:val="auto"/>
          <w:sz w:val="24"/>
          <w:highlight w:val="none"/>
        </w:rPr>
      </w:pPr>
      <w:r>
        <w:rPr>
          <w:rFonts w:hint="eastAsia" w:ascii="宋体" w:hAnsi="宋体"/>
          <w:color w:val="auto"/>
          <w:sz w:val="24"/>
          <w:highlight w:val="none"/>
        </w:rPr>
        <w:t xml:space="preserve">1.3.5 </w:t>
      </w:r>
      <w:r>
        <w:rPr>
          <w:rFonts w:ascii="宋体" w:hAnsi="宋体"/>
          <w:color w:val="auto"/>
          <w:sz w:val="24"/>
          <w:highlight w:val="none"/>
        </w:rPr>
        <w:t> </w:t>
      </w:r>
      <w:r>
        <w:rPr>
          <w:rFonts w:hint="eastAsia" w:ascii="宋体" w:hAnsi="宋体"/>
          <w:color w:val="auto"/>
          <w:sz w:val="24"/>
          <w:highlight w:val="none"/>
        </w:rPr>
        <w:t>省市建设行政部门颁发的其他现行有效文件(包括但不仅限于以下文件)：</w:t>
      </w:r>
    </w:p>
    <w:p w14:paraId="53BEA3B3">
      <w:pPr>
        <w:spacing w:line="360" w:lineRule="auto"/>
        <w:ind w:left="596" w:leftChars="284"/>
        <w:rPr>
          <w:rFonts w:ascii="宋体" w:hAnsi="宋体"/>
          <w:color w:val="auto"/>
          <w:sz w:val="24"/>
          <w:highlight w:val="none"/>
        </w:rPr>
      </w:pPr>
      <w:r>
        <w:rPr>
          <w:rFonts w:hint="eastAsia" w:ascii="宋体" w:hAnsi="宋体"/>
          <w:color w:val="auto"/>
          <w:sz w:val="24"/>
          <w:highlight w:val="none"/>
        </w:rPr>
        <w:t>（1）《关于转发省建设厅&lt;关于进一步加强建筑施工领域企业安全生产工作的实施意见&gt;的通知》（杭建工发〔2011〕130号）；</w:t>
      </w:r>
    </w:p>
    <w:p w14:paraId="1EDE24B4">
      <w:pPr>
        <w:spacing w:line="360" w:lineRule="auto"/>
        <w:ind w:left="596" w:leftChars="284"/>
        <w:rPr>
          <w:rFonts w:ascii="宋体" w:hAnsi="宋体"/>
          <w:color w:val="auto"/>
          <w:sz w:val="24"/>
          <w:highlight w:val="none"/>
        </w:rPr>
      </w:pPr>
      <w:r>
        <w:rPr>
          <w:rFonts w:hint="eastAsia" w:ascii="宋体" w:hAnsi="宋体"/>
          <w:color w:val="auto"/>
          <w:sz w:val="24"/>
          <w:highlight w:val="none"/>
        </w:rPr>
        <w:t>（2）《关于进一步加强建设工程安全质量物联网管理应用平台建设的通知》（杭建工发〔2012〕426号）；</w:t>
      </w:r>
    </w:p>
    <w:p w14:paraId="7193DA30">
      <w:pPr>
        <w:spacing w:line="360" w:lineRule="auto"/>
        <w:ind w:left="596" w:leftChars="284"/>
        <w:rPr>
          <w:rFonts w:ascii="宋体" w:hAnsi="宋体"/>
          <w:color w:val="auto"/>
          <w:sz w:val="24"/>
          <w:highlight w:val="none"/>
        </w:rPr>
      </w:pPr>
      <w:r>
        <w:rPr>
          <w:rFonts w:hint="eastAsia" w:ascii="宋体" w:hAnsi="宋体"/>
          <w:color w:val="auto"/>
          <w:sz w:val="24"/>
          <w:highlight w:val="none"/>
        </w:rPr>
        <w:t>（3）《关于开展建筑工程扬尘在线监测设施安装工作的通知》（杭建工〔2019〕103号）；</w:t>
      </w:r>
    </w:p>
    <w:p w14:paraId="40ED610B">
      <w:pPr>
        <w:spacing w:line="360" w:lineRule="auto"/>
        <w:ind w:left="596" w:leftChars="284"/>
        <w:rPr>
          <w:rFonts w:ascii="宋体" w:hAnsi="宋体"/>
          <w:color w:val="auto"/>
          <w:sz w:val="24"/>
          <w:highlight w:val="none"/>
        </w:rPr>
      </w:pPr>
      <w:r>
        <w:rPr>
          <w:rFonts w:hint="eastAsia" w:ascii="宋体" w:hAnsi="宋体"/>
          <w:color w:val="auto"/>
          <w:sz w:val="24"/>
          <w:highlight w:val="none"/>
        </w:rPr>
        <w:t>（4）《关于巩固G20杭州峰会成果进一步加强建设工程文明施工管理的若干意见》（杭建工发〔2017〕112号）；</w:t>
      </w:r>
    </w:p>
    <w:p w14:paraId="6C489711">
      <w:pPr>
        <w:spacing w:line="360" w:lineRule="auto"/>
        <w:ind w:left="596" w:leftChars="284"/>
        <w:rPr>
          <w:rFonts w:ascii="宋体" w:hAnsi="宋体"/>
          <w:color w:val="auto"/>
          <w:sz w:val="24"/>
          <w:highlight w:val="none"/>
        </w:rPr>
      </w:pPr>
      <w:r>
        <w:rPr>
          <w:rFonts w:hint="eastAsia" w:ascii="宋体" w:hAnsi="宋体"/>
          <w:color w:val="auto"/>
          <w:sz w:val="24"/>
          <w:highlight w:val="none"/>
        </w:rPr>
        <w:t>（5）《杭州市建设领域农民工“无欠薪”管理实施细则（试行）》（杭建市〔2018〕161号）；</w:t>
      </w:r>
    </w:p>
    <w:p w14:paraId="543606CE">
      <w:pPr>
        <w:spacing w:line="360" w:lineRule="auto"/>
        <w:ind w:left="596" w:leftChars="284"/>
        <w:rPr>
          <w:rFonts w:ascii="宋体" w:hAnsi="宋体"/>
          <w:color w:val="auto"/>
          <w:sz w:val="24"/>
          <w:highlight w:val="none"/>
        </w:rPr>
      </w:pPr>
      <w:r>
        <w:rPr>
          <w:rFonts w:hint="eastAsia" w:ascii="宋体" w:hAnsi="宋体"/>
          <w:color w:val="auto"/>
          <w:sz w:val="24"/>
          <w:highlight w:val="none"/>
        </w:rPr>
        <w:t>（6）《关于杭州市建筑工地全面推广使用“浙里工程建设现场管控”重大应用（浙里建）的通知》（杭建数改办（2022）1号）</w:t>
      </w:r>
    </w:p>
    <w:p w14:paraId="0564397E">
      <w:pPr>
        <w:spacing w:line="360" w:lineRule="auto"/>
        <w:ind w:left="596" w:leftChars="284"/>
        <w:rPr>
          <w:rFonts w:ascii="宋体" w:hAnsi="宋体"/>
          <w:color w:val="auto"/>
          <w:sz w:val="24"/>
          <w:highlight w:val="none"/>
        </w:rPr>
      </w:pPr>
      <w:r>
        <w:rPr>
          <w:rFonts w:hint="eastAsia" w:ascii="宋体" w:hAnsi="宋体"/>
          <w:color w:val="auto"/>
          <w:sz w:val="24"/>
          <w:highlight w:val="none"/>
        </w:rPr>
        <w:t>（7）《杭州市建设工程渣土管理办法》（市政府令第192号）</w:t>
      </w:r>
    </w:p>
    <w:p w14:paraId="2C1435B6">
      <w:pPr>
        <w:spacing w:line="360" w:lineRule="auto"/>
        <w:ind w:left="596" w:leftChars="284"/>
        <w:rPr>
          <w:rFonts w:ascii="宋体" w:hAnsi="宋体"/>
          <w:color w:val="auto"/>
          <w:sz w:val="24"/>
          <w:highlight w:val="none"/>
        </w:rPr>
      </w:pPr>
      <w:r>
        <w:rPr>
          <w:rFonts w:hint="eastAsia" w:ascii="宋体" w:hAnsi="宋体"/>
          <w:color w:val="auto"/>
          <w:sz w:val="24"/>
          <w:highlight w:val="none"/>
        </w:rPr>
        <w:t>（8）市政府办公厅2022年5月15日发布的《杭州市人民政府办公厅关于进一步规范工程建筑垃圾管理的通知》</w:t>
      </w:r>
    </w:p>
    <w:p w14:paraId="72C18FB2">
      <w:pPr>
        <w:spacing w:line="360" w:lineRule="auto"/>
        <w:ind w:left="596" w:leftChars="284"/>
        <w:rPr>
          <w:rFonts w:ascii="宋体" w:hAnsi="宋体"/>
          <w:color w:val="auto"/>
          <w:sz w:val="24"/>
          <w:highlight w:val="none"/>
        </w:rPr>
      </w:pPr>
      <w:r>
        <w:rPr>
          <w:rFonts w:hint="eastAsia" w:ascii="宋体" w:hAnsi="宋体"/>
          <w:color w:val="auto"/>
          <w:sz w:val="24"/>
          <w:highlight w:val="none"/>
        </w:rPr>
        <w:t>（9）《关于发布杭州市工程渣土消纳市场信息价的通知》（杭渣土领〔2020〕1号）</w:t>
      </w:r>
    </w:p>
    <w:p w14:paraId="07D57069">
      <w:pPr>
        <w:spacing w:line="360" w:lineRule="auto"/>
        <w:ind w:left="596" w:leftChars="284"/>
        <w:rPr>
          <w:rFonts w:ascii="宋体" w:hAnsi="宋体"/>
          <w:color w:val="auto"/>
          <w:sz w:val="24"/>
          <w:highlight w:val="none"/>
        </w:rPr>
      </w:pPr>
      <w:r>
        <w:rPr>
          <w:rFonts w:hint="eastAsia" w:ascii="宋体" w:hAnsi="宋体"/>
          <w:color w:val="auto"/>
          <w:sz w:val="24"/>
          <w:highlight w:val="none"/>
        </w:rPr>
        <w:t>（10）市建委2020年10月30日发布的《关于明确杭州市渣土运输及消纳项目计价清单编制和报价口径的通知》</w:t>
      </w:r>
    </w:p>
    <w:p w14:paraId="2D56B7F6">
      <w:pPr>
        <w:spacing w:line="360" w:lineRule="auto"/>
        <w:ind w:left="596" w:leftChars="284"/>
        <w:rPr>
          <w:rFonts w:ascii="宋体" w:hAnsi="宋体"/>
          <w:color w:val="auto"/>
          <w:sz w:val="24"/>
          <w:highlight w:val="none"/>
        </w:rPr>
      </w:pPr>
      <w:r>
        <w:rPr>
          <w:rFonts w:hint="eastAsia" w:ascii="宋体" w:hAnsi="宋体"/>
          <w:color w:val="auto"/>
          <w:sz w:val="24"/>
          <w:highlight w:val="none"/>
        </w:rPr>
        <w:t>（11）《关于转发&lt;关于在全省工程建设领域改革保证金制度的通知&gt;的通知》（杭建市通知〔2020〕4号）</w:t>
      </w:r>
    </w:p>
    <w:p w14:paraId="19178880">
      <w:pPr>
        <w:spacing w:line="360" w:lineRule="auto"/>
        <w:ind w:left="596" w:leftChars="284"/>
        <w:rPr>
          <w:rFonts w:ascii="宋体" w:hAnsi="宋体"/>
          <w:color w:val="auto"/>
          <w:sz w:val="24"/>
          <w:highlight w:val="none"/>
        </w:rPr>
      </w:pPr>
      <w:r>
        <w:rPr>
          <w:rFonts w:hint="eastAsia" w:ascii="宋体" w:hAnsi="宋体"/>
          <w:color w:val="auto"/>
          <w:sz w:val="24"/>
          <w:highlight w:val="none"/>
        </w:rPr>
        <w:t>（12）《关于进一步提升杭州市市政道路建设质量管理的若干意见》（杭建工发〔2021〕32 号）</w:t>
      </w:r>
    </w:p>
    <w:p w14:paraId="4C62A402">
      <w:pPr>
        <w:spacing w:line="360" w:lineRule="auto"/>
        <w:ind w:left="596" w:leftChars="284"/>
        <w:rPr>
          <w:rFonts w:ascii="宋体" w:hAnsi="宋体"/>
          <w:color w:val="auto"/>
          <w:sz w:val="24"/>
          <w:highlight w:val="none"/>
        </w:rPr>
      </w:pPr>
      <w:r>
        <w:rPr>
          <w:rFonts w:hint="eastAsia" w:ascii="宋体" w:hAnsi="宋体"/>
          <w:color w:val="auto"/>
          <w:sz w:val="24"/>
          <w:highlight w:val="none"/>
        </w:rPr>
        <w:t>（13）《关于全面推广应用承插型盘扣式脚手架的通知》（杭建工发〔2021〕358号）</w:t>
      </w:r>
    </w:p>
    <w:p w14:paraId="56DCD5BD">
      <w:pPr>
        <w:spacing w:line="360" w:lineRule="auto"/>
        <w:ind w:left="596" w:leftChars="284"/>
        <w:rPr>
          <w:rFonts w:ascii="宋体" w:hAnsi="宋体"/>
          <w:color w:val="auto"/>
          <w:sz w:val="24"/>
          <w:highlight w:val="none"/>
        </w:rPr>
      </w:pPr>
      <w:r>
        <w:rPr>
          <w:rFonts w:hint="eastAsia" w:ascii="宋体" w:hAnsi="宋体"/>
          <w:color w:val="auto"/>
          <w:sz w:val="24"/>
          <w:highlight w:val="none"/>
        </w:rPr>
        <w:t>（14）《关于明确杭州市建筑施工领域安全生产责任保险费用计取的通知》（杭建招标造价中心〔2021〕84号 ）</w:t>
      </w:r>
    </w:p>
    <w:p w14:paraId="56B30456">
      <w:pPr>
        <w:spacing w:line="360" w:lineRule="auto"/>
        <w:ind w:left="596" w:leftChars="284"/>
        <w:rPr>
          <w:rFonts w:ascii="宋体" w:hAnsi="宋体"/>
          <w:color w:val="auto"/>
          <w:sz w:val="24"/>
          <w:highlight w:val="none"/>
        </w:rPr>
      </w:pPr>
      <w:r>
        <w:rPr>
          <w:rFonts w:hint="eastAsia" w:ascii="宋体" w:hAnsi="宋体"/>
          <w:color w:val="auto"/>
          <w:sz w:val="24"/>
          <w:highlight w:val="none"/>
        </w:rPr>
        <w:t>（15）其他：。</w:t>
      </w:r>
    </w:p>
    <w:p w14:paraId="17BB3A9A">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①《杭州市建筑市场管理若干规定》（杭州市人民政府令第277号）；</w:t>
      </w:r>
    </w:p>
    <w:p w14:paraId="60D26A61">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②《杭州市建设工程文明施工管理规定》（杭州市人民政府第278号）；</w:t>
      </w:r>
    </w:p>
    <w:p w14:paraId="7E188672">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③浙江省人民政府办公厅《关于深化企业减负担降成本改革的若干意见》 浙政办发[2017]48号；</w:t>
      </w:r>
    </w:p>
    <w:p w14:paraId="429A90EE">
      <w:pPr>
        <w:tabs>
          <w:tab w:val="left" w:pos="0"/>
        </w:tabs>
        <w:snapToGrid w:val="0"/>
        <w:spacing w:line="360" w:lineRule="auto"/>
        <w:ind w:firstLine="540" w:firstLineChars="224"/>
        <w:rPr>
          <w:rFonts w:ascii="宋体" w:hAnsi="宋体"/>
          <w:b/>
          <w:color w:val="auto"/>
          <w:sz w:val="24"/>
          <w:highlight w:val="none"/>
          <w:u w:val="single"/>
        </w:rPr>
      </w:pPr>
      <w:r>
        <w:rPr>
          <w:rFonts w:ascii="宋体" w:hAnsi="宋体"/>
          <w:b/>
          <w:color w:val="auto"/>
          <w:sz w:val="24"/>
          <w:highlight w:val="none"/>
          <w:u w:val="single"/>
        </w:rPr>
        <w:t>④《建筑内部装修设计防火规范》GB50222-2017；</w:t>
      </w:r>
    </w:p>
    <w:p w14:paraId="56706B14">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⑤其它法律、行政法规、地方性法规等。</w:t>
      </w:r>
    </w:p>
    <w:p w14:paraId="672672D5">
      <w:pPr>
        <w:spacing w:line="360" w:lineRule="auto"/>
        <w:ind w:firstLine="475" w:firstLineChars="198"/>
        <w:rPr>
          <w:rFonts w:ascii="宋体" w:hAnsi="宋体"/>
          <w:color w:val="auto"/>
          <w:sz w:val="24"/>
          <w:highlight w:val="none"/>
        </w:rPr>
      </w:pPr>
      <w:r>
        <w:rPr>
          <w:rFonts w:ascii="宋体" w:hAnsi="宋体"/>
          <w:color w:val="auto"/>
          <w:sz w:val="24"/>
          <w:highlight w:val="none"/>
        </w:rPr>
        <w:t>1.3.4  新工艺、新技术的约定：</w:t>
      </w:r>
      <w:r>
        <w:rPr>
          <w:rFonts w:ascii="宋体" w:hAnsi="宋体"/>
          <w:color w:val="auto"/>
          <w:sz w:val="24"/>
          <w:highlight w:val="none"/>
          <w:u w:val="single"/>
        </w:rPr>
        <w:t>/</w:t>
      </w:r>
      <w:r>
        <w:rPr>
          <w:rFonts w:ascii="宋体" w:hAnsi="宋体"/>
          <w:color w:val="auto"/>
          <w:sz w:val="24"/>
          <w:highlight w:val="none"/>
        </w:rPr>
        <w:t>。</w:t>
      </w:r>
    </w:p>
    <w:p w14:paraId="570CAEEA">
      <w:pPr>
        <w:spacing w:line="360" w:lineRule="auto"/>
        <w:ind w:firstLine="475" w:firstLineChars="198"/>
        <w:rPr>
          <w:rFonts w:ascii="宋体" w:hAnsi="宋体"/>
          <w:color w:val="auto"/>
          <w:sz w:val="24"/>
          <w:highlight w:val="none"/>
        </w:rPr>
      </w:pPr>
      <w:r>
        <w:rPr>
          <w:rFonts w:ascii="宋体" w:hAnsi="宋体"/>
          <w:color w:val="auto"/>
          <w:sz w:val="24"/>
          <w:highlight w:val="none"/>
        </w:rPr>
        <w:t>1.3.15  其他</w:t>
      </w:r>
      <w:r>
        <w:rPr>
          <w:rFonts w:ascii="宋体" w:hAnsi="宋体"/>
          <w:color w:val="auto"/>
          <w:sz w:val="24"/>
          <w:highlight w:val="none"/>
          <w:u w:val="single"/>
        </w:rPr>
        <w:t>/</w:t>
      </w:r>
      <w:r>
        <w:rPr>
          <w:rFonts w:ascii="宋体" w:hAnsi="宋体"/>
          <w:color w:val="auto"/>
          <w:sz w:val="24"/>
          <w:highlight w:val="none"/>
        </w:rPr>
        <w:t>。</w:t>
      </w:r>
    </w:p>
    <w:p w14:paraId="68F89FB3">
      <w:pPr>
        <w:spacing w:line="360" w:lineRule="auto"/>
        <w:ind w:firstLine="480" w:firstLineChars="200"/>
        <w:rPr>
          <w:rFonts w:ascii="宋体" w:hAnsi="宋体"/>
          <w:color w:val="auto"/>
          <w:sz w:val="24"/>
          <w:highlight w:val="none"/>
        </w:rPr>
      </w:pPr>
      <w:r>
        <w:rPr>
          <w:rFonts w:ascii="宋体" w:hAnsi="宋体"/>
          <w:color w:val="auto"/>
          <w:sz w:val="24"/>
          <w:highlight w:val="none"/>
        </w:rPr>
        <w:t>1.4 标准和规范</w:t>
      </w:r>
    </w:p>
    <w:p w14:paraId="31F8E4A9">
      <w:pPr>
        <w:spacing w:line="360" w:lineRule="auto"/>
        <w:ind w:firstLine="480" w:firstLineChars="200"/>
        <w:rPr>
          <w:rFonts w:ascii="宋体" w:hAnsi="宋体"/>
          <w:b/>
          <w:color w:val="auto"/>
          <w:sz w:val="24"/>
          <w:highlight w:val="none"/>
          <w:u w:val="single"/>
        </w:rPr>
      </w:pPr>
      <w:r>
        <w:rPr>
          <w:rFonts w:ascii="宋体" w:hAnsi="宋体"/>
          <w:color w:val="auto"/>
          <w:sz w:val="24"/>
          <w:highlight w:val="none"/>
        </w:rPr>
        <w:t>1.4.1适用于工程的标准规范包括：</w:t>
      </w:r>
      <w:r>
        <w:rPr>
          <w:rFonts w:ascii="宋体" w:hAnsi="宋体"/>
          <w:b/>
          <w:color w:val="auto"/>
          <w:sz w:val="24"/>
          <w:highlight w:val="none"/>
          <w:u w:val="single"/>
        </w:rPr>
        <w:t xml:space="preserve">（1）按通用条款约定；     </w:t>
      </w:r>
    </w:p>
    <w:p w14:paraId="786F17B7">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1.4.2 发包人提供国外标准、规范的名称：</w:t>
      </w:r>
      <w:r>
        <w:rPr>
          <w:rFonts w:ascii="宋体" w:hAnsi="宋体"/>
          <w:b/>
          <w:color w:val="auto"/>
          <w:sz w:val="24"/>
          <w:highlight w:val="none"/>
          <w:u w:val="single"/>
        </w:rPr>
        <w:t xml:space="preserve">/ </w:t>
      </w:r>
      <w:r>
        <w:rPr>
          <w:rFonts w:ascii="宋体" w:hAnsi="宋体"/>
          <w:color w:val="auto"/>
          <w:sz w:val="24"/>
          <w:highlight w:val="none"/>
        </w:rPr>
        <w:t>；</w:t>
      </w:r>
    </w:p>
    <w:p w14:paraId="3E86AC3E">
      <w:pPr>
        <w:spacing w:line="360" w:lineRule="auto"/>
        <w:ind w:firstLine="480" w:firstLineChars="200"/>
        <w:rPr>
          <w:rFonts w:ascii="宋体" w:hAnsi="宋体"/>
          <w:color w:val="auto"/>
          <w:sz w:val="24"/>
          <w:highlight w:val="none"/>
        </w:rPr>
      </w:pPr>
      <w:r>
        <w:rPr>
          <w:rFonts w:ascii="宋体" w:hAnsi="宋体"/>
          <w:color w:val="auto"/>
          <w:sz w:val="24"/>
          <w:highlight w:val="none"/>
        </w:rPr>
        <w:t>发包人提供国外标准、规范的份数：</w:t>
      </w:r>
      <w:r>
        <w:rPr>
          <w:rFonts w:ascii="宋体" w:hAnsi="宋体"/>
          <w:b/>
          <w:color w:val="auto"/>
          <w:sz w:val="24"/>
          <w:highlight w:val="none"/>
          <w:u w:val="single"/>
        </w:rPr>
        <w:t xml:space="preserve">/ </w:t>
      </w:r>
      <w:r>
        <w:rPr>
          <w:rFonts w:ascii="宋体" w:hAnsi="宋体"/>
          <w:color w:val="auto"/>
          <w:sz w:val="24"/>
          <w:highlight w:val="none"/>
        </w:rPr>
        <w:t>；</w:t>
      </w:r>
    </w:p>
    <w:p w14:paraId="6EB5DDFA">
      <w:pPr>
        <w:spacing w:line="360" w:lineRule="auto"/>
        <w:ind w:firstLine="480" w:firstLineChars="200"/>
        <w:rPr>
          <w:rFonts w:ascii="宋体" w:hAnsi="宋体"/>
          <w:color w:val="auto"/>
          <w:sz w:val="24"/>
          <w:highlight w:val="none"/>
        </w:rPr>
      </w:pPr>
      <w:r>
        <w:rPr>
          <w:rFonts w:ascii="宋体" w:hAnsi="宋体"/>
          <w:color w:val="auto"/>
          <w:sz w:val="24"/>
          <w:highlight w:val="none"/>
        </w:rPr>
        <w:t>发包人提供国外标准、规范的名称：</w:t>
      </w:r>
      <w:r>
        <w:rPr>
          <w:rFonts w:ascii="宋体" w:hAnsi="宋体"/>
          <w:b/>
          <w:color w:val="auto"/>
          <w:sz w:val="24"/>
          <w:highlight w:val="none"/>
          <w:u w:val="single"/>
        </w:rPr>
        <w:t xml:space="preserve">/ </w:t>
      </w:r>
      <w:r>
        <w:rPr>
          <w:rFonts w:ascii="宋体" w:hAnsi="宋体"/>
          <w:color w:val="auto"/>
          <w:sz w:val="24"/>
          <w:highlight w:val="none"/>
        </w:rPr>
        <w:t>。</w:t>
      </w:r>
    </w:p>
    <w:p w14:paraId="0418D7E0">
      <w:pPr>
        <w:spacing w:line="360" w:lineRule="auto"/>
        <w:ind w:firstLine="480" w:firstLineChars="200"/>
        <w:rPr>
          <w:rFonts w:ascii="宋体" w:hAnsi="宋体"/>
          <w:color w:val="auto"/>
          <w:sz w:val="24"/>
          <w:highlight w:val="none"/>
        </w:rPr>
      </w:pPr>
      <w:r>
        <w:rPr>
          <w:rFonts w:ascii="宋体" w:hAnsi="宋体"/>
          <w:color w:val="auto"/>
          <w:sz w:val="24"/>
          <w:highlight w:val="none"/>
        </w:rPr>
        <w:t>1.4.3发包人对工程的技术标准和功能要求的特殊要求：</w:t>
      </w:r>
      <w:r>
        <w:rPr>
          <w:rFonts w:ascii="宋体" w:hAnsi="宋体"/>
          <w:b/>
          <w:color w:val="auto"/>
          <w:sz w:val="24"/>
          <w:highlight w:val="none"/>
          <w:u w:val="single"/>
        </w:rPr>
        <w:t>详见设计文件和招标技术要求</w:t>
      </w:r>
      <w:r>
        <w:rPr>
          <w:rFonts w:ascii="宋体" w:hAnsi="宋体"/>
          <w:color w:val="auto"/>
          <w:sz w:val="24"/>
          <w:highlight w:val="none"/>
        </w:rPr>
        <w:t>。</w:t>
      </w:r>
    </w:p>
    <w:p w14:paraId="2BDB75BB">
      <w:pPr>
        <w:spacing w:line="360" w:lineRule="auto"/>
        <w:ind w:firstLine="480" w:firstLineChars="200"/>
        <w:rPr>
          <w:rFonts w:ascii="宋体" w:hAnsi="宋体"/>
          <w:color w:val="auto"/>
          <w:sz w:val="24"/>
          <w:highlight w:val="none"/>
        </w:rPr>
      </w:pPr>
      <w:r>
        <w:rPr>
          <w:rFonts w:ascii="宋体" w:hAnsi="宋体"/>
          <w:color w:val="auto"/>
          <w:sz w:val="24"/>
          <w:highlight w:val="none"/>
        </w:rPr>
        <w:t>1.5 合同文件的优先顺序</w:t>
      </w:r>
    </w:p>
    <w:p w14:paraId="3761AC1A">
      <w:pPr>
        <w:spacing w:line="360" w:lineRule="auto"/>
        <w:ind w:firstLine="480" w:firstLineChars="200"/>
        <w:rPr>
          <w:rFonts w:ascii="宋体" w:hAnsi="宋体"/>
          <w:color w:val="auto"/>
          <w:sz w:val="24"/>
          <w:highlight w:val="none"/>
        </w:rPr>
      </w:pPr>
      <w:r>
        <w:rPr>
          <w:rFonts w:ascii="宋体" w:hAnsi="宋体"/>
          <w:color w:val="auto"/>
          <w:sz w:val="24"/>
          <w:highlight w:val="none"/>
        </w:rPr>
        <w:t>合同文件组成及优先顺序为：</w:t>
      </w:r>
    </w:p>
    <w:p w14:paraId="69C6082C">
      <w:pPr>
        <w:spacing w:line="360" w:lineRule="auto"/>
        <w:ind w:firstLine="477" w:firstLineChars="198"/>
        <w:rPr>
          <w:rFonts w:ascii="宋体" w:hAnsi="宋体"/>
          <w:b/>
          <w:color w:val="auto"/>
          <w:sz w:val="24"/>
          <w:highlight w:val="none"/>
          <w:u w:val="single"/>
        </w:rPr>
      </w:pPr>
      <w:r>
        <w:rPr>
          <w:rFonts w:ascii="宋体" w:hAnsi="宋体"/>
          <w:b/>
          <w:color w:val="auto"/>
          <w:sz w:val="24"/>
          <w:highlight w:val="none"/>
          <w:u w:val="single"/>
        </w:rPr>
        <w:t>（1）合同协议书</w:t>
      </w:r>
      <w:r>
        <w:rPr>
          <w:rFonts w:ascii="宋体" w:hAnsi="宋体"/>
          <w:b/>
          <w:color w:val="auto"/>
          <w:sz w:val="24"/>
          <w:highlight w:val="none"/>
        </w:rPr>
        <w:t>；</w:t>
      </w:r>
    </w:p>
    <w:p w14:paraId="0B136B2D">
      <w:pPr>
        <w:spacing w:line="360" w:lineRule="auto"/>
        <w:ind w:firstLine="477" w:firstLineChars="198"/>
        <w:rPr>
          <w:rFonts w:ascii="宋体" w:hAnsi="宋体"/>
          <w:b/>
          <w:color w:val="auto"/>
          <w:sz w:val="24"/>
          <w:highlight w:val="none"/>
          <w:u w:val="single"/>
        </w:rPr>
      </w:pPr>
      <w:r>
        <w:rPr>
          <w:rFonts w:ascii="宋体" w:hAnsi="宋体"/>
          <w:b/>
          <w:color w:val="auto"/>
          <w:sz w:val="24"/>
          <w:highlight w:val="none"/>
          <w:u w:val="single"/>
        </w:rPr>
        <w:t>（2）中标通知书（或项目发承包基本情况表）</w:t>
      </w:r>
      <w:r>
        <w:rPr>
          <w:rFonts w:ascii="宋体" w:hAnsi="宋体"/>
          <w:b/>
          <w:color w:val="auto"/>
          <w:sz w:val="24"/>
          <w:highlight w:val="none"/>
        </w:rPr>
        <w:t>；</w:t>
      </w:r>
    </w:p>
    <w:p w14:paraId="06D9C74A">
      <w:pPr>
        <w:spacing w:line="360" w:lineRule="auto"/>
        <w:ind w:firstLine="477" w:firstLineChars="198"/>
        <w:rPr>
          <w:rFonts w:ascii="宋体" w:hAnsi="宋体"/>
          <w:b/>
          <w:color w:val="auto"/>
          <w:sz w:val="24"/>
          <w:highlight w:val="none"/>
          <w:u w:val="single"/>
        </w:rPr>
      </w:pPr>
      <w:r>
        <w:rPr>
          <w:rFonts w:ascii="宋体" w:hAnsi="宋体"/>
          <w:b/>
          <w:color w:val="auto"/>
          <w:sz w:val="24"/>
          <w:highlight w:val="none"/>
          <w:u w:val="single"/>
        </w:rPr>
        <w:t>（3）投标函及其附录（如果有）</w:t>
      </w:r>
      <w:r>
        <w:rPr>
          <w:rFonts w:ascii="宋体" w:hAnsi="宋体"/>
          <w:b/>
          <w:color w:val="auto"/>
          <w:sz w:val="24"/>
          <w:highlight w:val="none"/>
        </w:rPr>
        <w:t>；</w:t>
      </w:r>
    </w:p>
    <w:p w14:paraId="38A008DF">
      <w:pPr>
        <w:spacing w:line="360" w:lineRule="auto"/>
        <w:ind w:firstLine="477" w:firstLineChars="198"/>
        <w:rPr>
          <w:rFonts w:ascii="宋体" w:hAnsi="宋体"/>
          <w:b/>
          <w:color w:val="auto"/>
          <w:sz w:val="24"/>
          <w:highlight w:val="none"/>
          <w:u w:val="single"/>
        </w:rPr>
      </w:pPr>
      <w:r>
        <w:rPr>
          <w:rFonts w:ascii="宋体" w:hAnsi="宋体"/>
          <w:b/>
          <w:color w:val="auto"/>
          <w:sz w:val="24"/>
          <w:highlight w:val="none"/>
          <w:u w:val="single"/>
        </w:rPr>
        <w:t>（4）专用合同条款及其附件</w:t>
      </w:r>
      <w:r>
        <w:rPr>
          <w:rFonts w:ascii="宋体" w:hAnsi="宋体"/>
          <w:b/>
          <w:color w:val="auto"/>
          <w:sz w:val="24"/>
          <w:highlight w:val="none"/>
        </w:rPr>
        <w:t>；</w:t>
      </w:r>
    </w:p>
    <w:p w14:paraId="366CB0A2">
      <w:pPr>
        <w:spacing w:line="360" w:lineRule="auto"/>
        <w:ind w:firstLine="477" w:firstLineChars="198"/>
        <w:rPr>
          <w:rFonts w:ascii="宋体" w:hAnsi="宋体"/>
          <w:b/>
          <w:color w:val="auto"/>
          <w:sz w:val="24"/>
          <w:highlight w:val="none"/>
          <w:u w:val="single"/>
        </w:rPr>
      </w:pPr>
      <w:r>
        <w:rPr>
          <w:rFonts w:ascii="宋体" w:hAnsi="宋体"/>
          <w:b/>
          <w:color w:val="auto"/>
          <w:sz w:val="24"/>
          <w:highlight w:val="none"/>
          <w:u w:val="single"/>
        </w:rPr>
        <w:t>（5）通用合同条款</w:t>
      </w:r>
      <w:r>
        <w:rPr>
          <w:rFonts w:ascii="宋体" w:hAnsi="宋体"/>
          <w:b/>
          <w:color w:val="auto"/>
          <w:sz w:val="24"/>
          <w:highlight w:val="none"/>
        </w:rPr>
        <w:t>；</w:t>
      </w:r>
    </w:p>
    <w:p w14:paraId="19472BAE">
      <w:pPr>
        <w:spacing w:line="360" w:lineRule="auto"/>
        <w:ind w:firstLine="477" w:firstLineChars="198"/>
        <w:rPr>
          <w:rFonts w:ascii="宋体" w:hAnsi="宋体"/>
          <w:b/>
          <w:color w:val="auto"/>
          <w:sz w:val="24"/>
          <w:highlight w:val="none"/>
          <w:u w:val="single"/>
        </w:rPr>
      </w:pPr>
      <w:r>
        <w:rPr>
          <w:rFonts w:ascii="宋体" w:hAnsi="宋体"/>
          <w:b/>
          <w:color w:val="auto"/>
          <w:sz w:val="24"/>
          <w:highlight w:val="none"/>
          <w:u w:val="single"/>
        </w:rPr>
        <w:t>（6）技术标准和要求</w:t>
      </w:r>
      <w:r>
        <w:rPr>
          <w:rFonts w:ascii="宋体" w:hAnsi="宋体"/>
          <w:b/>
          <w:color w:val="auto"/>
          <w:sz w:val="24"/>
          <w:highlight w:val="none"/>
        </w:rPr>
        <w:t>；</w:t>
      </w:r>
    </w:p>
    <w:p w14:paraId="5D154FFE">
      <w:pPr>
        <w:spacing w:line="360" w:lineRule="auto"/>
        <w:ind w:firstLine="477" w:firstLineChars="198"/>
        <w:rPr>
          <w:rFonts w:ascii="宋体" w:hAnsi="宋体"/>
          <w:b/>
          <w:color w:val="auto"/>
          <w:sz w:val="24"/>
          <w:highlight w:val="none"/>
          <w:u w:val="single"/>
        </w:rPr>
      </w:pPr>
      <w:r>
        <w:rPr>
          <w:rFonts w:ascii="宋体" w:hAnsi="宋体"/>
          <w:b/>
          <w:color w:val="auto"/>
          <w:sz w:val="24"/>
          <w:highlight w:val="none"/>
          <w:u w:val="single"/>
        </w:rPr>
        <w:t>（7）图纸；</w:t>
      </w:r>
    </w:p>
    <w:p w14:paraId="4D183B4A">
      <w:pPr>
        <w:spacing w:line="360" w:lineRule="auto"/>
        <w:ind w:firstLine="477" w:firstLineChars="198"/>
        <w:rPr>
          <w:rFonts w:ascii="宋体" w:hAnsi="宋体"/>
          <w:b/>
          <w:color w:val="auto"/>
          <w:sz w:val="24"/>
          <w:highlight w:val="none"/>
          <w:u w:val="single"/>
        </w:rPr>
      </w:pPr>
      <w:r>
        <w:rPr>
          <w:rFonts w:ascii="宋体" w:hAnsi="宋体"/>
          <w:b/>
          <w:color w:val="auto"/>
          <w:sz w:val="24"/>
          <w:highlight w:val="none"/>
          <w:u w:val="single"/>
        </w:rPr>
        <w:t>（8）已标价工程量清单或预算书</w:t>
      </w:r>
      <w:r>
        <w:rPr>
          <w:rFonts w:ascii="宋体" w:hAnsi="宋体"/>
          <w:b/>
          <w:color w:val="auto"/>
          <w:sz w:val="24"/>
          <w:highlight w:val="none"/>
        </w:rPr>
        <w:t>；</w:t>
      </w:r>
    </w:p>
    <w:p w14:paraId="4EE23419">
      <w:pPr>
        <w:spacing w:line="360" w:lineRule="auto"/>
        <w:ind w:firstLine="477" w:firstLineChars="198"/>
        <w:rPr>
          <w:rFonts w:ascii="宋体" w:hAnsi="宋体"/>
          <w:b/>
          <w:color w:val="auto"/>
          <w:sz w:val="24"/>
          <w:highlight w:val="none"/>
          <w:u w:val="single"/>
        </w:rPr>
      </w:pPr>
      <w:r>
        <w:rPr>
          <w:rFonts w:ascii="宋体" w:hAnsi="宋体"/>
          <w:b/>
          <w:color w:val="auto"/>
          <w:sz w:val="24"/>
          <w:highlight w:val="none"/>
          <w:u w:val="single"/>
        </w:rPr>
        <w:t>（9）其他合同文件</w:t>
      </w:r>
      <w:r>
        <w:rPr>
          <w:rFonts w:ascii="宋体" w:hAnsi="宋体"/>
          <w:b/>
          <w:color w:val="auto"/>
          <w:sz w:val="24"/>
          <w:highlight w:val="none"/>
        </w:rPr>
        <w:t>：</w:t>
      </w:r>
    </w:p>
    <w:p w14:paraId="30F10AE4">
      <w:pPr>
        <w:spacing w:line="360" w:lineRule="auto"/>
        <w:ind w:firstLine="477" w:firstLineChars="198"/>
        <w:rPr>
          <w:rFonts w:ascii="宋体" w:hAnsi="宋体"/>
          <w:b/>
          <w:color w:val="auto"/>
          <w:sz w:val="24"/>
          <w:highlight w:val="none"/>
          <w:u w:val="single"/>
        </w:rPr>
      </w:pPr>
      <w:r>
        <w:rPr>
          <w:rFonts w:ascii="宋体" w:hAnsi="宋体"/>
          <w:b/>
          <w:color w:val="auto"/>
          <w:sz w:val="24"/>
          <w:highlight w:val="none"/>
          <w:u w:val="single"/>
        </w:rPr>
        <w:t>①施工组织设计</w:t>
      </w:r>
      <w:r>
        <w:rPr>
          <w:rFonts w:ascii="宋体" w:hAnsi="宋体"/>
          <w:b/>
          <w:color w:val="auto"/>
          <w:sz w:val="24"/>
          <w:highlight w:val="none"/>
        </w:rPr>
        <w:t>；</w:t>
      </w:r>
    </w:p>
    <w:p w14:paraId="672F42E8">
      <w:pPr>
        <w:spacing w:line="360" w:lineRule="auto"/>
        <w:ind w:firstLine="477" w:firstLineChars="198"/>
        <w:rPr>
          <w:rFonts w:ascii="宋体" w:hAnsi="宋体"/>
          <w:b/>
          <w:color w:val="auto"/>
          <w:sz w:val="24"/>
          <w:highlight w:val="none"/>
          <w:u w:val="single"/>
        </w:rPr>
      </w:pPr>
      <w:r>
        <w:rPr>
          <w:rFonts w:ascii="宋体" w:hAnsi="宋体"/>
          <w:b/>
          <w:color w:val="auto"/>
          <w:sz w:val="24"/>
          <w:highlight w:val="none"/>
          <w:u w:val="single"/>
        </w:rPr>
        <w:t>②其他：投标文件、招标文件（含招标工程量清单）及招标答疑 （如果有） 、询标纪要（如果有）、变更联系单、会审纪要等双方认为应作为合同构成的其它文件。</w:t>
      </w:r>
    </w:p>
    <w:p w14:paraId="7D048591">
      <w:pPr>
        <w:spacing w:line="360" w:lineRule="auto"/>
        <w:ind w:firstLine="480" w:firstLineChars="200"/>
        <w:rPr>
          <w:rFonts w:ascii="宋体" w:hAnsi="宋体"/>
          <w:color w:val="auto"/>
          <w:sz w:val="24"/>
          <w:highlight w:val="none"/>
        </w:rPr>
      </w:pPr>
      <w:r>
        <w:rPr>
          <w:rFonts w:ascii="宋体" w:hAnsi="宋体"/>
          <w:color w:val="auto"/>
          <w:sz w:val="24"/>
          <w:highlight w:val="none"/>
        </w:rPr>
        <w:t>1.6 图纸和承包人文件</w:t>
      </w:r>
      <w:r>
        <w:rPr>
          <w:rFonts w:ascii="宋体" w:hAnsi="宋体"/>
          <w:color w:val="auto"/>
          <w:sz w:val="24"/>
          <w:highlight w:val="none"/>
        </w:rPr>
        <w:tab/>
      </w:r>
    </w:p>
    <w:p w14:paraId="71B3F279">
      <w:pPr>
        <w:spacing w:line="360" w:lineRule="auto"/>
        <w:ind w:firstLine="480" w:firstLineChars="200"/>
        <w:rPr>
          <w:rFonts w:ascii="宋体" w:hAnsi="宋体"/>
          <w:color w:val="auto"/>
          <w:sz w:val="24"/>
          <w:highlight w:val="none"/>
        </w:rPr>
      </w:pPr>
      <w:r>
        <w:rPr>
          <w:rFonts w:ascii="宋体" w:hAnsi="宋体"/>
          <w:color w:val="auto"/>
          <w:sz w:val="24"/>
          <w:highlight w:val="none"/>
        </w:rPr>
        <w:t>1.6.1 图纸的提供</w:t>
      </w:r>
    </w:p>
    <w:p w14:paraId="0BA02986">
      <w:pPr>
        <w:spacing w:line="360" w:lineRule="auto"/>
        <w:ind w:firstLine="480" w:firstLineChars="200"/>
        <w:rPr>
          <w:rFonts w:ascii="宋体" w:hAnsi="宋体"/>
          <w:color w:val="auto"/>
          <w:sz w:val="24"/>
          <w:highlight w:val="none"/>
        </w:rPr>
      </w:pPr>
      <w:r>
        <w:rPr>
          <w:rFonts w:ascii="宋体" w:hAnsi="宋体"/>
          <w:color w:val="auto"/>
          <w:sz w:val="24"/>
          <w:highlight w:val="none"/>
        </w:rPr>
        <w:t>发包人向承包人提供图纸的期限：</w:t>
      </w:r>
      <w:r>
        <w:rPr>
          <w:rFonts w:ascii="宋体" w:hAnsi="宋体"/>
          <w:b/>
          <w:color w:val="auto"/>
          <w:sz w:val="24"/>
          <w:highlight w:val="none"/>
          <w:u w:val="single"/>
        </w:rPr>
        <w:t>施工合同签署后3日历天内提供，至迟不得晚于第7.3.2项〔开工通知〕载明的开工日期前3天向承包人提供图纸</w:t>
      </w:r>
      <w:r>
        <w:rPr>
          <w:rFonts w:ascii="宋体" w:hAnsi="宋体"/>
          <w:color w:val="auto"/>
          <w:sz w:val="24"/>
          <w:highlight w:val="none"/>
        </w:rPr>
        <w:t>；</w:t>
      </w:r>
    </w:p>
    <w:p w14:paraId="0C512635">
      <w:pPr>
        <w:spacing w:line="360" w:lineRule="auto"/>
        <w:ind w:firstLine="480" w:firstLineChars="200"/>
        <w:rPr>
          <w:rFonts w:ascii="宋体" w:hAnsi="宋体"/>
          <w:color w:val="auto"/>
          <w:sz w:val="24"/>
          <w:highlight w:val="none"/>
        </w:rPr>
      </w:pPr>
      <w:r>
        <w:rPr>
          <w:rFonts w:ascii="宋体" w:hAnsi="宋体"/>
          <w:color w:val="auto"/>
          <w:sz w:val="24"/>
          <w:highlight w:val="none"/>
        </w:rPr>
        <w:t>发包人向承包人提供图纸的数量：</w:t>
      </w:r>
      <w:r>
        <w:rPr>
          <w:rFonts w:ascii="宋体" w:hAnsi="宋体"/>
          <w:b/>
          <w:color w:val="auto"/>
          <w:sz w:val="24"/>
          <w:highlight w:val="none"/>
          <w:u w:val="single"/>
        </w:rPr>
        <w:t>提供完整的施工图纸4套（已包括城建归档等竣工图）。承包人要求增加的，发包人可代为复制，复制费由承包人承担。标准图集由承包人自备</w:t>
      </w:r>
      <w:r>
        <w:rPr>
          <w:rFonts w:ascii="宋体" w:hAnsi="宋体"/>
          <w:color w:val="auto"/>
          <w:sz w:val="24"/>
          <w:highlight w:val="none"/>
        </w:rPr>
        <w:t>；</w:t>
      </w:r>
    </w:p>
    <w:p w14:paraId="7740E0DD">
      <w:pPr>
        <w:spacing w:line="360" w:lineRule="auto"/>
        <w:ind w:firstLine="480" w:firstLineChars="200"/>
        <w:rPr>
          <w:rFonts w:ascii="宋体" w:hAnsi="宋体"/>
          <w:color w:val="auto"/>
          <w:sz w:val="24"/>
          <w:highlight w:val="none"/>
        </w:rPr>
      </w:pPr>
      <w:r>
        <w:rPr>
          <w:rFonts w:ascii="宋体" w:hAnsi="宋体"/>
          <w:color w:val="auto"/>
          <w:sz w:val="24"/>
          <w:highlight w:val="none"/>
        </w:rPr>
        <w:t>发包人向承包人提供图纸的内容：</w:t>
      </w:r>
      <w:r>
        <w:rPr>
          <w:rFonts w:ascii="宋体" w:hAnsi="宋体"/>
          <w:b/>
          <w:color w:val="auto"/>
          <w:sz w:val="24"/>
          <w:highlight w:val="none"/>
          <w:u w:val="single"/>
        </w:rPr>
        <w:t>整套施工图纸</w:t>
      </w:r>
      <w:r>
        <w:rPr>
          <w:rFonts w:ascii="宋体" w:hAnsi="宋体"/>
          <w:color w:val="auto"/>
          <w:sz w:val="24"/>
          <w:highlight w:val="none"/>
        </w:rPr>
        <w:t>。</w:t>
      </w:r>
    </w:p>
    <w:p w14:paraId="7D0856EE">
      <w:pPr>
        <w:spacing w:line="360" w:lineRule="auto"/>
        <w:ind w:firstLine="480" w:firstLineChars="200"/>
        <w:rPr>
          <w:rFonts w:ascii="宋体" w:hAnsi="宋体"/>
          <w:color w:val="auto"/>
          <w:sz w:val="24"/>
          <w:highlight w:val="none"/>
        </w:rPr>
      </w:pPr>
      <w:r>
        <w:rPr>
          <w:rFonts w:ascii="宋体" w:hAnsi="宋体"/>
          <w:color w:val="auto"/>
          <w:sz w:val="24"/>
          <w:highlight w:val="none"/>
        </w:rPr>
        <w:t>1.6.4 承包人文件</w:t>
      </w:r>
    </w:p>
    <w:p w14:paraId="00FB566B">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需要由承包人提供的文件，包括：</w:t>
      </w:r>
      <w:r>
        <w:rPr>
          <w:rFonts w:ascii="宋体" w:hAnsi="宋体"/>
          <w:b/>
          <w:color w:val="auto"/>
          <w:sz w:val="24"/>
          <w:highlight w:val="none"/>
          <w:u w:val="single"/>
        </w:rPr>
        <w:t>施工组织设计、详细的工期质量安全文明保证措施方案、施工总进度计划、资金使用计划表、工程形象进度报告、发包人（监理）和政府规定要求必须提供的其他文件</w:t>
      </w:r>
      <w:r>
        <w:rPr>
          <w:rFonts w:ascii="宋体" w:hAnsi="宋体"/>
          <w:color w:val="auto"/>
          <w:sz w:val="24"/>
          <w:highlight w:val="none"/>
        </w:rPr>
        <w:t>；</w:t>
      </w:r>
    </w:p>
    <w:p w14:paraId="1E6028BB">
      <w:pPr>
        <w:spacing w:line="360" w:lineRule="auto"/>
        <w:ind w:firstLine="480" w:firstLineChars="200"/>
        <w:rPr>
          <w:rFonts w:ascii="宋体" w:hAnsi="宋体"/>
          <w:color w:val="auto"/>
          <w:sz w:val="24"/>
          <w:highlight w:val="none"/>
        </w:rPr>
      </w:pPr>
      <w:r>
        <w:rPr>
          <w:rFonts w:ascii="宋体" w:hAnsi="宋体"/>
          <w:color w:val="auto"/>
          <w:sz w:val="24"/>
          <w:highlight w:val="none"/>
        </w:rPr>
        <w:t>承包人提供的文件的期限为：</w:t>
      </w:r>
      <w:r>
        <w:rPr>
          <w:rFonts w:ascii="宋体" w:hAnsi="宋体"/>
          <w:b/>
          <w:color w:val="auto"/>
          <w:sz w:val="24"/>
          <w:highlight w:val="none"/>
          <w:u w:val="single"/>
        </w:rPr>
        <w:t>施工组织设计、施工总进度计划要求在发包人提供完整的施工图纸后3 天内提供，至迟不得晚于第7.3.2项〔开工通知〕载明的开工日期前3天；每月20日提交工程形象进度报告；发包人（或监理人）和政府规定要求必须提供的其他文件按发包人要求和政府相关规定时间提供</w:t>
      </w:r>
      <w:r>
        <w:rPr>
          <w:rFonts w:ascii="宋体" w:hAnsi="宋体"/>
          <w:color w:val="auto"/>
          <w:sz w:val="24"/>
          <w:highlight w:val="none"/>
        </w:rPr>
        <w:t>；</w:t>
      </w:r>
    </w:p>
    <w:p w14:paraId="32BFFC1F">
      <w:pPr>
        <w:spacing w:line="360" w:lineRule="auto"/>
        <w:ind w:firstLine="480" w:firstLineChars="200"/>
        <w:rPr>
          <w:rFonts w:ascii="宋体" w:hAnsi="宋体"/>
          <w:color w:val="auto"/>
          <w:sz w:val="24"/>
          <w:highlight w:val="none"/>
        </w:rPr>
      </w:pPr>
      <w:r>
        <w:rPr>
          <w:rFonts w:ascii="宋体" w:hAnsi="宋体"/>
          <w:color w:val="auto"/>
          <w:sz w:val="24"/>
          <w:highlight w:val="none"/>
        </w:rPr>
        <w:t>承包人提供的文件的数量为：</w:t>
      </w:r>
      <w:r>
        <w:rPr>
          <w:rFonts w:ascii="宋体" w:hAnsi="宋体"/>
          <w:b/>
          <w:color w:val="auto"/>
          <w:sz w:val="24"/>
          <w:highlight w:val="none"/>
          <w:u w:val="single"/>
        </w:rPr>
        <w:t>一式伍份</w:t>
      </w:r>
      <w:r>
        <w:rPr>
          <w:rFonts w:ascii="宋体" w:hAnsi="宋体"/>
          <w:color w:val="auto"/>
          <w:sz w:val="24"/>
          <w:highlight w:val="none"/>
        </w:rPr>
        <w:t>；</w:t>
      </w:r>
    </w:p>
    <w:p w14:paraId="5C7DA208">
      <w:pPr>
        <w:spacing w:line="360" w:lineRule="auto"/>
        <w:ind w:firstLine="480" w:firstLineChars="200"/>
        <w:rPr>
          <w:rFonts w:ascii="宋体" w:hAnsi="宋体"/>
          <w:color w:val="auto"/>
          <w:sz w:val="24"/>
          <w:highlight w:val="none"/>
        </w:rPr>
      </w:pPr>
      <w:r>
        <w:rPr>
          <w:rFonts w:ascii="宋体" w:hAnsi="宋体"/>
          <w:color w:val="auto"/>
          <w:sz w:val="24"/>
          <w:highlight w:val="none"/>
        </w:rPr>
        <w:t>承包人提供的文件的形式为：</w:t>
      </w:r>
      <w:r>
        <w:rPr>
          <w:rFonts w:ascii="宋体" w:hAnsi="宋体"/>
          <w:b/>
          <w:color w:val="auto"/>
          <w:sz w:val="24"/>
          <w:highlight w:val="none"/>
          <w:u w:val="single"/>
        </w:rPr>
        <w:t>以书面形式提供，并按相关要求进行签字和盖章，若发包人要求提供对应电子文档的，应按要求提供电子文档</w:t>
      </w:r>
      <w:r>
        <w:rPr>
          <w:rFonts w:ascii="宋体" w:hAnsi="宋体"/>
          <w:color w:val="auto"/>
          <w:sz w:val="24"/>
          <w:highlight w:val="none"/>
        </w:rPr>
        <w:t>；</w:t>
      </w:r>
    </w:p>
    <w:p w14:paraId="21E36A45">
      <w:pPr>
        <w:spacing w:line="360" w:lineRule="auto"/>
        <w:ind w:firstLine="480" w:firstLineChars="200"/>
        <w:rPr>
          <w:rFonts w:ascii="宋体" w:hAnsi="宋体"/>
          <w:color w:val="auto"/>
          <w:sz w:val="24"/>
          <w:highlight w:val="none"/>
        </w:rPr>
      </w:pPr>
      <w:r>
        <w:rPr>
          <w:rFonts w:ascii="宋体" w:hAnsi="宋体"/>
          <w:color w:val="auto"/>
          <w:sz w:val="24"/>
          <w:highlight w:val="none"/>
        </w:rPr>
        <w:t>发包人审批承包人文件的期限：</w:t>
      </w:r>
      <w:r>
        <w:rPr>
          <w:rFonts w:ascii="宋体" w:hAnsi="宋体"/>
          <w:b/>
          <w:color w:val="auto"/>
          <w:sz w:val="24"/>
          <w:highlight w:val="none"/>
          <w:u w:val="single"/>
        </w:rPr>
        <w:t>监理人应在收到承包人文件后7天内审查完毕并报送发包人审核，发包人应在收到监理人报送的文件后7天内审查完毕；发包人和监理人对承包人文件若有异议的，承包人应予以修改，并进行重新报送。发包人和监理人的审查并不减轻或免除承包人根据合同约定应当承担的责任</w:t>
      </w:r>
      <w:r>
        <w:rPr>
          <w:rFonts w:ascii="宋体" w:hAnsi="宋体"/>
          <w:color w:val="auto"/>
          <w:sz w:val="24"/>
          <w:highlight w:val="none"/>
        </w:rPr>
        <w:t>。</w:t>
      </w:r>
    </w:p>
    <w:p w14:paraId="4D904DD9">
      <w:pPr>
        <w:spacing w:line="360" w:lineRule="auto"/>
        <w:ind w:firstLine="480" w:firstLineChars="200"/>
        <w:rPr>
          <w:rFonts w:ascii="宋体" w:hAnsi="宋体"/>
          <w:color w:val="auto"/>
          <w:sz w:val="24"/>
          <w:highlight w:val="none"/>
        </w:rPr>
      </w:pPr>
      <w:r>
        <w:rPr>
          <w:rFonts w:ascii="宋体" w:hAnsi="宋体"/>
          <w:color w:val="auto"/>
          <w:sz w:val="24"/>
          <w:highlight w:val="none"/>
        </w:rPr>
        <w:t>1.6.5 现场图纸准备</w:t>
      </w:r>
    </w:p>
    <w:p w14:paraId="7F2F4C83">
      <w:pPr>
        <w:spacing w:line="360" w:lineRule="auto"/>
        <w:ind w:firstLine="480" w:firstLineChars="200"/>
        <w:rPr>
          <w:rFonts w:ascii="宋体" w:hAnsi="宋体"/>
          <w:color w:val="auto"/>
          <w:sz w:val="24"/>
          <w:highlight w:val="none"/>
        </w:rPr>
      </w:pPr>
      <w:r>
        <w:rPr>
          <w:rFonts w:ascii="宋体" w:hAnsi="宋体"/>
          <w:color w:val="auto"/>
          <w:sz w:val="24"/>
          <w:highlight w:val="none"/>
        </w:rPr>
        <w:t>关于现场图纸准备的约定：</w:t>
      </w:r>
      <w:r>
        <w:rPr>
          <w:rFonts w:ascii="宋体" w:hAnsi="宋体"/>
          <w:b/>
          <w:color w:val="auto"/>
          <w:sz w:val="24"/>
          <w:highlight w:val="none"/>
          <w:u w:val="single"/>
        </w:rPr>
        <w:t>承包人应在施工现场办公室另外保存至少一套完整的图纸（盖图审章的）、设计变更联系单等，供发包人、监理人及有关人员进行工程检查时使用</w:t>
      </w:r>
      <w:r>
        <w:rPr>
          <w:rFonts w:ascii="宋体" w:hAnsi="宋体"/>
          <w:color w:val="auto"/>
          <w:sz w:val="24"/>
          <w:highlight w:val="none"/>
        </w:rPr>
        <w:t>。</w:t>
      </w:r>
    </w:p>
    <w:p w14:paraId="7D0F0608">
      <w:pPr>
        <w:spacing w:line="360" w:lineRule="auto"/>
        <w:ind w:firstLine="480" w:firstLineChars="200"/>
        <w:rPr>
          <w:rFonts w:ascii="宋体" w:hAnsi="宋体"/>
          <w:color w:val="auto"/>
          <w:sz w:val="24"/>
          <w:highlight w:val="none"/>
        </w:rPr>
      </w:pPr>
      <w:r>
        <w:rPr>
          <w:rFonts w:ascii="宋体" w:hAnsi="宋体"/>
          <w:color w:val="auto"/>
          <w:sz w:val="24"/>
          <w:highlight w:val="none"/>
        </w:rPr>
        <w:t>1.7 联络</w:t>
      </w:r>
    </w:p>
    <w:p w14:paraId="268EF46B">
      <w:pPr>
        <w:spacing w:line="360" w:lineRule="auto"/>
        <w:ind w:firstLine="480" w:firstLineChars="200"/>
        <w:rPr>
          <w:rFonts w:ascii="宋体" w:hAnsi="宋体"/>
          <w:color w:val="auto"/>
          <w:sz w:val="24"/>
          <w:highlight w:val="none"/>
        </w:rPr>
      </w:pPr>
      <w:r>
        <w:rPr>
          <w:rFonts w:ascii="宋体" w:hAnsi="宋体"/>
          <w:color w:val="auto"/>
          <w:sz w:val="24"/>
          <w:highlight w:val="none"/>
        </w:rPr>
        <w:t>1.7.1发包人和承包人应当在</w:t>
      </w:r>
      <w:r>
        <w:rPr>
          <w:rFonts w:ascii="宋体" w:hAnsi="宋体"/>
          <w:b/>
          <w:color w:val="auto"/>
          <w:sz w:val="24"/>
          <w:highlight w:val="none"/>
          <w:u w:val="single"/>
        </w:rPr>
        <w:t xml:space="preserve"> 7 </w:t>
      </w:r>
      <w:r>
        <w:rPr>
          <w:rFonts w:ascii="宋体" w:hAnsi="宋体"/>
          <w:color w:val="auto"/>
          <w:sz w:val="24"/>
          <w:highlight w:val="none"/>
        </w:rPr>
        <w:t>天内将与合同有关的通知、批准、证明、证书、指示、指令、要求、请求、同意、意见、确定和决定等书面函件送达对方当事人。</w:t>
      </w:r>
    </w:p>
    <w:p w14:paraId="5D435F44">
      <w:pPr>
        <w:spacing w:line="360" w:lineRule="auto"/>
        <w:ind w:firstLine="480" w:firstLineChars="200"/>
        <w:rPr>
          <w:rFonts w:ascii="宋体" w:hAnsi="宋体"/>
          <w:color w:val="auto"/>
          <w:sz w:val="24"/>
          <w:highlight w:val="none"/>
        </w:rPr>
      </w:pPr>
      <w:r>
        <w:rPr>
          <w:rFonts w:ascii="宋体" w:hAnsi="宋体"/>
          <w:color w:val="auto"/>
          <w:sz w:val="24"/>
          <w:highlight w:val="none"/>
        </w:rPr>
        <w:t>1.7.2 发包人接收文件的地点：</w:t>
      </w:r>
      <w:r>
        <w:rPr>
          <w:rFonts w:ascii="宋体" w:hAnsi="宋体"/>
          <w:b/>
          <w:color w:val="auto"/>
          <w:sz w:val="24"/>
          <w:highlight w:val="none"/>
          <w:u w:val="single"/>
        </w:rPr>
        <w:t>发包人现场办公室</w:t>
      </w:r>
      <w:r>
        <w:rPr>
          <w:rFonts w:ascii="宋体" w:hAnsi="宋体"/>
          <w:color w:val="auto"/>
          <w:sz w:val="24"/>
          <w:highlight w:val="none"/>
        </w:rPr>
        <w:t>；</w:t>
      </w:r>
    </w:p>
    <w:p w14:paraId="3C0C586C">
      <w:pPr>
        <w:spacing w:line="360" w:lineRule="auto"/>
        <w:ind w:firstLine="480" w:firstLineChars="200"/>
        <w:rPr>
          <w:rFonts w:ascii="宋体" w:hAnsi="宋体"/>
          <w:color w:val="auto"/>
          <w:sz w:val="24"/>
          <w:highlight w:val="none"/>
        </w:rPr>
      </w:pPr>
      <w:r>
        <w:rPr>
          <w:rFonts w:ascii="宋体" w:hAnsi="宋体"/>
          <w:color w:val="auto"/>
          <w:sz w:val="24"/>
          <w:highlight w:val="none"/>
        </w:rPr>
        <w:t>发包人指定的接收人为：</w:t>
      </w:r>
      <w:r>
        <w:rPr>
          <w:rFonts w:hint="eastAsia" w:ascii="宋体" w:hAnsi="宋体"/>
          <w:color w:val="auto"/>
          <w:sz w:val="24"/>
          <w:highlight w:val="none"/>
          <w:u w:val="single"/>
        </w:rPr>
        <w:t xml:space="preserve">              </w:t>
      </w:r>
      <w:r>
        <w:rPr>
          <w:rFonts w:ascii="宋体" w:hAnsi="宋体"/>
          <w:color w:val="auto"/>
          <w:sz w:val="24"/>
          <w:highlight w:val="none"/>
        </w:rPr>
        <w:t>。</w:t>
      </w:r>
    </w:p>
    <w:p w14:paraId="1D69BBA9">
      <w:pPr>
        <w:spacing w:line="360" w:lineRule="auto"/>
        <w:ind w:firstLine="480" w:firstLineChars="200"/>
        <w:rPr>
          <w:rFonts w:ascii="宋体" w:hAnsi="宋体"/>
          <w:color w:val="auto"/>
          <w:sz w:val="24"/>
          <w:highlight w:val="none"/>
        </w:rPr>
      </w:pPr>
      <w:r>
        <w:rPr>
          <w:rFonts w:ascii="宋体" w:hAnsi="宋体"/>
          <w:color w:val="auto"/>
          <w:sz w:val="24"/>
          <w:highlight w:val="none"/>
        </w:rPr>
        <w:t>承包人接收文件的地点：</w:t>
      </w:r>
      <w:r>
        <w:rPr>
          <w:rFonts w:ascii="宋体" w:hAnsi="宋体"/>
          <w:b/>
          <w:color w:val="auto"/>
          <w:sz w:val="24"/>
          <w:highlight w:val="none"/>
          <w:u w:val="single"/>
        </w:rPr>
        <w:t>承包人现场办公室</w:t>
      </w:r>
      <w:r>
        <w:rPr>
          <w:rFonts w:ascii="宋体" w:hAnsi="宋体"/>
          <w:color w:val="auto"/>
          <w:sz w:val="24"/>
          <w:highlight w:val="none"/>
        </w:rPr>
        <w:t>；</w:t>
      </w:r>
    </w:p>
    <w:p w14:paraId="225AB2D0">
      <w:pPr>
        <w:spacing w:line="360" w:lineRule="auto"/>
        <w:ind w:firstLine="480" w:firstLineChars="200"/>
        <w:rPr>
          <w:rFonts w:ascii="宋体" w:hAnsi="宋体"/>
          <w:color w:val="auto"/>
          <w:sz w:val="24"/>
          <w:highlight w:val="none"/>
        </w:rPr>
      </w:pPr>
      <w:r>
        <w:rPr>
          <w:rFonts w:ascii="宋体" w:hAnsi="宋体"/>
          <w:color w:val="auto"/>
          <w:sz w:val="24"/>
          <w:highlight w:val="none"/>
        </w:rPr>
        <w:t>承包人指定的接收人为：</w:t>
      </w:r>
      <w:r>
        <w:rPr>
          <w:rFonts w:hint="eastAsia" w:ascii="宋体" w:hAnsi="宋体"/>
          <w:color w:val="auto"/>
          <w:sz w:val="24"/>
          <w:highlight w:val="none"/>
          <w:u w:val="single"/>
        </w:rPr>
        <w:t xml:space="preserve">              </w:t>
      </w:r>
      <w:r>
        <w:rPr>
          <w:rFonts w:ascii="宋体" w:hAnsi="宋体"/>
          <w:color w:val="auto"/>
          <w:sz w:val="24"/>
          <w:highlight w:val="none"/>
        </w:rPr>
        <w:t>。</w:t>
      </w:r>
    </w:p>
    <w:p w14:paraId="39ECB6B8">
      <w:pPr>
        <w:spacing w:line="360" w:lineRule="auto"/>
        <w:ind w:firstLine="480" w:firstLineChars="200"/>
        <w:rPr>
          <w:rFonts w:ascii="宋体" w:hAnsi="宋体"/>
          <w:color w:val="auto"/>
          <w:sz w:val="24"/>
          <w:highlight w:val="none"/>
        </w:rPr>
      </w:pPr>
      <w:r>
        <w:rPr>
          <w:rFonts w:ascii="宋体" w:hAnsi="宋体"/>
          <w:color w:val="auto"/>
          <w:sz w:val="24"/>
          <w:highlight w:val="none"/>
        </w:rPr>
        <w:t>监理人接收文件的地点：</w:t>
      </w:r>
      <w:r>
        <w:rPr>
          <w:rFonts w:ascii="宋体" w:hAnsi="宋体"/>
          <w:b/>
          <w:color w:val="auto"/>
          <w:sz w:val="24"/>
          <w:highlight w:val="none"/>
          <w:u w:val="single"/>
        </w:rPr>
        <w:t>监理人现场办公室</w:t>
      </w:r>
      <w:r>
        <w:rPr>
          <w:rFonts w:ascii="宋体" w:hAnsi="宋体"/>
          <w:color w:val="auto"/>
          <w:sz w:val="24"/>
          <w:highlight w:val="none"/>
        </w:rPr>
        <w:t>；</w:t>
      </w:r>
    </w:p>
    <w:p w14:paraId="6AABEE10">
      <w:pPr>
        <w:spacing w:line="360" w:lineRule="auto"/>
        <w:ind w:firstLine="480" w:firstLineChars="200"/>
        <w:rPr>
          <w:rFonts w:ascii="宋体" w:hAnsi="宋体"/>
          <w:color w:val="auto"/>
          <w:sz w:val="24"/>
          <w:highlight w:val="none"/>
        </w:rPr>
      </w:pPr>
      <w:r>
        <w:rPr>
          <w:rFonts w:ascii="宋体" w:hAnsi="宋体"/>
          <w:color w:val="auto"/>
          <w:sz w:val="24"/>
          <w:highlight w:val="none"/>
        </w:rPr>
        <w:t>监理人指定的接收人为：</w:t>
      </w:r>
      <w:r>
        <w:rPr>
          <w:rFonts w:hint="eastAsia" w:ascii="宋体" w:hAnsi="宋体"/>
          <w:color w:val="auto"/>
          <w:sz w:val="24"/>
          <w:highlight w:val="none"/>
          <w:u w:val="single"/>
        </w:rPr>
        <w:t xml:space="preserve">              </w:t>
      </w:r>
      <w:r>
        <w:rPr>
          <w:rFonts w:ascii="宋体" w:hAnsi="宋体"/>
          <w:color w:val="auto"/>
          <w:sz w:val="24"/>
          <w:highlight w:val="none"/>
        </w:rPr>
        <w:t>。</w:t>
      </w:r>
    </w:p>
    <w:p w14:paraId="6BF78261">
      <w:pPr>
        <w:spacing w:line="360" w:lineRule="auto"/>
        <w:ind w:firstLine="480" w:firstLineChars="200"/>
        <w:rPr>
          <w:rFonts w:ascii="宋体" w:hAnsi="宋体"/>
          <w:color w:val="auto"/>
          <w:sz w:val="24"/>
          <w:highlight w:val="none"/>
        </w:rPr>
      </w:pPr>
      <w:r>
        <w:rPr>
          <w:rFonts w:ascii="宋体" w:hAnsi="宋体"/>
          <w:color w:val="auto"/>
          <w:sz w:val="24"/>
          <w:highlight w:val="none"/>
        </w:rPr>
        <w:t>1.10 交通运输</w:t>
      </w:r>
    </w:p>
    <w:p w14:paraId="775D60CE">
      <w:pPr>
        <w:spacing w:line="360" w:lineRule="auto"/>
        <w:ind w:firstLine="480" w:firstLineChars="200"/>
        <w:rPr>
          <w:rFonts w:ascii="宋体" w:hAnsi="宋体"/>
          <w:color w:val="auto"/>
          <w:sz w:val="24"/>
          <w:highlight w:val="none"/>
        </w:rPr>
      </w:pPr>
      <w:r>
        <w:rPr>
          <w:rFonts w:ascii="宋体" w:hAnsi="宋体"/>
          <w:color w:val="auto"/>
          <w:sz w:val="24"/>
          <w:highlight w:val="none"/>
        </w:rPr>
        <w:t>1.10.1 出入现场的权利</w:t>
      </w:r>
    </w:p>
    <w:p w14:paraId="2B6215A6">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关于出入现场的权利的约定：</w:t>
      </w:r>
      <w:r>
        <w:rPr>
          <w:rFonts w:ascii="宋体" w:hAnsi="宋体"/>
          <w:b/>
          <w:color w:val="auto"/>
          <w:sz w:val="24"/>
          <w:highlight w:val="none"/>
          <w:u w:val="single"/>
        </w:rPr>
        <w:t>由承包人负责铺设临时道路及出入工地的道口开设，费用纳入措施项目费中。遵照政府有关部门对施工场地交通的管理规定，按规定办理相关手续，费用由承包人负责，发包人给予配合。如承包人未及时办理有关手续而造成的罚款由承包人承担</w:t>
      </w:r>
      <w:r>
        <w:rPr>
          <w:rFonts w:ascii="宋体" w:hAnsi="宋体"/>
          <w:color w:val="auto"/>
          <w:sz w:val="24"/>
          <w:highlight w:val="none"/>
        </w:rPr>
        <w:t>。</w:t>
      </w:r>
    </w:p>
    <w:p w14:paraId="43D6D2FA">
      <w:pPr>
        <w:spacing w:line="360" w:lineRule="auto"/>
        <w:ind w:firstLine="480" w:firstLineChars="200"/>
        <w:rPr>
          <w:rFonts w:ascii="宋体" w:hAnsi="宋体"/>
          <w:color w:val="auto"/>
          <w:sz w:val="24"/>
          <w:highlight w:val="none"/>
        </w:rPr>
      </w:pPr>
      <w:r>
        <w:rPr>
          <w:rFonts w:ascii="宋体" w:hAnsi="宋体"/>
          <w:color w:val="auto"/>
          <w:sz w:val="24"/>
          <w:highlight w:val="none"/>
        </w:rPr>
        <w:t>1.10.3 场内交通</w:t>
      </w:r>
    </w:p>
    <w:p w14:paraId="2E5AE502">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关于场外交通和场内交通的边界的约定：</w:t>
      </w:r>
      <w:r>
        <w:rPr>
          <w:rFonts w:ascii="宋体" w:hAnsi="宋体"/>
          <w:b/>
          <w:color w:val="auto"/>
          <w:sz w:val="24"/>
          <w:highlight w:val="none"/>
          <w:u w:val="single"/>
        </w:rPr>
        <w:t>以施工现场为界，现场不提供临时场地，承包人施工需要场外借地的，其借地费用由承包人负责</w:t>
      </w:r>
      <w:r>
        <w:rPr>
          <w:rFonts w:ascii="宋体" w:hAnsi="宋体"/>
          <w:color w:val="auto"/>
          <w:sz w:val="24"/>
          <w:highlight w:val="none"/>
        </w:rPr>
        <w:t>。</w:t>
      </w:r>
    </w:p>
    <w:p w14:paraId="526C1C2C">
      <w:pPr>
        <w:spacing w:line="360" w:lineRule="auto"/>
        <w:ind w:firstLine="480" w:firstLineChars="200"/>
        <w:rPr>
          <w:rFonts w:ascii="宋体" w:hAnsi="宋体"/>
          <w:color w:val="auto"/>
          <w:sz w:val="24"/>
          <w:highlight w:val="none"/>
        </w:rPr>
      </w:pPr>
      <w:r>
        <w:rPr>
          <w:rFonts w:ascii="宋体" w:hAnsi="宋体"/>
          <w:color w:val="auto"/>
          <w:sz w:val="24"/>
          <w:highlight w:val="none"/>
        </w:rPr>
        <w:t>关于发包人向承包人免费提供满足工程施工需要的场内道路和交通设施的约定：</w:t>
      </w:r>
      <w:r>
        <w:rPr>
          <w:rFonts w:ascii="宋体" w:hAnsi="宋体"/>
          <w:b/>
          <w:color w:val="auto"/>
          <w:sz w:val="24"/>
          <w:highlight w:val="none"/>
          <w:u w:val="single"/>
        </w:rPr>
        <w:t>遵照政府有关部门对施工场地交通、环卫和施工噪音的管理规定及物业规定，按规定办理相关手续，费用由承包人负责，发包人给予配合。如承包人未及时办理有关手续而造成的罚款由承包人承担</w:t>
      </w:r>
      <w:r>
        <w:rPr>
          <w:rFonts w:ascii="宋体" w:hAnsi="宋体"/>
          <w:color w:val="auto"/>
          <w:sz w:val="24"/>
          <w:highlight w:val="none"/>
        </w:rPr>
        <w:t xml:space="preserve">。  </w:t>
      </w:r>
    </w:p>
    <w:p w14:paraId="0462AE62">
      <w:pPr>
        <w:spacing w:line="360" w:lineRule="auto"/>
        <w:ind w:firstLine="480" w:firstLineChars="200"/>
        <w:rPr>
          <w:rFonts w:ascii="宋体" w:hAnsi="宋体"/>
          <w:color w:val="auto"/>
          <w:sz w:val="24"/>
          <w:highlight w:val="none"/>
        </w:rPr>
      </w:pPr>
      <w:r>
        <w:rPr>
          <w:rFonts w:ascii="宋体" w:hAnsi="宋体"/>
          <w:color w:val="auto"/>
          <w:sz w:val="24"/>
          <w:highlight w:val="none"/>
        </w:rPr>
        <w:t>1.10.4超大件和超重件的运输</w:t>
      </w:r>
    </w:p>
    <w:p w14:paraId="35A09623">
      <w:pPr>
        <w:spacing w:line="360" w:lineRule="auto"/>
        <w:ind w:firstLine="480" w:firstLineChars="200"/>
        <w:rPr>
          <w:rFonts w:ascii="宋体" w:hAnsi="宋体"/>
          <w:color w:val="auto"/>
          <w:sz w:val="24"/>
          <w:highlight w:val="none"/>
        </w:rPr>
      </w:pPr>
      <w:r>
        <w:rPr>
          <w:rFonts w:ascii="宋体" w:hAnsi="宋体"/>
          <w:color w:val="auto"/>
          <w:sz w:val="24"/>
          <w:highlight w:val="none"/>
        </w:rPr>
        <w:t>运输超大件或超重件所需的道路和桥梁临时加固改造费用和其他有关费用由</w:t>
      </w:r>
      <w:r>
        <w:rPr>
          <w:rFonts w:ascii="宋体" w:hAnsi="宋体"/>
          <w:b/>
          <w:color w:val="auto"/>
          <w:sz w:val="24"/>
          <w:highlight w:val="none"/>
          <w:u w:val="single"/>
        </w:rPr>
        <w:t>承包人</w:t>
      </w:r>
      <w:r>
        <w:rPr>
          <w:rFonts w:ascii="宋体" w:hAnsi="宋体"/>
          <w:color w:val="auto"/>
          <w:sz w:val="24"/>
          <w:highlight w:val="none"/>
        </w:rPr>
        <w:t>承担。</w:t>
      </w:r>
    </w:p>
    <w:p w14:paraId="5669EEDC">
      <w:pPr>
        <w:spacing w:line="360" w:lineRule="auto"/>
        <w:ind w:firstLine="482" w:firstLineChars="200"/>
        <w:rPr>
          <w:rFonts w:ascii="宋体" w:hAnsi="宋体"/>
          <w:b/>
          <w:color w:val="auto"/>
          <w:sz w:val="24"/>
          <w:highlight w:val="none"/>
        </w:rPr>
      </w:pPr>
      <w:r>
        <w:rPr>
          <w:rFonts w:ascii="宋体" w:hAnsi="宋体"/>
          <w:b/>
          <w:color w:val="auto"/>
          <w:sz w:val="24"/>
          <w:highlight w:val="none"/>
        </w:rPr>
        <w:t>本工程的超大件：</w:t>
      </w:r>
      <w:r>
        <w:rPr>
          <w:rFonts w:ascii="宋体" w:hAnsi="宋体"/>
          <w:b/>
          <w:color w:val="auto"/>
          <w:sz w:val="24"/>
          <w:highlight w:val="none"/>
          <w:u w:val="single"/>
        </w:rPr>
        <w:t>详见设计或技术文件</w:t>
      </w:r>
    </w:p>
    <w:p w14:paraId="143148B4">
      <w:pPr>
        <w:spacing w:line="360" w:lineRule="auto"/>
        <w:ind w:firstLine="482" w:firstLineChars="200"/>
        <w:rPr>
          <w:rFonts w:ascii="宋体" w:hAnsi="宋体"/>
          <w:color w:val="auto"/>
          <w:sz w:val="24"/>
          <w:highlight w:val="none"/>
        </w:rPr>
      </w:pPr>
      <w:r>
        <w:rPr>
          <w:rFonts w:ascii="宋体" w:hAnsi="宋体"/>
          <w:b/>
          <w:color w:val="auto"/>
          <w:sz w:val="24"/>
          <w:highlight w:val="none"/>
        </w:rPr>
        <w:t>本工程的超重件：</w:t>
      </w:r>
      <w:r>
        <w:rPr>
          <w:rFonts w:ascii="宋体" w:hAnsi="宋体"/>
          <w:b/>
          <w:color w:val="auto"/>
          <w:sz w:val="24"/>
          <w:highlight w:val="none"/>
          <w:u w:val="single"/>
        </w:rPr>
        <w:t>详见设计或技术文件</w:t>
      </w:r>
    </w:p>
    <w:p w14:paraId="6C0D3EA6">
      <w:pPr>
        <w:spacing w:line="360" w:lineRule="auto"/>
        <w:ind w:firstLine="480" w:firstLineChars="200"/>
        <w:rPr>
          <w:rFonts w:ascii="宋体" w:hAnsi="宋体"/>
          <w:color w:val="auto"/>
          <w:sz w:val="24"/>
          <w:highlight w:val="none"/>
        </w:rPr>
      </w:pPr>
      <w:r>
        <w:rPr>
          <w:rFonts w:ascii="宋体" w:hAnsi="宋体"/>
          <w:color w:val="auto"/>
          <w:sz w:val="24"/>
          <w:highlight w:val="none"/>
        </w:rPr>
        <w:t>1.11 知识产权</w:t>
      </w:r>
    </w:p>
    <w:p w14:paraId="0032E77E">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1.11.1关于发包人提供给承包人的图纸、发包人为实施工程自行编制或委托编制的技术规范以及反映发包人关于合同要求或其他类似性质的文件的著作权的归属：</w:t>
      </w:r>
      <w:r>
        <w:rPr>
          <w:rFonts w:ascii="宋体" w:hAnsi="宋体"/>
          <w:b/>
          <w:color w:val="auto"/>
          <w:sz w:val="24"/>
          <w:highlight w:val="none"/>
          <w:u w:val="single"/>
        </w:rPr>
        <w:t>发包人</w:t>
      </w:r>
      <w:r>
        <w:rPr>
          <w:rFonts w:ascii="宋体" w:hAnsi="宋体"/>
          <w:color w:val="auto"/>
          <w:sz w:val="24"/>
          <w:highlight w:val="none"/>
          <w:u w:val="single"/>
        </w:rPr>
        <w:t>。</w:t>
      </w:r>
    </w:p>
    <w:p w14:paraId="00AAFE46">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关于发包人提供的上述文件的使用限制的要求：</w:t>
      </w:r>
      <w:r>
        <w:rPr>
          <w:rFonts w:ascii="宋体" w:hAnsi="宋体"/>
          <w:b/>
          <w:color w:val="auto"/>
          <w:sz w:val="24"/>
          <w:highlight w:val="none"/>
          <w:u w:val="single"/>
        </w:rPr>
        <w:t>承包人应对发包人提供的全部资料文件进行保密，未经发包人书面同意不得以任何形式复制、披露、泄露、转让给任何第三方，或用于其他工程；否则应承担违约责任并赔偿发包人损失</w:t>
      </w:r>
      <w:r>
        <w:rPr>
          <w:rFonts w:ascii="宋体" w:hAnsi="宋体"/>
          <w:b/>
          <w:color w:val="auto"/>
          <w:sz w:val="24"/>
          <w:highlight w:val="none"/>
        </w:rPr>
        <w:t>。</w:t>
      </w:r>
    </w:p>
    <w:p w14:paraId="3C2F2175">
      <w:pPr>
        <w:spacing w:line="360" w:lineRule="auto"/>
        <w:ind w:firstLine="480" w:firstLineChars="200"/>
        <w:rPr>
          <w:rFonts w:ascii="宋体" w:hAnsi="宋体"/>
          <w:color w:val="auto"/>
          <w:sz w:val="24"/>
          <w:highlight w:val="none"/>
        </w:rPr>
      </w:pPr>
      <w:r>
        <w:rPr>
          <w:rFonts w:ascii="宋体" w:hAnsi="宋体"/>
          <w:color w:val="auto"/>
          <w:sz w:val="24"/>
          <w:highlight w:val="none"/>
        </w:rPr>
        <w:t>1.11.2 关于承包人为实施工程所编制文件的著作权的归属：</w:t>
      </w:r>
      <w:r>
        <w:rPr>
          <w:rFonts w:ascii="宋体" w:hAnsi="宋体"/>
          <w:b/>
          <w:color w:val="auto"/>
          <w:sz w:val="24"/>
          <w:highlight w:val="none"/>
          <w:u w:val="single"/>
        </w:rPr>
        <w:t>按通用合同条款约定</w:t>
      </w:r>
      <w:r>
        <w:rPr>
          <w:rFonts w:ascii="宋体" w:hAnsi="宋体"/>
          <w:color w:val="auto"/>
          <w:sz w:val="24"/>
          <w:highlight w:val="none"/>
        </w:rPr>
        <w:t>。</w:t>
      </w:r>
    </w:p>
    <w:p w14:paraId="4D885B39">
      <w:pPr>
        <w:spacing w:line="360" w:lineRule="auto"/>
        <w:ind w:firstLine="480" w:firstLineChars="200"/>
        <w:rPr>
          <w:rFonts w:ascii="宋体" w:hAnsi="宋体"/>
          <w:color w:val="auto"/>
          <w:sz w:val="24"/>
          <w:highlight w:val="none"/>
        </w:rPr>
      </w:pPr>
      <w:r>
        <w:rPr>
          <w:rFonts w:ascii="宋体" w:hAnsi="宋体"/>
          <w:color w:val="auto"/>
          <w:sz w:val="24"/>
          <w:highlight w:val="none"/>
        </w:rPr>
        <w:t>关于承包人提供的上述文件的使用限制的要求：</w:t>
      </w:r>
      <w:r>
        <w:rPr>
          <w:rFonts w:ascii="宋体" w:hAnsi="宋体"/>
          <w:b/>
          <w:color w:val="auto"/>
          <w:sz w:val="24"/>
          <w:highlight w:val="none"/>
          <w:u w:val="single"/>
        </w:rPr>
        <w:t>按通用合同条款约定</w:t>
      </w:r>
      <w:r>
        <w:rPr>
          <w:rFonts w:ascii="宋体" w:hAnsi="宋体"/>
          <w:color w:val="auto"/>
          <w:sz w:val="24"/>
          <w:highlight w:val="none"/>
        </w:rPr>
        <w:t>。</w:t>
      </w:r>
    </w:p>
    <w:p w14:paraId="7C7E5656">
      <w:pPr>
        <w:spacing w:line="360" w:lineRule="auto"/>
        <w:ind w:firstLine="480" w:firstLineChars="200"/>
        <w:rPr>
          <w:rFonts w:ascii="宋体" w:hAnsi="宋体"/>
          <w:color w:val="auto"/>
          <w:sz w:val="24"/>
          <w:highlight w:val="none"/>
        </w:rPr>
      </w:pPr>
      <w:r>
        <w:rPr>
          <w:rFonts w:ascii="宋体" w:hAnsi="宋体"/>
          <w:color w:val="auto"/>
          <w:sz w:val="24"/>
          <w:highlight w:val="none"/>
        </w:rPr>
        <w:t>1.11.4 承包人在施工过程中所采用的专利、专有技术、技术秘密的使用费的承担方式：</w:t>
      </w:r>
      <w:r>
        <w:rPr>
          <w:rFonts w:ascii="宋体" w:hAnsi="宋体"/>
          <w:b/>
          <w:color w:val="auto"/>
          <w:sz w:val="24"/>
          <w:highlight w:val="none"/>
          <w:u w:val="single"/>
        </w:rPr>
        <w:t>（除发包人指明外）承包人在施工过程中所采用的专利、专有技术、技术秘密的使用费包含在合同价款内</w:t>
      </w:r>
      <w:r>
        <w:rPr>
          <w:rFonts w:ascii="宋体" w:hAnsi="宋体"/>
          <w:b/>
          <w:color w:val="auto"/>
          <w:sz w:val="24"/>
          <w:highlight w:val="none"/>
        </w:rPr>
        <w:t>。</w:t>
      </w:r>
    </w:p>
    <w:p w14:paraId="4C8C29C1">
      <w:pPr>
        <w:spacing w:line="360" w:lineRule="auto"/>
        <w:ind w:firstLine="480" w:firstLineChars="200"/>
        <w:rPr>
          <w:rFonts w:ascii="宋体" w:hAnsi="宋体"/>
          <w:color w:val="auto"/>
          <w:sz w:val="24"/>
          <w:highlight w:val="none"/>
        </w:rPr>
      </w:pPr>
      <w:r>
        <w:rPr>
          <w:rFonts w:ascii="宋体" w:hAnsi="宋体"/>
          <w:color w:val="auto"/>
          <w:sz w:val="24"/>
          <w:highlight w:val="none"/>
        </w:rPr>
        <w:t>1.13工程量清单错误的修正</w:t>
      </w:r>
    </w:p>
    <w:p w14:paraId="7D4A8908">
      <w:pPr>
        <w:spacing w:line="360" w:lineRule="auto"/>
        <w:ind w:firstLine="480" w:firstLineChars="200"/>
        <w:rPr>
          <w:rFonts w:ascii="宋体" w:hAnsi="宋体"/>
          <w:color w:val="auto"/>
          <w:sz w:val="24"/>
          <w:highlight w:val="none"/>
        </w:rPr>
      </w:pPr>
      <w:r>
        <w:rPr>
          <w:rFonts w:ascii="宋体" w:hAnsi="宋体"/>
          <w:color w:val="auto"/>
          <w:sz w:val="24"/>
          <w:highlight w:val="none"/>
        </w:rPr>
        <w:t>出现工程量清单错误时，是否调整合同价格：</w:t>
      </w:r>
      <w:r>
        <w:rPr>
          <w:rFonts w:ascii="宋体" w:hAnsi="宋体"/>
          <w:b/>
          <w:color w:val="auto"/>
          <w:sz w:val="24"/>
          <w:highlight w:val="none"/>
          <w:u w:val="single"/>
        </w:rPr>
        <w:t>是</w:t>
      </w:r>
      <w:r>
        <w:rPr>
          <w:rFonts w:ascii="宋体" w:hAnsi="宋体"/>
          <w:b/>
          <w:color w:val="auto"/>
          <w:sz w:val="24"/>
          <w:highlight w:val="none"/>
        </w:rPr>
        <w:t>；</w:t>
      </w:r>
    </w:p>
    <w:p w14:paraId="2F42C48B">
      <w:pPr>
        <w:spacing w:line="360" w:lineRule="auto"/>
        <w:ind w:firstLine="480" w:firstLineChars="200"/>
        <w:rPr>
          <w:rFonts w:ascii="宋体" w:hAnsi="宋体"/>
          <w:b/>
          <w:color w:val="auto"/>
          <w:sz w:val="24"/>
          <w:highlight w:val="none"/>
        </w:rPr>
      </w:pPr>
      <w:r>
        <w:rPr>
          <w:rFonts w:ascii="宋体" w:hAnsi="宋体"/>
          <w:color w:val="auto"/>
          <w:sz w:val="24"/>
          <w:highlight w:val="none"/>
        </w:rPr>
        <w:t>允许调整合同价格的工程量偏差范围：</w:t>
      </w:r>
      <w:r>
        <w:rPr>
          <w:rFonts w:ascii="宋体" w:hAnsi="宋体"/>
          <w:b/>
          <w:color w:val="auto"/>
          <w:sz w:val="24"/>
          <w:highlight w:val="none"/>
          <w:u w:val="single"/>
        </w:rPr>
        <w:t>工程量按实调整</w:t>
      </w:r>
      <w:r>
        <w:rPr>
          <w:rFonts w:ascii="宋体" w:hAnsi="宋体"/>
          <w:b/>
          <w:color w:val="auto"/>
          <w:sz w:val="24"/>
          <w:highlight w:val="none"/>
        </w:rPr>
        <w:t>；</w:t>
      </w:r>
    </w:p>
    <w:p w14:paraId="63CB29C9">
      <w:pPr>
        <w:spacing w:line="360" w:lineRule="auto"/>
        <w:ind w:firstLine="482" w:firstLineChars="200"/>
        <w:rPr>
          <w:rFonts w:ascii="宋体" w:hAnsi="宋体"/>
          <w:b/>
          <w:bCs/>
          <w:color w:val="auto"/>
          <w:sz w:val="24"/>
          <w:highlight w:val="none"/>
        </w:rPr>
      </w:pPr>
      <w:r>
        <w:rPr>
          <w:rFonts w:ascii="宋体" w:hAnsi="宋体"/>
          <w:b/>
          <w:bCs/>
          <w:color w:val="auto"/>
          <w:sz w:val="24"/>
          <w:highlight w:val="none"/>
        </w:rPr>
        <w:t xml:space="preserve">调整合同价格的修正时间：工程竣工结算审计时。 </w:t>
      </w:r>
    </w:p>
    <w:p w14:paraId="44D06804">
      <w:pPr>
        <w:pStyle w:val="6"/>
        <w:spacing w:line="360" w:lineRule="auto"/>
        <w:ind w:left="0" w:firstLine="482" w:firstLineChars="200"/>
        <w:rPr>
          <w:rFonts w:ascii="宋体" w:hAnsi="宋体" w:eastAsia="宋体" w:cs="宋体"/>
          <w:bCs w:val="0"/>
          <w:color w:val="auto"/>
          <w:sz w:val="24"/>
          <w:szCs w:val="24"/>
          <w:highlight w:val="none"/>
        </w:rPr>
      </w:pPr>
      <w:r>
        <w:rPr>
          <w:rFonts w:ascii="宋体" w:hAnsi="宋体" w:eastAsia="宋体" w:cs="宋体"/>
          <w:bCs w:val="0"/>
          <w:color w:val="auto"/>
          <w:sz w:val="24"/>
          <w:szCs w:val="24"/>
          <w:highlight w:val="none"/>
        </w:rPr>
        <w:t>2. 发包人</w:t>
      </w:r>
    </w:p>
    <w:p w14:paraId="40EF02EA">
      <w:pPr>
        <w:spacing w:line="360" w:lineRule="auto"/>
        <w:ind w:firstLine="482" w:firstLineChars="200"/>
        <w:rPr>
          <w:rFonts w:ascii="宋体" w:hAnsi="宋体"/>
          <w:b/>
          <w:bCs/>
          <w:color w:val="auto"/>
          <w:sz w:val="24"/>
          <w:highlight w:val="none"/>
        </w:rPr>
      </w:pPr>
      <w:r>
        <w:rPr>
          <w:rFonts w:ascii="宋体" w:hAnsi="宋体"/>
          <w:b/>
          <w:bCs/>
          <w:color w:val="auto"/>
          <w:sz w:val="24"/>
          <w:highlight w:val="none"/>
        </w:rPr>
        <w:t>发包人应根据工程所需配备发包人代表，同时配备1-2名相关人员到岗履职。发包人应做好承包人农民工工资保证金缴存情况的审核工作，督促未缴存农民工工资保证金的承包人及时缴存。</w:t>
      </w:r>
    </w:p>
    <w:p w14:paraId="10F32687">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建设工程施工前，发包人必须对工程项目建筑垃圾总量、回填利用量进行全面准确测算，并到项目所在地城管部门办理建筑垃圾处置手续。</w:t>
      </w:r>
    </w:p>
    <w:p w14:paraId="32F1312E">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发包人有权开展现场检查，督促承包人落实规范垃圾处置合同分包、车辆装载、车辆冲洗和规范消纳等措施。</w:t>
      </w:r>
    </w:p>
    <w:p w14:paraId="72316E07">
      <w:pPr>
        <w:spacing w:line="360" w:lineRule="auto"/>
        <w:ind w:firstLine="480" w:firstLineChars="200"/>
        <w:rPr>
          <w:rFonts w:ascii="宋体" w:hAnsi="宋体"/>
          <w:color w:val="auto"/>
          <w:sz w:val="24"/>
          <w:highlight w:val="none"/>
        </w:rPr>
      </w:pPr>
      <w:r>
        <w:rPr>
          <w:rFonts w:ascii="宋体" w:hAnsi="宋体"/>
          <w:color w:val="auto"/>
          <w:sz w:val="24"/>
          <w:highlight w:val="none"/>
        </w:rPr>
        <w:t>2.2 发包人代表</w:t>
      </w:r>
    </w:p>
    <w:p w14:paraId="3DE3F89A">
      <w:pPr>
        <w:spacing w:line="360" w:lineRule="auto"/>
        <w:ind w:firstLine="480" w:firstLineChars="200"/>
        <w:rPr>
          <w:rFonts w:ascii="宋体" w:hAnsi="宋体"/>
          <w:color w:val="auto"/>
          <w:sz w:val="24"/>
          <w:highlight w:val="none"/>
        </w:rPr>
      </w:pPr>
      <w:r>
        <w:rPr>
          <w:rFonts w:ascii="宋体" w:hAnsi="宋体"/>
          <w:color w:val="auto"/>
          <w:sz w:val="24"/>
          <w:highlight w:val="none"/>
        </w:rPr>
        <w:t>发包人代表：</w:t>
      </w:r>
    </w:p>
    <w:p w14:paraId="781C7C18">
      <w:pPr>
        <w:spacing w:line="360" w:lineRule="auto"/>
        <w:ind w:firstLine="480" w:firstLineChars="200"/>
        <w:rPr>
          <w:rFonts w:ascii="宋体" w:hAnsi="宋体"/>
          <w:color w:val="auto"/>
          <w:sz w:val="24"/>
          <w:highlight w:val="none"/>
        </w:rPr>
      </w:pPr>
      <w:r>
        <w:rPr>
          <w:rFonts w:ascii="宋体" w:hAnsi="宋体"/>
          <w:color w:val="auto"/>
          <w:sz w:val="24"/>
          <w:highlight w:val="none"/>
        </w:rPr>
        <w:t>姓    名：</w:t>
      </w:r>
      <w:r>
        <w:rPr>
          <w:rFonts w:hint="eastAsia" w:ascii="宋体" w:hAnsi="宋体"/>
          <w:color w:val="auto"/>
          <w:sz w:val="24"/>
          <w:highlight w:val="none"/>
          <w:u w:val="single"/>
        </w:rPr>
        <w:t xml:space="preserve">                    </w:t>
      </w:r>
      <w:r>
        <w:rPr>
          <w:rFonts w:ascii="宋体" w:hAnsi="宋体"/>
          <w:color w:val="auto"/>
          <w:sz w:val="24"/>
          <w:highlight w:val="none"/>
        </w:rPr>
        <w:t>；</w:t>
      </w:r>
    </w:p>
    <w:p w14:paraId="4AD1E07D">
      <w:pPr>
        <w:spacing w:line="360" w:lineRule="auto"/>
        <w:ind w:firstLine="480" w:firstLineChars="200"/>
        <w:rPr>
          <w:rFonts w:ascii="宋体" w:hAnsi="宋体"/>
          <w:color w:val="auto"/>
          <w:sz w:val="24"/>
          <w:highlight w:val="none"/>
        </w:rPr>
      </w:pPr>
      <w:r>
        <w:rPr>
          <w:rFonts w:ascii="宋体" w:hAnsi="宋体"/>
          <w:color w:val="auto"/>
          <w:sz w:val="24"/>
          <w:highlight w:val="none"/>
        </w:rPr>
        <w:t>身份证号：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ascii="宋体" w:hAnsi="宋体"/>
          <w:color w:val="auto"/>
          <w:sz w:val="24"/>
          <w:highlight w:val="none"/>
        </w:rPr>
        <w:t>；</w:t>
      </w:r>
    </w:p>
    <w:p w14:paraId="07ED7B40">
      <w:pPr>
        <w:spacing w:line="360" w:lineRule="auto"/>
        <w:ind w:firstLine="480" w:firstLineChars="200"/>
        <w:rPr>
          <w:rFonts w:ascii="宋体" w:hAnsi="宋体"/>
          <w:color w:val="auto"/>
          <w:sz w:val="24"/>
          <w:highlight w:val="none"/>
        </w:rPr>
      </w:pPr>
      <w:r>
        <w:rPr>
          <w:rFonts w:ascii="宋体" w:hAnsi="宋体"/>
          <w:color w:val="auto"/>
          <w:sz w:val="24"/>
          <w:highlight w:val="none"/>
        </w:rPr>
        <w:t>职    务：</w:t>
      </w:r>
      <w:r>
        <w:rPr>
          <w:rFonts w:hint="eastAsia" w:ascii="宋体" w:hAnsi="宋体"/>
          <w:color w:val="auto"/>
          <w:sz w:val="24"/>
          <w:highlight w:val="none"/>
          <w:u w:val="single"/>
        </w:rPr>
        <w:t xml:space="preserve">                    </w:t>
      </w:r>
      <w:r>
        <w:rPr>
          <w:rFonts w:ascii="宋体" w:hAnsi="宋体"/>
          <w:color w:val="auto"/>
          <w:sz w:val="24"/>
          <w:highlight w:val="none"/>
        </w:rPr>
        <w:t>；</w:t>
      </w:r>
    </w:p>
    <w:p w14:paraId="385AE734">
      <w:pPr>
        <w:spacing w:line="360" w:lineRule="auto"/>
        <w:ind w:firstLine="480" w:firstLineChars="200"/>
        <w:rPr>
          <w:rFonts w:ascii="宋体" w:hAnsi="宋体"/>
          <w:color w:val="auto"/>
          <w:sz w:val="24"/>
          <w:highlight w:val="none"/>
        </w:rPr>
      </w:pPr>
      <w:r>
        <w:rPr>
          <w:rFonts w:ascii="宋体" w:hAnsi="宋体"/>
          <w:color w:val="auto"/>
          <w:sz w:val="24"/>
          <w:highlight w:val="none"/>
        </w:rPr>
        <w:t>联系电话：</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ascii="宋体" w:hAnsi="宋体"/>
          <w:color w:val="auto"/>
          <w:sz w:val="24"/>
          <w:highlight w:val="none"/>
        </w:rPr>
        <w:t>；</w:t>
      </w:r>
    </w:p>
    <w:p w14:paraId="474C7114">
      <w:pPr>
        <w:spacing w:line="360" w:lineRule="auto"/>
        <w:ind w:firstLine="480" w:firstLineChars="200"/>
        <w:rPr>
          <w:rFonts w:ascii="宋体" w:hAnsi="宋体"/>
          <w:color w:val="auto"/>
          <w:sz w:val="24"/>
          <w:highlight w:val="none"/>
        </w:rPr>
      </w:pPr>
      <w:r>
        <w:rPr>
          <w:rFonts w:ascii="宋体" w:hAnsi="宋体"/>
          <w:color w:val="auto"/>
          <w:sz w:val="24"/>
          <w:highlight w:val="none"/>
        </w:rPr>
        <w:t>电子信箱：</w:t>
      </w:r>
      <w:r>
        <w:rPr>
          <w:rFonts w:hint="eastAsia" w:ascii="宋体" w:hAnsi="宋体"/>
          <w:color w:val="auto"/>
          <w:sz w:val="24"/>
          <w:highlight w:val="none"/>
          <w:u w:val="single"/>
        </w:rPr>
        <w:t xml:space="preserve">                    </w:t>
      </w:r>
      <w:r>
        <w:rPr>
          <w:rFonts w:ascii="宋体" w:hAnsi="宋体"/>
          <w:color w:val="auto"/>
          <w:sz w:val="24"/>
          <w:highlight w:val="none"/>
        </w:rPr>
        <w:t>；</w:t>
      </w:r>
    </w:p>
    <w:p w14:paraId="1CF09308">
      <w:pPr>
        <w:spacing w:line="360" w:lineRule="auto"/>
        <w:ind w:firstLine="480" w:firstLineChars="200"/>
        <w:rPr>
          <w:rFonts w:ascii="宋体" w:hAnsi="宋体"/>
          <w:color w:val="auto"/>
          <w:sz w:val="24"/>
          <w:highlight w:val="none"/>
        </w:rPr>
      </w:pPr>
      <w:r>
        <w:rPr>
          <w:rFonts w:ascii="宋体" w:hAnsi="宋体"/>
          <w:color w:val="auto"/>
          <w:sz w:val="24"/>
          <w:highlight w:val="none"/>
        </w:rPr>
        <w:t>通信地址</w:t>
      </w:r>
      <w:r>
        <w:rPr>
          <w:rFonts w:hint="eastAsia" w:ascii="宋体" w:hAnsi="宋体"/>
          <w:color w:val="auto"/>
          <w:sz w:val="24"/>
          <w:highlight w:val="none"/>
          <w:u w:val="single"/>
        </w:rPr>
        <w:t xml:space="preserve">                    </w:t>
      </w:r>
      <w:r>
        <w:rPr>
          <w:rFonts w:ascii="宋体" w:hAnsi="宋体"/>
          <w:color w:val="auto"/>
          <w:sz w:val="24"/>
          <w:highlight w:val="none"/>
        </w:rPr>
        <w:t>。</w:t>
      </w:r>
    </w:p>
    <w:p w14:paraId="53C32894">
      <w:pPr>
        <w:spacing w:line="360" w:lineRule="auto"/>
        <w:ind w:firstLine="480" w:firstLineChars="200"/>
        <w:rPr>
          <w:rFonts w:ascii="宋体" w:hAnsi="宋体"/>
          <w:b/>
          <w:color w:val="auto"/>
          <w:sz w:val="24"/>
          <w:highlight w:val="none"/>
          <w:u w:val="single"/>
        </w:rPr>
      </w:pPr>
      <w:r>
        <w:rPr>
          <w:rFonts w:ascii="宋体" w:hAnsi="宋体"/>
          <w:color w:val="auto"/>
          <w:sz w:val="24"/>
          <w:highlight w:val="none"/>
        </w:rPr>
        <w:t>发包人对发包人代表的授权范围如下：</w:t>
      </w:r>
      <w:r>
        <w:rPr>
          <w:rFonts w:ascii="宋体" w:hAnsi="宋体"/>
          <w:b/>
          <w:color w:val="auto"/>
          <w:sz w:val="24"/>
          <w:highlight w:val="none"/>
          <w:u w:val="single"/>
        </w:rPr>
        <w:t>代表发包人针对本工程做好管理、协调和监督工作，行使并履行本合同明确约定或合理推定的工程师的全部权力和职责，受理与其相关的所有通知、指示、同意、批准、证书、决定及其通讯联络。工程质量、进度、安全管理、设计变更及施工联系单签证、工程价款变更签证、工程价款的拨付等职能</w:t>
      </w:r>
      <w:r>
        <w:rPr>
          <w:rFonts w:ascii="宋体" w:hAnsi="宋体"/>
          <w:color w:val="auto"/>
          <w:sz w:val="24"/>
          <w:highlight w:val="none"/>
        </w:rPr>
        <w:t>。</w:t>
      </w:r>
    </w:p>
    <w:p w14:paraId="31D9CF43">
      <w:pPr>
        <w:spacing w:line="360" w:lineRule="auto"/>
        <w:ind w:firstLine="480" w:firstLineChars="200"/>
        <w:rPr>
          <w:rFonts w:ascii="宋体" w:hAnsi="宋体"/>
          <w:color w:val="auto"/>
          <w:sz w:val="24"/>
          <w:highlight w:val="none"/>
        </w:rPr>
      </w:pPr>
      <w:r>
        <w:rPr>
          <w:rFonts w:ascii="宋体" w:hAnsi="宋体"/>
          <w:color w:val="auto"/>
          <w:sz w:val="24"/>
          <w:highlight w:val="none"/>
        </w:rPr>
        <w:t>2.4 施工现场、施工条件和基础资料的提供</w:t>
      </w:r>
    </w:p>
    <w:p w14:paraId="3704E3DF">
      <w:pPr>
        <w:spacing w:line="360" w:lineRule="auto"/>
        <w:ind w:firstLine="480" w:firstLineChars="200"/>
        <w:rPr>
          <w:rFonts w:ascii="宋体" w:hAnsi="宋体"/>
          <w:color w:val="auto"/>
          <w:sz w:val="24"/>
          <w:highlight w:val="none"/>
        </w:rPr>
      </w:pPr>
      <w:r>
        <w:rPr>
          <w:rFonts w:ascii="宋体" w:hAnsi="宋体"/>
          <w:color w:val="auto"/>
          <w:sz w:val="24"/>
          <w:highlight w:val="none"/>
        </w:rPr>
        <w:t>2.4.1 提供施工现场</w:t>
      </w:r>
    </w:p>
    <w:p w14:paraId="2C373FB6">
      <w:pPr>
        <w:spacing w:line="360" w:lineRule="auto"/>
        <w:ind w:firstLine="480" w:firstLineChars="200"/>
        <w:rPr>
          <w:rFonts w:ascii="宋体" w:hAnsi="宋体"/>
          <w:color w:val="auto"/>
          <w:sz w:val="24"/>
          <w:highlight w:val="none"/>
        </w:rPr>
      </w:pPr>
      <w:r>
        <w:rPr>
          <w:rFonts w:ascii="宋体" w:hAnsi="宋体"/>
          <w:color w:val="auto"/>
          <w:sz w:val="24"/>
          <w:highlight w:val="none"/>
        </w:rPr>
        <w:t>关于发包人移交施工现场的期限要求：</w:t>
      </w:r>
      <w:r>
        <w:rPr>
          <w:rFonts w:ascii="宋体" w:hAnsi="宋体"/>
          <w:b/>
          <w:color w:val="auto"/>
          <w:sz w:val="24"/>
          <w:highlight w:val="none"/>
          <w:u w:val="single"/>
        </w:rPr>
        <w:t>施工合同签署后3日历天内移交，最迟于开工日期3天前向承包人移交施工现场</w:t>
      </w:r>
      <w:r>
        <w:rPr>
          <w:rFonts w:ascii="宋体" w:hAnsi="宋体"/>
          <w:color w:val="auto"/>
          <w:sz w:val="24"/>
          <w:highlight w:val="none"/>
        </w:rPr>
        <w:t>。</w:t>
      </w:r>
    </w:p>
    <w:p w14:paraId="44BDA7E8">
      <w:pPr>
        <w:spacing w:line="360" w:lineRule="auto"/>
        <w:ind w:firstLine="480" w:firstLineChars="200"/>
        <w:rPr>
          <w:rFonts w:ascii="宋体" w:hAnsi="宋体"/>
          <w:color w:val="auto"/>
          <w:sz w:val="24"/>
          <w:highlight w:val="none"/>
        </w:rPr>
      </w:pPr>
      <w:r>
        <w:rPr>
          <w:rFonts w:ascii="宋体" w:hAnsi="宋体"/>
          <w:color w:val="auto"/>
          <w:sz w:val="24"/>
          <w:highlight w:val="none"/>
        </w:rPr>
        <w:t>2.4.2 提供施工条件</w:t>
      </w:r>
    </w:p>
    <w:p w14:paraId="64A950D3">
      <w:pPr>
        <w:spacing w:line="360" w:lineRule="auto"/>
        <w:ind w:firstLine="480" w:firstLineChars="200"/>
        <w:rPr>
          <w:rFonts w:ascii="宋体" w:hAnsi="宋体"/>
          <w:color w:val="auto"/>
          <w:sz w:val="24"/>
          <w:highlight w:val="none"/>
        </w:rPr>
      </w:pPr>
      <w:r>
        <w:rPr>
          <w:rFonts w:ascii="宋体" w:hAnsi="宋体"/>
          <w:color w:val="auto"/>
          <w:sz w:val="24"/>
          <w:highlight w:val="none"/>
        </w:rPr>
        <w:t>关于发包人应负责提供施工所需要的条件，包括：</w:t>
      </w:r>
    </w:p>
    <w:p w14:paraId="03AD3DD0">
      <w:pPr>
        <w:numPr>
          <w:ilvl w:val="0"/>
          <w:numId w:val="5"/>
        </w:numPr>
        <w:autoSpaceDE w:val="0"/>
        <w:autoSpaceDN w:val="0"/>
        <w:spacing w:line="360" w:lineRule="auto"/>
        <w:ind w:firstLine="482" w:firstLineChars="200"/>
        <w:jc w:val="left"/>
        <w:rPr>
          <w:rFonts w:ascii="宋体" w:hAnsi="宋体"/>
          <w:b/>
          <w:color w:val="auto"/>
          <w:sz w:val="24"/>
          <w:highlight w:val="none"/>
          <w:u w:val="single"/>
        </w:rPr>
      </w:pPr>
      <w:r>
        <w:rPr>
          <w:rFonts w:ascii="宋体" w:hAnsi="宋体"/>
          <w:b/>
          <w:color w:val="auto"/>
          <w:sz w:val="24"/>
          <w:highlight w:val="none"/>
          <w:u w:val="single"/>
        </w:rPr>
        <w:t>水、电、通讯条件：施工现场水电安装费、驳接费及施工用水用电费用由承包人自行承担；电讯由承包人自行解决，所产生的费用自理。承包人应自行考虑并解决，如驳接距离远而产生的用电损耗、地方政府限电断电等类似情况的发生，采取相应措施（如自备发电设备或外部借电等）以保证施工的正常进行，上述相关费用均计入项目措施费中，中标后不再作调整。</w:t>
      </w:r>
    </w:p>
    <w:p w14:paraId="29640D89">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（2）交通条件：现已开通，公共道路与施工场地的连接通道由承包人自行对接，并承担相关费用，中标后不再作调整。承包人还应遵守杭州市交通管理部门限制通行的有关规定。</w:t>
      </w:r>
    </w:p>
    <w:p w14:paraId="0DF985AB">
      <w:pPr>
        <w:spacing w:line="360" w:lineRule="auto"/>
        <w:ind w:firstLine="482" w:firstLineChars="200"/>
        <w:rPr>
          <w:rFonts w:ascii="宋体" w:hAnsi="宋体"/>
          <w:b/>
          <w:color w:val="auto"/>
          <w:sz w:val="24"/>
          <w:highlight w:val="none"/>
        </w:rPr>
      </w:pPr>
      <w:r>
        <w:rPr>
          <w:rFonts w:ascii="宋体" w:hAnsi="宋体"/>
          <w:b/>
          <w:color w:val="auto"/>
          <w:sz w:val="24"/>
          <w:highlight w:val="none"/>
          <w:u w:val="single"/>
        </w:rPr>
        <w:t>（3）图纸会审和设计交底时间:开工日3天前，由发包人组织设计人、承包人、监理人进行图纸会审，设计人向承包人进行设计交底</w:t>
      </w:r>
      <w:r>
        <w:rPr>
          <w:rFonts w:ascii="宋体" w:hAnsi="宋体"/>
          <w:color w:val="auto"/>
          <w:sz w:val="24"/>
          <w:highlight w:val="none"/>
        </w:rPr>
        <w:t>。</w:t>
      </w:r>
    </w:p>
    <w:p w14:paraId="63F6CFF0">
      <w:pPr>
        <w:spacing w:line="360" w:lineRule="auto"/>
        <w:ind w:firstLine="480" w:firstLineChars="200"/>
        <w:rPr>
          <w:rFonts w:ascii="宋体" w:hAnsi="宋体"/>
          <w:color w:val="auto"/>
          <w:sz w:val="24"/>
          <w:highlight w:val="none"/>
        </w:rPr>
      </w:pPr>
      <w:r>
        <w:rPr>
          <w:rFonts w:ascii="宋体" w:hAnsi="宋体"/>
          <w:color w:val="auto"/>
          <w:sz w:val="24"/>
          <w:highlight w:val="none"/>
        </w:rPr>
        <w:t>2.5 资金来源证明及支付担保</w:t>
      </w:r>
    </w:p>
    <w:p w14:paraId="179D0CD5">
      <w:pPr>
        <w:spacing w:line="360" w:lineRule="auto"/>
        <w:ind w:firstLine="480" w:firstLineChars="200"/>
        <w:rPr>
          <w:rFonts w:ascii="宋体" w:hAnsi="宋体"/>
          <w:color w:val="auto"/>
          <w:sz w:val="24"/>
          <w:highlight w:val="none"/>
        </w:rPr>
      </w:pPr>
      <w:r>
        <w:rPr>
          <w:rFonts w:ascii="宋体" w:hAnsi="宋体"/>
          <w:color w:val="auto"/>
          <w:sz w:val="24"/>
          <w:highlight w:val="none"/>
        </w:rPr>
        <w:t>发包人提供资金来源证明的期限要求：</w:t>
      </w:r>
      <w:r>
        <w:rPr>
          <w:rFonts w:ascii="宋体" w:hAnsi="宋体"/>
          <w:b/>
          <w:color w:val="auto"/>
          <w:sz w:val="24"/>
          <w:highlight w:val="none"/>
          <w:u w:val="single"/>
        </w:rPr>
        <w:t>按通用条款约定</w:t>
      </w:r>
      <w:r>
        <w:rPr>
          <w:rFonts w:ascii="宋体" w:hAnsi="宋体"/>
          <w:color w:val="auto"/>
          <w:sz w:val="24"/>
          <w:highlight w:val="none"/>
        </w:rPr>
        <w:t>。</w:t>
      </w:r>
    </w:p>
    <w:p w14:paraId="298C2119">
      <w:pPr>
        <w:spacing w:line="360" w:lineRule="auto"/>
        <w:ind w:firstLine="480" w:firstLineChars="200"/>
        <w:rPr>
          <w:rFonts w:ascii="宋体" w:hAnsi="宋体"/>
          <w:color w:val="auto"/>
          <w:sz w:val="24"/>
          <w:highlight w:val="none"/>
        </w:rPr>
      </w:pPr>
      <w:r>
        <w:rPr>
          <w:rFonts w:ascii="宋体" w:hAnsi="宋体"/>
          <w:color w:val="auto"/>
          <w:sz w:val="24"/>
          <w:highlight w:val="none"/>
        </w:rPr>
        <w:t>发包人是否提供支付担保：</w:t>
      </w:r>
      <w:r>
        <w:rPr>
          <w:rFonts w:ascii="宋体" w:hAnsi="宋体"/>
          <w:b/>
          <w:color w:val="auto"/>
          <w:sz w:val="24"/>
          <w:highlight w:val="none"/>
          <w:u w:val="single"/>
        </w:rPr>
        <w:t xml:space="preserve">  </w:t>
      </w:r>
      <w:r>
        <w:rPr>
          <w:rFonts w:hint="eastAsia" w:ascii="宋体" w:hAnsi="宋体"/>
          <w:b/>
          <w:color w:val="auto"/>
          <w:sz w:val="24"/>
          <w:highlight w:val="none"/>
          <w:u w:val="single"/>
        </w:rPr>
        <w:t xml:space="preserve">否 </w:t>
      </w:r>
      <w:r>
        <w:rPr>
          <w:rFonts w:ascii="宋体" w:hAnsi="宋体"/>
          <w:color w:val="auto"/>
          <w:sz w:val="24"/>
          <w:highlight w:val="none"/>
        </w:rPr>
        <w:t>。</w:t>
      </w:r>
    </w:p>
    <w:p w14:paraId="4A105D2C">
      <w:pPr>
        <w:spacing w:line="240" w:lineRule="auto"/>
        <w:ind w:firstLine="480" w:firstLineChars="200"/>
        <w:rPr>
          <w:rFonts w:ascii="宋体" w:hAnsi="宋体"/>
          <w:color w:val="auto"/>
          <w:sz w:val="24"/>
          <w:highlight w:val="none"/>
          <w:u w:val="single"/>
        </w:rPr>
      </w:pPr>
      <w:r>
        <w:rPr>
          <w:rFonts w:ascii="宋体" w:hAnsi="宋体"/>
          <w:color w:val="auto"/>
          <w:sz w:val="24"/>
          <w:highlight w:val="none"/>
        </w:rPr>
        <w:t>发包人提供支付担保的形式：</w:t>
      </w:r>
      <w:r>
        <w:rPr>
          <w:rFonts w:hint="eastAsia" w:ascii="宋体" w:hAnsi="宋体"/>
          <w:color w:val="auto"/>
          <w:sz w:val="24"/>
          <w:highlight w:val="none"/>
          <w:u w:val="single"/>
        </w:rPr>
        <w:t xml:space="preserve">     </w:t>
      </w:r>
      <w:r>
        <w:rPr>
          <w:rFonts w:ascii="宋体" w:hAnsi="宋体"/>
          <w:b/>
          <w:color w:val="auto"/>
          <w:sz w:val="24"/>
          <w:highlight w:val="none"/>
          <w:u w:val="single"/>
        </w:rPr>
        <w:t>/</w:t>
      </w:r>
      <w:r>
        <w:rPr>
          <w:rFonts w:hint="eastAsia" w:ascii="宋体" w:hAnsi="宋体"/>
          <w:b/>
          <w:color w:val="auto"/>
          <w:sz w:val="24"/>
          <w:highlight w:val="none"/>
          <w:u w:val="single"/>
        </w:rPr>
        <w:t xml:space="preserve">    </w:t>
      </w:r>
      <w:r>
        <w:rPr>
          <w:rFonts w:ascii="宋体" w:hAnsi="宋体"/>
          <w:color w:val="auto"/>
          <w:sz w:val="24"/>
          <w:highlight w:val="none"/>
        </w:rPr>
        <w:t>。</w:t>
      </w:r>
    </w:p>
    <w:p w14:paraId="6C5B7C7C">
      <w:pPr>
        <w:pStyle w:val="6"/>
        <w:spacing w:line="240" w:lineRule="auto"/>
        <w:ind w:left="0" w:firstLine="482" w:firstLineChars="200"/>
        <w:rPr>
          <w:rFonts w:ascii="宋体" w:hAnsi="宋体" w:eastAsia="宋体" w:cs="宋体"/>
          <w:bCs w:val="0"/>
          <w:color w:val="auto"/>
          <w:sz w:val="24"/>
          <w:szCs w:val="24"/>
          <w:highlight w:val="none"/>
        </w:rPr>
      </w:pPr>
      <w:r>
        <w:rPr>
          <w:rFonts w:ascii="宋体" w:hAnsi="宋体" w:eastAsia="宋体" w:cs="宋体"/>
          <w:bCs w:val="0"/>
          <w:color w:val="auto"/>
          <w:sz w:val="24"/>
          <w:szCs w:val="24"/>
          <w:highlight w:val="none"/>
        </w:rPr>
        <w:t>3. 承包人</w:t>
      </w:r>
    </w:p>
    <w:p w14:paraId="1BA98DF2">
      <w:pPr>
        <w:spacing w:line="360" w:lineRule="auto"/>
        <w:ind w:firstLine="480" w:firstLineChars="200"/>
        <w:rPr>
          <w:rFonts w:ascii="宋体" w:hAnsi="宋体"/>
          <w:color w:val="auto"/>
          <w:sz w:val="24"/>
          <w:highlight w:val="none"/>
        </w:rPr>
      </w:pPr>
      <w:r>
        <w:rPr>
          <w:rFonts w:ascii="宋体" w:hAnsi="宋体"/>
          <w:color w:val="auto"/>
          <w:sz w:val="24"/>
          <w:highlight w:val="none"/>
        </w:rPr>
        <w:t>3.1 承包人的一般义务</w:t>
      </w:r>
    </w:p>
    <w:p w14:paraId="313A91E2">
      <w:pPr>
        <w:spacing w:line="360" w:lineRule="auto"/>
        <w:ind w:firstLine="480" w:firstLineChars="200"/>
        <w:rPr>
          <w:rFonts w:ascii="宋体" w:hAnsi="宋体"/>
          <w:color w:val="auto"/>
          <w:sz w:val="24"/>
          <w:highlight w:val="none"/>
        </w:rPr>
      </w:pPr>
      <w:r>
        <w:rPr>
          <w:rFonts w:ascii="宋体" w:hAnsi="宋体"/>
          <w:color w:val="auto"/>
          <w:sz w:val="24"/>
          <w:highlight w:val="none"/>
        </w:rPr>
        <w:t>承包人提交的竣工资料的内容：</w:t>
      </w:r>
      <w:r>
        <w:rPr>
          <w:rFonts w:ascii="宋体" w:hAnsi="宋体"/>
          <w:b/>
          <w:color w:val="auto"/>
          <w:sz w:val="24"/>
          <w:highlight w:val="none"/>
          <w:u w:val="single"/>
        </w:rPr>
        <w:t>按GB/T 50328—2014、JGJ／T185-2009、杭建办发〔2013〕153 号及杭州市城建档案馆资料归档要求</w:t>
      </w:r>
      <w:r>
        <w:rPr>
          <w:rFonts w:ascii="宋体" w:hAnsi="宋体"/>
          <w:color w:val="auto"/>
          <w:sz w:val="24"/>
          <w:highlight w:val="none"/>
        </w:rPr>
        <w:t>。</w:t>
      </w:r>
    </w:p>
    <w:p w14:paraId="1201E806">
      <w:pPr>
        <w:spacing w:line="360" w:lineRule="auto"/>
        <w:ind w:firstLine="480" w:firstLineChars="200"/>
        <w:rPr>
          <w:rFonts w:ascii="宋体" w:hAnsi="宋体"/>
          <w:b/>
          <w:color w:val="auto"/>
          <w:sz w:val="24"/>
          <w:highlight w:val="none"/>
          <w:u w:val="single"/>
        </w:rPr>
      </w:pPr>
      <w:r>
        <w:rPr>
          <w:rFonts w:ascii="宋体" w:hAnsi="宋体"/>
          <w:color w:val="auto"/>
          <w:sz w:val="24"/>
          <w:highlight w:val="none"/>
        </w:rPr>
        <w:t>承包人需要提交的竣工资料套数：</w:t>
      </w:r>
      <w:r>
        <w:rPr>
          <w:rFonts w:ascii="宋体" w:hAnsi="宋体"/>
          <w:b/>
          <w:color w:val="auto"/>
          <w:sz w:val="24"/>
          <w:highlight w:val="none"/>
          <w:u w:val="single"/>
        </w:rPr>
        <w:t>一式四套，含工程施工过程的声像资料一套及电子版竣工图一套</w:t>
      </w:r>
      <w:r>
        <w:rPr>
          <w:rFonts w:ascii="宋体" w:hAnsi="宋体"/>
          <w:color w:val="auto"/>
          <w:sz w:val="24"/>
          <w:highlight w:val="none"/>
        </w:rPr>
        <w:t>。</w:t>
      </w:r>
    </w:p>
    <w:p w14:paraId="4EB23CD8">
      <w:pPr>
        <w:spacing w:line="360" w:lineRule="auto"/>
        <w:ind w:firstLine="480" w:firstLineChars="200"/>
        <w:rPr>
          <w:rFonts w:ascii="宋体" w:hAnsi="宋体"/>
          <w:color w:val="auto"/>
          <w:sz w:val="24"/>
          <w:highlight w:val="none"/>
        </w:rPr>
      </w:pPr>
      <w:r>
        <w:rPr>
          <w:rFonts w:ascii="宋体" w:hAnsi="宋体"/>
          <w:color w:val="auto"/>
          <w:sz w:val="24"/>
          <w:highlight w:val="none"/>
        </w:rPr>
        <w:t>承包人提交的竣工资料的费用承担：</w:t>
      </w:r>
      <w:r>
        <w:rPr>
          <w:rFonts w:ascii="宋体" w:hAnsi="宋体"/>
          <w:b/>
          <w:color w:val="auto"/>
          <w:sz w:val="24"/>
          <w:highlight w:val="none"/>
          <w:u w:val="single"/>
        </w:rPr>
        <w:t>全部由承包人承担（包括因竣工资料不符合招标人、监理、城建档案管及其他有关部门要求，而产生的资料整理和整改费用）</w:t>
      </w:r>
      <w:r>
        <w:rPr>
          <w:rFonts w:ascii="宋体" w:hAnsi="宋体"/>
          <w:color w:val="auto"/>
          <w:sz w:val="24"/>
          <w:highlight w:val="none"/>
        </w:rPr>
        <w:t>。</w:t>
      </w:r>
    </w:p>
    <w:p w14:paraId="239BA67A">
      <w:pPr>
        <w:spacing w:line="360" w:lineRule="auto"/>
        <w:ind w:firstLine="480" w:firstLineChars="200"/>
        <w:rPr>
          <w:rFonts w:ascii="宋体" w:hAnsi="宋体"/>
          <w:color w:val="auto"/>
          <w:sz w:val="24"/>
          <w:highlight w:val="none"/>
        </w:rPr>
      </w:pPr>
      <w:r>
        <w:rPr>
          <w:rFonts w:ascii="宋体" w:hAnsi="宋体"/>
          <w:color w:val="auto"/>
          <w:sz w:val="24"/>
          <w:highlight w:val="none"/>
        </w:rPr>
        <w:t>承包人提交的竣工资料移交时间：</w:t>
      </w:r>
      <w:r>
        <w:rPr>
          <w:rFonts w:ascii="宋体" w:hAnsi="宋体"/>
          <w:b/>
          <w:color w:val="auto"/>
          <w:sz w:val="24"/>
          <w:highlight w:val="none"/>
          <w:u w:val="single"/>
        </w:rPr>
        <w:t>工程竣工验收合格后30日历天内</w:t>
      </w:r>
      <w:r>
        <w:rPr>
          <w:rFonts w:ascii="宋体" w:hAnsi="宋体"/>
          <w:color w:val="auto"/>
          <w:sz w:val="24"/>
          <w:highlight w:val="none"/>
        </w:rPr>
        <w:t>。</w:t>
      </w:r>
    </w:p>
    <w:p w14:paraId="35436B05">
      <w:pPr>
        <w:spacing w:line="360" w:lineRule="auto"/>
        <w:ind w:firstLine="480" w:firstLineChars="200"/>
        <w:rPr>
          <w:rFonts w:ascii="宋体" w:hAnsi="宋体"/>
          <w:color w:val="auto"/>
          <w:sz w:val="24"/>
          <w:highlight w:val="none"/>
        </w:rPr>
      </w:pPr>
      <w:r>
        <w:rPr>
          <w:rFonts w:ascii="宋体" w:hAnsi="宋体"/>
          <w:color w:val="auto"/>
          <w:sz w:val="24"/>
          <w:highlight w:val="none"/>
        </w:rPr>
        <w:t>承包人提交的竣工资料形式要求：</w:t>
      </w:r>
      <w:r>
        <w:rPr>
          <w:rFonts w:ascii="宋体" w:hAnsi="宋体"/>
          <w:b/>
          <w:color w:val="auto"/>
          <w:sz w:val="24"/>
          <w:highlight w:val="none"/>
          <w:u w:val="single"/>
        </w:rPr>
        <w:t>按GB/T 50328—2014、JGJ／T185-2009、杭建办发〔2013〕153 号及杭州市城建档案馆资料归档要求</w:t>
      </w:r>
      <w:r>
        <w:rPr>
          <w:rFonts w:ascii="宋体" w:hAnsi="宋体"/>
          <w:color w:val="auto"/>
          <w:sz w:val="24"/>
          <w:highlight w:val="none"/>
        </w:rPr>
        <w:t>。</w:t>
      </w:r>
    </w:p>
    <w:p w14:paraId="341C2561">
      <w:pPr>
        <w:spacing w:line="360" w:lineRule="auto"/>
        <w:ind w:left="420" w:leftChars="200"/>
        <w:rPr>
          <w:rFonts w:ascii="宋体" w:hAnsi="宋体"/>
          <w:color w:val="auto"/>
          <w:sz w:val="24"/>
          <w:highlight w:val="none"/>
        </w:rPr>
      </w:pPr>
      <w:r>
        <w:rPr>
          <w:rFonts w:ascii="宋体" w:hAnsi="宋体"/>
          <w:color w:val="auto"/>
          <w:sz w:val="24"/>
          <w:highlight w:val="none"/>
        </w:rPr>
        <w:t>承包人应履行的其他义务：</w:t>
      </w:r>
    </w:p>
    <w:p w14:paraId="14A56DAA">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承包人应当在工程开工建设前，到项目所在地商业银行开设农民工工资专用账户，专项用于支付该工程建设项目农民工工资。</w:t>
      </w:r>
    </w:p>
    <w:p w14:paraId="0AA234D5">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承包人应建立实名制电子考勤系统，做好与杭州市智慧工地实名制管理应用系统以及全国建筑工人管理服务信息平台的数据对接工作。</w:t>
      </w:r>
    </w:p>
    <w:p w14:paraId="03DBFBB8">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承包人应及时向项目所在地保证金管理部门缴存农民工工资保证金，并做好分包单位农民工工资保证金缴存的查验工作。</w:t>
      </w:r>
    </w:p>
    <w:p w14:paraId="7F033C5C">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承包人应当在工程项目部配备劳资专管员，对分包单位劳动用工实施监督管理。实行分包单位农民工工资委托施工总承包单位代发制度。承包人应当按照与农民工依法约定的工资支付周期和具体支付日期支付工资，且每月至少向农民工足额支付一次工资。</w:t>
      </w:r>
    </w:p>
    <w:p w14:paraId="0FE6CFF5">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承包人应当在施工现场醒目位置设立维权信息告示牌，明示：（1）建设单位、施工总承包单位及所在项目部、分包单位、行业监管部门、劳资专管员等基本信息；（2）劳动用工相关法律法规、当地最低工资标准、工资支付日期等基本信息；（3）属地行业监管部门和劳动保障监察投诉举报电话、劳动争议调解仲裁申请渠道等信息。</w:t>
      </w:r>
    </w:p>
    <w:p w14:paraId="3F05935F">
      <w:pPr>
        <w:widowControl/>
        <w:shd w:val="clear" w:color="auto" w:fill="FFFFFF"/>
        <w:adjustRightInd/>
        <w:spacing w:line="360" w:lineRule="auto"/>
        <w:ind w:firstLine="420"/>
        <w:rPr>
          <w:rFonts w:ascii="宋体" w:hAnsi="宋体"/>
          <w:b/>
          <w:color w:val="auto"/>
          <w:sz w:val="24"/>
          <w:highlight w:val="none"/>
          <w:u w:val="single"/>
        </w:rPr>
      </w:pPr>
      <w:r>
        <w:rPr>
          <w:rFonts w:hint="eastAsia" w:ascii="宋体" w:hAnsi="宋体"/>
          <w:b/>
          <w:color w:val="auto"/>
          <w:sz w:val="24"/>
          <w:highlight w:val="none"/>
          <w:u w:val="single"/>
        </w:rPr>
        <w:t>承包人应规范建筑垃圾处置分包合同管理，建筑垃圾运输业务应当发包给本工程建筑垃圾处置证核准确定的运输单位。</w:t>
      </w:r>
    </w:p>
    <w:p w14:paraId="67D44314">
      <w:pPr>
        <w:widowControl/>
        <w:shd w:val="clear" w:color="auto" w:fill="FFFFFF"/>
        <w:adjustRightInd/>
        <w:spacing w:line="360" w:lineRule="auto"/>
        <w:ind w:firstLine="420"/>
        <w:rPr>
          <w:rFonts w:ascii="宋体" w:hAnsi="宋体"/>
          <w:b/>
          <w:color w:val="auto"/>
          <w:sz w:val="24"/>
          <w:highlight w:val="none"/>
          <w:u w:val="single"/>
        </w:rPr>
      </w:pPr>
      <w:r>
        <w:rPr>
          <w:rFonts w:hint="eastAsia" w:ascii="宋体" w:hAnsi="宋体"/>
          <w:b/>
          <w:color w:val="auto"/>
          <w:sz w:val="24"/>
          <w:highlight w:val="none"/>
          <w:u w:val="single"/>
        </w:rPr>
        <w:t>承包人负责根据施工合同约定和相关法律法规要求，编制工程建筑垃圾处置方案，向项目所在地城管部门进行备案，并在工地出入口做好公示及日常维护工作。</w:t>
      </w:r>
    </w:p>
    <w:p w14:paraId="7945139A">
      <w:pPr>
        <w:widowControl/>
        <w:shd w:val="clear" w:color="auto" w:fill="FFFFFF"/>
        <w:adjustRightInd/>
        <w:spacing w:line="360" w:lineRule="auto"/>
        <w:ind w:firstLine="420"/>
        <w:rPr>
          <w:rFonts w:ascii="宋体" w:hAnsi="宋体"/>
          <w:b/>
          <w:color w:val="auto"/>
          <w:sz w:val="24"/>
          <w:highlight w:val="none"/>
          <w:u w:val="single"/>
        </w:rPr>
      </w:pPr>
      <w:r>
        <w:rPr>
          <w:rFonts w:hint="eastAsia" w:ascii="宋体" w:hAnsi="宋体"/>
          <w:b/>
          <w:color w:val="auto"/>
          <w:sz w:val="24"/>
          <w:highlight w:val="none"/>
          <w:u w:val="single"/>
        </w:rPr>
        <w:t>承包人要加强建筑垃圾处置分包合同履约监管，严格核对建筑垃圾运输车辆，对不具备垃圾处置证、准运证、通行证的工程车辆，要及时清退。杜绝运输单位将建筑垃圾运输至非指定消纳场所，确保运输和处置规范。</w:t>
      </w:r>
    </w:p>
    <w:p w14:paraId="1ED52ECE">
      <w:pPr>
        <w:widowControl/>
        <w:shd w:val="clear" w:color="auto" w:fill="FFFFFF"/>
        <w:adjustRightInd/>
        <w:spacing w:line="360" w:lineRule="auto"/>
        <w:ind w:firstLine="420"/>
        <w:rPr>
          <w:rFonts w:ascii="宋体" w:hAnsi="宋体"/>
          <w:b/>
          <w:color w:val="auto"/>
          <w:sz w:val="24"/>
          <w:highlight w:val="none"/>
          <w:u w:val="single"/>
        </w:rPr>
      </w:pPr>
      <w:r>
        <w:rPr>
          <w:rFonts w:hint="eastAsia" w:ascii="宋体" w:hAnsi="宋体"/>
          <w:b/>
          <w:color w:val="auto"/>
          <w:sz w:val="24"/>
          <w:highlight w:val="none"/>
          <w:u w:val="single"/>
        </w:rPr>
        <w:t>承包人与运输、处置单位结算相关费用前应当查验接纳回执。</w:t>
      </w:r>
    </w:p>
    <w:p w14:paraId="28223494">
      <w:pPr>
        <w:spacing w:line="360" w:lineRule="auto"/>
        <w:ind w:left="420" w:leftChars="200"/>
        <w:rPr>
          <w:rFonts w:ascii="宋体" w:hAnsi="宋体"/>
          <w:b/>
          <w:color w:val="auto"/>
          <w:sz w:val="24"/>
          <w:highlight w:val="none"/>
          <w:u w:val="single"/>
        </w:rPr>
      </w:pPr>
      <w:r>
        <w:rPr>
          <w:rFonts w:ascii="宋体" w:hAnsi="宋体"/>
          <w:b/>
          <w:color w:val="auto"/>
          <w:sz w:val="24"/>
          <w:highlight w:val="none"/>
          <w:u w:val="single"/>
        </w:rPr>
        <w:t>同时按约定时间和要求，完成以下工作（费用列入投标总价）</w:t>
      </w:r>
    </w:p>
    <w:p w14:paraId="7A79E029">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1)承包人领取中标通知书后，需立即组织施工机械和人员进场，在最短的时间内（7天内进场）做好开工准备开始施工，如不能如期进场施工，造成工期的拖延，由此产生的经济损失，由承包人承担。</w:t>
      </w:r>
    </w:p>
    <w:p w14:paraId="5244F2D4">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2)承包人按政府建设主管部门规定办理各项开工准备工作，密切配合发包人办理相关许可证和质安监报监手续等。</w:t>
      </w:r>
    </w:p>
    <w:p w14:paraId="23790DCF">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3)承包人须自行解决由于施工原因造成的邻里纠纷，并承担相关费用。</w:t>
      </w:r>
    </w:p>
    <w:p w14:paraId="74DAB0BA">
      <w:pPr>
        <w:spacing w:line="360" w:lineRule="auto"/>
        <w:ind w:firstLine="482" w:firstLineChars="200"/>
        <w:rPr>
          <w:rFonts w:ascii="宋体" w:hAnsi="宋体"/>
          <w:color w:val="auto"/>
          <w:sz w:val="24"/>
          <w:highlight w:val="none"/>
        </w:rPr>
      </w:pPr>
      <w:r>
        <w:rPr>
          <w:rFonts w:ascii="宋体" w:hAnsi="宋体"/>
          <w:b/>
          <w:color w:val="auto"/>
          <w:sz w:val="24"/>
          <w:highlight w:val="none"/>
          <w:u w:val="single"/>
        </w:rPr>
        <w:t>4)协助发包人协调处理好施工过程中发生的其他相关问题</w:t>
      </w:r>
      <w:r>
        <w:rPr>
          <w:rFonts w:ascii="宋体" w:hAnsi="宋体"/>
          <w:color w:val="auto"/>
          <w:sz w:val="24"/>
          <w:highlight w:val="none"/>
        </w:rPr>
        <w:t>。</w:t>
      </w:r>
    </w:p>
    <w:p w14:paraId="56BF059F">
      <w:pPr>
        <w:spacing w:line="360" w:lineRule="auto"/>
        <w:ind w:firstLine="480" w:firstLineChars="200"/>
        <w:rPr>
          <w:rFonts w:ascii="宋体" w:hAnsi="宋体"/>
          <w:color w:val="auto"/>
          <w:sz w:val="24"/>
          <w:highlight w:val="none"/>
        </w:rPr>
      </w:pPr>
      <w:r>
        <w:rPr>
          <w:rFonts w:ascii="宋体" w:hAnsi="宋体"/>
          <w:color w:val="auto"/>
          <w:sz w:val="24"/>
          <w:highlight w:val="none"/>
        </w:rPr>
        <w:t>3.2 项目负责人</w:t>
      </w:r>
    </w:p>
    <w:p w14:paraId="1AC43512">
      <w:pPr>
        <w:spacing w:line="360" w:lineRule="auto"/>
        <w:ind w:firstLine="480" w:firstLineChars="200"/>
        <w:rPr>
          <w:rFonts w:ascii="宋体" w:hAnsi="宋体"/>
          <w:color w:val="auto"/>
          <w:sz w:val="24"/>
          <w:highlight w:val="none"/>
        </w:rPr>
      </w:pPr>
      <w:r>
        <w:rPr>
          <w:rFonts w:ascii="宋体" w:hAnsi="宋体"/>
          <w:color w:val="auto"/>
          <w:sz w:val="24"/>
          <w:highlight w:val="none"/>
        </w:rPr>
        <w:t>3.2.1 项目负责人：</w:t>
      </w:r>
    </w:p>
    <w:p w14:paraId="68E0974C">
      <w:pPr>
        <w:spacing w:line="360" w:lineRule="auto"/>
        <w:ind w:firstLine="480" w:firstLineChars="200"/>
        <w:rPr>
          <w:rFonts w:ascii="宋体" w:hAnsi="宋体"/>
          <w:color w:val="auto"/>
          <w:sz w:val="24"/>
          <w:highlight w:val="none"/>
        </w:rPr>
      </w:pPr>
      <w:r>
        <w:rPr>
          <w:rFonts w:ascii="宋体" w:hAnsi="宋体"/>
          <w:color w:val="auto"/>
          <w:sz w:val="24"/>
          <w:highlight w:val="none"/>
        </w:rPr>
        <w:t>姓    名：；</w:t>
      </w:r>
    </w:p>
    <w:p w14:paraId="5ABCD825">
      <w:pPr>
        <w:spacing w:line="360" w:lineRule="auto"/>
        <w:ind w:firstLine="480" w:firstLineChars="200"/>
        <w:rPr>
          <w:rFonts w:ascii="宋体" w:hAnsi="宋体"/>
          <w:color w:val="auto"/>
          <w:sz w:val="24"/>
          <w:highlight w:val="none"/>
        </w:rPr>
      </w:pPr>
      <w:r>
        <w:rPr>
          <w:rFonts w:ascii="宋体" w:hAnsi="宋体"/>
          <w:color w:val="auto"/>
          <w:sz w:val="24"/>
          <w:highlight w:val="none"/>
        </w:rPr>
        <w:t>身份证号：；</w:t>
      </w:r>
    </w:p>
    <w:p w14:paraId="731B5BF6">
      <w:pPr>
        <w:spacing w:line="360" w:lineRule="auto"/>
        <w:ind w:firstLine="480" w:firstLineChars="200"/>
        <w:rPr>
          <w:rFonts w:ascii="宋体" w:hAnsi="宋体"/>
          <w:color w:val="auto"/>
          <w:sz w:val="24"/>
          <w:highlight w:val="none"/>
        </w:rPr>
      </w:pPr>
      <w:r>
        <w:rPr>
          <w:rFonts w:ascii="宋体" w:hAnsi="宋体"/>
          <w:color w:val="auto"/>
          <w:sz w:val="24"/>
          <w:highlight w:val="none"/>
        </w:rPr>
        <w:t>建造师执业资格等级：；</w:t>
      </w:r>
    </w:p>
    <w:p w14:paraId="6BA671F1">
      <w:pPr>
        <w:spacing w:line="360" w:lineRule="auto"/>
        <w:ind w:firstLine="480" w:firstLineChars="200"/>
        <w:rPr>
          <w:rFonts w:ascii="宋体" w:hAnsi="宋体"/>
          <w:color w:val="auto"/>
          <w:sz w:val="24"/>
          <w:highlight w:val="none"/>
        </w:rPr>
      </w:pPr>
      <w:r>
        <w:rPr>
          <w:rFonts w:ascii="宋体" w:hAnsi="宋体"/>
          <w:color w:val="auto"/>
          <w:sz w:val="24"/>
          <w:highlight w:val="none"/>
        </w:rPr>
        <w:t>建造师注册证书号：；</w:t>
      </w:r>
    </w:p>
    <w:p w14:paraId="315E268E">
      <w:pPr>
        <w:spacing w:line="360" w:lineRule="auto"/>
        <w:ind w:firstLine="480" w:firstLineChars="200"/>
        <w:rPr>
          <w:rFonts w:ascii="宋体" w:hAnsi="宋体"/>
          <w:color w:val="auto"/>
          <w:sz w:val="24"/>
          <w:highlight w:val="none"/>
        </w:rPr>
      </w:pPr>
      <w:r>
        <w:rPr>
          <w:rFonts w:ascii="宋体" w:hAnsi="宋体"/>
          <w:color w:val="auto"/>
          <w:sz w:val="24"/>
          <w:highlight w:val="none"/>
        </w:rPr>
        <w:t>建造师执业印章号：；</w:t>
      </w:r>
    </w:p>
    <w:p w14:paraId="1EF012A5">
      <w:pPr>
        <w:spacing w:line="360" w:lineRule="auto"/>
        <w:ind w:firstLine="480" w:firstLineChars="200"/>
        <w:rPr>
          <w:rFonts w:ascii="宋体" w:hAnsi="宋体"/>
          <w:color w:val="auto"/>
          <w:sz w:val="24"/>
          <w:highlight w:val="none"/>
        </w:rPr>
      </w:pPr>
      <w:r>
        <w:rPr>
          <w:rFonts w:ascii="宋体" w:hAnsi="宋体"/>
          <w:color w:val="auto"/>
          <w:sz w:val="24"/>
          <w:highlight w:val="none"/>
        </w:rPr>
        <w:t>安全生产考核合格证书号：；</w:t>
      </w:r>
    </w:p>
    <w:p w14:paraId="5EDBB4E6">
      <w:pPr>
        <w:spacing w:line="360" w:lineRule="auto"/>
        <w:ind w:firstLine="480" w:firstLineChars="200"/>
        <w:rPr>
          <w:rFonts w:ascii="宋体" w:hAnsi="宋体"/>
          <w:color w:val="auto"/>
          <w:sz w:val="24"/>
          <w:highlight w:val="none"/>
        </w:rPr>
      </w:pPr>
      <w:r>
        <w:rPr>
          <w:rFonts w:ascii="宋体" w:hAnsi="宋体"/>
          <w:color w:val="auto"/>
          <w:sz w:val="24"/>
          <w:highlight w:val="none"/>
        </w:rPr>
        <w:t>联系电话：</w:t>
      </w:r>
      <w:r>
        <w:rPr>
          <w:rFonts w:ascii="宋体" w:hAnsi="宋体"/>
          <w:color w:val="auto"/>
          <w:sz w:val="24"/>
          <w:highlight w:val="none"/>
          <w:u w:val="single"/>
        </w:rPr>
        <w:t>         </w:t>
      </w:r>
      <w:r>
        <w:rPr>
          <w:rFonts w:ascii="宋体" w:hAnsi="宋体"/>
          <w:color w:val="auto"/>
          <w:sz w:val="24"/>
          <w:highlight w:val="none"/>
        </w:rPr>
        <w:t>；</w:t>
      </w:r>
    </w:p>
    <w:p w14:paraId="44C7DEA8">
      <w:pPr>
        <w:spacing w:line="360" w:lineRule="auto"/>
        <w:ind w:firstLine="480" w:firstLineChars="200"/>
        <w:rPr>
          <w:rFonts w:ascii="宋体" w:hAnsi="宋体"/>
          <w:color w:val="auto"/>
          <w:sz w:val="24"/>
          <w:highlight w:val="none"/>
        </w:rPr>
      </w:pPr>
      <w:r>
        <w:rPr>
          <w:rFonts w:ascii="宋体" w:hAnsi="宋体"/>
          <w:color w:val="auto"/>
          <w:sz w:val="24"/>
          <w:highlight w:val="none"/>
        </w:rPr>
        <w:t>电子信箱：</w:t>
      </w:r>
      <w:r>
        <w:rPr>
          <w:rFonts w:ascii="宋体" w:hAnsi="宋体"/>
          <w:color w:val="auto"/>
          <w:sz w:val="24"/>
          <w:highlight w:val="none"/>
          <w:u w:val="single"/>
        </w:rPr>
        <w:t>         </w:t>
      </w:r>
      <w:r>
        <w:rPr>
          <w:rFonts w:ascii="宋体" w:hAnsi="宋体"/>
          <w:color w:val="auto"/>
          <w:sz w:val="24"/>
          <w:highlight w:val="none"/>
        </w:rPr>
        <w:t>；</w:t>
      </w:r>
    </w:p>
    <w:p w14:paraId="3F8E4CFC">
      <w:pPr>
        <w:spacing w:line="360" w:lineRule="auto"/>
        <w:ind w:firstLine="480" w:firstLineChars="200"/>
        <w:rPr>
          <w:rFonts w:ascii="宋体" w:hAnsi="宋体"/>
          <w:color w:val="auto"/>
          <w:sz w:val="24"/>
          <w:highlight w:val="none"/>
        </w:rPr>
      </w:pPr>
      <w:r>
        <w:rPr>
          <w:rFonts w:ascii="宋体" w:hAnsi="宋体"/>
          <w:color w:val="auto"/>
          <w:sz w:val="24"/>
          <w:highlight w:val="none"/>
        </w:rPr>
        <w:t>通信地址：</w:t>
      </w:r>
      <w:r>
        <w:rPr>
          <w:rFonts w:ascii="宋体" w:hAnsi="宋体"/>
          <w:color w:val="auto"/>
          <w:sz w:val="24"/>
          <w:highlight w:val="none"/>
          <w:u w:val="single"/>
        </w:rPr>
        <w:t>         </w:t>
      </w:r>
      <w:r>
        <w:rPr>
          <w:rFonts w:ascii="宋体" w:hAnsi="宋体"/>
          <w:color w:val="auto"/>
          <w:sz w:val="24"/>
          <w:highlight w:val="none"/>
        </w:rPr>
        <w:t>；</w:t>
      </w:r>
    </w:p>
    <w:p w14:paraId="576E8861">
      <w:pPr>
        <w:spacing w:line="360" w:lineRule="auto"/>
        <w:ind w:firstLine="480" w:firstLineChars="200"/>
        <w:rPr>
          <w:rFonts w:ascii="宋体" w:hAnsi="宋体"/>
          <w:color w:val="auto"/>
          <w:sz w:val="24"/>
          <w:highlight w:val="none"/>
        </w:rPr>
      </w:pPr>
      <w:r>
        <w:rPr>
          <w:rFonts w:ascii="宋体" w:hAnsi="宋体"/>
          <w:color w:val="auto"/>
          <w:sz w:val="24"/>
          <w:highlight w:val="none"/>
        </w:rPr>
        <w:t>承包人对项目负责人的授权范围如下：</w:t>
      </w:r>
      <w:r>
        <w:rPr>
          <w:rFonts w:ascii="宋体" w:hAnsi="宋体"/>
          <w:b/>
          <w:color w:val="auto"/>
          <w:sz w:val="24"/>
          <w:highlight w:val="none"/>
          <w:u w:val="single"/>
        </w:rPr>
        <w:t>代表承包人全面负责本工程的质量、安全、工期及成本控制，做好本工程施工管理、协调和监督工作，行使并履行本合同明确约定或合理推定的工程师的全部权力和职责，受理与其相关的所有通知、指示、同意、批准、证书、决定及其通讯联络</w:t>
      </w:r>
      <w:r>
        <w:rPr>
          <w:rFonts w:ascii="宋体" w:hAnsi="宋体"/>
          <w:color w:val="auto"/>
          <w:sz w:val="24"/>
          <w:highlight w:val="none"/>
        </w:rPr>
        <w:t>。</w:t>
      </w:r>
    </w:p>
    <w:p w14:paraId="00537C78">
      <w:pPr>
        <w:spacing w:line="360" w:lineRule="auto"/>
        <w:ind w:firstLine="480" w:firstLineChars="200"/>
        <w:rPr>
          <w:rFonts w:ascii="宋体" w:hAnsi="宋体"/>
          <w:color w:val="auto"/>
          <w:sz w:val="24"/>
          <w:highlight w:val="none"/>
        </w:rPr>
      </w:pPr>
      <w:r>
        <w:rPr>
          <w:rFonts w:ascii="宋体" w:hAnsi="宋体"/>
          <w:color w:val="auto"/>
          <w:sz w:val="24"/>
          <w:highlight w:val="none"/>
        </w:rPr>
        <w:t>关于项目负责人每月在施工现场的时间要求：</w:t>
      </w:r>
      <w:r>
        <w:rPr>
          <w:rFonts w:ascii="宋体" w:hAnsi="宋体"/>
          <w:b/>
          <w:color w:val="auto"/>
          <w:sz w:val="24"/>
          <w:highlight w:val="none"/>
          <w:u w:val="single"/>
        </w:rPr>
        <w:t>项目负责人每月到位率为85%及以上（每月按26天，每天按8小时计），重要施工工序或环节时项目负责人等重要人员必须到场</w:t>
      </w:r>
      <w:r>
        <w:rPr>
          <w:rFonts w:ascii="宋体" w:hAnsi="宋体"/>
          <w:color w:val="auto"/>
          <w:sz w:val="24"/>
          <w:highlight w:val="none"/>
        </w:rPr>
        <w:t>。</w:t>
      </w:r>
    </w:p>
    <w:p w14:paraId="32EF43A0">
      <w:pPr>
        <w:spacing w:line="360" w:lineRule="auto"/>
        <w:ind w:firstLine="480" w:firstLineChars="200"/>
        <w:rPr>
          <w:rFonts w:ascii="宋体" w:hAnsi="宋体"/>
          <w:color w:val="auto"/>
          <w:sz w:val="24"/>
          <w:highlight w:val="none"/>
        </w:rPr>
      </w:pPr>
      <w:r>
        <w:rPr>
          <w:rFonts w:ascii="宋体" w:hAnsi="宋体"/>
          <w:color w:val="auto"/>
          <w:sz w:val="24"/>
          <w:highlight w:val="none"/>
        </w:rPr>
        <w:t>承包人未提交劳动合同，以及没有为项目负责人缴纳社会保险证明的违约责任：</w:t>
      </w:r>
      <w:r>
        <w:rPr>
          <w:rFonts w:ascii="宋体" w:hAnsi="宋体"/>
          <w:b/>
          <w:color w:val="auto"/>
          <w:sz w:val="24"/>
          <w:highlight w:val="none"/>
          <w:u w:val="single"/>
        </w:rPr>
        <w:t>发包人责令承包人立即改正，并扣减承包人2万元的违约金。上述违约金直接在工程款中扣除，最终以结算审定金额为准。由上述原因造成工程费用和工期增加的，均由承包人承担</w:t>
      </w:r>
      <w:r>
        <w:rPr>
          <w:rFonts w:ascii="宋体" w:hAnsi="宋体"/>
          <w:color w:val="auto"/>
          <w:sz w:val="24"/>
          <w:highlight w:val="none"/>
        </w:rPr>
        <w:t>。</w:t>
      </w:r>
    </w:p>
    <w:p w14:paraId="427A3F2D">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项目负责人未经批准，擅自离开施工现场的违约责任：</w:t>
      </w:r>
      <w:r>
        <w:rPr>
          <w:rFonts w:ascii="宋体" w:hAnsi="宋体"/>
          <w:b/>
          <w:color w:val="auto"/>
          <w:sz w:val="24"/>
          <w:highlight w:val="none"/>
          <w:u w:val="single"/>
        </w:rPr>
        <w:t>项目负责人按月到位率达不到合同约定比例的，扣减承包人2万元违约金。项目负责人无故缺席或迟到重要施工工序、环节、会议的，发包人有权视情节严重程度处以3000元/次的违约扣款，如因缺席迟到原因导致对相关重要内容不了解，其后果由承包人自负。上述所有违约金直接在当次工程款中扣除，最终以结算审定金额为准。由上述原因造成工程费用和工期增加的，均由承包人承担</w:t>
      </w:r>
      <w:r>
        <w:rPr>
          <w:rFonts w:ascii="宋体" w:hAnsi="宋体"/>
          <w:color w:val="auto"/>
          <w:sz w:val="24"/>
          <w:highlight w:val="none"/>
        </w:rPr>
        <w:t>。</w:t>
      </w:r>
    </w:p>
    <w:p w14:paraId="46129418">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3.2.3 承包人擅自更换项目负责人的违约责任：</w:t>
      </w:r>
    </w:p>
    <w:p w14:paraId="22A02348">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rPr>
        <w:t>（1）承包人确需更换项目负责人的，继任项目负责人注册执业资格、管理经验的约定：</w:t>
      </w:r>
      <w:r>
        <w:rPr>
          <w:rFonts w:ascii="宋体" w:hAnsi="宋体"/>
          <w:b/>
          <w:color w:val="auto"/>
          <w:sz w:val="24"/>
          <w:highlight w:val="none"/>
          <w:u w:val="single"/>
        </w:rPr>
        <w:t>不低于原项目负责人的注册执业资格、管理经验及技能水平</w:t>
      </w:r>
      <w:r>
        <w:rPr>
          <w:rFonts w:ascii="宋体" w:hAnsi="宋体"/>
          <w:b/>
          <w:color w:val="auto"/>
          <w:sz w:val="24"/>
          <w:highlight w:val="none"/>
        </w:rPr>
        <w:t>。</w:t>
      </w:r>
    </w:p>
    <w:p w14:paraId="46078A88">
      <w:pPr>
        <w:spacing w:line="360" w:lineRule="auto"/>
        <w:ind w:firstLine="480" w:firstLineChars="200"/>
        <w:rPr>
          <w:rFonts w:ascii="宋体" w:hAnsi="宋体"/>
          <w:color w:val="auto"/>
          <w:sz w:val="24"/>
          <w:highlight w:val="none"/>
        </w:rPr>
      </w:pPr>
      <w:r>
        <w:rPr>
          <w:rFonts w:ascii="宋体" w:hAnsi="宋体"/>
          <w:color w:val="auto"/>
          <w:sz w:val="24"/>
          <w:highlight w:val="none"/>
        </w:rPr>
        <w:t>（2）承包人擅自更换项目负责人的违约责任：</w:t>
      </w:r>
      <w:r>
        <w:rPr>
          <w:rFonts w:ascii="宋体" w:hAnsi="宋体"/>
          <w:b/>
          <w:color w:val="auto"/>
          <w:sz w:val="24"/>
          <w:highlight w:val="none"/>
          <w:u w:val="single"/>
        </w:rPr>
        <w:t>不允许承包人更换项目负责人，如因特殊情况确需更换项目负责人的，需报发包人、建设主管部门和招投标监督管理部门批准后，方可予以更换。承包人未按上述约定擅自更换项目负责人的视为承包人违约，并按 2万元/人/次扣减承包人违约金。上述违约金直接在当次工程款中扣除，最终以结算审定金额为准</w:t>
      </w:r>
      <w:r>
        <w:rPr>
          <w:rFonts w:ascii="宋体" w:hAnsi="宋体"/>
          <w:color w:val="auto"/>
          <w:sz w:val="24"/>
          <w:highlight w:val="none"/>
        </w:rPr>
        <w:t>。</w:t>
      </w:r>
    </w:p>
    <w:p w14:paraId="0E7487F1">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3.2.4 承包人无正当理由拒绝更换项目负责人的违约责任：</w:t>
      </w:r>
      <w:r>
        <w:rPr>
          <w:rFonts w:ascii="宋体" w:hAnsi="宋体"/>
          <w:b/>
          <w:color w:val="auto"/>
          <w:sz w:val="24"/>
          <w:highlight w:val="none"/>
          <w:u w:val="single"/>
        </w:rPr>
        <w:t>按 10000元/人/次</w:t>
      </w:r>
      <w:r>
        <w:rPr>
          <w:rFonts w:hint="eastAsia" w:ascii="宋体" w:hAnsi="宋体"/>
          <w:b/>
          <w:color w:val="auto"/>
          <w:sz w:val="24"/>
          <w:highlight w:val="none"/>
          <w:u w:val="single"/>
        </w:rPr>
        <w:t>承担</w:t>
      </w:r>
      <w:r>
        <w:rPr>
          <w:rFonts w:ascii="宋体" w:hAnsi="宋体"/>
          <w:b/>
          <w:color w:val="auto"/>
          <w:sz w:val="24"/>
          <w:highlight w:val="none"/>
          <w:u w:val="single"/>
        </w:rPr>
        <w:t>违约金，上述违约金直接在当次工程款中扣除，最终以结算审定金额为准</w:t>
      </w:r>
      <w:r>
        <w:rPr>
          <w:rFonts w:ascii="宋体" w:hAnsi="宋体"/>
          <w:color w:val="auto"/>
          <w:sz w:val="24"/>
          <w:highlight w:val="none"/>
        </w:rPr>
        <w:t>。</w:t>
      </w:r>
    </w:p>
    <w:p w14:paraId="7B539EA1">
      <w:pPr>
        <w:spacing w:line="360" w:lineRule="auto"/>
        <w:ind w:firstLine="480" w:firstLineChars="200"/>
        <w:rPr>
          <w:rFonts w:ascii="宋体" w:hAnsi="宋体"/>
          <w:color w:val="auto"/>
          <w:sz w:val="24"/>
          <w:highlight w:val="none"/>
        </w:rPr>
      </w:pPr>
      <w:r>
        <w:rPr>
          <w:rFonts w:ascii="宋体" w:hAnsi="宋体"/>
          <w:color w:val="auto"/>
          <w:sz w:val="24"/>
          <w:highlight w:val="none"/>
        </w:rPr>
        <w:t>3.3 承包人人员</w:t>
      </w:r>
    </w:p>
    <w:p w14:paraId="30A63F85">
      <w:pPr>
        <w:spacing w:line="360" w:lineRule="auto"/>
        <w:ind w:firstLine="480" w:firstLineChars="200"/>
        <w:rPr>
          <w:rFonts w:ascii="宋体" w:hAnsi="宋体"/>
          <w:color w:val="auto"/>
          <w:sz w:val="24"/>
          <w:highlight w:val="none"/>
        </w:rPr>
      </w:pPr>
      <w:r>
        <w:rPr>
          <w:rFonts w:ascii="宋体" w:hAnsi="宋体"/>
          <w:color w:val="auto"/>
          <w:sz w:val="24"/>
          <w:highlight w:val="none"/>
        </w:rPr>
        <w:t>3.3.1 承包人提交项目管理机构及施工现场管理人员安排报告的期限：</w:t>
      </w:r>
      <w:r>
        <w:rPr>
          <w:rFonts w:ascii="宋体" w:hAnsi="宋体"/>
          <w:b/>
          <w:color w:val="auto"/>
          <w:sz w:val="24"/>
          <w:highlight w:val="none"/>
          <w:u w:val="single"/>
        </w:rPr>
        <w:t>承包人应在施工合同签署后7日历天内按合同文件（投标承诺）提供项目管理机构及施工现场管理人员安排报告。承包人实际到位的主要管理人员与合同文件（投标承诺）不一致时，发包人有权</w:t>
      </w:r>
      <w:r>
        <w:rPr>
          <w:rFonts w:hint="eastAsia" w:ascii="宋体" w:hAnsi="宋体"/>
          <w:b/>
          <w:color w:val="auto"/>
          <w:sz w:val="24"/>
          <w:highlight w:val="none"/>
          <w:u w:val="single"/>
        </w:rPr>
        <w:t>要求承包方承担</w:t>
      </w:r>
      <w:r>
        <w:rPr>
          <w:rFonts w:ascii="宋体" w:hAnsi="宋体"/>
          <w:b/>
          <w:color w:val="auto"/>
          <w:sz w:val="24"/>
          <w:highlight w:val="none"/>
          <w:u w:val="single"/>
        </w:rPr>
        <w:t>2万元的违约</w:t>
      </w:r>
      <w:r>
        <w:rPr>
          <w:rFonts w:hint="eastAsia" w:ascii="宋体" w:hAnsi="宋体"/>
          <w:b/>
          <w:color w:val="auto"/>
          <w:sz w:val="24"/>
          <w:highlight w:val="none"/>
          <w:u w:val="single"/>
        </w:rPr>
        <w:t>金</w:t>
      </w:r>
      <w:r>
        <w:rPr>
          <w:rFonts w:ascii="宋体" w:hAnsi="宋体"/>
          <w:b/>
          <w:color w:val="auto"/>
          <w:sz w:val="24"/>
          <w:highlight w:val="none"/>
          <w:u w:val="single"/>
        </w:rPr>
        <w:t>，若确需调换部分人员的，必须征得发包人的书面认同；若未经同意擅自调换，发包人有权终止合同并追究其违约责任</w:t>
      </w:r>
      <w:r>
        <w:rPr>
          <w:rFonts w:ascii="宋体" w:hAnsi="宋体"/>
          <w:color w:val="auto"/>
          <w:sz w:val="24"/>
          <w:highlight w:val="none"/>
        </w:rPr>
        <w:t>。</w:t>
      </w:r>
    </w:p>
    <w:p w14:paraId="4373A494">
      <w:pPr>
        <w:spacing w:line="360" w:lineRule="auto"/>
        <w:ind w:firstLine="482" w:firstLineChars="200"/>
        <w:rPr>
          <w:rFonts w:ascii="宋体" w:hAnsi="宋体"/>
          <w:b/>
          <w:color w:val="auto"/>
          <w:sz w:val="24"/>
          <w:highlight w:val="none"/>
        </w:rPr>
      </w:pPr>
      <w:r>
        <w:rPr>
          <w:rFonts w:ascii="宋体" w:hAnsi="宋体"/>
          <w:b/>
          <w:color w:val="auto"/>
          <w:sz w:val="24"/>
          <w:highlight w:val="none"/>
        </w:rPr>
        <w:t>3.3.2 承包人需更换主要施工管理人员的，继任人员的数量、注册执业资格、管理经验的约定：</w:t>
      </w:r>
      <w:r>
        <w:rPr>
          <w:rFonts w:ascii="宋体" w:hAnsi="宋体"/>
          <w:b/>
          <w:color w:val="auto"/>
          <w:sz w:val="24"/>
          <w:highlight w:val="none"/>
          <w:u w:val="single"/>
        </w:rPr>
        <w:t>不得低于原主要施工管理人员的注册执业资格、管理经验及技能水平</w:t>
      </w:r>
      <w:r>
        <w:rPr>
          <w:rFonts w:ascii="宋体" w:hAnsi="宋体"/>
          <w:b/>
          <w:color w:val="auto"/>
          <w:sz w:val="24"/>
          <w:highlight w:val="none"/>
        </w:rPr>
        <w:t>。</w:t>
      </w:r>
    </w:p>
    <w:p w14:paraId="7B1CCD6A">
      <w:pPr>
        <w:spacing w:line="360" w:lineRule="auto"/>
        <w:ind w:firstLine="480" w:firstLineChars="200"/>
        <w:rPr>
          <w:rFonts w:ascii="宋体" w:hAnsi="宋体"/>
          <w:b/>
          <w:color w:val="auto"/>
          <w:sz w:val="24"/>
          <w:highlight w:val="none"/>
          <w:u w:val="single"/>
        </w:rPr>
      </w:pPr>
      <w:r>
        <w:rPr>
          <w:rFonts w:ascii="宋体" w:hAnsi="宋体"/>
          <w:color w:val="auto"/>
          <w:sz w:val="24"/>
          <w:highlight w:val="none"/>
        </w:rPr>
        <w:t>3.3.3 承包人无正当理由拒绝撤换主要施工管理人员的违约责任：</w:t>
      </w:r>
      <w:r>
        <w:rPr>
          <w:rFonts w:ascii="宋体" w:hAnsi="宋体"/>
          <w:b/>
          <w:color w:val="auto"/>
          <w:sz w:val="24"/>
          <w:highlight w:val="none"/>
          <w:u w:val="single"/>
        </w:rPr>
        <w:t>承包人以下人员，经监理提出，发包人同意，必须在3天内调离本工程范围，否</w:t>
      </w:r>
      <w:r>
        <w:rPr>
          <w:rFonts w:hint="eastAsia" w:ascii="宋体" w:hAnsi="宋体"/>
          <w:b/>
          <w:color w:val="auto"/>
          <w:sz w:val="24"/>
          <w:highlight w:val="none"/>
          <w:u w:val="single"/>
        </w:rPr>
        <w:t>则承包人应</w:t>
      </w:r>
      <w:r>
        <w:rPr>
          <w:rFonts w:ascii="宋体" w:hAnsi="宋体"/>
          <w:b/>
          <w:color w:val="auto"/>
          <w:sz w:val="24"/>
          <w:highlight w:val="none"/>
          <w:u w:val="single"/>
        </w:rPr>
        <w:t>按10000元/人/次</w:t>
      </w:r>
      <w:r>
        <w:rPr>
          <w:rFonts w:hint="eastAsia" w:ascii="宋体" w:hAnsi="宋体"/>
          <w:b/>
          <w:color w:val="auto"/>
          <w:sz w:val="24"/>
          <w:highlight w:val="none"/>
          <w:u w:val="single"/>
        </w:rPr>
        <w:t>承担</w:t>
      </w:r>
      <w:r>
        <w:rPr>
          <w:rFonts w:ascii="宋体" w:hAnsi="宋体"/>
          <w:b/>
          <w:color w:val="auto"/>
          <w:sz w:val="24"/>
          <w:highlight w:val="none"/>
          <w:u w:val="single"/>
        </w:rPr>
        <w:t>违约金；同时，承包人应在3天内用发包人批准的合格的人员代替上述调离的人员。上述违约金直接在当次工程款中扣除，最终以结算审定金额为准。</w:t>
      </w:r>
    </w:p>
    <w:p w14:paraId="7F69892D">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发包人有证据确认无法胜任的工作者，包括：</w:t>
      </w:r>
    </w:p>
    <w:p w14:paraId="4B5B0418">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a.对分部分项工程施工进度及施工质量达不到合同要求负有责任的施工人员、不熟悉本专业工作的施工人员等；</w:t>
      </w:r>
    </w:p>
    <w:p w14:paraId="191BF772">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b.不能积极配合监理及发包人正常工作者；</w:t>
      </w:r>
    </w:p>
    <w:p w14:paraId="6512BF90">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c.违反发包方或承包人工地现场管理规定者；</w:t>
      </w:r>
    </w:p>
    <w:p w14:paraId="182674C1">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d.无证上岗者（适用于按规定必须有上岗证）；</w:t>
      </w:r>
    </w:p>
    <w:p w14:paraId="18EE417E">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e.与本合同规定名册不符者；</w:t>
      </w:r>
    </w:p>
    <w:p w14:paraId="2E955E86">
      <w:pPr>
        <w:spacing w:line="360" w:lineRule="auto"/>
        <w:ind w:firstLine="482" w:firstLineChars="200"/>
        <w:rPr>
          <w:rFonts w:ascii="宋体" w:hAnsi="宋体"/>
          <w:color w:val="auto"/>
          <w:sz w:val="24"/>
          <w:highlight w:val="none"/>
        </w:rPr>
      </w:pPr>
      <w:r>
        <w:rPr>
          <w:rFonts w:ascii="宋体" w:hAnsi="宋体"/>
          <w:b/>
          <w:color w:val="auto"/>
          <w:sz w:val="24"/>
          <w:highlight w:val="none"/>
          <w:u w:val="single"/>
        </w:rPr>
        <w:t>f.与本工程施工无关的人员</w:t>
      </w:r>
      <w:r>
        <w:rPr>
          <w:rFonts w:ascii="宋体" w:hAnsi="宋体"/>
          <w:color w:val="auto"/>
          <w:sz w:val="24"/>
          <w:highlight w:val="none"/>
        </w:rPr>
        <w:t>。</w:t>
      </w:r>
    </w:p>
    <w:p w14:paraId="2F3F0DDE">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3.3.4 承包人主要施工管理人员离开施工现场的批准要求：</w:t>
      </w:r>
      <w:r>
        <w:rPr>
          <w:rFonts w:ascii="宋体" w:hAnsi="宋体"/>
          <w:b/>
          <w:color w:val="auto"/>
          <w:sz w:val="24"/>
          <w:highlight w:val="none"/>
          <w:u w:val="single"/>
        </w:rPr>
        <w:t>主要施工管理人员到位率要求在90%（含）及以上，以日历天为计算基数。承包人应在主要施工管理人员离场前24小时前，向监理人提交书面离场申请（还应注明临时代行人员情况及其职责范围），并征得发包人书面同意后，方可离场</w:t>
      </w:r>
      <w:r>
        <w:rPr>
          <w:rFonts w:ascii="宋体" w:hAnsi="宋体"/>
          <w:color w:val="auto"/>
          <w:sz w:val="24"/>
          <w:highlight w:val="none"/>
        </w:rPr>
        <w:t>。</w:t>
      </w:r>
    </w:p>
    <w:p w14:paraId="645C9E03">
      <w:pPr>
        <w:spacing w:line="360" w:lineRule="auto"/>
        <w:ind w:firstLine="480" w:firstLineChars="200"/>
        <w:rPr>
          <w:rFonts w:ascii="宋体" w:hAnsi="宋体"/>
          <w:color w:val="auto"/>
          <w:sz w:val="24"/>
          <w:highlight w:val="none"/>
        </w:rPr>
      </w:pPr>
      <w:r>
        <w:rPr>
          <w:rFonts w:ascii="宋体" w:hAnsi="宋体"/>
          <w:color w:val="auto"/>
          <w:sz w:val="24"/>
          <w:highlight w:val="none"/>
        </w:rPr>
        <w:t>3.3.5承包人擅自更换主要施工管理人员的违约责任：</w:t>
      </w:r>
      <w:r>
        <w:rPr>
          <w:rFonts w:ascii="宋体" w:hAnsi="宋体"/>
          <w:b/>
          <w:color w:val="auto"/>
          <w:sz w:val="24"/>
          <w:highlight w:val="none"/>
          <w:u w:val="single"/>
        </w:rPr>
        <w:t>不允许承包人更换主要施工管理人员，如因特殊情况确需更换的，须经发包人同意并备案。承包人未按上述约定擅自更换主要施工管理人员的视为承包人违约，</w:t>
      </w:r>
      <w:r>
        <w:rPr>
          <w:rFonts w:hint="eastAsia" w:ascii="宋体" w:hAnsi="宋体"/>
          <w:b/>
          <w:color w:val="auto"/>
          <w:sz w:val="24"/>
          <w:highlight w:val="none"/>
          <w:u w:val="single"/>
        </w:rPr>
        <w:t>承包人应按</w:t>
      </w:r>
      <w:r>
        <w:rPr>
          <w:rFonts w:ascii="宋体" w:hAnsi="宋体"/>
          <w:b/>
          <w:color w:val="auto"/>
          <w:sz w:val="24"/>
          <w:highlight w:val="none"/>
          <w:u w:val="single"/>
        </w:rPr>
        <w:t>10000元/人/次</w:t>
      </w:r>
      <w:r>
        <w:rPr>
          <w:rFonts w:hint="eastAsia" w:ascii="宋体" w:hAnsi="宋体"/>
          <w:b/>
          <w:color w:val="auto"/>
          <w:sz w:val="24"/>
          <w:highlight w:val="none"/>
          <w:u w:val="single"/>
        </w:rPr>
        <w:t>承担</w:t>
      </w:r>
      <w:r>
        <w:rPr>
          <w:rFonts w:ascii="宋体" w:hAnsi="宋体"/>
          <w:b/>
          <w:color w:val="auto"/>
          <w:sz w:val="24"/>
          <w:highlight w:val="none"/>
          <w:u w:val="single"/>
        </w:rPr>
        <w:t>违约金。上述违约金直接在当次工程款中扣除，最终以结算审定金额为准</w:t>
      </w:r>
      <w:r>
        <w:rPr>
          <w:rFonts w:ascii="宋体" w:hAnsi="宋体"/>
          <w:color w:val="auto"/>
          <w:sz w:val="24"/>
          <w:highlight w:val="none"/>
        </w:rPr>
        <w:t>。</w:t>
      </w:r>
    </w:p>
    <w:p w14:paraId="3298C81D">
      <w:pPr>
        <w:spacing w:line="360" w:lineRule="auto"/>
        <w:ind w:firstLine="480" w:firstLineChars="200"/>
        <w:rPr>
          <w:rFonts w:ascii="宋体" w:hAnsi="宋体"/>
          <w:color w:val="auto"/>
          <w:sz w:val="24"/>
          <w:highlight w:val="none"/>
        </w:rPr>
      </w:pPr>
      <w:r>
        <w:rPr>
          <w:rFonts w:ascii="宋体" w:hAnsi="宋体"/>
          <w:color w:val="auto"/>
          <w:sz w:val="24"/>
          <w:highlight w:val="none"/>
        </w:rPr>
        <w:t>承包人主要施工管理人员擅自离开施工现场的违约责任：</w:t>
      </w:r>
      <w:r>
        <w:rPr>
          <w:rFonts w:ascii="宋体" w:hAnsi="宋体"/>
          <w:b/>
          <w:color w:val="auto"/>
          <w:sz w:val="24"/>
          <w:highlight w:val="none"/>
          <w:u w:val="single"/>
        </w:rPr>
        <w:t>发包人将扣减承包人10000元/人的违约金；主要施工管理人员无故缺席或迟到重要施工工序、环节、会议的，</w:t>
      </w:r>
      <w:r>
        <w:rPr>
          <w:rFonts w:hint="eastAsia" w:ascii="宋体" w:hAnsi="宋体"/>
          <w:b/>
          <w:color w:val="auto"/>
          <w:sz w:val="24"/>
          <w:highlight w:val="none"/>
          <w:u w:val="single"/>
        </w:rPr>
        <w:t>承包人应</w:t>
      </w:r>
      <w:r>
        <w:rPr>
          <w:rFonts w:ascii="宋体" w:hAnsi="宋体"/>
          <w:b/>
          <w:color w:val="auto"/>
          <w:sz w:val="24"/>
          <w:highlight w:val="none"/>
          <w:u w:val="single"/>
        </w:rPr>
        <w:t>按2000元/次/人</w:t>
      </w:r>
      <w:r>
        <w:rPr>
          <w:rFonts w:hint="eastAsia" w:ascii="宋体" w:hAnsi="宋体"/>
          <w:b/>
          <w:color w:val="auto"/>
          <w:sz w:val="24"/>
          <w:highlight w:val="none"/>
          <w:u w:val="single"/>
        </w:rPr>
        <w:t>承担</w:t>
      </w:r>
      <w:r>
        <w:rPr>
          <w:rFonts w:ascii="宋体" w:hAnsi="宋体"/>
          <w:b/>
          <w:color w:val="auto"/>
          <w:sz w:val="24"/>
          <w:highlight w:val="none"/>
          <w:u w:val="single"/>
        </w:rPr>
        <w:t>违约金，如因缺席迟到原因导致对相关重要内容不了解，其后果由承包人自负。上述所有违约金直接在当次工程款中扣除，最终以结算审定金额为准。由上述原因造成工程费用和工期增加的，均由承包人承担</w:t>
      </w:r>
      <w:r>
        <w:rPr>
          <w:rFonts w:ascii="宋体" w:hAnsi="宋体"/>
          <w:color w:val="auto"/>
          <w:sz w:val="24"/>
          <w:highlight w:val="none"/>
        </w:rPr>
        <w:t>。</w:t>
      </w:r>
    </w:p>
    <w:p w14:paraId="24392932">
      <w:pPr>
        <w:spacing w:line="360" w:lineRule="auto"/>
        <w:ind w:firstLine="480" w:firstLineChars="200"/>
        <w:rPr>
          <w:rFonts w:ascii="宋体" w:hAnsi="宋体"/>
          <w:color w:val="auto"/>
          <w:sz w:val="24"/>
          <w:highlight w:val="none"/>
        </w:rPr>
      </w:pPr>
      <w:r>
        <w:rPr>
          <w:rFonts w:ascii="宋体" w:hAnsi="宋体"/>
          <w:color w:val="auto"/>
          <w:sz w:val="24"/>
          <w:highlight w:val="none"/>
        </w:rPr>
        <w:t>3.5 分包</w:t>
      </w:r>
    </w:p>
    <w:p w14:paraId="56D1A9B6">
      <w:pPr>
        <w:spacing w:line="360" w:lineRule="auto"/>
        <w:ind w:firstLine="480" w:firstLineChars="200"/>
        <w:rPr>
          <w:rFonts w:ascii="宋体" w:hAnsi="宋体"/>
          <w:color w:val="auto"/>
          <w:sz w:val="24"/>
          <w:highlight w:val="none"/>
        </w:rPr>
      </w:pPr>
      <w:r>
        <w:rPr>
          <w:rFonts w:ascii="宋体" w:hAnsi="宋体"/>
          <w:color w:val="auto"/>
          <w:sz w:val="24"/>
          <w:highlight w:val="none"/>
        </w:rPr>
        <w:t>3.5.1 分包的一般约定</w:t>
      </w:r>
    </w:p>
    <w:p w14:paraId="6477B7D3">
      <w:pPr>
        <w:spacing w:line="360" w:lineRule="auto"/>
        <w:ind w:firstLine="480" w:firstLineChars="200"/>
        <w:rPr>
          <w:rFonts w:ascii="宋体" w:hAnsi="宋体"/>
          <w:color w:val="auto"/>
          <w:sz w:val="24"/>
          <w:highlight w:val="none"/>
        </w:rPr>
      </w:pPr>
      <w:r>
        <w:rPr>
          <w:rFonts w:ascii="宋体" w:hAnsi="宋体"/>
          <w:color w:val="auto"/>
          <w:sz w:val="24"/>
          <w:highlight w:val="none"/>
        </w:rPr>
        <w:t>禁止分包的工程包括：</w:t>
      </w:r>
      <w:r>
        <w:rPr>
          <w:rFonts w:ascii="宋体" w:hAnsi="宋体"/>
          <w:b/>
          <w:color w:val="auto"/>
          <w:sz w:val="24"/>
          <w:highlight w:val="none"/>
          <w:u w:val="single"/>
        </w:rPr>
        <w:t>按通用合同条款约定</w:t>
      </w:r>
      <w:r>
        <w:rPr>
          <w:rFonts w:ascii="宋体" w:hAnsi="宋体"/>
          <w:color w:val="auto"/>
          <w:sz w:val="24"/>
          <w:highlight w:val="none"/>
        </w:rPr>
        <w:t>。</w:t>
      </w:r>
    </w:p>
    <w:p w14:paraId="12E45E2B">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主体结构、关键性工作的范围：</w:t>
      </w:r>
      <w:r>
        <w:rPr>
          <w:rFonts w:ascii="宋体" w:hAnsi="宋体"/>
          <w:b/>
          <w:color w:val="auto"/>
          <w:sz w:val="24"/>
          <w:highlight w:val="none"/>
          <w:u w:val="single"/>
        </w:rPr>
        <w:t>合同范围均为关键性工作范围</w:t>
      </w:r>
      <w:r>
        <w:rPr>
          <w:rFonts w:ascii="宋体" w:hAnsi="宋体"/>
          <w:color w:val="auto"/>
          <w:sz w:val="24"/>
          <w:highlight w:val="none"/>
        </w:rPr>
        <w:t>。</w:t>
      </w:r>
    </w:p>
    <w:p w14:paraId="480EE4E2">
      <w:pPr>
        <w:spacing w:line="360" w:lineRule="auto"/>
        <w:rPr>
          <w:rFonts w:ascii="宋体" w:hAnsi="宋体"/>
          <w:color w:val="auto"/>
          <w:sz w:val="24"/>
          <w:highlight w:val="none"/>
        </w:rPr>
      </w:pPr>
      <w:r>
        <w:rPr>
          <w:rFonts w:ascii="宋体" w:hAnsi="宋体"/>
          <w:color w:val="auto"/>
          <w:sz w:val="24"/>
          <w:highlight w:val="none"/>
        </w:rPr>
        <w:t xml:space="preserve">    3.5.2分包的确定</w:t>
      </w:r>
    </w:p>
    <w:p w14:paraId="716F8121">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允许分包的专业工程包括：</w:t>
      </w:r>
      <w:r>
        <w:rPr>
          <w:rFonts w:ascii="宋体" w:hAnsi="宋体"/>
          <w:b/>
          <w:color w:val="auto"/>
          <w:sz w:val="24"/>
          <w:highlight w:val="none"/>
          <w:u w:val="single"/>
        </w:rPr>
        <w:t>双方协商确定</w:t>
      </w:r>
      <w:r>
        <w:rPr>
          <w:rFonts w:ascii="宋体" w:hAnsi="宋体"/>
          <w:color w:val="auto"/>
          <w:sz w:val="24"/>
          <w:highlight w:val="none"/>
        </w:rPr>
        <w:t>。</w:t>
      </w:r>
    </w:p>
    <w:p w14:paraId="2BD86608">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其他关于分包的约定：。</w:t>
      </w:r>
    </w:p>
    <w:p w14:paraId="5FC36147">
      <w:pPr>
        <w:spacing w:line="360" w:lineRule="auto"/>
        <w:ind w:firstLine="480" w:firstLineChars="200"/>
        <w:rPr>
          <w:rFonts w:ascii="宋体" w:hAnsi="宋体"/>
          <w:color w:val="auto"/>
          <w:sz w:val="24"/>
          <w:highlight w:val="none"/>
        </w:rPr>
      </w:pPr>
      <w:r>
        <w:rPr>
          <w:rFonts w:ascii="宋体" w:hAnsi="宋体"/>
          <w:color w:val="auto"/>
          <w:sz w:val="24"/>
          <w:highlight w:val="none"/>
        </w:rPr>
        <w:t>3.5.4 分包合同价款</w:t>
      </w:r>
    </w:p>
    <w:p w14:paraId="775FFE5F">
      <w:pPr>
        <w:spacing w:line="360" w:lineRule="auto"/>
        <w:ind w:firstLine="480" w:firstLineChars="200"/>
        <w:rPr>
          <w:rFonts w:ascii="宋体" w:hAnsi="宋体"/>
          <w:color w:val="auto"/>
          <w:sz w:val="24"/>
          <w:highlight w:val="none"/>
        </w:rPr>
      </w:pPr>
      <w:r>
        <w:rPr>
          <w:rFonts w:ascii="宋体" w:hAnsi="宋体"/>
          <w:color w:val="auto"/>
          <w:sz w:val="24"/>
          <w:highlight w:val="none"/>
        </w:rPr>
        <w:t>关于分包合同价款支付的约定：</w:t>
      </w:r>
      <w:r>
        <w:rPr>
          <w:rFonts w:ascii="宋体" w:hAnsi="宋体"/>
          <w:b/>
          <w:color w:val="auto"/>
          <w:sz w:val="24"/>
          <w:highlight w:val="none"/>
          <w:u w:val="single"/>
        </w:rPr>
        <w:t>另行约定</w:t>
      </w:r>
      <w:r>
        <w:rPr>
          <w:rFonts w:ascii="宋体" w:hAnsi="宋体"/>
          <w:color w:val="auto"/>
          <w:sz w:val="24"/>
          <w:highlight w:val="none"/>
        </w:rPr>
        <w:t>。</w:t>
      </w:r>
    </w:p>
    <w:p w14:paraId="428ACD53">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（实行分包单位农民工工资委托施工总承包单位代发制度）。</w:t>
      </w:r>
    </w:p>
    <w:p w14:paraId="47B51B4F">
      <w:pPr>
        <w:spacing w:line="360" w:lineRule="auto"/>
        <w:ind w:firstLine="480" w:firstLineChars="200"/>
        <w:rPr>
          <w:rFonts w:ascii="宋体" w:hAnsi="宋体"/>
          <w:color w:val="auto"/>
          <w:sz w:val="24"/>
          <w:highlight w:val="none"/>
        </w:rPr>
      </w:pPr>
      <w:r>
        <w:rPr>
          <w:rFonts w:ascii="宋体" w:hAnsi="宋体"/>
          <w:color w:val="auto"/>
          <w:sz w:val="24"/>
          <w:highlight w:val="none"/>
        </w:rPr>
        <w:t>3.6 工程照管与成品、半成品保护</w:t>
      </w:r>
    </w:p>
    <w:p w14:paraId="5E141E9E">
      <w:pPr>
        <w:spacing w:line="360" w:lineRule="auto"/>
        <w:ind w:firstLine="480" w:firstLineChars="200"/>
        <w:rPr>
          <w:rFonts w:ascii="宋体" w:hAnsi="宋体"/>
          <w:b/>
          <w:color w:val="auto"/>
          <w:sz w:val="24"/>
          <w:highlight w:val="none"/>
          <w:u w:val="single"/>
        </w:rPr>
      </w:pPr>
      <w:r>
        <w:rPr>
          <w:rFonts w:ascii="宋体" w:hAnsi="宋体"/>
          <w:color w:val="auto"/>
          <w:sz w:val="24"/>
          <w:highlight w:val="none"/>
        </w:rPr>
        <w:t>承包人负责照管工程及工程相关的材料、工程设备的起始时间：</w:t>
      </w:r>
      <w:r>
        <w:rPr>
          <w:rFonts w:ascii="宋体" w:hAnsi="宋体"/>
          <w:b/>
          <w:color w:val="auto"/>
          <w:sz w:val="24"/>
          <w:highlight w:val="none"/>
          <w:u w:val="single"/>
        </w:rPr>
        <w:t>自发包人向承包人移交施工现场之日起，直到颁发工程接收证书之日止。</w:t>
      </w:r>
    </w:p>
    <w:p w14:paraId="7D2749B7">
      <w:pPr>
        <w:spacing w:line="360" w:lineRule="auto"/>
        <w:ind w:firstLine="480" w:firstLineChars="200"/>
        <w:rPr>
          <w:rFonts w:ascii="宋体" w:hAnsi="宋体"/>
          <w:color w:val="auto"/>
          <w:sz w:val="24"/>
          <w:highlight w:val="none"/>
        </w:rPr>
      </w:pPr>
      <w:r>
        <w:rPr>
          <w:rFonts w:ascii="宋体" w:hAnsi="宋体"/>
          <w:color w:val="auto"/>
          <w:sz w:val="24"/>
          <w:highlight w:val="none"/>
        </w:rPr>
        <w:t>3.7 履约担保</w:t>
      </w:r>
    </w:p>
    <w:p w14:paraId="4804EFC6">
      <w:pPr>
        <w:spacing w:line="360" w:lineRule="auto"/>
        <w:ind w:firstLine="480" w:firstLineChars="200"/>
        <w:rPr>
          <w:rFonts w:ascii="宋体" w:hAnsi="宋体"/>
          <w:color w:val="auto"/>
          <w:sz w:val="24"/>
          <w:highlight w:val="none"/>
        </w:rPr>
      </w:pPr>
      <w:r>
        <w:rPr>
          <w:rFonts w:ascii="宋体" w:hAnsi="宋体"/>
          <w:color w:val="auto"/>
          <w:sz w:val="24"/>
          <w:highlight w:val="none"/>
        </w:rPr>
        <w:t>承包人是否提供履约担保：</w:t>
      </w:r>
      <w:r>
        <w:rPr>
          <w:rFonts w:ascii="宋体" w:hAnsi="宋体"/>
          <w:b/>
          <w:color w:val="auto"/>
          <w:sz w:val="24"/>
          <w:highlight w:val="none"/>
          <w:u w:val="single"/>
        </w:rPr>
        <w:t>是</w:t>
      </w:r>
      <w:r>
        <w:rPr>
          <w:rFonts w:ascii="宋体" w:hAnsi="宋体"/>
          <w:color w:val="auto"/>
          <w:sz w:val="24"/>
          <w:highlight w:val="none"/>
        </w:rPr>
        <w:t>。</w:t>
      </w:r>
    </w:p>
    <w:p w14:paraId="340CD414">
      <w:pPr>
        <w:spacing w:line="360" w:lineRule="auto"/>
        <w:ind w:firstLine="480" w:firstLineChars="200"/>
        <w:rPr>
          <w:rFonts w:ascii="宋体" w:hAnsi="宋体"/>
          <w:color w:val="auto"/>
          <w:sz w:val="24"/>
          <w:highlight w:val="none"/>
        </w:rPr>
      </w:pPr>
      <w:r>
        <w:rPr>
          <w:rFonts w:ascii="宋体" w:hAnsi="宋体"/>
          <w:color w:val="auto"/>
          <w:sz w:val="24"/>
          <w:highlight w:val="none"/>
        </w:rPr>
        <w:t>承包人提供履约担保的形式、金额及期限的，采用以下第</w:t>
      </w:r>
      <w:r>
        <w:rPr>
          <w:rFonts w:hint="eastAsia" w:ascii="宋体" w:hAnsi="宋体"/>
          <w:color w:val="auto"/>
          <w:sz w:val="24"/>
          <w:highlight w:val="none"/>
          <w:u w:val="single"/>
        </w:rPr>
        <w:t xml:space="preserve"> （2）  </w:t>
      </w:r>
      <w:r>
        <w:rPr>
          <w:rFonts w:ascii="宋体" w:hAnsi="宋体"/>
          <w:color w:val="auto"/>
          <w:sz w:val="24"/>
          <w:highlight w:val="none"/>
        </w:rPr>
        <w:t>种方式：</w:t>
      </w:r>
    </w:p>
    <w:p w14:paraId="4FF5EB04">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 xml:space="preserve">保证保险，金额及期限为：         /             </w:t>
      </w:r>
      <w:r>
        <w:rPr>
          <w:rFonts w:ascii="宋体" w:hAnsi="宋体"/>
          <w:color w:val="auto"/>
          <w:sz w:val="24"/>
          <w:highlight w:val="none"/>
        </w:rPr>
        <w:t>；</w:t>
      </w:r>
    </w:p>
    <w:p w14:paraId="25F0AF2E">
      <w:pPr>
        <w:spacing w:line="360" w:lineRule="auto"/>
        <w:ind w:firstLine="240" w:firstLineChars="100"/>
        <w:rPr>
          <w:rFonts w:ascii="宋体" w:hAnsi="宋体"/>
          <w:color w:val="auto"/>
          <w:sz w:val="24"/>
          <w:highlight w:val="none"/>
          <w:u w:val="single"/>
        </w:rPr>
      </w:pPr>
      <w:r>
        <w:rPr>
          <w:rFonts w:ascii="宋体" w:hAnsi="宋体"/>
          <w:color w:val="auto"/>
          <w:sz w:val="24"/>
          <w:highlight w:val="none"/>
        </w:rPr>
        <w:t>（2）</w:t>
      </w:r>
      <w:r>
        <w:rPr>
          <w:rFonts w:ascii="宋体" w:hAnsi="宋体"/>
          <w:color w:val="auto"/>
          <w:sz w:val="24"/>
          <w:highlight w:val="none"/>
          <w:u w:val="single"/>
        </w:rPr>
        <w:t>银行保函，金额及期限为：以银行保函的形式提交，承包人签订工程承包合同后</w:t>
      </w:r>
      <w:r>
        <w:rPr>
          <w:rFonts w:hint="eastAsia" w:ascii="宋体" w:hAnsi="宋体"/>
          <w:color w:val="auto"/>
          <w:sz w:val="24"/>
          <w:highlight w:val="none"/>
          <w:u w:val="single"/>
        </w:rPr>
        <w:t>7</w:t>
      </w:r>
      <w:r>
        <w:rPr>
          <w:rFonts w:ascii="宋体" w:hAnsi="宋体"/>
          <w:color w:val="auto"/>
          <w:sz w:val="24"/>
          <w:highlight w:val="none"/>
          <w:u w:val="single"/>
        </w:rPr>
        <w:t>日历天内应向发包人交纳合同价1%的履约保证金,即</w:t>
      </w:r>
      <w:r>
        <w:rPr>
          <w:rFonts w:hint="eastAsia" w:ascii="宋体" w:hAnsi="宋体"/>
          <w:color w:val="auto"/>
          <w:sz w:val="24"/>
          <w:highlight w:val="none"/>
          <w:u w:val="single"/>
        </w:rPr>
        <w:t xml:space="preserve">      </w:t>
      </w:r>
      <w:r>
        <w:rPr>
          <w:rFonts w:ascii="宋体" w:hAnsi="宋体"/>
          <w:color w:val="auto"/>
          <w:sz w:val="24"/>
          <w:highlight w:val="none"/>
          <w:u w:val="single"/>
        </w:rPr>
        <w:t>元（履约担保额度中各项履约内容所占比例为：工期履约保证金为20%，安全文明施工履约保证金为 25%，质量履约保证金 25%，施工机械设备到位保证金为7%，项目班子到位保证金为8%，农民工工资保证金为 15%</w:t>
      </w:r>
      <w:r>
        <w:rPr>
          <w:rFonts w:hint="eastAsia" w:ascii="宋体" w:hAnsi="宋体"/>
          <w:color w:val="auto"/>
          <w:sz w:val="24"/>
          <w:highlight w:val="none"/>
          <w:u w:val="single"/>
        </w:rPr>
        <w:t>。</w:t>
      </w:r>
      <w:r>
        <w:rPr>
          <w:rFonts w:ascii="宋体" w:hAnsi="宋体"/>
          <w:color w:val="auto"/>
          <w:sz w:val="24"/>
          <w:highlight w:val="none"/>
          <w:u w:val="single"/>
        </w:rPr>
        <w:t>）。当工程质量、工期、项目班子和安全文明施工均达到合同要求时，履约担保在工程竣工验收合格，承包人向发包人递交完整的工程资料和结算资料后无息退还，如有违约相应扣减，各项违约扣款首先从履约保证金中扣除，</w:t>
      </w:r>
      <w:r>
        <w:rPr>
          <w:rFonts w:hint="eastAsia" w:ascii="宋体" w:hAnsi="宋体"/>
          <w:color w:val="auto"/>
          <w:sz w:val="24"/>
          <w:highlight w:val="none"/>
          <w:u w:val="single"/>
        </w:rPr>
        <w:t>不足</w:t>
      </w:r>
      <w:r>
        <w:rPr>
          <w:rFonts w:ascii="宋体" w:hAnsi="宋体"/>
          <w:color w:val="auto"/>
          <w:sz w:val="24"/>
          <w:highlight w:val="none"/>
          <w:u w:val="single"/>
        </w:rPr>
        <w:t xml:space="preserve">部分从工程款中相应扣减，若低于招标风险控制价中标的，承包人在提交履约担保的同时必须额外提交中标价净值与风险控制价之差额，提交形式、有效期及退还方式同履约担保 ； </w:t>
      </w:r>
    </w:p>
    <w:p w14:paraId="50EE06E3">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（3）</w:t>
      </w:r>
      <w:r>
        <w:rPr>
          <w:rFonts w:ascii="宋体" w:hAnsi="宋体"/>
          <w:color w:val="auto"/>
          <w:sz w:val="24"/>
          <w:highlight w:val="none"/>
          <w:u w:val="single"/>
        </w:rPr>
        <w:t xml:space="preserve">其他方式:  /     </w:t>
      </w:r>
    </w:p>
    <w:p w14:paraId="61E62A32">
      <w:pPr>
        <w:pStyle w:val="6"/>
        <w:spacing w:line="360" w:lineRule="auto"/>
        <w:ind w:left="0" w:firstLine="482" w:firstLineChars="200"/>
        <w:rPr>
          <w:rFonts w:ascii="宋体" w:hAnsi="宋体" w:eastAsia="宋体" w:cs="宋体"/>
          <w:bCs w:val="0"/>
          <w:color w:val="auto"/>
          <w:sz w:val="24"/>
          <w:szCs w:val="24"/>
          <w:highlight w:val="none"/>
        </w:rPr>
      </w:pPr>
      <w:r>
        <w:rPr>
          <w:rFonts w:ascii="宋体" w:hAnsi="宋体" w:eastAsia="宋体" w:cs="宋体"/>
          <w:bCs w:val="0"/>
          <w:color w:val="auto"/>
          <w:sz w:val="24"/>
          <w:szCs w:val="24"/>
          <w:highlight w:val="none"/>
        </w:rPr>
        <w:t>4. 监理人</w:t>
      </w:r>
    </w:p>
    <w:p w14:paraId="0D395E28">
      <w:pPr>
        <w:spacing w:line="360" w:lineRule="auto"/>
        <w:ind w:firstLine="480" w:firstLineChars="200"/>
        <w:rPr>
          <w:rFonts w:ascii="宋体" w:hAnsi="宋体"/>
          <w:color w:val="auto"/>
          <w:sz w:val="24"/>
          <w:highlight w:val="none"/>
        </w:rPr>
      </w:pPr>
      <w:r>
        <w:rPr>
          <w:rFonts w:ascii="宋体" w:hAnsi="宋体"/>
          <w:color w:val="auto"/>
          <w:sz w:val="24"/>
          <w:highlight w:val="none"/>
        </w:rPr>
        <w:t>4.1监理人的一般规定</w:t>
      </w:r>
    </w:p>
    <w:p w14:paraId="2730B32F">
      <w:pPr>
        <w:spacing w:line="360" w:lineRule="auto"/>
        <w:ind w:firstLine="480" w:firstLineChars="200"/>
        <w:rPr>
          <w:rFonts w:ascii="宋体" w:hAnsi="宋体"/>
          <w:color w:val="auto"/>
          <w:sz w:val="24"/>
          <w:highlight w:val="none"/>
        </w:rPr>
      </w:pPr>
      <w:r>
        <w:rPr>
          <w:rFonts w:ascii="宋体" w:hAnsi="宋体"/>
          <w:color w:val="auto"/>
          <w:sz w:val="24"/>
          <w:highlight w:val="none"/>
        </w:rPr>
        <w:t>关于监理人的监理内容：</w:t>
      </w:r>
      <w:r>
        <w:rPr>
          <w:rFonts w:ascii="宋体" w:hAnsi="宋体"/>
          <w:b/>
          <w:color w:val="auto"/>
          <w:sz w:val="24"/>
          <w:highlight w:val="none"/>
          <w:u w:val="single"/>
        </w:rPr>
        <w:t>按监理合同约定实行</w:t>
      </w:r>
      <w:r>
        <w:rPr>
          <w:rFonts w:ascii="宋体" w:hAnsi="宋体"/>
          <w:color w:val="auto"/>
          <w:sz w:val="24"/>
          <w:highlight w:val="none"/>
        </w:rPr>
        <w:t>。</w:t>
      </w:r>
    </w:p>
    <w:p w14:paraId="102A502C">
      <w:pPr>
        <w:spacing w:line="360" w:lineRule="auto"/>
        <w:ind w:firstLine="480" w:firstLineChars="200"/>
        <w:rPr>
          <w:rFonts w:ascii="宋体" w:hAnsi="宋体"/>
          <w:b/>
          <w:color w:val="auto"/>
          <w:sz w:val="24"/>
          <w:highlight w:val="none"/>
          <w:u w:val="single"/>
        </w:rPr>
      </w:pPr>
      <w:r>
        <w:rPr>
          <w:rFonts w:ascii="宋体" w:hAnsi="宋体"/>
          <w:color w:val="auto"/>
          <w:sz w:val="24"/>
          <w:highlight w:val="none"/>
        </w:rPr>
        <w:t>关于监理人的监理权限：</w:t>
      </w:r>
      <w:r>
        <w:rPr>
          <w:rFonts w:ascii="宋体" w:hAnsi="宋体"/>
          <w:b/>
          <w:color w:val="auto"/>
          <w:sz w:val="24"/>
          <w:highlight w:val="none"/>
          <w:u w:val="single"/>
        </w:rPr>
        <w:t>在监理工作范围内，凡涉及下列事项必须取得发包人专门以书面形式授权</w:t>
      </w:r>
      <w:r>
        <w:rPr>
          <w:rFonts w:hint="eastAsia" w:ascii="宋体" w:hAnsi="宋体"/>
          <w:b/>
          <w:color w:val="auto"/>
          <w:sz w:val="24"/>
          <w:highlight w:val="none"/>
          <w:u w:val="single"/>
        </w:rPr>
        <w:t>且</w:t>
      </w:r>
      <w:r>
        <w:rPr>
          <w:rFonts w:ascii="宋体" w:hAnsi="宋体"/>
          <w:b/>
          <w:color w:val="auto"/>
          <w:sz w:val="24"/>
          <w:highlight w:val="none"/>
          <w:u w:val="single"/>
        </w:rPr>
        <w:t>签证确认后，监理人方可实施：</w:t>
      </w:r>
    </w:p>
    <w:p w14:paraId="649BD4A9">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 xml:space="preserve">（1）同意工程分包，承包人主要项目管理人员更换，或主要材料、设备替换； </w:t>
      </w:r>
    </w:p>
    <w:p w14:paraId="026D767F">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 xml:space="preserve">（2）签发开工令、同意暂停施工或延期； </w:t>
      </w:r>
    </w:p>
    <w:p w14:paraId="51816FBE">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 xml:space="preserve">（3）同意设计变更、经济签证或技术标准和要求变更； </w:t>
      </w:r>
    </w:p>
    <w:p w14:paraId="6F0216DD">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 xml:space="preserve">（4）同意合同价款调整、索赔，或暂列金额、暂估价的使用； </w:t>
      </w:r>
    </w:p>
    <w:p w14:paraId="7D925777">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 xml:space="preserve">（5）签发工程计量、支付证书、竣工结清证书； </w:t>
      </w:r>
    </w:p>
    <w:p w14:paraId="426F932F">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（6）其他须发包人书面确定的事项。</w:t>
      </w:r>
    </w:p>
    <w:p w14:paraId="14001D11">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如上述事项未经发包人事先授权</w:t>
      </w:r>
      <w:r>
        <w:rPr>
          <w:rFonts w:hint="eastAsia" w:ascii="宋体" w:hAnsi="宋体"/>
          <w:b/>
          <w:color w:val="auto"/>
          <w:sz w:val="24"/>
          <w:highlight w:val="none"/>
          <w:u w:val="single"/>
        </w:rPr>
        <w:t>且</w:t>
      </w:r>
      <w:r>
        <w:rPr>
          <w:rFonts w:ascii="宋体" w:hAnsi="宋体"/>
          <w:b/>
          <w:color w:val="auto"/>
          <w:sz w:val="24"/>
          <w:highlight w:val="none"/>
          <w:u w:val="single"/>
        </w:rPr>
        <w:t xml:space="preserve">确认的，发包人均有权不予认可，且不能作为竣工结算的有效依据。 </w:t>
      </w:r>
    </w:p>
    <w:p w14:paraId="14138E25">
      <w:pPr>
        <w:spacing w:line="360" w:lineRule="auto"/>
        <w:ind w:firstLine="482" w:firstLineChars="200"/>
        <w:rPr>
          <w:rFonts w:ascii="宋体" w:hAnsi="宋体"/>
          <w:color w:val="auto"/>
          <w:sz w:val="24"/>
          <w:highlight w:val="none"/>
        </w:rPr>
      </w:pPr>
      <w:r>
        <w:rPr>
          <w:rFonts w:ascii="宋体" w:hAnsi="宋体"/>
          <w:b/>
          <w:color w:val="auto"/>
          <w:sz w:val="24"/>
          <w:highlight w:val="none"/>
          <w:u w:val="single"/>
        </w:rPr>
        <w:t>除上述约定事项外，其他事项授权监理人依照监理合同及相关监理规范办理</w:t>
      </w:r>
      <w:r>
        <w:rPr>
          <w:rFonts w:ascii="宋体" w:hAnsi="宋体"/>
          <w:color w:val="auto"/>
          <w:sz w:val="24"/>
          <w:highlight w:val="none"/>
        </w:rPr>
        <w:t xml:space="preserve">。 </w:t>
      </w:r>
    </w:p>
    <w:p w14:paraId="72D17F43">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关于监理人在施工现场的办公场所、生活场所的提供和费用承担的约定：</w:t>
      </w:r>
      <w:r>
        <w:rPr>
          <w:rFonts w:ascii="宋体" w:hAnsi="宋体"/>
          <w:b/>
          <w:color w:val="auto"/>
          <w:sz w:val="24"/>
          <w:highlight w:val="none"/>
          <w:u w:val="single"/>
        </w:rPr>
        <w:t>/</w:t>
      </w:r>
      <w:r>
        <w:rPr>
          <w:rFonts w:ascii="宋体" w:hAnsi="宋体"/>
          <w:color w:val="auto"/>
          <w:sz w:val="24"/>
          <w:highlight w:val="none"/>
        </w:rPr>
        <w:t>。</w:t>
      </w:r>
    </w:p>
    <w:p w14:paraId="453EC0C9">
      <w:pPr>
        <w:spacing w:line="360" w:lineRule="auto"/>
        <w:ind w:firstLine="480" w:firstLineChars="200"/>
        <w:rPr>
          <w:rFonts w:ascii="宋体" w:hAnsi="宋体"/>
          <w:color w:val="auto"/>
          <w:sz w:val="24"/>
          <w:highlight w:val="none"/>
        </w:rPr>
      </w:pPr>
      <w:r>
        <w:rPr>
          <w:rFonts w:ascii="宋体" w:hAnsi="宋体"/>
          <w:color w:val="auto"/>
          <w:sz w:val="24"/>
          <w:highlight w:val="none"/>
        </w:rPr>
        <w:t>4.2 监理人员</w:t>
      </w:r>
    </w:p>
    <w:p w14:paraId="4A70F1E0">
      <w:pPr>
        <w:spacing w:line="360" w:lineRule="auto"/>
        <w:ind w:firstLine="480" w:firstLineChars="200"/>
        <w:rPr>
          <w:rFonts w:ascii="宋体" w:hAnsi="宋体"/>
          <w:color w:val="auto"/>
          <w:sz w:val="24"/>
          <w:highlight w:val="none"/>
        </w:rPr>
      </w:pPr>
      <w:r>
        <w:rPr>
          <w:rFonts w:ascii="宋体" w:hAnsi="宋体"/>
          <w:color w:val="auto"/>
          <w:sz w:val="24"/>
          <w:highlight w:val="none"/>
        </w:rPr>
        <w:t>总监理工程师：</w:t>
      </w:r>
    </w:p>
    <w:p w14:paraId="092F5487">
      <w:pPr>
        <w:spacing w:line="360" w:lineRule="auto"/>
        <w:ind w:firstLine="480" w:firstLineChars="200"/>
        <w:rPr>
          <w:rFonts w:ascii="宋体" w:hAnsi="宋体"/>
          <w:color w:val="auto"/>
          <w:sz w:val="24"/>
          <w:highlight w:val="none"/>
        </w:rPr>
      </w:pPr>
      <w:r>
        <w:rPr>
          <w:rFonts w:ascii="宋体" w:hAnsi="宋体"/>
          <w:color w:val="auto"/>
          <w:sz w:val="24"/>
          <w:highlight w:val="none"/>
        </w:rPr>
        <w:t>姓名：；</w:t>
      </w:r>
    </w:p>
    <w:p w14:paraId="1899FB37">
      <w:pPr>
        <w:spacing w:line="360" w:lineRule="auto"/>
        <w:ind w:firstLine="480" w:firstLineChars="200"/>
        <w:rPr>
          <w:rFonts w:ascii="宋体" w:hAnsi="宋体"/>
          <w:color w:val="auto"/>
          <w:sz w:val="24"/>
          <w:highlight w:val="none"/>
        </w:rPr>
      </w:pPr>
      <w:r>
        <w:rPr>
          <w:rFonts w:ascii="宋体" w:hAnsi="宋体"/>
          <w:color w:val="auto"/>
          <w:sz w:val="24"/>
          <w:highlight w:val="none"/>
        </w:rPr>
        <w:t>职务：；</w:t>
      </w:r>
    </w:p>
    <w:p w14:paraId="6F9D8C5D">
      <w:pPr>
        <w:spacing w:line="360" w:lineRule="auto"/>
        <w:ind w:firstLine="480" w:firstLineChars="200"/>
        <w:rPr>
          <w:rFonts w:ascii="宋体" w:hAnsi="宋体"/>
          <w:color w:val="auto"/>
          <w:sz w:val="24"/>
          <w:highlight w:val="none"/>
        </w:rPr>
      </w:pPr>
      <w:r>
        <w:rPr>
          <w:rFonts w:ascii="宋体" w:hAnsi="宋体"/>
          <w:color w:val="auto"/>
          <w:sz w:val="24"/>
          <w:highlight w:val="none"/>
        </w:rPr>
        <w:t>监理工程师执业资格证书号：；</w:t>
      </w:r>
    </w:p>
    <w:p w14:paraId="61DD8735">
      <w:pPr>
        <w:spacing w:line="360" w:lineRule="auto"/>
        <w:ind w:firstLine="480" w:firstLineChars="200"/>
        <w:rPr>
          <w:rFonts w:ascii="宋体" w:hAnsi="宋体"/>
          <w:color w:val="auto"/>
          <w:sz w:val="24"/>
          <w:highlight w:val="none"/>
        </w:rPr>
      </w:pPr>
      <w:r>
        <w:rPr>
          <w:rFonts w:ascii="宋体" w:hAnsi="宋体"/>
          <w:color w:val="auto"/>
          <w:sz w:val="24"/>
          <w:highlight w:val="none"/>
        </w:rPr>
        <w:t>联系电话：；</w:t>
      </w:r>
    </w:p>
    <w:p w14:paraId="4AD26011">
      <w:pPr>
        <w:spacing w:line="360" w:lineRule="auto"/>
        <w:ind w:firstLine="480" w:firstLineChars="200"/>
        <w:rPr>
          <w:rFonts w:ascii="宋体" w:hAnsi="宋体"/>
          <w:color w:val="auto"/>
          <w:sz w:val="24"/>
          <w:highlight w:val="none"/>
        </w:rPr>
      </w:pPr>
      <w:r>
        <w:rPr>
          <w:rFonts w:ascii="宋体" w:hAnsi="宋体"/>
          <w:color w:val="auto"/>
          <w:sz w:val="24"/>
          <w:highlight w:val="none"/>
        </w:rPr>
        <w:t>电子信箱：；</w:t>
      </w:r>
    </w:p>
    <w:p w14:paraId="32D0AFE9">
      <w:pPr>
        <w:spacing w:line="360" w:lineRule="auto"/>
        <w:ind w:firstLine="480" w:firstLineChars="200"/>
        <w:rPr>
          <w:rFonts w:ascii="宋体" w:hAnsi="宋体"/>
          <w:color w:val="auto"/>
          <w:sz w:val="24"/>
          <w:highlight w:val="none"/>
        </w:rPr>
      </w:pPr>
      <w:r>
        <w:rPr>
          <w:rFonts w:ascii="宋体" w:hAnsi="宋体"/>
          <w:color w:val="auto"/>
          <w:sz w:val="24"/>
          <w:highlight w:val="none"/>
        </w:rPr>
        <w:t>通信地址：；</w:t>
      </w:r>
    </w:p>
    <w:p w14:paraId="007C2792">
      <w:pPr>
        <w:spacing w:line="360" w:lineRule="auto"/>
        <w:ind w:firstLine="480" w:firstLineChars="200"/>
        <w:rPr>
          <w:rFonts w:ascii="宋体" w:hAnsi="宋体"/>
          <w:color w:val="auto"/>
          <w:sz w:val="24"/>
          <w:highlight w:val="none"/>
        </w:rPr>
      </w:pPr>
      <w:r>
        <w:rPr>
          <w:rFonts w:ascii="宋体" w:hAnsi="宋体"/>
          <w:color w:val="auto"/>
          <w:sz w:val="24"/>
          <w:highlight w:val="none"/>
        </w:rPr>
        <w:t>关于监理人的其他约定：。</w:t>
      </w:r>
    </w:p>
    <w:p w14:paraId="1631BBD6">
      <w:pPr>
        <w:spacing w:line="360" w:lineRule="auto"/>
        <w:ind w:firstLine="480" w:firstLineChars="200"/>
        <w:rPr>
          <w:rFonts w:ascii="宋体" w:hAnsi="宋体"/>
          <w:color w:val="auto"/>
          <w:sz w:val="24"/>
          <w:highlight w:val="none"/>
        </w:rPr>
      </w:pPr>
      <w:r>
        <w:rPr>
          <w:rFonts w:ascii="宋体" w:hAnsi="宋体"/>
          <w:color w:val="auto"/>
          <w:sz w:val="24"/>
          <w:highlight w:val="none"/>
        </w:rPr>
        <w:t>4.4 商定或确定</w:t>
      </w:r>
    </w:p>
    <w:p w14:paraId="5BB1076B">
      <w:pPr>
        <w:spacing w:line="360" w:lineRule="auto"/>
        <w:ind w:firstLine="480" w:firstLineChars="200"/>
        <w:rPr>
          <w:rFonts w:ascii="宋体" w:hAnsi="宋体"/>
          <w:color w:val="auto"/>
          <w:sz w:val="24"/>
          <w:highlight w:val="none"/>
        </w:rPr>
      </w:pPr>
      <w:r>
        <w:rPr>
          <w:rFonts w:ascii="宋体" w:hAnsi="宋体"/>
          <w:color w:val="auto"/>
          <w:sz w:val="24"/>
          <w:highlight w:val="none"/>
        </w:rPr>
        <w:t>在发包人和承包人不能通过协商达成一致意见时，发包人授权监理人对以下事项进行确定：</w:t>
      </w:r>
    </w:p>
    <w:p w14:paraId="7349599A">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ascii="宋体" w:hAnsi="宋体"/>
          <w:b/>
          <w:color w:val="auto"/>
          <w:sz w:val="24"/>
          <w:highlight w:val="none"/>
          <w:u w:val="single"/>
        </w:rPr>
        <w:t xml:space="preserve">/ </w:t>
      </w:r>
      <w:r>
        <w:rPr>
          <w:rFonts w:ascii="宋体" w:hAnsi="宋体"/>
          <w:color w:val="auto"/>
          <w:sz w:val="24"/>
          <w:highlight w:val="none"/>
        </w:rPr>
        <w:t>；</w:t>
      </w:r>
    </w:p>
    <w:p w14:paraId="0ABD19CB">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ascii="宋体" w:hAnsi="宋体"/>
          <w:b/>
          <w:color w:val="auto"/>
          <w:sz w:val="24"/>
          <w:highlight w:val="none"/>
          <w:u w:val="single"/>
        </w:rPr>
        <w:t xml:space="preserve">/ </w:t>
      </w:r>
      <w:r>
        <w:rPr>
          <w:rFonts w:ascii="宋体" w:hAnsi="宋体"/>
          <w:color w:val="auto"/>
          <w:sz w:val="24"/>
          <w:highlight w:val="none"/>
        </w:rPr>
        <w:t>；</w:t>
      </w:r>
    </w:p>
    <w:p w14:paraId="6331D599">
      <w:pPr>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Fonts w:ascii="宋体" w:hAnsi="宋体"/>
          <w:b/>
          <w:color w:val="auto"/>
          <w:sz w:val="24"/>
          <w:highlight w:val="none"/>
          <w:u w:val="single"/>
        </w:rPr>
        <w:t xml:space="preserve">/ </w:t>
      </w:r>
      <w:r>
        <w:rPr>
          <w:rFonts w:ascii="宋体" w:hAnsi="宋体"/>
          <w:color w:val="auto"/>
          <w:sz w:val="24"/>
          <w:highlight w:val="none"/>
        </w:rPr>
        <w:t>。</w:t>
      </w:r>
    </w:p>
    <w:p w14:paraId="7BFF193D">
      <w:pPr>
        <w:pStyle w:val="6"/>
        <w:spacing w:line="360" w:lineRule="auto"/>
        <w:ind w:left="0" w:firstLine="482" w:firstLineChars="200"/>
        <w:rPr>
          <w:rFonts w:ascii="宋体" w:hAnsi="宋体" w:eastAsia="宋体" w:cs="宋体"/>
          <w:bCs w:val="0"/>
          <w:color w:val="auto"/>
          <w:sz w:val="24"/>
          <w:szCs w:val="24"/>
          <w:highlight w:val="none"/>
        </w:rPr>
      </w:pPr>
      <w:r>
        <w:rPr>
          <w:rFonts w:ascii="宋体" w:hAnsi="宋体" w:eastAsia="宋体" w:cs="宋体"/>
          <w:bCs w:val="0"/>
          <w:color w:val="auto"/>
          <w:sz w:val="24"/>
          <w:szCs w:val="24"/>
          <w:highlight w:val="none"/>
        </w:rPr>
        <w:t>5. 工程质量</w:t>
      </w:r>
    </w:p>
    <w:p w14:paraId="41B4DECE">
      <w:pPr>
        <w:spacing w:line="360" w:lineRule="auto"/>
        <w:ind w:firstLine="480" w:firstLineChars="200"/>
        <w:rPr>
          <w:rFonts w:ascii="宋体" w:hAnsi="宋体"/>
          <w:color w:val="auto"/>
          <w:sz w:val="24"/>
          <w:highlight w:val="none"/>
        </w:rPr>
      </w:pPr>
      <w:r>
        <w:rPr>
          <w:rFonts w:ascii="宋体" w:hAnsi="宋体"/>
          <w:color w:val="auto"/>
          <w:sz w:val="24"/>
          <w:highlight w:val="none"/>
        </w:rPr>
        <w:t>5.1 质量要求</w:t>
      </w:r>
    </w:p>
    <w:p w14:paraId="5AE0E1B4">
      <w:pPr>
        <w:spacing w:line="360" w:lineRule="auto"/>
        <w:ind w:firstLine="480" w:firstLineChars="200"/>
        <w:rPr>
          <w:rFonts w:ascii="宋体" w:hAnsi="宋体"/>
          <w:b/>
          <w:color w:val="auto"/>
          <w:sz w:val="24"/>
          <w:highlight w:val="none"/>
          <w:u w:val="single"/>
        </w:rPr>
      </w:pPr>
      <w:r>
        <w:rPr>
          <w:rFonts w:ascii="宋体" w:hAnsi="宋体"/>
          <w:color w:val="auto"/>
          <w:sz w:val="24"/>
          <w:highlight w:val="none"/>
        </w:rPr>
        <w:t>5.1.1 特殊质量标准和要求：</w:t>
      </w:r>
      <w:r>
        <w:rPr>
          <w:rFonts w:ascii="宋体" w:hAnsi="宋体"/>
          <w:b/>
          <w:color w:val="auto"/>
          <w:sz w:val="24"/>
          <w:highlight w:val="none"/>
          <w:u w:val="single"/>
        </w:rPr>
        <w:t xml:space="preserve">（1）质量标准应符合相关国家标准和规范要求。 </w:t>
      </w:r>
    </w:p>
    <w:p w14:paraId="24633DF1">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 xml:space="preserve">（2）有消防要求的材料、设备检验需与工程同步，不得影响消防验收。 </w:t>
      </w:r>
    </w:p>
    <w:p w14:paraId="406ED31B">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 xml:space="preserve">（3）双方对工程质量有争议的，由双方同意的检测机构鉴定，所需费用及因此造成的损失，由责任方承担。双方都有责任的，由双方根据责任分别承担。双方对工程质量有争议，选择检测机构达不成一致意见的，发包人有单方选择检测机构的权利，检测结果对承包人有约束力。 </w:t>
      </w:r>
    </w:p>
    <w:p w14:paraId="59833173">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 xml:space="preserve">（4）承包人在报价时应充分考虑本工程的质量要求，对本工程各项工艺、材料的检查、检验、试验、测试等所需费用和时间应充分考虑。 </w:t>
      </w:r>
    </w:p>
    <w:p w14:paraId="7613E42A">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 xml:space="preserve">（5）在交付及保修期间，如因质量问题需维修，而责任暂时无法界定时，承包人应无条 件先进行维修，待界定责任主体后向相应责任主体追偿。 </w:t>
      </w:r>
    </w:p>
    <w:p w14:paraId="69ACC18D">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 xml:space="preserve">（6）本合同工程质量验收时需一次性通过合格验收。 </w:t>
      </w:r>
    </w:p>
    <w:p w14:paraId="219AAFDB">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关于工程奖项的约定：</w:t>
      </w:r>
      <w:r>
        <w:rPr>
          <w:rFonts w:ascii="宋体" w:hAnsi="宋体"/>
          <w:b/>
          <w:color w:val="auto"/>
          <w:sz w:val="24"/>
          <w:highlight w:val="none"/>
          <w:u w:val="single"/>
        </w:rPr>
        <w:t xml:space="preserve">/ </w:t>
      </w:r>
    </w:p>
    <w:p w14:paraId="2E4834FB">
      <w:pPr>
        <w:spacing w:line="360" w:lineRule="auto"/>
        <w:ind w:firstLine="480" w:firstLineChars="200"/>
        <w:rPr>
          <w:rFonts w:ascii="宋体" w:hAnsi="宋体"/>
          <w:color w:val="auto"/>
          <w:sz w:val="24"/>
          <w:highlight w:val="none"/>
        </w:rPr>
      </w:pPr>
      <w:r>
        <w:rPr>
          <w:rFonts w:ascii="宋体" w:hAnsi="宋体"/>
          <w:color w:val="auto"/>
          <w:sz w:val="24"/>
          <w:highlight w:val="none"/>
        </w:rPr>
        <w:t>5.3 隐蔽工程检查</w:t>
      </w:r>
    </w:p>
    <w:p w14:paraId="4E8A7A78">
      <w:pPr>
        <w:spacing w:line="360" w:lineRule="auto"/>
        <w:ind w:firstLine="480" w:firstLineChars="200"/>
        <w:rPr>
          <w:rFonts w:ascii="宋体" w:hAnsi="宋体"/>
          <w:color w:val="auto"/>
          <w:sz w:val="24"/>
          <w:highlight w:val="none"/>
        </w:rPr>
      </w:pPr>
      <w:r>
        <w:rPr>
          <w:rFonts w:ascii="宋体" w:hAnsi="宋体"/>
          <w:color w:val="auto"/>
          <w:sz w:val="24"/>
          <w:highlight w:val="none"/>
        </w:rPr>
        <w:t>5.3.2承包人提前通知监理人隐蔽工程检查的期限的约定：</w:t>
      </w:r>
      <w:r>
        <w:rPr>
          <w:rFonts w:ascii="宋体" w:hAnsi="宋体"/>
          <w:b/>
          <w:color w:val="auto"/>
          <w:sz w:val="24"/>
          <w:highlight w:val="none"/>
          <w:u w:val="single"/>
        </w:rPr>
        <w:t>按通用合同条款约定，承包人未通知监理人到场检查，私自将工程隐蔽部位覆盖的，监理人有权指示承包人钻孔探测或揭开检查，无论工程隐蔽部位质量是否合格，由此造成的工程费用及工期增加，均由承包人承担，且发包人有权视</w:t>
      </w:r>
      <w:r>
        <w:rPr>
          <w:rFonts w:hint="eastAsia" w:ascii="宋体" w:hAnsi="宋体"/>
          <w:b/>
          <w:color w:val="auto"/>
          <w:sz w:val="24"/>
          <w:highlight w:val="none"/>
          <w:u w:val="single"/>
        </w:rPr>
        <w:t>具体情况</w:t>
      </w:r>
      <w:r>
        <w:rPr>
          <w:rFonts w:ascii="宋体" w:hAnsi="宋体"/>
          <w:b/>
          <w:color w:val="auto"/>
          <w:sz w:val="24"/>
          <w:highlight w:val="none"/>
          <w:u w:val="single"/>
        </w:rPr>
        <w:t>，</w:t>
      </w:r>
      <w:r>
        <w:rPr>
          <w:rFonts w:hint="eastAsia" w:ascii="宋体" w:hAnsi="宋体"/>
          <w:b/>
          <w:color w:val="auto"/>
          <w:sz w:val="24"/>
          <w:highlight w:val="none"/>
          <w:u w:val="single"/>
        </w:rPr>
        <w:t>要求</w:t>
      </w:r>
      <w:r>
        <w:rPr>
          <w:rFonts w:ascii="宋体" w:hAnsi="宋体"/>
          <w:b/>
          <w:color w:val="auto"/>
          <w:sz w:val="24"/>
          <w:highlight w:val="none"/>
          <w:u w:val="single"/>
        </w:rPr>
        <w:t>承包人承担10000元/次及以上的违约金</w:t>
      </w:r>
      <w:r>
        <w:rPr>
          <w:rFonts w:ascii="宋体" w:hAnsi="宋体"/>
          <w:color w:val="auto"/>
          <w:sz w:val="24"/>
          <w:highlight w:val="none"/>
        </w:rPr>
        <w:t>。</w:t>
      </w:r>
    </w:p>
    <w:p w14:paraId="450592FD">
      <w:pPr>
        <w:spacing w:line="360" w:lineRule="auto"/>
        <w:ind w:firstLine="504" w:firstLineChars="210"/>
        <w:rPr>
          <w:rFonts w:ascii="宋体" w:hAnsi="宋体"/>
          <w:color w:val="auto"/>
          <w:sz w:val="24"/>
          <w:highlight w:val="none"/>
        </w:rPr>
      </w:pPr>
      <w:r>
        <w:rPr>
          <w:rFonts w:ascii="宋体" w:hAnsi="宋体"/>
          <w:color w:val="auto"/>
          <w:sz w:val="24"/>
          <w:highlight w:val="none"/>
        </w:rPr>
        <w:t>监理人不能按时进行检查时，应提前</w:t>
      </w:r>
      <w:r>
        <w:rPr>
          <w:rFonts w:ascii="宋体" w:hAnsi="宋体"/>
          <w:b/>
          <w:color w:val="auto"/>
          <w:sz w:val="24"/>
          <w:highlight w:val="none"/>
          <w:u w:val="single"/>
        </w:rPr>
        <w:t xml:space="preserve">24 </w:t>
      </w:r>
      <w:r>
        <w:rPr>
          <w:rFonts w:ascii="宋体" w:hAnsi="宋体"/>
          <w:color w:val="auto"/>
          <w:sz w:val="24"/>
          <w:highlight w:val="none"/>
        </w:rPr>
        <w:t>小时提交书面延期要求。</w:t>
      </w:r>
    </w:p>
    <w:p w14:paraId="04B01A28">
      <w:pPr>
        <w:spacing w:line="360" w:lineRule="auto"/>
        <w:ind w:firstLine="480" w:firstLineChars="200"/>
        <w:rPr>
          <w:rFonts w:ascii="宋体" w:hAnsi="宋体"/>
          <w:color w:val="auto"/>
          <w:sz w:val="24"/>
          <w:highlight w:val="none"/>
        </w:rPr>
      </w:pPr>
      <w:r>
        <w:rPr>
          <w:rFonts w:ascii="宋体" w:hAnsi="宋体"/>
          <w:color w:val="auto"/>
          <w:sz w:val="24"/>
          <w:highlight w:val="none"/>
        </w:rPr>
        <w:t>关于延期最长不得超过：</w:t>
      </w:r>
      <w:r>
        <w:rPr>
          <w:rFonts w:ascii="宋体" w:hAnsi="宋体"/>
          <w:b/>
          <w:color w:val="auto"/>
          <w:sz w:val="24"/>
          <w:highlight w:val="none"/>
          <w:u w:val="single"/>
        </w:rPr>
        <w:t xml:space="preserve">24 </w:t>
      </w:r>
      <w:r>
        <w:rPr>
          <w:rFonts w:ascii="宋体" w:hAnsi="宋体"/>
          <w:color w:val="auto"/>
          <w:sz w:val="24"/>
          <w:highlight w:val="none"/>
        </w:rPr>
        <w:t>小时。</w:t>
      </w:r>
    </w:p>
    <w:p w14:paraId="01B35CB4">
      <w:pPr>
        <w:pStyle w:val="6"/>
        <w:spacing w:line="360" w:lineRule="auto"/>
        <w:ind w:left="0" w:firstLine="482" w:firstLineChars="200"/>
        <w:rPr>
          <w:rFonts w:ascii="宋体" w:hAnsi="宋体" w:eastAsia="宋体" w:cs="宋体"/>
          <w:bCs w:val="0"/>
          <w:color w:val="auto"/>
          <w:sz w:val="24"/>
          <w:szCs w:val="24"/>
          <w:highlight w:val="none"/>
        </w:rPr>
      </w:pPr>
      <w:r>
        <w:rPr>
          <w:rFonts w:ascii="宋体" w:hAnsi="宋体" w:eastAsia="宋体" w:cs="宋体"/>
          <w:bCs w:val="0"/>
          <w:color w:val="auto"/>
          <w:sz w:val="24"/>
          <w:szCs w:val="24"/>
          <w:highlight w:val="none"/>
        </w:rPr>
        <w:t>6. 安全文明施工与环境保护</w:t>
      </w:r>
    </w:p>
    <w:p w14:paraId="1CB1CD46">
      <w:pPr>
        <w:spacing w:line="360" w:lineRule="auto"/>
        <w:ind w:firstLine="480" w:firstLineChars="200"/>
        <w:rPr>
          <w:rFonts w:ascii="宋体" w:hAnsi="宋体"/>
          <w:color w:val="auto"/>
          <w:sz w:val="24"/>
          <w:highlight w:val="none"/>
        </w:rPr>
      </w:pPr>
      <w:r>
        <w:rPr>
          <w:rFonts w:ascii="宋体" w:hAnsi="宋体"/>
          <w:color w:val="auto"/>
          <w:sz w:val="24"/>
          <w:highlight w:val="none"/>
        </w:rPr>
        <w:t>6.1安全文明施工</w:t>
      </w:r>
    </w:p>
    <w:p w14:paraId="23BC7F1E">
      <w:pPr>
        <w:spacing w:line="360" w:lineRule="auto"/>
        <w:ind w:firstLine="480" w:firstLineChars="200"/>
        <w:rPr>
          <w:rFonts w:ascii="宋体" w:hAnsi="宋体"/>
          <w:b/>
          <w:color w:val="auto"/>
          <w:sz w:val="24"/>
          <w:highlight w:val="none"/>
          <w:u w:val="single"/>
        </w:rPr>
      </w:pPr>
      <w:r>
        <w:rPr>
          <w:rFonts w:ascii="宋体" w:hAnsi="宋体"/>
          <w:color w:val="auto"/>
          <w:sz w:val="24"/>
          <w:highlight w:val="none"/>
        </w:rPr>
        <w:t>6.1.1 项目安全生产的达标目标及相应事项的约定：</w:t>
      </w:r>
      <w:r>
        <w:rPr>
          <w:rFonts w:ascii="宋体" w:hAnsi="宋体"/>
          <w:b/>
          <w:color w:val="auto"/>
          <w:sz w:val="24"/>
          <w:highlight w:val="none"/>
          <w:u w:val="single"/>
        </w:rPr>
        <w:t>施工现场按照《建筑施工安全检查标准》（JGJ59-2011）评定达到“合格”标准。</w:t>
      </w:r>
    </w:p>
    <w:p w14:paraId="7EFA4D4D">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6.1.4 关于治安保卫的特别约定：</w:t>
      </w:r>
      <w:r>
        <w:rPr>
          <w:rFonts w:ascii="宋体" w:hAnsi="宋体"/>
          <w:b/>
          <w:color w:val="auto"/>
          <w:sz w:val="24"/>
          <w:highlight w:val="none"/>
          <w:u w:val="single"/>
        </w:rPr>
        <w:t>按通用合同条款约定</w:t>
      </w:r>
      <w:r>
        <w:rPr>
          <w:rFonts w:ascii="宋体" w:hAnsi="宋体"/>
          <w:color w:val="auto"/>
          <w:sz w:val="24"/>
          <w:highlight w:val="none"/>
        </w:rPr>
        <w:t>。</w:t>
      </w:r>
    </w:p>
    <w:p w14:paraId="04CCDAE4">
      <w:pPr>
        <w:spacing w:line="360" w:lineRule="auto"/>
        <w:ind w:firstLine="480" w:firstLineChars="200"/>
        <w:rPr>
          <w:rFonts w:ascii="宋体" w:hAnsi="宋体"/>
          <w:color w:val="auto"/>
          <w:sz w:val="24"/>
          <w:highlight w:val="none"/>
        </w:rPr>
      </w:pPr>
      <w:r>
        <w:rPr>
          <w:rFonts w:ascii="宋体" w:hAnsi="宋体"/>
          <w:color w:val="auto"/>
          <w:sz w:val="24"/>
          <w:highlight w:val="none"/>
        </w:rPr>
        <w:t>关于编制施工场地治安管理计划的约定：</w:t>
      </w:r>
      <w:r>
        <w:rPr>
          <w:rFonts w:ascii="宋体" w:hAnsi="宋体"/>
          <w:b/>
          <w:color w:val="auto"/>
          <w:sz w:val="24"/>
          <w:highlight w:val="none"/>
          <w:u w:val="single"/>
        </w:rPr>
        <w:t>按通用合同条款约定</w:t>
      </w:r>
      <w:r>
        <w:rPr>
          <w:rFonts w:ascii="宋体" w:hAnsi="宋体"/>
          <w:color w:val="auto"/>
          <w:sz w:val="24"/>
          <w:highlight w:val="none"/>
        </w:rPr>
        <w:t>。</w:t>
      </w:r>
    </w:p>
    <w:p w14:paraId="14D10478">
      <w:pPr>
        <w:spacing w:line="360" w:lineRule="auto"/>
        <w:ind w:firstLine="480" w:firstLineChars="200"/>
        <w:rPr>
          <w:rFonts w:ascii="宋体" w:hAnsi="宋体"/>
          <w:color w:val="auto"/>
          <w:sz w:val="24"/>
          <w:highlight w:val="none"/>
        </w:rPr>
      </w:pPr>
      <w:r>
        <w:rPr>
          <w:rFonts w:ascii="宋体" w:hAnsi="宋体"/>
          <w:color w:val="auto"/>
          <w:sz w:val="24"/>
          <w:highlight w:val="none"/>
        </w:rPr>
        <w:t>6.1.5 文明施工</w:t>
      </w:r>
    </w:p>
    <w:p w14:paraId="2B2A1BBE">
      <w:pPr>
        <w:spacing w:line="360" w:lineRule="auto"/>
        <w:ind w:firstLine="480" w:firstLineChars="200"/>
        <w:rPr>
          <w:rFonts w:ascii="宋体" w:hAnsi="宋体"/>
          <w:color w:val="auto"/>
          <w:sz w:val="24"/>
          <w:highlight w:val="none"/>
        </w:rPr>
      </w:pPr>
      <w:r>
        <w:rPr>
          <w:rFonts w:ascii="宋体" w:hAnsi="宋体"/>
          <w:color w:val="auto"/>
          <w:sz w:val="24"/>
          <w:highlight w:val="none"/>
        </w:rPr>
        <w:t>合同当事人对文明施工的要求：</w:t>
      </w:r>
    </w:p>
    <w:p w14:paraId="2F8E20AB">
      <w:pPr>
        <w:spacing w:line="360" w:lineRule="auto"/>
        <w:ind w:firstLine="477" w:firstLineChars="198"/>
        <w:rPr>
          <w:rFonts w:ascii="宋体" w:hAnsi="宋体"/>
          <w:b/>
          <w:color w:val="auto"/>
          <w:sz w:val="24"/>
          <w:highlight w:val="none"/>
          <w:u w:val="single"/>
        </w:rPr>
      </w:pPr>
      <w:r>
        <w:rPr>
          <w:rFonts w:ascii="宋体" w:hAnsi="宋体"/>
          <w:b/>
          <w:color w:val="auto"/>
          <w:sz w:val="24"/>
          <w:highlight w:val="none"/>
          <w:u w:val="single"/>
        </w:rPr>
        <w:t>（1）遵守地方政府和有关部门对施工场地交通、环卫、安全和施工噪音等管理规定，并办理相关审批手续</w:t>
      </w:r>
      <w:r>
        <w:rPr>
          <w:rFonts w:ascii="宋体" w:hAnsi="宋体"/>
          <w:b/>
          <w:color w:val="auto"/>
          <w:sz w:val="24"/>
          <w:highlight w:val="none"/>
        </w:rPr>
        <w:t>。</w:t>
      </w:r>
    </w:p>
    <w:p w14:paraId="2F39EFF5">
      <w:pPr>
        <w:spacing w:line="360" w:lineRule="auto"/>
        <w:ind w:firstLine="477" w:firstLineChars="198"/>
        <w:rPr>
          <w:rFonts w:ascii="宋体" w:hAnsi="宋体"/>
          <w:b/>
          <w:color w:val="auto"/>
          <w:sz w:val="24"/>
          <w:highlight w:val="none"/>
        </w:rPr>
      </w:pPr>
      <w:r>
        <w:rPr>
          <w:rFonts w:ascii="宋体" w:hAnsi="宋体"/>
          <w:b/>
          <w:color w:val="auto"/>
          <w:sz w:val="24"/>
          <w:highlight w:val="none"/>
          <w:u w:val="single"/>
        </w:rPr>
        <w:t>（2）承包人应采取有效措施尽量减小尘土和噪音污染，需要进行夜间作业时应经有关部门批准</w:t>
      </w:r>
      <w:r>
        <w:rPr>
          <w:rFonts w:ascii="宋体" w:hAnsi="宋体"/>
          <w:b/>
          <w:color w:val="auto"/>
          <w:sz w:val="24"/>
          <w:highlight w:val="none"/>
        </w:rPr>
        <w:t>。</w:t>
      </w:r>
    </w:p>
    <w:p w14:paraId="30BBD9E3">
      <w:pPr>
        <w:spacing w:line="360" w:lineRule="auto"/>
        <w:ind w:firstLine="477" w:firstLineChars="198"/>
        <w:rPr>
          <w:rFonts w:ascii="宋体" w:hAnsi="宋体"/>
          <w:b/>
          <w:color w:val="auto"/>
          <w:sz w:val="24"/>
          <w:highlight w:val="none"/>
          <w:u w:val="single"/>
        </w:rPr>
      </w:pPr>
      <w:r>
        <w:rPr>
          <w:rFonts w:ascii="宋体" w:hAnsi="宋体"/>
          <w:b/>
          <w:color w:val="auto"/>
          <w:sz w:val="24"/>
          <w:highlight w:val="none"/>
          <w:u w:val="single"/>
        </w:rPr>
        <w:t>（3）其他：</w:t>
      </w:r>
    </w:p>
    <w:p w14:paraId="48411FFE">
      <w:pPr>
        <w:spacing w:line="360" w:lineRule="auto"/>
        <w:ind w:firstLine="477" w:firstLineChars="198"/>
        <w:rPr>
          <w:rFonts w:ascii="宋体" w:hAnsi="宋体"/>
          <w:b/>
          <w:color w:val="auto"/>
          <w:sz w:val="24"/>
          <w:highlight w:val="none"/>
          <w:u w:val="single"/>
        </w:rPr>
      </w:pPr>
      <w:r>
        <w:rPr>
          <w:rFonts w:ascii="宋体" w:hAnsi="宋体"/>
          <w:b/>
          <w:color w:val="auto"/>
          <w:sz w:val="24"/>
          <w:highlight w:val="none"/>
          <w:u w:val="single"/>
        </w:rPr>
        <w:t>①承包人必须认真执行国家、省、市有关建筑施工安全生产条例和有关规定，施工期间必须认真做好安全管理工作，杜绝重大安全事故发生，同时做好社会综合治理工作。如因承包人管理不善，引起政府有关部门罚款或责令停工整改等，其发生的所有的费用或导致的损失均由承包人自行承担，工期不予顺延，且发包人保留因此而缓付工程进度款的权利。承包人在施工期间发生的事故，一切责任和经济补偿均由承包人自行负责，同时发包人将视情况</w:t>
      </w:r>
      <w:r>
        <w:rPr>
          <w:rFonts w:hint="eastAsia" w:ascii="宋体" w:hAnsi="宋体"/>
          <w:b/>
          <w:color w:val="auto"/>
          <w:sz w:val="24"/>
          <w:highlight w:val="none"/>
          <w:u w:val="single"/>
        </w:rPr>
        <w:t>有权要求</w:t>
      </w:r>
      <w:r>
        <w:rPr>
          <w:rFonts w:ascii="宋体" w:hAnsi="宋体"/>
          <w:b/>
          <w:color w:val="auto"/>
          <w:sz w:val="24"/>
          <w:highlight w:val="none"/>
          <w:u w:val="single"/>
        </w:rPr>
        <w:t>承包人</w:t>
      </w:r>
      <w:r>
        <w:rPr>
          <w:rFonts w:hint="eastAsia" w:ascii="宋体" w:hAnsi="宋体"/>
          <w:b/>
          <w:color w:val="auto"/>
          <w:sz w:val="24"/>
          <w:highlight w:val="none"/>
          <w:u w:val="single"/>
        </w:rPr>
        <w:t>承担相应的违约责任</w:t>
      </w:r>
      <w:r>
        <w:rPr>
          <w:rFonts w:ascii="宋体" w:hAnsi="宋体"/>
          <w:b/>
          <w:color w:val="auto"/>
          <w:sz w:val="24"/>
          <w:highlight w:val="none"/>
          <w:u w:val="single"/>
        </w:rPr>
        <w:t xml:space="preserve">。  </w:t>
      </w:r>
    </w:p>
    <w:p w14:paraId="780C7A3A">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②承包人进场后与发包人签订现场安全文明施工协议书，由承包人编制专项详细方案，经双方确认后，承包人严格按此方案要求实施。材料堆放整齐，水、电设施管理规范，认真落实各项安全保护措施，并随时接受行业安全检查人员、发包人或监理工程师及有关部门的监督检查。</w:t>
      </w:r>
    </w:p>
    <w:p w14:paraId="3036EC50">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③承包人必须按照《杭州市建设工程文明施工管理规定》等省市区工程建设安全文明施工的有关规定，每天清扫卫生，以达到杭州市双标化工地的要求。相关安全生产、文明施工费用必须足额投入，专款专用，否则发包人有权拒绝支付该项费用。</w:t>
      </w:r>
    </w:p>
    <w:p w14:paraId="530733E7">
      <w:pPr>
        <w:spacing w:line="360" w:lineRule="auto"/>
        <w:ind w:firstLine="477" w:firstLineChars="198"/>
        <w:rPr>
          <w:rFonts w:ascii="宋体" w:hAnsi="宋体"/>
          <w:b/>
          <w:color w:val="auto"/>
          <w:sz w:val="24"/>
          <w:highlight w:val="none"/>
          <w:u w:val="single"/>
        </w:rPr>
      </w:pPr>
      <w:r>
        <w:rPr>
          <w:rFonts w:ascii="宋体" w:hAnsi="宋体"/>
          <w:b/>
          <w:color w:val="auto"/>
          <w:sz w:val="24"/>
          <w:highlight w:val="none"/>
          <w:u w:val="single"/>
        </w:rPr>
        <w:t>④承包人应建立健全的施工现场安全责任制，强化安全意识，抓好安全生产，对进入施工现场的施工人员进行安全文明施工教育，持证上岗，配备必要的劳动保护用具，消除安全隐患，杜绝事故发生，保证工程的施工安全和人身安全；施工中若发生安全及人身事故均由承包人自行负责处理，并承担全部费用。发现有违反安全生产操作规范的，发包人有权提出整改，承包人必须整改到位。</w:t>
      </w:r>
    </w:p>
    <w:p w14:paraId="1FC6C826">
      <w:pPr>
        <w:spacing w:line="360" w:lineRule="auto"/>
        <w:ind w:firstLine="477" w:firstLineChars="198"/>
        <w:rPr>
          <w:rFonts w:ascii="宋体" w:hAnsi="宋体"/>
          <w:b/>
          <w:color w:val="auto"/>
          <w:sz w:val="24"/>
          <w:highlight w:val="none"/>
          <w:u w:val="single"/>
        </w:rPr>
      </w:pPr>
      <w:r>
        <w:rPr>
          <w:rFonts w:ascii="宋体" w:hAnsi="宋体"/>
          <w:b/>
          <w:color w:val="auto"/>
          <w:sz w:val="24"/>
          <w:highlight w:val="none"/>
          <w:u w:val="single"/>
        </w:rPr>
        <w:t>⑤安全施工所发生的费用承包人已在投标报价中包干，发生重大伤亡事故或其他事故，承包人应及时上报发包人，并承担全部赔偿责任（非承包人原因除外）。若出现重大事故的，</w:t>
      </w:r>
      <w:r>
        <w:rPr>
          <w:rFonts w:hint="eastAsia" w:ascii="宋体" w:hAnsi="宋体"/>
          <w:b/>
          <w:color w:val="auto"/>
          <w:sz w:val="24"/>
          <w:highlight w:val="none"/>
          <w:u w:val="single"/>
        </w:rPr>
        <w:t>承包人应承担</w:t>
      </w:r>
      <w:r>
        <w:rPr>
          <w:rFonts w:ascii="宋体" w:hAnsi="宋体"/>
          <w:b/>
          <w:color w:val="auto"/>
          <w:sz w:val="24"/>
          <w:highlight w:val="none"/>
          <w:u w:val="single"/>
        </w:rPr>
        <w:t>10万元的</w:t>
      </w:r>
      <w:r>
        <w:rPr>
          <w:rFonts w:hint="eastAsia" w:ascii="宋体" w:hAnsi="宋体"/>
          <w:b/>
          <w:color w:val="auto"/>
          <w:sz w:val="24"/>
          <w:highlight w:val="none"/>
          <w:u w:val="single"/>
        </w:rPr>
        <w:t>违约金</w:t>
      </w:r>
      <w:r>
        <w:rPr>
          <w:rFonts w:ascii="宋体" w:hAnsi="宋体"/>
          <w:b/>
          <w:color w:val="auto"/>
          <w:sz w:val="24"/>
          <w:highlight w:val="none"/>
          <w:u w:val="single"/>
        </w:rPr>
        <w:t>（重大事故的判别以建设部令《工程建设重大事故报告合调查程序规定》为准），并确保在15天内，按照相关程序积极妥善处理好善后事宜，否则发包人有权直接处理。</w:t>
      </w:r>
    </w:p>
    <w:p w14:paraId="48BD3ECD">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（4）上述手续办理费用约定如下：承包人已在投标报价中包干，发生重大伤亡事故或其他事故，承包人应及时上报发包人，并承担全部赔偿责任。</w:t>
      </w:r>
    </w:p>
    <w:p w14:paraId="720E456A">
      <w:pPr>
        <w:spacing w:line="360" w:lineRule="auto"/>
        <w:ind w:left="149" w:leftChars="71" w:firstLine="360" w:firstLineChars="150"/>
        <w:rPr>
          <w:rFonts w:ascii="宋体" w:hAnsi="宋体"/>
          <w:color w:val="auto"/>
          <w:sz w:val="24"/>
          <w:highlight w:val="none"/>
        </w:rPr>
      </w:pPr>
      <w:r>
        <w:rPr>
          <w:rFonts w:ascii="宋体" w:hAnsi="宋体"/>
          <w:color w:val="auto"/>
          <w:sz w:val="24"/>
          <w:highlight w:val="none"/>
        </w:rPr>
        <w:t>6.1.6 关于安全文明施工费支付比例和支付期限的约定，按以下</w:t>
      </w:r>
      <w:bookmarkStart w:id="400" w:name="ed_2022Y1M25D9H42M33"/>
      <w:r>
        <w:rPr>
          <w:rFonts w:ascii="宋体" w:hAnsi="宋体"/>
          <w:color w:val="auto"/>
          <w:sz w:val="24"/>
          <w:highlight w:val="none"/>
          <w:u w:val="single"/>
        </w:rPr>
        <w:t>第</w:t>
      </w:r>
      <w:r>
        <w:rPr>
          <w:rFonts w:ascii="宋体" w:hAnsi="宋体"/>
          <w:b/>
          <w:color w:val="auto"/>
          <w:sz w:val="24"/>
          <w:highlight w:val="none"/>
          <w:u w:val="single"/>
        </w:rPr>
        <w:t>（1）</w:t>
      </w:r>
      <w:r>
        <w:rPr>
          <w:rFonts w:ascii="宋体" w:hAnsi="宋体"/>
          <w:color w:val="auto"/>
          <w:sz w:val="24"/>
          <w:highlight w:val="none"/>
          <w:u w:val="single"/>
        </w:rPr>
        <w:t>种方式</w:t>
      </w:r>
      <w:bookmarkEnd w:id="400"/>
      <w:r>
        <w:rPr>
          <w:rFonts w:ascii="宋体" w:hAnsi="宋体"/>
          <w:color w:val="auto"/>
          <w:sz w:val="24"/>
          <w:highlight w:val="none"/>
        </w:rPr>
        <w:t>约定：</w:t>
      </w:r>
    </w:p>
    <w:p w14:paraId="7BE562D0">
      <w:pPr>
        <w:spacing w:line="360" w:lineRule="auto"/>
        <w:ind w:firstLine="477" w:firstLineChars="198"/>
        <w:rPr>
          <w:rFonts w:ascii="宋体" w:hAnsi="宋体"/>
          <w:b/>
          <w:color w:val="auto"/>
          <w:sz w:val="24"/>
          <w:highlight w:val="none"/>
          <w:u w:val="single"/>
        </w:rPr>
      </w:pPr>
      <w:r>
        <w:rPr>
          <w:rFonts w:ascii="宋体" w:hAnsi="宋体"/>
          <w:b/>
          <w:color w:val="auto"/>
          <w:sz w:val="24"/>
          <w:highlight w:val="none"/>
          <w:u w:val="single"/>
        </w:rPr>
        <w:t xml:space="preserve">（1）发包人应在开工后28天内预付安全文明施工费总额的60%，剩余部分支付按以下第（  ①  ）种方式约定 ：                           </w:t>
      </w:r>
    </w:p>
    <w:p w14:paraId="68B58FA5">
      <w:pPr>
        <w:spacing w:line="360" w:lineRule="auto"/>
        <w:ind w:firstLine="477" w:firstLineChars="198"/>
        <w:rPr>
          <w:rFonts w:ascii="宋体" w:hAnsi="宋体"/>
          <w:b/>
          <w:color w:val="auto"/>
          <w:sz w:val="24"/>
          <w:highlight w:val="none"/>
        </w:rPr>
      </w:pPr>
      <w:r>
        <w:rPr>
          <w:rFonts w:ascii="宋体" w:hAnsi="宋体"/>
          <w:b/>
          <w:color w:val="auto"/>
          <w:sz w:val="24"/>
          <w:highlight w:val="none"/>
        </w:rPr>
        <w:t>①</w:t>
      </w:r>
      <w:r>
        <w:rPr>
          <w:rFonts w:ascii="宋体" w:hAnsi="宋体"/>
          <w:b/>
          <w:color w:val="auto"/>
          <w:sz w:val="24"/>
          <w:highlight w:val="none"/>
          <w:u w:val="single"/>
        </w:rPr>
        <w:t xml:space="preserve">视相关措施的落实情况与进度款同期支付             </w:t>
      </w:r>
      <w:r>
        <w:rPr>
          <w:rFonts w:ascii="宋体" w:hAnsi="宋体"/>
          <w:b/>
          <w:color w:val="auto"/>
          <w:sz w:val="24"/>
          <w:highlight w:val="none"/>
        </w:rPr>
        <w:t>。</w:t>
      </w:r>
    </w:p>
    <w:p w14:paraId="3052247E">
      <w:pPr>
        <w:spacing w:line="360" w:lineRule="auto"/>
        <w:ind w:firstLine="477" w:firstLineChars="198"/>
        <w:rPr>
          <w:rFonts w:ascii="宋体" w:hAnsi="宋体"/>
          <w:b/>
          <w:color w:val="auto"/>
          <w:sz w:val="24"/>
          <w:highlight w:val="none"/>
          <w:u w:val="single"/>
        </w:rPr>
      </w:pPr>
      <w:r>
        <w:rPr>
          <w:rFonts w:ascii="宋体" w:hAnsi="宋体"/>
          <w:b/>
          <w:color w:val="auto"/>
          <w:sz w:val="24"/>
          <w:highlight w:val="none"/>
        </w:rPr>
        <w:t>②</w:t>
      </w:r>
      <w:r>
        <w:rPr>
          <w:rFonts w:ascii="宋体" w:hAnsi="宋体"/>
          <w:b/>
          <w:color w:val="auto"/>
          <w:sz w:val="24"/>
          <w:highlight w:val="none"/>
          <w:u w:val="single"/>
        </w:rPr>
        <w:t xml:space="preserve">  其他：    /    </w:t>
      </w:r>
      <w:r>
        <w:rPr>
          <w:rFonts w:ascii="宋体" w:hAnsi="宋体"/>
          <w:b/>
          <w:color w:val="auto"/>
          <w:sz w:val="24"/>
          <w:highlight w:val="none"/>
        </w:rPr>
        <w:t>。</w:t>
      </w:r>
    </w:p>
    <w:p w14:paraId="52654305">
      <w:pPr>
        <w:spacing w:line="360" w:lineRule="auto"/>
        <w:ind w:firstLine="482" w:firstLineChars="200"/>
        <w:rPr>
          <w:rFonts w:ascii="宋体" w:hAnsi="宋体"/>
          <w:b/>
          <w:color w:val="auto"/>
          <w:sz w:val="24"/>
          <w:highlight w:val="none"/>
        </w:rPr>
      </w:pPr>
      <w:r>
        <w:rPr>
          <w:rFonts w:ascii="宋体" w:hAnsi="宋体"/>
          <w:b/>
          <w:color w:val="auto"/>
          <w:sz w:val="24"/>
          <w:highlight w:val="none"/>
          <w:u w:val="single"/>
        </w:rPr>
        <w:t xml:space="preserve">（2）其他：/  </w:t>
      </w:r>
      <w:r>
        <w:rPr>
          <w:rFonts w:ascii="宋体" w:hAnsi="宋体"/>
          <w:b/>
          <w:color w:val="auto"/>
          <w:sz w:val="24"/>
          <w:highlight w:val="none"/>
        </w:rPr>
        <w:t>。</w:t>
      </w:r>
    </w:p>
    <w:p w14:paraId="70AD2329">
      <w:pPr>
        <w:pStyle w:val="6"/>
        <w:spacing w:line="360" w:lineRule="auto"/>
        <w:ind w:left="0" w:firstLine="482" w:firstLineChars="200"/>
        <w:rPr>
          <w:rFonts w:ascii="宋体" w:hAnsi="宋体" w:eastAsia="宋体" w:cs="宋体"/>
          <w:bCs w:val="0"/>
          <w:color w:val="auto"/>
          <w:sz w:val="24"/>
          <w:szCs w:val="24"/>
          <w:highlight w:val="none"/>
        </w:rPr>
      </w:pPr>
      <w:r>
        <w:rPr>
          <w:rFonts w:ascii="宋体" w:hAnsi="宋体" w:eastAsia="宋体" w:cs="宋体"/>
          <w:bCs w:val="0"/>
          <w:color w:val="auto"/>
          <w:sz w:val="24"/>
          <w:szCs w:val="24"/>
          <w:highlight w:val="none"/>
        </w:rPr>
        <w:t>7. 工期和进度</w:t>
      </w:r>
    </w:p>
    <w:p w14:paraId="7A5C0399">
      <w:pPr>
        <w:spacing w:line="360" w:lineRule="auto"/>
        <w:ind w:firstLine="480" w:firstLineChars="200"/>
        <w:rPr>
          <w:rFonts w:ascii="宋体" w:hAnsi="宋体"/>
          <w:color w:val="auto"/>
          <w:sz w:val="24"/>
          <w:highlight w:val="none"/>
        </w:rPr>
      </w:pPr>
      <w:r>
        <w:rPr>
          <w:rFonts w:ascii="宋体" w:hAnsi="宋体"/>
          <w:color w:val="auto"/>
          <w:sz w:val="24"/>
          <w:highlight w:val="none"/>
        </w:rPr>
        <w:t>7.1 施工组织设计</w:t>
      </w:r>
    </w:p>
    <w:p w14:paraId="3BCBCEB0">
      <w:pPr>
        <w:spacing w:line="360" w:lineRule="auto"/>
        <w:ind w:firstLine="480" w:firstLineChars="200"/>
        <w:rPr>
          <w:rFonts w:ascii="宋体" w:hAnsi="宋体"/>
          <w:color w:val="auto"/>
          <w:sz w:val="24"/>
          <w:highlight w:val="none"/>
        </w:rPr>
      </w:pPr>
      <w:r>
        <w:rPr>
          <w:rFonts w:ascii="宋体" w:hAnsi="宋体"/>
          <w:color w:val="auto"/>
          <w:sz w:val="24"/>
          <w:highlight w:val="none"/>
        </w:rPr>
        <w:t>7.1.1 合同当事人约定的施工组织设计应包括的其他内容：</w:t>
      </w:r>
      <w:r>
        <w:rPr>
          <w:rFonts w:ascii="宋体" w:hAnsi="宋体"/>
          <w:b/>
          <w:color w:val="auto"/>
          <w:sz w:val="24"/>
          <w:highlight w:val="none"/>
          <w:u w:val="single"/>
        </w:rPr>
        <w:t>按监理工程师要求</w:t>
      </w:r>
      <w:r>
        <w:rPr>
          <w:rFonts w:ascii="宋体" w:hAnsi="宋体"/>
          <w:color w:val="auto"/>
          <w:sz w:val="24"/>
          <w:highlight w:val="none"/>
        </w:rPr>
        <w:t>。</w:t>
      </w:r>
    </w:p>
    <w:p w14:paraId="3B536C46">
      <w:pPr>
        <w:spacing w:line="360" w:lineRule="auto"/>
        <w:ind w:firstLine="480" w:firstLineChars="200"/>
        <w:rPr>
          <w:rFonts w:ascii="宋体" w:hAnsi="宋体"/>
          <w:color w:val="auto"/>
          <w:sz w:val="24"/>
          <w:highlight w:val="none"/>
        </w:rPr>
      </w:pPr>
      <w:r>
        <w:rPr>
          <w:rFonts w:ascii="宋体" w:hAnsi="宋体"/>
          <w:color w:val="auto"/>
          <w:sz w:val="24"/>
          <w:highlight w:val="none"/>
        </w:rPr>
        <w:t>7.1.2 施工组织设计的提交和修改</w:t>
      </w:r>
    </w:p>
    <w:p w14:paraId="052BD9E7">
      <w:pPr>
        <w:spacing w:line="360" w:lineRule="auto"/>
        <w:ind w:firstLine="504" w:firstLineChars="210"/>
        <w:rPr>
          <w:rFonts w:ascii="宋体" w:hAnsi="宋体"/>
          <w:color w:val="auto"/>
          <w:sz w:val="24"/>
          <w:highlight w:val="none"/>
          <w:u w:val="single"/>
        </w:rPr>
      </w:pPr>
      <w:r>
        <w:rPr>
          <w:rFonts w:ascii="宋体" w:hAnsi="宋体"/>
          <w:color w:val="auto"/>
          <w:sz w:val="24"/>
          <w:highlight w:val="none"/>
        </w:rPr>
        <w:t>承包人提交详细施工组织设计的期限的约定：</w:t>
      </w:r>
      <w:r>
        <w:rPr>
          <w:rFonts w:ascii="宋体" w:hAnsi="宋体"/>
          <w:b/>
          <w:color w:val="auto"/>
          <w:sz w:val="24"/>
          <w:highlight w:val="none"/>
          <w:u w:val="single"/>
        </w:rPr>
        <w:t>合同签订后（ 3 ）天内提供详细施工组织设计（施工方案）和进度计划</w:t>
      </w:r>
      <w:r>
        <w:rPr>
          <w:rFonts w:ascii="宋体" w:hAnsi="宋体"/>
          <w:b/>
          <w:color w:val="auto"/>
          <w:sz w:val="24"/>
          <w:highlight w:val="none"/>
        </w:rPr>
        <w:t>。</w:t>
      </w:r>
    </w:p>
    <w:p w14:paraId="0FA00C5C">
      <w:pPr>
        <w:spacing w:line="360" w:lineRule="auto"/>
        <w:ind w:firstLine="480" w:firstLineChars="200"/>
        <w:rPr>
          <w:rFonts w:ascii="宋体" w:hAnsi="宋体"/>
          <w:color w:val="auto"/>
          <w:sz w:val="24"/>
          <w:highlight w:val="none"/>
        </w:rPr>
      </w:pPr>
      <w:r>
        <w:rPr>
          <w:rFonts w:ascii="宋体" w:hAnsi="宋体"/>
          <w:color w:val="auto"/>
          <w:sz w:val="24"/>
          <w:highlight w:val="none"/>
        </w:rPr>
        <w:t>发包人和监理人在收到详细的施工组织设计后确认或提出修改意见的期限：</w:t>
      </w:r>
      <w:r>
        <w:rPr>
          <w:rFonts w:ascii="宋体" w:hAnsi="宋体"/>
          <w:b/>
          <w:color w:val="auto"/>
          <w:sz w:val="24"/>
          <w:highlight w:val="none"/>
          <w:u w:val="single"/>
        </w:rPr>
        <w:t>监理人应在收到承包人文件后7天内审查完毕并报送发包人审核，发包人应在收到监理人报送的文件后7天内审查完毕；发包人和监理人对承包人文件若有异议的，承包人应予以修改，并进行重新报送。发包人和监理人的审查并不减轻或免除承包人根据合同约定应当承担的责任</w:t>
      </w:r>
      <w:r>
        <w:rPr>
          <w:rFonts w:ascii="宋体" w:hAnsi="宋体"/>
          <w:color w:val="auto"/>
          <w:sz w:val="24"/>
          <w:highlight w:val="none"/>
        </w:rPr>
        <w:t>。</w:t>
      </w:r>
    </w:p>
    <w:p w14:paraId="68D7F467">
      <w:pPr>
        <w:spacing w:line="360" w:lineRule="auto"/>
        <w:ind w:firstLine="480" w:firstLineChars="200"/>
        <w:rPr>
          <w:rFonts w:ascii="宋体" w:hAnsi="宋体"/>
          <w:color w:val="auto"/>
          <w:sz w:val="24"/>
          <w:highlight w:val="none"/>
        </w:rPr>
      </w:pPr>
      <w:r>
        <w:rPr>
          <w:rFonts w:ascii="宋体" w:hAnsi="宋体"/>
          <w:color w:val="auto"/>
          <w:sz w:val="24"/>
          <w:highlight w:val="none"/>
        </w:rPr>
        <w:t>7.2 施工进度计划</w:t>
      </w:r>
    </w:p>
    <w:p w14:paraId="33D49C85">
      <w:pPr>
        <w:spacing w:line="360" w:lineRule="auto"/>
        <w:ind w:firstLine="480" w:firstLineChars="200"/>
        <w:rPr>
          <w:rFonts w:ascii="宋体" w:hAnsi="宋体"/>
          <w:color w:val="auto"/>
          <w:sz w:val="24"/>
          <w:highlight w:val="none"/>
        </w:rPr>
      </w:pPr>
      <w:r>
        <w:rPr>
          <w:rFonts w:ascii="宋体" w:hAnsi="宋体"/>
          <w:color w:val="auto"/>
          <w:sz w:val="24"/>
          <w:highlight w:val="none"/>
        </w:rPr>
        <w:t>7.2.2 施工进度计划的修订</w:t>
      </w:r>
    </w:p>
    <w:p w14:paraId="4B2918B2">
      <w:pPr>
        <w:spacing w:line="360" w:lineRule="auto"/>
        <w:ind w:firstLine="480" w:firstLineChars="200"/>
        <w:rPr>
          <w:rFonts w:ascii="宋体" w:hAnsi="宋体"/>
          <w:color w:val="auto"/>
          <w:sz w:val="24"/>
          <w:highlight w:val="none"/>
        </w:rPr>
      </w:pPr>
      <w:r>
        <w:rPr>
          <w:rFonts w:ascii="宋体" w:hAnsi="宋体"/>
          <w:color w:val="auto"/>
          <w:sz w:val="24"/>
          <w:highlight w:val="none"/>
        </w:rPr>
        <w:t>发包人和监理人在收到修订的施工进度计划后确认或提出修改意见的期限：</w:t>
      </w:r>
      <w:r>
        <w:rPr>
          <w:rFonts w:ascii="宋体" w:hAnsi="宋体"/>
          <w:b/>
          <w:color w:val="auto"/>
          <w:sz w:val="24"/>
          <w:highlight w:val="none"/>
          <w:u w:val="single"/>
        </w:rPr>
        <w:t>监理人应在收到承包人文件后7天内审查完毕并报送发包人审核，发包人应在收到监理人报送的文件后7天内审查完毕；发包人和监理人对承包人文件若有异议的，承包人应予以修改，并进行重新报送。发包人和监理人的审查并不减轻或免除承包人根据合同约定应当承担的责任</w:t>
      </w:r>
      <w:r>
        <w:rPr>
          <w:rFonts w:ascii="宋体" w:hAnsi="宋体"/>
          <w:color w:val="auto"/>
          <w:sz w:val="24"/>
          <w:highlight w:val="none"/>
        </w:rPr>
        <w:t>。</w:t>
      </w:r>
    </w:p>
    <w:p w14:paraId="770A458C">
      <w:pPr>
        <w:spacing w:line="360" w:lineRule="auto"/>
        <w:ind w:firstLine="480" w:firstLineChars="200"/>
        <w:rPr>
          <w:rFonts w:ascii="宋体" w:hAnsi="宋体"/>
          <w:color w:val="auto"/>
          <w:sz w:val="24"/>
          <w:highlight w:val="none"/>
        </w:rPr>
      </w:pPr>
      <w:r>
        <w:rPr>
          <w:rFonts w:ascii="宋体" w:hAnsi="宋体"/>
          <w:color w:val="auto"/>
          <w:sz w:val="24"/>
          <w:highlight w:val="none"/>
        </w:rPr>
        <w:t>7.3 开工</w:t>
      </w:r>
    </w:p>
    <w:p w14:paraId="7BA8BFDC">
      <w:pPr>
        <w:spacing w:line="360" w:lineRule="auto"/>
        <w:ind w:firstLine="480" w:firstLineChars="200"/>
        <w:rPr>
          <w:rFonts w:ascii="宋体" w:hAnsi="宋体"/>
          <w:color w:val="auto"/>
          <w:sz w:val="24"/>
          <w:highlight w:val="none"/>
        </w:rPr>
      </w:pPr>
      <w:r>
        <w:rPr>
          <w:rFonts w:ascii="宋体" w:hAnsi="宋体"/>
          <w:color w:val="auto"/>
          <w:sz w:val="24"/>
          <w:highlight w:val="none"/>
        </w:rPr>
        <w:t>7.3.1 开工准备</w:t>
      </w:r>
    </w:p>
    <w:p w14:paraId="5F63A22E">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关于承包人提交工程开工报审表的期限：</w:t>
      </w:r>
      <w:r>
        <w:rPr>
          <w:rFonts w:ascii="宋体" w:hAnsi="宋体"/>
          <w:b/>
          <w:color w:val="auto"/>
          <w:sz w:val="24"/>
          <w:highlight w:val="none"/>
          <w:u w:val="single"/>
        </w:rPr>
        <w:t>按通用合同条款约定</w:t>
      </w:r>
      <w:r>
        <w:rPr>
          <w:rFonts w:ascii="宋体" w:hAnsi="宋体"/>
          <w:color w:val="auto"/>
          <w:sz w:val="24"/>
          <w:highlight w:val="none"/>
        </w:rPr>
        <w:t>。</w:t>
      </w:r>
    </w:p>
    <w:p w14:paraId="4CA72A6E">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关于发包人应完成的其他开工准备工作及期限：</w:t>
      </w:r>
      <w:r>
        <w:rPr>
          <w:rFonts w:ascii="宋体" w:hAnsi="宋体"/>
          <w:b/>
          <w:color w:val="auto"/>
          <w:sz w:val="24"/>
          <w:highlight w:val="none"/>
          <w:u w:val="single"/>
        </w:rPr>
        <w:t>同施工组织设计的提交时间</w:t>
      </w:r>
      <w:r>
        <w:rPr>
          <w:rFonts w:ascii="宋体" w:hAnsi="宋体"/>
          <w:color w:val="auto"/>
          <w:sz w:val="24"/>
          <w:highlight w:val="none"/>
        </w:rPr>
        <w:t>。</w:t>
      </w:r>
    </w:p>
    <w:p w14:paraId="5B368A40">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关于承包人应完成的其他开工准备工作及期限：</w:t>
      </w:r>
      <w:r>
        <w:rPr>
          <w:rFonts w:ascii="宋体" w:hAnsi="宋体"/>
          <w:b/>
          <w:color w:val="auto"/>
          <w:sz w:val="24"/>
          <w:highlight w:val="none"/>
          <w:u w:val="single"/>
        </w:rPr>
        <w:t>同施工组织设计的提交时间</w:t>
      </w:r>
      <w:r>
        <w:rPr>
          <w:rFonts w:ascii="宋体" w:hAnsi="宋体"/>
          <w:color w:val="auto"/>
          <w:sz w:val="24"/>
          <w:highlight w:val="none"/>
        </w:rPr>
        <w:t>。</w:t>
      </w:r>
    </w:p>
    <w:p w14:paraId="55B4DDB2">
      <w:pPr>
        <w:spacing w:line="360" w:lineRule="auto"/>
        <w:ind w:firstLine="480" w:firstLineChars="200"/>
        <w:rPr>
          <w:rFonts w:ascii="宋体" w:hAnsi="宋体"/>
          <w:color w:val="auto"/>
          <w:sz w:val="24"/>
          <w:highlight w:val="none"/>
        </w:rPr>
      </w:pPr>
      <w:r>
        <w:rPr>
          <w:rFonts w:ascii="宋体" w:hAnsi="宋体"/>
          <w:color w:val="auto"/>
          <w:sz w:val="24"/>
          <w:highlight w:val="none"/>
        </w:rPr>
        <w:t>7.3.2开工通知</w:t>
      </w:r>
    </w:p>
    <w:p w14:paraId="2463DE2B">
      <w:pPr>
        <w:spacing w:line="360" w:lineRule="auto"/>
        <w:ind w:firstLine="480" w:firstLineChars="200"/>
        <w:rPr>
          <w:rFonts w:ascii="宋体" w:hAnsi="宋体"/>
          <w:color w:val="auto"/>
          <w:sz w:val="24"/>
          <w:highlight w:val="none"/>
        </w:rPr>
      </w:pPr>
      <w:r>
        <w:rPr>
          <w:rFonts w:ascii="宋体" w:hAnsi="宋体"/>
          <w:color w:val="auto"/>
          <w:sz w:val="24"/>
          <w:highlight w:val="none"/>
        </w:rPr>
        <w:t>因发包人原因造成监理人未能在计划开工日期之日起</w:t>
      </w:r>
      <w:r>
        <w:rPr>
          <w:rFonts w:ascii="宋体" w:hAnsi="宋体"/>
          <w:b/>
          <w:color w:val="auto"/>
          <w:sz w:val="24"/>
          <w:highlight w:val="none"/>
          <w:u w:val="single"/>
        </w:rPr>
        <w:t xml:space="preserve"> 90 </w:t>
      </w:r>
      <w:r>
        <w:rPr>
          <w:rFonts w:ascii="宋体" w:hAnsi="宋体"/>
          <w:color w:val="auto"/>
          <w:sz w:val="24"/>
          <w:highlight w:val="none"/>
        </w:rPr>
        <w:t>天内发出开工通知的，承包人有权提出价格调整要求，或者解除合同。</w:t>
      </w:r>
    </w:p>
    <w:p w14:paraId="6F0567C0">
      <w:pPr>
        <w:spacing w:line="360" w:lineRule="auto"/>
        <w:ind w:firstLine="480" w:firstLineChars="200"/>
        <w:rPr>
          <w:rFonts w:ascii="宋体" w:hAnsi="宋体"/>
          <w:color w:val="auto"/>
          <w:sz w:val="24"/>
          <w:highlight w:val="none"/>
        </w:rPr>
      </w:pPr>
      <w:r>
        <w:rPr>
          <w:rFonts w:ascii="宋体" w:hAnsi="宋体"/>
          <w:color w:val="auto"/>
          <w:sz w:val="24"/>
          <w:highlight w:val="none"/>
        </w:rPr>
        <w:t>7.4 测量放线</w:t>
      </w:r>
    </w:p>
    <w:p w14:paraId="39E39272">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7.4.1发包人通过监理人向承包人提供测量基准点、基准线和水准点及其书面资料的期限：</w:t>
      </w:r>
      <w:r>
        <w:rPr>
          <w:rFonts w:ascii="宋体" w:hAnsi="宋体"/>
          <w:b/>
          <w:color w:val="auto"/>
          <w:sz w:val="24"/>
          <w:highlight w:val="none"/>
          <w:u w:val="single"/>
        </w:rPr>
        <w:t>开工前5天，将水准点和坐标控制点以书面形式通过监理人提交给承包人，双方在现场交验水准点和坐标控制点，交验完毕，即由承包人负责保护，此后由于破坏或失准带来的重新放点费用和其他损失均由承包人负责。工程完工后，承包人将水准点和坐标控制点完好无损的交还给发包人</w:t>
      </w:r>
      <w:r>
        <w:rPr>
          <w:rFonts w:ascii="宋体" w:hAnsi="宋体"/>
          <w:color w:val="auto"/>
          <w:sz w:val="24"/>
          <w:highlight w:val="none"/>
        </w:rPr>
        <w:t>。</w:t>
      </w:r>
    </w:p>
    <w:p w14:paraId="3BD6557C">
      <w:pPr>
        <w:spacing w:line="360" w:lineRule="auto"/>
        <w:ind w:firstLine="480" w:firstLineChars="200"/>
        <w:rPr>
          <w:rFonts w:ascii="宋体" w:hAnsi="宋体"/>
          <w:color w:val="auto"/>
          <w:sz w:val="24"/>
          <w:highlight w:val="none"/>
        </w:rPr>
      </w:pPr>
      <w:r>
        <w:rPr>
          <w:rFonts w:ascii="宋体" w:hAnsi="宋体"/>
          <w:color w:val="auto"/>
          <w:sz w:val="24"/>
          <w:highlight w:val="none"/>
        </w:rPr>
        <w:t>7.5 工期延误</w:t>
      </w:r>
    </w:p>
    <w:p w14:paraId="4734CB6A">
      <w:pPr>
        <w:spacing w:line="360" w:lineRule="auto"/>
        <w:ind w:firstLine="480" w:firstLineChars="200"/>
        <w:rPr>
          <w:rFonts w:ascii="宋体" w:hAnsi="宋体"/>
          <w:color w:val="auto"/>
          <w:sz w:val="24"/>
          <w:highlight w:val="none"/>
        </w:rPr>
      </w:pPr>
      <w:r>
        <w:rPr>
          <w:rFonts w:ascii="宋体" w:hAnsi="宋体"/>
          <w:color w:val="auto"/>
          <w:sz w:val="24"/>
          <w:highlight w:val="none"/>
        </w:rPr>
        <w:t>7.5.1 因发包人原因导致工期延误</w:t>
      </w:r>
    </w:p>
    <w:p w14:paraId="166903CA">
      <w:pPr>
        <w:spacing w:line="360" w:lineRule="auto"/>
        <w:ind w:firstLine="480" w:firstLineChars="200"/>
        <w:rPr>
          <w:rFonts w:ascii="宋体" w:hAnsi="宋体"/>
          <w:color w:val="auto"/>
          <w:sz w:val="24"/>
          <w:highlight w:val="none"/>
        </w:rPr>
      </w:pPr>
      <w:r>
        <w:rPr>
          <w:rFonts w:ascii="宋体" w:hAnsi="宋体"/>
          <w:color w:val="auto"/>
          <w:sz w:val="24"/>
          <w:highlight w:val="none"/>
        </w:rPr>
        <w:t>（7）因发包人原因导致工期延误的其他情形：</w:t>
      </w:r>
    </w:p>
    <w:p w14:paraId="2CB4F388">
      <w:pPr>
        <w:spacing w:line="360" w:lineRule="auto"/>
        <w:ind w:firstLine="477" w:firstLineChars="198"/>
        <w:rPr>
          <w:rFonts w:ascii="宋体" w:hAnsi="宋体"/>
          <w:b/>
          <w:color w:val="auto"/>
          <w:sz w:val="24"/>
          <w:highlight w:val="none"/>
          <w:u w:val="single"/>
        </w:rPr>
      </w:pPr>
      <w:r>
        <w:rPr>
          <w:rFonts w:ascii="宋体" w:hAnsi="宋体"/>
          <w:b/>
          <w:color w:val="auto"/>
          <w:sz w:val="24"/>
          <w:highlight w:val="none"/>
          <w:u w:val="single"/>
        </w:rPr>
        <w:t xml:space="preserve">①重大设计变更引起的工期延误                        </w:t>
      </w:r>
      <w:r>
        <w:rPr>
          <w:rFonts w:ascii="宋体" w:hAnsi="宋体"/>
          <w:b/>
          <w:color w:val="auto"/>
          <w:sz w:val="24"/>
          <w:highlight w:val="none"/>
        </w:rPr>
        <w:t>；</w:t>
      </w:r>
    </w:p>
    <w:p w14:paraId="7C852CB3">
      <w:pPr>
        <w:spacing w:line="360" w:lineRule="auto"/>
        <w:ind w:firstLine="477" w:firstLineChars="198"/>
        <w:rPr>
          <w:rFonts w:ascii="宋体" w:hAnsi="宋体"/>
          <w:b/>
          <w:color w:val="auto"/>
          <w:sz w:val="24"/>
          <w:highlight w:val="none"/>
          <w:u w:val="single"/>
        </w:rPr>
      </w:pPr>
      <w:r>
        <w:rPr>
          <w:rFonts w:ascii="宋体" w:hAnsi="宋体"/>
          <w:b/>
          <w:color w:val="auto"/>
          <w:sz w:val="24"/>
          <w:highlight w:val="none"/>
          <w:u w:val="single"/>
        </w:rPr>
        <w:t>②其他：通用条款7.5.1款第（6）项“监理人未按合同约定发出指示、批准等文件”是指在监理人未按合同约定发出指示、批准的情况下，承包人同时向发包人、监理人发出书面催告后的合理期限内，监理人仍未发出指示、批准。</w:t>
      </w:r>
    </w:p>
    <w:p w14:paraId="3460316D">
      <w:pPr>
        <w:spacing w:line="360" w:lineRule="auto"/>
        <w:ind w:firstLine="477" w:firstLineChars="198"/>
        <w:rPr>
          <w:rFonts w:ascii="宋体" w:hAnsi="宋体"/>
          <w:b/>
          <w:color w:val="auto"/>
          <w:sz w:val="24"/>
          <w:highlight w:val="none"/>
          <w:u w:val="single"/>
        </w:rPr>
      </w:pPr>
      <w:r>
        <w:rPr>
          <w:rFonts w:ascii="宋体" w:hAnsi="宋体"/>
          <w:b/>
          <w:color w:val="auto"/>
          <w:sz w:val="24"/>
          <w:highlight w:val="none"/>
          <w:u w:val="single"/>
        </w:rPr>
        <w:t>若因发包人原因导致局部工程施工受到影响，承包人应采取合理措施予以弥补，延期工程如果不在工程施工进度网络计划的关键线路上，工程总工期不予延长。</w:t>
      </w:r>
    </w:p>
    <w:p w14:paraId="376FCFA7">
      <w:pPr>
        <w:spacing w:line="360" w:lineRule="auto"/>
        <w:ind w:firstLine="477" w:firstLineChars="198"/>
        <w:rPr>
          <w:rFonts w:ascii="宋体" w:hAnsi="宋体"/>
          <w:b/>
          <w:color w:val="auto"/>
          <w:sz w:val="24"/>
          <w:highlight w:val="none"/>
          <w:u w:val="single"/>
        </w:rPr>
      </w:pPr>
      <w:r>
        <w:rPr>
          <w:rFonts w:ascii="宋体" w:hAnsi="宋体"/>
          <w:b/>
          <w:color w:val="auto"/>
          <w:sz w:val="24"/>
          <w:highlight w:val="none"/>
          <w:u w:val="single"/>
        </w:rPr>
        <w:t>出现通用条款7.5.1发包人的原因造成工期延误的情形的，承包人应在情况发生后14天内就延长的工期以书面形式向发包人、监理人提出报告，在取得相关证据并经发包人盖章确认后工期可顺延（但发包人对承包人工期顺延期间的费用及利润不予补偿），否则工期不作顺延；承包人在情况发生后14天内未向发包人、监理人提出书面报告的，视为不涉及工期延长。</w:t>
      </w:r>
    </w:p>
    <w:p w14:paraId="389256AA">
      <w:pPr>
        <w:spacing w:line="360" w:lineRule="auto"/>
        <w:ind w:firstLine="477" w:firstLineChars="198"/>
        <w:rPr>
          <w:rFonts w:ascii="宋体" w:hAnsi="宋体"/>
          <w:b/>
          <w:color w:val="auto"/>
          <w:sz w:val="24"/>
          <w:highlight w:val="none"/>
          <w:u w:val="single"/>
        </w:rPr>
      </w:pPr>
      <w:r>
        <w:rPr>
          <w:rFonts w:ascii="宋体" w:hAnsi="宋体"/>
          <w:b/>
          <w:color w:val="auto"/>
          <w:sz w:val="24"/>
          <w:highlight w:val="none"/>
          <w:u w:val="single"/>
        </w:rPr>
        <w:t>承包人按协议条款约定的开工日期开始施工，具体开、停和复工的时间以发包人（或监理单位）的签证为准。除经监理和发包人联系单签证同意外，工期一律不得顺延</w:t>
      </w:r>
      <w:r>
        <w:rPr>
          <w:rFonts w:ascii="宋体" w:hAnsi="宋体"/>
          <w:b/>
          <w:color w:val="auto"/>
          <w:sz w:val="24"/>
          <w:highlight w:val="none"/>
        </w:rPr>
        <w:t>。</w:t>
      </w:r>
    </w:p>
    <w:p w14:paraId="13392A07">
      <w:pPr>
        <w:spacing w:line="360" w:lineRule="auto"/>
        <w:ind w:firstLine="480" w:firstLineChars="200"/>
        <w:rPr>
          <w:rFonts w:ascii="宋体" w:hAnsi="宋体"/>
          <w:color w:val="auto"/>
          <w:sz w:val="24"/>
          <w:highlight w:val="none"/>
        </w:rPr>
      </w:pPr>
      <w:r>
        <w:rPr>
          <w:rFonts w:ascii="宋体" w:hAnsi="宋体"/>
          <w:color w:val="auto"/>
          <w:sz w:val="24"/>
          <w:highlight w:val="none"/>
        </w:rPr>
        <w:t>7.5.2 因承包人原因导致工期延误</w:t>
      </w:r>
    </w:p>
    <w:p w14:paraId="5700EFBA">
      <w:pPr>
        <w:spacing w:line="360" w:lineRule="auto"/>
        <w:ind w:firstLine="480" w:firstLineChars="200"/>
        <w:rPr>
          <w:rFonts w:ascii="宋体" w:hAnsi="宋体"/>
          <w:color w:val="auto"/>
          <w:sz w:val="24"/>
          <w:highlight w:val="none"/>
        </w:rPr>
      </w:pPr>
      <w:r>
        <w:rPr>
          <w:rFonts w:ascii="宋体" w:hAnsi="宋体"/>
          <w:color w:val="auto"/>
          <w:sz w:val="24"/>
          <w:highlight w:val="none"/>
        </w:rPr>
        <w:t>因承包人原因造成工期延误，逾期竣工违约金的计算方法为：</w:t>
      </w:r>
      <w:r>
        <w:rPr>
          <w:rFonts w:ascii="宋体" w:hAnsi="宋体"/>
          <w:b/>
          <w:color w:val="auto"/>
          <w:sz w:val="24"/>
          <w:highlight w:val="none"/>
          <w:u w:val="single"/>
        </w:rPr>
        <w:t>工期延误每延误一天，乙方应按10000元/天的标准向发包人支付违约金。</w:t>
      </w:r>
      <w:r>
        <w:rPr>
          <w:rFonts w:hint="eastAsia" w:ascii="宋体" w:hAnsi="宋体"/>
          <w:b/>
          <w:color w:val="auto"/>
          <w:sz w:val="24"/>
          <w:highlight w:val="none"/>
          <w:u w:val="single"/>
        </w:rPr>
        <w:t>违约金不足以弥补</w:t>
      </w:r>
      <w:r>
        <w:rPr>
          <w:rFonts w:ascii="宋体" w:hAnsi="宋体"/>
          <w:b/>
          <w:color w:val="auto"/>
          <w:sz w:val="24"/>
          <w:highlight w:val="none"/>
          <w:u w:val="single"/>
        </w:rPr>
        <w:t>甲方造成的实际损失的，乙方</w:t>
      </w:r>
      <w:r>
        <w:rPr>
          <w:rFonts w:hint="eastAsia" w:ascii="宋体" w:hAnsi="宋体"/>
          <w:b/>
          <w:color w:val="auto"/>
          <w:sz w:val="24"/>
          <w:highlight w:val="none"/>
          <w:u w:val="single"/>
        </w:rPr>
        <w:t>还</w:t>
      </w:r>
      <w:r>
        <w:rPr>
          <w:rFonts w:ascii="宋体" w:hAnsi="宋体"/>
          <w:b/>
          <w:color w:val="auto"/>
          <w:sz w:val="24"/>
          <w:highlight w:val="none"/>
          <w:u w:val="single"/>
        </w:rPr>
        <w:t>应</w:t>
      </w:r>
      <w:r>
        <w:rPr>
          <w:rFonts w:hint="eastAsia" w:ascii="宋体" w:hAnsi="宋体"/>
          <w:b/>
          <w:color w:val="auto"/>
          <w:sz w:val="24"/>
          <w:highlight w:val="none"/>
          <w:u w:val="single"/>
        </w:rPr>
        <w:t>承担</w:t>
      </w:r>
      <w:r>
        <w:rPr>
          <w:rFonts w:ascii="宋体" w:hAnsi="宋体"/>
          <w:b/>
          <w:color w:val="auto"/>
          <w:sz w:val="24"/>
          <w:highlight w:val="none"/>
          <w:u w:val="single"/>
        </w:rPr>
        <w:t>甲方</w:t>
      </w:r>
      <w:r>
        <w:rPr>
          <w:rFonts w:hint="eastAsia" w:ascii="宋体" w:hAnsi="宋体"/>
          <w:b/>
          <w:color w:val="auto"/>
          <w:sz w:val="24"/>
          <w:highlight w:val="none"/>
          <w:u w:val="single"/>
        </w:rPr>
        <w:t>因此所造成的</w:t>
      </w:r>
      <w:r>
        <w:rPr>
          <w:rFonts w:ascii="宋体" w:hAnsi="宋体"/>
          <w:b/>
          <w:color w:val="auto"/>
          <w:sz w:val="24"/>
          <w:highlight w:val="none"/>
          <w:u w:val="single"/>
        </w:rPr>
        <w:t>实际损失，该损失包括但不限于甲方租金损失、其他乙方据此而向甲方提出的索赔、后续乙方不能按时进场施工而产生的损失、因乙方的赶工计划而导致甲方产生的额外费用等等。当甲方认为必要时，可以安排其他承包人完成剩余工作。</w:t>
      </w:r>
    </w:p>
    <w:p w14:paraId="596AEC78">
      <w:pPr>
        <w:spacing w:line="360" w:lineRule="auto"/>
        <w:ind w:firstLine="480" w:firstLineChars="200"/>
        <w:rPr>
          <w:rFonts w:ascii="宋体" w:hAnsi="宋体"/>
          <w:color w:val="auto"/>
          <w:sz w:val="24"/>
          <w:highlight w:val="none"/>
        </w:rPr>
      </w:pPr>
      <w:r>
        <w:rPr>
          <w:rFonts w:ascii="宋体" w:hAnsi="宋体"/>
          <w:color w:val="auto"/>
          <w:sz w:val="24"/>
          <w:highlight w:val="none"/>
        </w:rPr>
        <w:t>因承包人原因造成工期延误，逾期竣工违约金的上限：</w:t>
      </w:r>
      <w:r>
        <w:rPr>
          <w:rFonts w:ascii="宋体" w:hAnsi="宋体"/>
          <w:b/>
          <w:color w:val="auto"/>
          <w:sz w:val="24"/>
          <w:highlight w:val="none"/>
          <w:u w:val="single"/>
        </w:rPr>
        <w:t>工期延误违约金，最高为合同价的2%，甲方可以从应付或到期应付给乙方的任何款项中扣除此金额，</w:t>
      </w:r>
      <w:r>
        <w:rPr>
          <w:rFonts w:hint="eastAsia" w:ascii="宋体" w:hAnsi="宋体"/>
          <w:b/>
          <w:color w:val="auto"/>
          <w:sz w:val="24"/>
          <w:highlight w:val="none"/>
          <w:u w:val="single"/>
        </w:rPr>
        <w:t>甲方也有权要求乙方直接承担</w:t>
      </w:r>
      <w:r>
        <w:rPr>
          <w:rFonts w:ascii="宋体" w:hAnsi="宋体"/>
          <w:b/>
          <w:color w:val="auto"/>
          <w:sz w:val="24"/>
          <w:highlight w:val="none"/>
          <w:u w:val="single"/>
        </w:rPr>
        <w:t>。</w:t>
      </w:r>
    </w:p>
    <w:p w14:paraId="2BBDF9AF">
      <w:pPr>
        <w:spacing w:line="360" w:lineRule="auto"/>
        <w:ind w:firstLine="480" w:firstLineChars="200"/>
        <w:rPr>
          <w:rFonts w:ascii="宋体" w:hAnsi="宋体"/>
          <w:color w:val="auto"/>
          <w:sz w:val="24"/>
          <w:highlight w:val="none"/>
        </w:rPr>
      </w:pPr>
      <w:r>
        <w:rPr>
          <w:rFonts w:ascii="宋体" w:hAnsi="宋体"/>
          <w:color w:val="auto"/>
          <w:sz w:val="24"/>
          <w:highlight w:val="none"/>
        </w:rPr>
        <w:t>7.6 不利物质条件</w:t>
      </w:r>
    </w:p>
    <w:p w14:paraId="6192C29C">
      <w:pPr>
        <w:spacing w:line="360" w:lineRule="auto"/>
        <w:ind w:firstLine="480" w:firstLineChars="200"/>
        <w:rPr>
          <w:rFonts w:ascii="宋体" w:hAnsi="宋体"/>
          <w:color w:val="auto"/>
          <w:sz w:val="24"/>
          <w:highlight w:val="none"/>
        </w:rPr>
      </w:pPr>
      <w:r>
        <w:rPr>
          <w:rFonts w:ascii="宋体" w:hAnsi="宋体"/>
          <w:color w:val="auto"/>
          <w:sz w:val="24"/>
          <w:highlight w:val="none"/>
        </w:rPr>
        <w:t>不利物质条件的其他情形和有关约定：</w:t>
      </w:r>
    </w:p>
    <w:p w14:paraId="5B0CDE72">
      <w:pPr>
        <w:spacing w:line="360" w:lineRule="auto"/>
        <w:ind w:firstLine="477" w:firstLineChars="198"/>
        <w:rPr>
          <w:rFonts w:ascii="宋体" w:hAnsi="宋体"/>
          <w:b/>
          <w:color w:val="auto"/>
          <w:sz w:val="24"/>
          <w:highlight w:val="none"/>
          <w:u w:val="single"/>
        </w:rPr>
      </w:pPr>
      <w:r>
        <w:rPr>
          <w:rFonts w:ascii="宋体" w:hAnsi="宋体"/>
          <w:b/>
          <w:color w:val="auto"/>
          <w:sz w:val="24"/>
          <w:highlight w:val="none"/>
        </w:rPr>
        <w:t>（1）</w:t>
      </w:r>
      <w:r>
        <w:rPr>
          <w:rFonts w:ascii="宋体" w:hAnsi="宋体"/>
          <w:b/>
          <w:color w:val="auto"/>
          <w:sz w:val="24"/>
          <w:highlight w:val="none"/>
          <w:u w:val="single"/>
        </w:rPr>
        <w:t>施工场地周围地下管线</w:t>
      </w:r>
      <w:r>
        <w:rPr>
          <w:rFonts w:ascii="宋体" w:hAnsi="宋体"/>
          <w:b/>
          <w:color w:val="auto"/>
          <w:sz w:val="24"/>
          <w:highlight w:val="none"/>
        </w:rPr>
        <w:t>；</w:t>
      </w:r>
    </w:p>
    <w:p w14:paraId="59C66F4E">
      <w:pPr>
        <w:spacing w:line="360" w:lineRule="auto"/>
        <w:ind w:firstLine="477" w:firstLineChars="198"/>
        <w:rPr>
          <w:rFonts w:ascii="宋体" w:hAnsi="宋体"/>
          <w:b/>
          <w:color w:val="auto"/>
          <w:sz w:val="24"/>
          <w:highlight w:val="none"/>
          <w:u w:val="single"/>
        </w:rPr>
      </w:pPr>
      <w:r>
        <w:rPr>
          <w:rFonts w:ascii="宋体" w:hAnsi="宋体"/>
          <w:b/>
          <w:color w:val="auto"/>
          <w:sz w:val="24"/>
          <w:highlight w:val="none"/>
        </w:rPr>
        <w:t>（2）</w:t>
      </w:r>
      <w:r>
        <w:rPr>
          <w:rFonts w:ascii="宋体" w:hAnsi="宋体"/>
          <w:b/>
          <w:color w:val="auto"/>
          <w:sz w:val="24"/>
          <w:highlight w:val="none"/>
          <w:u w:val="single"/>
        </w:rPr>
        <w:t>地下障碍物和污染物</w:t>
      </w:r>
      <w:r>
        <w:rPr>
          <w:rFonts w:ascii="宋体" w:hAnsi="宋体"/>
          <w:b/>
          <w:color w:val="auto"/>
          <w:sz w:val="24"/>
          <w:highlight w:val="none"/>
        </w:rPr>
        <w:t>；</w:t>
      </w:r>
    </w:p>
    <w:p w14:paraId="3B48EC5B">
      <w:pPr>
        <w:spacing w:line="360" w:lineRule="auto"/>
        <w:ind w:firstLine="477" w:firstLineChars="198"/>
        <w:rPr>
          <w:rFonts w:ascii="宋体" w:hAnsi="宋体"/>
          <w:b/>
          <w:color w:val="auto"/>
          <w:sz w:val="24"/>
          <w:highlight w:val="none"/>
          <w:u w:val="single"/>
        </w:rPr>
      </w:pPr>
      <w:r>
        <w:rPr>
          <w:rFonts w:ascii="宋体" w:hAnsi="宋体"/>
          <w:b/>
          <w:color w:val="auto"/>
          <w:sz w:val="24"/>
          <w:highlight w:val="none"/>
        </w:rPr>
        <w:t>（3）</w:t>
      </w:r>
      <w:r>
        <w:rPr>
          <w:rFonts w:ascii="宋体" w:hAnsi="宋体"/>
          <w:b/>
          <w:color w:val="auto"/>
          <w:sz w:val="24"/>
          <w:highlight w:val="none"/>
          <w:u w:val="single"/>
        </w:rPr>
        <w:t>邻近建筑物、构筑物的保护要求</w:t>
      </w:r>
      <w:r>
        <w:rPr>
          <w:rFonts w:ascii="宋体" w:hAnsi="宋体"/>
          <w:b/>
          <w:color w:val="auto"/>
          <w:sz w:val="24"/>
          <w:highlight w:val="none"/>
        </w:rPr>
        <w:t>；</w:t>
      </w:r>
    </w:p>
    <w:p w14:paraId="0282A66D">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rPr>
        <w:t>（4）</w:t>
      </w:r>
      <w:r>
        <w:rPr>
          <w:rFonts w:ascii="宋体" w:hAnsi="宋体"/>
          <w:b/>
          <w:color w:val="auto"/>
          <w:sz w:val="24"/>
          <w:highlight w:val="none"/>
          <w:u w:val="single"/>
        </w:rPr>
        <w:t xml:space="preserve">其他：        /                                 </w:t>
      </w:r>
      <w:r>
        <w:rPr>
          <w:rFonts w:ascii="宋体" w:hAnsi="宋体"/>
          <w:b/>
          <w:color w:val="auto"/>
          <w:sz w:val="24"/>
          <w:highlight w:val="none"/>
        </w:rPr>
        <w:t>。</w:t>
      </w:r>
    </w:p>
    <w:p w14:paraId="062ECD80">
      <w:pPr>
        <w:spacing w:line="360" w:lineRule="auto"/>
        <w:ind w:firstLine="480" w:firstLineChars="200"/>
        <w:rPr>
          <w:rFonts w:ascii="宋体" w:hAnsi="宋体"/>
          <w:color w:val="auto"/>
          <w:sz w:val="24"/>
          <w:highlight w:val="none"/>
        </w:rPr>
      </w:pPr>
      <w:r>
        <w:rPr>
          <w:rFonts w:ascii="宋体" w:hAnsi="宋体"/>
          <w:color w:val="auto"/>
          <w:sz w:val="24"/>
          <w:highlight w:val="none"/>
        </w:rPr>
        <w:t>7.7异常恶劣的气候条件</w:t>
      </w:r>
    </w:p>
    <w:p w14:paraId="65C35508">
      <w:pPr>
        <w:spacing w:line="360" w:lineRule="auto"/>
        <w:ind w:firstLine="480" w:firstLineChars="200"/>
        <w:rPr>
          <w:rFonts w:ascii="宋体" w:hAnsi="宋体"/>
          <w:color w:val="auto"/>
          <w:sz w:val="24"/>
          <w:highlight w:val="none"/>
        </w:rPr>
      </w:pPr>
      <w:r>
        <w:rPr>
          <w:rFonts w:ascii="宋体" w:hAnsi="宋体"/>
          <w:color w:val="auto"/>
          <w:sz w:val="24"/>
          <w:highlight w:val="none"/>
        </w:rPr>
        <w:t>发包人和承包人同意以下情形视为异常恶劣的气候条件：</w:t>
      </w:r>
    </w:p>
    <w:p w14:paraId="50F38D83">
      <w:pPr>
        <w:spacing w:line="360" w:lineRule="auto"/>
        <w:ind w:firstLine="477" w:firstLineChars="198"/>
        <w:rPr>
          <w:rFonts w:ascii="宋体" w:hAnsi="宋体"/>
          <w:b/>
          <w:color w:val="auto"/>
          <w:sz w:val="24"/>
          <w:highlight w:val="none"/>
          <w:u w:val="single"/>
        </w:rPr>
      </w:pPr>
      <w:r>
        <w:rPr>
          <w:rFonts w:ascii="宋体" w:hAnsi="宋体"/>
          <w:b/>
          <w:color w:val="auto"/>
          <w:sz w:val="24"/>
          <w:highlight w:val="none"/>
          <w:u w:val="single"/>
        </w:rPr>
        <w:t>（1）日最高气温达到40 度及以上；</w:t>
      </w:r>
    </w:p>
    <w:p w14:paraId="53E1A454">
      <w:pPr>
        <w:spacing w:line="360" w:lineRule="auto"/>
        <w:ind w:firstLine="477" w:firstLineChars="198"/>
        <w:rPr>
          <w:rFonts w:ascii="宋体" w:hAnsi="宋体"/>
          <w:b/>
          <w:color w:val="auto"/>
          <w:sz w:val="24"/>
          <w:highlight w:val="none"/>
          <w:u w:val="single"/>
        </w:rPr>
      </w:pPr>
      <w:r>
        <w:rPr>
          <w:rFonts w:ascii="宋体" w:hAnsi="宋体"/>
          <w:b/>
          <w:color w:val="auto"/>
          <w:sz w:val="24"/>
          <w:highlight w:val="none"/>
          <w:u w:val="single"/>
        </w:rPr>
        <w:t>（2）启动台风橙色及以上预警；</w:t>
      </w:r>
    </w:p>
    <w:p w14:paraId="0CE45726">
      <w:pPr>
        <w:spacing w:line="360" w:lineRule="auto"/>
        <w:ind w:firstLine="477" w:firstLineChars="198"/>
        <w:rPr>
          <w:rFonts w:ascii="宋体" w:hAnsi="宋体"/>
          <w:b/>
          <w:color w:val="auto"/>
          <w:sz w:val="24"/>
          <w:highlight w:val="none"/>
          <w:u w:val="single"/>
        </w:rPr>
      </w:pPr>
      <w:r>
        <w:rPr>
          <w:rFonts w:ascii="宋体" w:hAnsi="宋体"/>
          <w:b/>
          <w:color w:val="auto"/>
          <w:sz w:val="24"/>
          <w:highlight w:val="none"/>
          <w:u w:val="single"/>
        </w:rPr>
        <w:t>（3）启动防汛预案一级响应；</w:t>
      </w:r>
    </w:p>
    <w:p w14:paraId="6CF07FFC">
      <w:pPr>
        <w:spacing w:line="360" w:lineRule="auto"/>
        <w:ind w:firstLine="477" w:firstLineChars="198"/>
        <w:rPr>
          <w:rFonts w:ascii="宋体" w:hAnsi="宋体"/>
          <w:b/>
          <w:color w:val="auto"/>
          <w:sz w:val="24"/>
          <w:highlight w:val="none"/>
          <w:u w:val="single"/>
        </w:rPr>
      </w:pPr>
      <w:r>
        <w:rPr>
          <w:rFonts w:ascii="宋体" w:hAnsi="宋体"/>
          <w:b/>
          <w:color w:val="auto"/>
          <w:sz w:val="24"/>
          <w:highlight w:val="none"/>
          <w:u w:val="single"/>
        </w:rPr>
        <w:t>（4）启动防冻预案一级响应，</w:t>
      </w:r>
    </w:p>
    <w:p w14:paraId="049220CE">
      <w:pPr>
        <w:spacing w:line="360" w:lineRule="auto"/>
        <w:ind w:firstLine="482" w:firstLineChars="200"/>
        <w:rPr>
          <w:rFonts w:ascii="宋体" w:hAnsi="宋体"/>
          <w:color w:val="auto"/>
          <w:sz w:val="24"/>
          <w:highlight w:val="none"/>
        </w:rPr>
      </w:pPr>
      <w:r>
        <w:rPr>
          <w:rFonts w:ascii="宋体" w:hAnsi="宋体"/>
          <w:b/>
          <w:color w:val="auto"/>
          <w:sz w:val="24"/>
          <w:highlight w:val="none"/>
          <w:u w:val="single"/>
        </w:rPr>
        <w:t>（5）其他属于承包人不能预见、不能避免并不能克服的客观情况。</w:t>
      </w:r>
    </w:p>
    <w:p w14:paraId="74B5C044">
      <w:pPr>
        <w:spacing w:line="360" w:lineRule="auto"/>
        <w:ind w:firstLine="480" w:firstLineChars="200"/>
        <w:rPr>
          <w:rFonts w:ascii="宋体" w:hAnsi="宋体"/>
          <w:color w:val="auto"/>
          <w:sz w:val="24"/>
          <w:highlight w:val="none"/>
        </w:rPr>
      </w:pPr>
      <w:r>
        <w:rPr>
          <w:rFonts w:ascii="宋体" w:hAnsi="宋体"/>
          <w:color w:val="auto"/>
          <w:sz w:val="24"/>
          <w:highlight w:val="none"/>
        </w:rPr>
        <w:t>7.9 提前竣工的奖励</w:t>
      </w:r>
    </w:p>
    <w:p w14:paraId="0D353A74">
      <w:pPr>
        <w:spacing w:line="360" w:lineRule="auto"/>
        <w:ind w:firstLine="480" w:firstLineChars="200"/>
        <w:rPr>
          <w:rFonts w:ascii="宋体" w:hAnsi="宋体"/>
          <w:color w:val="auto"/>
          <w:sz w:val="24"/>
          <w:highlight w:val="none"/>
        </w:rPr>
      </w:pPr>
      <w:r>
        <w:rPr>
          <w:rFonts w:ascii="宋体" w:hAnsi="宋体"/>
          <w:color w:val="auto"/>
          <w:sz w:val="24"/>
          <w:highlight w:val="none"/>
        </w:rPr>
        <w:t>7.9.2提前竣工的奖励：</w:t>
      </w:r>
      <w:r>
        <w:rPr>
          <w:rFonts w:ascii="宋体" w:hAnsi="宋体"/>
          <w:b/>
          <w:color w:val="auto"/>
          <w:sz w:val="24"/>
          <w:highlight w:val="none"/>
          <w:u w:val="single"/>
        </w:rPr>
        <w:t xml:space="preserve">   /   </w:t>
      </w:r>
      <w:r>
        <w:rPr>
          <w:rFonts w:ascii="宋体" w:hAnsi="宋体"/>
          <w:color w:val="auto"/>
          <w:sz w:val="24"/>
          <w:highlight w:val="none"/>
        </w:rPr>
        <w:t>。</w:t>
      </w:r>
    </w:p>
    <w:p w14:paraId="498EAFB7">
      <w:pPr>
        <w:pStyle w:val="6"/>
        <w:spacing w:line="360" w:lineRule="auto"/>
        <w:ind w:left="0" w:firstLine="482" w:firstLineChars="200"/>
        <w:rPr>
          <w:rFonts w:ascii="宋体" w:hAnsi="宋体" w:eastAsia="宋体" w:cs="宋体"/>
          <w:bCs w:val="0"/>
          <w:color w:val="auto"/>
          <w:sz w:val="24"/>
          <w:szCs w:val="24"/>
          <w:highlight w:val="none"/>
        </w:rPr>
      </w:pPr>
      <w:r>
        <w:rPr>
          <w:rFonts w:ascii="宋体" w:hAnsi="宋体" w:eastAsia="宋体" w:cs="宋体"/>
          <w:bCs w:val="0"/>
          <w:color w:val="auto"/>
          <w:sz w:val="24"/>
          <w:szCs w:val="24"/>
          <w:highlight w:val="none"/>
        </w:rPr>
        <w:t>8.材料与设备</w:t>
      </w:r>
    </w:p>
    <w:p w14:paraId="611AF01F">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8.1工程所用材料、设备原则上由承包人采购。如有特殊要求，部分材料、设备改为由发包人指定或直接供应时，承包人必须服从。承包人应根据发包人提供的材料品种、规格、型号明细制订详细的材料进场计划，并充分考虑材料的生产加工周期、施工时间及一切不利因素。</w:t>
      </w:r>
    </w:p>
    <w:p w14:paraId="53C07281">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8.1.1承包人提供的阻燃或耐燃材料必须经过阻然试验达到防火标准，并经有关部门认可，才能用于本工程。有关试验、运输、搬运费用由承包人承担。</w:t>
      </w:r>
    </w:p>
    <w:p w14:paraId="653CC011">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8.1.2本工程要求所用材料均为环保型材料，承包人采购材料时必须提供国家或地方认可的权威部门出具的质量检测报告。</w:t>
      </w:r>
    </w:p>
    <w:p w14:paraId="0A9B96BC">
      <w:pPr>
        <w:spacing w:line="360" w:lineRule="auto"/>
        <w:ind w:firstLine="480" w:firstLineChars="200"/>
        <w:rPr>
          <w:rFonts w:ascii="宋体" w:hAnsi="宋体"/>
          <w:color w:val="auto"/>
          <w:sz w:val="24"/>
          <w:highlight w:val="none"/>
        </w:rPr>
      </w:pPr>
      <w:r>
        <w:rPr>
          <w:rFonts w:ascii="宋体" w:hAnsi="宋体"/>
          <w:color w:val="auto"/>
          <w:sz w:val="24"/>
          <w:highlight w:val="none"/>
        </w:rPr>
        <w:t>8.4材料与工程设备的保管与使用</w:t>
      </w:r>
    </w:p>
    <w:p w14:paraId="57C8B524">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8.4.1发包人供应的材料设备的保管费用的承担：</w:t>
      </w:r>
      <w:r>
        <w:rPr>
          <w:rFonts w:ascii="宋体" w:hAnsi="宋体"/>
          <w:b/>
          <w:color w:val="auto"/>
          <w:sz w:val="24"/>
          <w:highlight w:val="none"/>
          <w:u w:val="single"/>
        </w:rPr>
        <w:t>发包人供应并由承包人使用或安装的材料设备，承包人派人参加清点后由承包人妥善保管，相应保管费（包括提供仓库、保管）、安装过程中的二次搬运和设备就位费、检验试验费均包含在投标总价中，不另行计取。因承包人原因发生丢失损坏，由承包人负责赔偿。发包人未通知承包人清点，承包人不负责材料设备的保管，丢失损坏由发包人负责</w:t>
      </w:r>
      <w:r>
        <w:rPr>
          <w:rFonts w:ascii="宋体" w:hAnsi="宋体"/>
          <w:color w:val="auto"/>
          <w:sz w:val="24"/>
          <w:highlight w:val="none"/>
        </w:rPr>
        <w:t>。</w:t>
      </w:r>
    </w:p>
    <w:p w14:paraId="79CD851F">
      <w:pPr>
        <w:spacing w:line="360" w:lineRule="auto"/>
        <w:ind w:firstLine="480" w:firstLineChars="200"/>
        <w:rPr>
          <w:rFonts w:ascii="宋体" w:hAnsi="宋体"/>
          <w:color w:val="auto"/>
          <w:sz w:val="24"/>
          <w:highlight w:val="none"/>
        </w:rPr>
      </w:pPr>
      <w:r>
        <w:rPr>
          <w:rFonts w:ascii="宋体" w:hAnsi="宋体"/>
          <w:color w:val="auto"/>
          <w:sz w:val="24"/>
          <w:highlight w:val="none"/>
        </w:rPr>
        <w:t>8.6 样品</w:t>
      </w:r>
    </w:p>
    <w:p w14:paraId="351EB236">
      <w:pPr>
        <w:spacing w:line="360" w:lineRule="auto"/>
        <w:ind w:firstLine="480" w:firstLineChars="200"/>
        <w:rPr>
          <w:rFonts w:ascii="宋体" w:hAnsi="宋体"/>
          <w:color w:val="auto"/>
          <w:sz w:val="24"/>
          <w:highlight w:val="none"/>
        </w:rPr>
      </w:pPr>
      <w:r>
        <w:rPr>
          <w:rFonts w:ascii="宋体" w:hAnsi="宋体"/>
          <w:color w:val="auto"/>
          <w:sz w:val="24"/>
          <w:highlight w:val="none"/>
        </w:rPr>
        <w:t>8.6.1</w:t>
      </w:r>
      <w:r>
        <w:rPr>
          <w:rFonts w:ascii="宋体" w:hAnsi="宋体"/>
          <w:color w:val="auto"/>
          <w:sz w:val="24"/>
          <w:highlight w:val="none"/>
        </w:rPr>
        <w:tab/>
      </w:r>
      <w:r>
        <w:rPr>
          <w:rFonts w:ascii="宋体" w:hAnsi="宋体"/>
          <w:color w:val="auto"/>
          <w:sz w:val="24"/>
          <w:highlight w:val="none"/>
        </w:rPr>
        <w:t>样品的报送与封存</w:t>
      </w:r>
    </w:p>
    <w:p w14:paraId="64B8F9EE">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需要承包人报送样品的材料或工程设备，样品的种类、名称、规格、数量要求：</w:t>
      </w:r>
      <w:r>
        <w:rPr>
          <w:rFonts w:ascii="宋体" w:hAnsi="宋体"/>
          <w:b/>
          <w:color w:val="auto"/>
          <w:sz w:val="24"/>
          <w:highlight w:val="none"/>
          <w:u w:val="single"/>
        </w:rPr>
        <w:t>按发包人或监理人的书面要求提供</w:t>
      </w:r>
      <w:r>
        <w:rPr>
          <w:rFonts w:ascii="宋体" w:hAnsi="宋体"/>
          <w:color w:val="auto"/>
          <w:sz w:val="24"/>
          <w:highlight w:val="none"/>
        </w:rPr>
        <w:t>。</w:t>
      </w:r>
    </w:p>
    <w:p w14:paraId="4DFE4A8A">
      <w:pPr>
        <w:spacing w:line="360" w:lineRule="auto"/>
        <w:ind w:firstLine="480" w:firstLineChars="200"/>
        <w:rPr>
          <w:rFonts w:ascii="宋体" w:hAnsi="宋体"/>
          <w:color w:val="auto"/>
          <w:sz w:val="24"/>
          <w:highlight w:val="none"/>
        </w:rPr>
      </w:pPr>
      <w:r>
        <w:rPr>
          <w:rFonts w:ascii="宋体" w:hAnsi="宋体"/>
          <w:color w:val="auto"/>
          <w:sz w:val="24"/>
          <w:highlight w:val="none"/>
        </w:rPr>
        <w:t>8.8 施工设备和临时设施</w:t>
      </w:r>
    </w:p>
    <w:p w14:paraId="269BFFDF">
      <w:pPr>
        <w:spacing w:line="360" w:lineRule="auto"/>
        <w:ind w:firstLine="480" w:firstLineChars="200"/>
        <w:rPr>
          <w:rFonts w:ascii="宋体" w:hAnsi="宋体"/>
          <w:color w:val="auto"/>
          <w:sz w:val="24"/>
          <w:highlight w:val="none"/>
        </w:rPr>
      </w:pPr>
      <w:r>
        <w:rPr>
          <w:rFonts w:ascii="宋体" w:hAnsi="宋体"/>
          <w:color w:val="auto"/>
          <w:sz w:val="24"/>
          <w:highlight w:val="none"/>
        </w:rPr>
        <w:t>8.8.1 承包人提供的施工设备和临时设施</w:t>
      </w:r>
    </w:p>
    <w:p w14:paraId="226E2E5A">
      <w:pPr>
        <w:spacing w:line="360" w:lineRule="auto"/>
        <w:ind w:firstLine="480" w:firstLineChars="200"/>
        <w:rPr>
          <w:rFonts w:ascii="宋体" w:hAnsi="宋体"/>
          <w:color w:val="auto"/>
          <w:sz w:val="24"/>
          <w:highlight w:val="none"/>
        </w:rPr>
      </w:pPr>
      <w:r>
        <w:rPr>
          <w:rFonts w:ascii="宋体" w:hAnsi="宋体"/>
          <w:color w:val="auto"/>
          <w:sz w:val="24"/>
          <w:highlight w:val="none"/>
        </w:rPr>
        <w:t>关于修建临时设施费用承担的约定：</w:t>
      </w:r>
      <w:r>
        <w:rPr>
          <w:rFonts w:ascii="宋体" w:hAnsi="宋体"/>
          <w:b/>
          <w:color w:val="auto"/>
          <w:sz w:val="24"/>
          <w:highlight w:val="none"/>
          <w:u w:val="single"/>
        </w:rPr>
        <w:t>由承包人承担。 如在施工范围外，需外借场地，由承包人自行借地，费用由承包人支付，发包人配合</w:t>
      </w:r>
      <w:r>
        <w:rPr>
          <w:rFonts w:ascii="宋体" w:hAnsi="宋体"/>
          <w:color w:val="auto"/>
          <w:sz w:val="24"/>
          <w:highlight w:val="none"/>
        </w:rPr>
        <w:t>。</w:t>
      </w:r>
    </w:p>
    <w:p w14:paraId="17802610">
      <w:pPr>
        <w:pStyle w:val="6"/>
        <w:spacing w:line="360" w:lineRule="auto"/>
        <w:ind w:left="0" w:firstLine="482" w:firstLineChars="200"/>
        <w:rPr>
          <w:rFonts w:ascii="宋体" w:hAnsi="宋体" w:eastAsia="宋体" w:cs="宋体"/>
          <w:bCs w:val="0"/>
          <w:color w:val="auto"/>
          <w:sz w:val="24"/>
          <w:szCs w:val="24"/>
          <w:highlight w:val="none"/>
        </w:rPr>
      </w:pPr>
      <w:r>
        <w:rPr>
          <w:rFonts w:ascii="宋体" w:hAnsi="宋体" w:eastAsia="宋体" w:cs="宋体"/>
          <w:bCs w:val="0"/>
          <w:color w:val="auto"/>
          <w:sz w:val="24"/>
          <w:szCs w:val="24"/>
          <w:highlight w:val="none"/>
        </w:rPr>
        <w:t>9. 试验与检验</w:t>
      </w:r>
    </w:p>
    <w:p w14:paraId="5E7E96CB">
      <w:pPr>
        <w:spacing w:line="360" w:lineRule="auto"/>
        <w:ind w:firstLine="480" w:firstLineChars="200"/>
        <w:rPr>
          <w:rFonts w:ascii="宋体" w:hAnsi="宋体"/>
          <w:color w:val="auto"/>
          <w:sz w:val="24"/>
          <w:highlight w:val="none"/>
        </w:rPr>
      </w:pPr>
      <w:r>
        <w:rPr>
          <w:rFonts w:ascii="宋体" w:hAnsi="宋体"/>
          <w:color w:val="auto"/>
          <w:sz w:val="24"/>
          <w:highlight w:val="none"/>
        </w:rPr>
        <w:t>9.1试验设备与试验人员</w:t>
      </w:r>
    </w:p>
    <w:p w14:paraId="795F4165">
      <w:pPr>
        <w:spacing w:line="360" w:lineRule="auto"/>
        <w:ind w:firstLine="480" w:firstLineChars="200"/>
        <w:rPr>
          <w:rFonts w:ascii="宋体" w:hAnsi="宋体"/>
          <w:color w:val="auto"/>
          <w:sz w:val="24"/>
          <w:highlight w:val="none"/>
        </w:rPr>
      </w:pPr>
      <w:r>
        <w:rPr>
          <w:rFonts w:ascii="宋体" w:hAnsi="宋体"/>
          <w:color w:val="auto"/>
          <w:sz w:val="24"/>
          <w:highlight w:val="none"/>
        </w:rPr>
        <w:t>9.1.2 试验设备</w:t>
      </w:r>
    </w:p>
    <w:p w14:paraId="0EDAE468">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施工现场需要配置的试验场所：</w:t>
      </w:r>
      <w:r>
        <w:rPr>
          <w:rFonts w:ascii="宋体" w:hAnsi="宋体"/>
          <w:b/>
          <w:color w:val="auto"/>
          <w:sz w:val="24"/>
          <w:highlight w:val="none"/>
          <w:u w:val="single"/>
        </w:rPr>
        <w:t>按有关规定和发包人或监理人要求执行</w:t>
      </w:r>
      <w:r>
        <w:rPr>
          <w:rFonts w:ascii="宋体" w:hAnsi="宋体"/>
          <w:color w:val="auto"/>
          <w:sz w:val="24"/>
          <w:highlight w:val="none"/>
        </w:rPr>
        <w:t xml:space="preserve">。 </w:t>
      </w:r>
    </w:p>
    <w:p w14:paraId="29C900E1">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施工现场需要配备的试验设备：</w:t>
      </w:r>
      <w:r>
        <w:rPr>
          <w:rFonts w:ascii="宋体" w:hAnsi="宋体"/>
          <w:b/>
          <w:color w:val="auto"/>
          <w:sz w:val="24"/>
          <w:highlight w:val="none"/>
          <w:u w:val="single"/>
        </w:rPr>
        <w:t>按有关规定和发包人或监理人要求执行</w:t>
      </w:r>
      <w:r>
        <w:rPr>
          <w:rFonts w:ascii="宋体" w:hAnsi="宋体"/>
          <w:color w:val="auto"/>
          <w:sz w:val="24"/>
          <w:highlight w:val="none"/>
        </w:rPr>
        <w:t>。</w:t>
      </w:r>
    </w:p>
    <w:p w14:paraId="5FE50C97">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施工现场需要具备的其他试验条件：</w:t>
      </w:r>
      <w:r>
        <w:rPr>
          <w:rFonts w:ascii="宋体" w:hAnsi="宋体"/>
          <w:b/>
          <w:color w:val="auto"/>
          <w:sz w:val="24"/>
          <w:highlight w:val="none"/>
          <w:u w:val="single"/>
        </w:rPr>
        <w:t>按有关规定和发包人或监理人要求执行</w:t>
      </w:r>
      <w:r>
        <w:rPr>
          <w:rFonts w:ascii="宋体" w:hAnsi="宋体"/>
          <w:color w:val="auto"/>
          <w:sz w:val="24"/>
          <w:highlight w:val="none"/>
        </w:rPr>
        <w:t>。</w:t>
      </w:r>
    </w:p>
    <w:p w14:paraId="36BC632E">
      <w:pPr>
        <w:spacing w:line="360" w:lineRule="auto"/>
        <w:ind w:firstLine="480" w:firstLineChars="200"/>
        <w:rPr>
          <w:rFonts w:ascii="宋体" w:hAnsi="宋体"/>
          <w:b/>
          <w:color w:val="auto"/>
          <w:sz w:val="24"/>
          <w:highlight w:val="none"/>
        </w:rPr>
      </w:pPr>
      <w:r>
        <w:rPr>
          <w:rFonts w:ascii="宋体" w:hAnsi="宋体"/>
          <w:color w:val="auto"/>
          <w:sz w:val="24"/>
          <w:highlight w:val="none"/>
        </w:rPr>
        <w:t>9.3材料、工程设备和工程的试验和检验</w:t>
      </w:r>
    </w:p>
    <w:p w14:paraId="63E6D7FD">
      <w:pPr>
        <w:spacing w:line="360" w:lineRule="auto"/>
        <w:ind w:firstLine="455" w:firstLineChars="189"/>
        <w:rPr>
          <w:rFonts w:ascii="宋体" w:hAnsi="宋体"/>
          <w:b/>
          <w:color w:val="auto"/>
          <w:sz w:val="24"/>
          <w:highlight w:val="none"/>
          <w:u w:val="single"/>
        </w:rPr>
      </w:pPr>
      <w:r>
        <w:rPr>
          <w:rFonts w:ascii="宋体" w:hAnsi="宋体"/>
          <w:b/>
          <w:color w:val="auto"/>
          <w:sz w:val="24"/>
          <w:highlight w:val="none"/>
        </w:rPr>
        <w:t>试验、检测单位资质条件约定：</w:t>
      </w:r>
      <w:r>
        <w:rPr>
          <w:rFonts w:ascii="宋体" w:hAnsi="宋体"/>
          <w:b/>
          <w:color w:val="auto"/>
          <w:sz w:val="24"/>
          <w:highlight w:val="none"/>
          <w:u w:val="single"/>
        </w:rPr>
        <w:t>按有关规定和发包人或监理人要求执行</w:t>
      </w:r>
      <w:r>
        <w:rPr>
          <w:rFonts w:ascii="宋体" w:hAnsi="宋体"/>
          <w:b/>
          <w:color w:val="auto"/>
          <w:sz w:val="24"/>
          <w:highlight w:val="none"/>
        </w:rPr>
        <w:t>；</w:t>
      </w:r>
    </w:p>
    <w:p w14:paraId="575FAD4E">
      <w:pPr>
        <w:spacing w:line="360" w:lineRule="auto"/>
        <w:ind w:firstLine="455" w:firstLineChars="189"/>
        <w:rPr>
          <w:rFonts w:ascii="宋体" w:hAnsi="宋体"/>
          <w:b/>
          <w:color w:val="auto"/>
          <w:sz w:val="24"/>
          <w:highlight w:val="none"/>
          <w:u w:val="single"/>
        </w:rPr>
      </w:pPr>
      <w:r>
        <w:rPr>
          <w:rFonts w:ascii="宋体" w:hAnsi="宋体"/>
          <w:b/>
          <w:color w:val="auto"/>
          <w:sz w:val="24"/>
          <w:highlight w:val="none"/>
        </w:rPr>
        <w:t>试验、检测单位选择约定：</w:t>
      </w:r>
      <w:bookmarkStart w:id="401" w:name="SOA_zyht_qt10"/>
      <w:bookmarkEnd w:id="401"/>
      <w:r>
        <w:rPr>
          <w:rFonts w:ascii="宋体" w:hAnsi="宋体"/>
          <w:b/>
          <w:color w:val="auto"/>
          <w:sz w:val="24"/>
          <w:highlight w:val="none"/>
          <w:u w:val="single"/>
        </w:rPr>
        <w:t>承包人按合同约定的资质条件要求，自行选定择信誉、服务良好的检测机构，但需报送监理人和发包人审核后最终确定</w:t>
      </w:r>
      <w:r>
        <w:rPr>
          <w:rFonts w:ascii="宋体" w:hAnsi="宋体"/>
          <w:b/>
          <w:color w:val="auto"/>
          <w:sz w:val="24"/>
          <w:highlight w:val="none"/>
        </w:rPr>
        <w:t>；</w:t>
      </w:r>
    </w:p>
    <w:p w14:paraId="2C85F49F">
      <w:pPr>
        <w:spacing w:line="360" w:lineRule="auto"/>
        <w:ind w:firstLine="455" w:firstLineChars="189"/>
        <w:rPr>
          <w:rFonts w:ascii="宋体" w:hAnsi="宋体"/>
          <w:b/>
          <w:color w:val="auto"/>
          <w:sz w:val="24"/>
          <w:highlight w:val="none"/>
        </w:rPr>
      </w:pPr>
      <w:r>
        <w:rPr>
          <w:rFonts w:ascii="宋体" w:hAnsi="宋体"/>
          <w:b/>
          <w:color w:val="auto"/>
          <w:sz w:val="24"/>
          <w:highlight w:val="none"/>
        </w:rPr>
        <w:t>试验、检测费用约定：</w:t>
      </w:r>
      <w:r>
        <w:rPr>
          <w:rFonts w:ascii="宋体" w:hAnsi="宋体"/>
          <w:b/>
          <w:color w:val="auto"/>
          <w:sz w:val="24"/>
          <w:highlight w:val="none"/>
          <w:u w:val="single"/>
        </w:rPr>
        <w:t>按规范、设计、市建委要求，工程施工过程及移交验收所需的检验试验费用，全部由承包人承担，已包含在投标报价中。涉及发包人现场抽查检测项目第一次由发包人负责承担检测费用，若检测不合格，复检由承包人委托共同认可的专业单位进行检测，复检检测费用由承包人承担</w:t>
      </w:r>
      <w:r>
        <w:rPr>
          <w:rFonts w:ascii="宋体" w:hAnsi="宋体"/>
          <w:b/>
          <w:color w:val="auto"/>
          <w:sz w:val="24"/>
          <w:highlight w:val="none"/>
        </w:rPr>
        <w:t>。</w:t>
      </w:r>
    </w:p>
    <w:p w14:paraId="3776DDE8">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9.4 现场工艺试验 </w:t>
      </w:r>
    </w:p>
    <w:p w14:paraId="5BE698CB">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现场工艺试验的有关约定：</w:t>
      </w:r>
      <w:r>
        <w:rPr>
          <w:rFonts w:ascii="宋体" w:hAnsi="宋体"/>
          <w:b/>
          <w:color w:val="auto"/>
          <w:sz w:val="24"/>
          <w:highlight w:val="none"/>
          <w:u w:val="single"/>
        </w:rPr>
        <w:t>按有关规定和发包人或监理人要求执行</w:t>
      </w:r>
      <w:r>
        <w:rPr>
          <w:rFonts w:ascii="宋体" w:hAnsi="宋体"/>
          <w:color w:val="auto"/>
          <w:sz w:val="24"/>
          <w:highlight w:val="none"/>
        </w:rPr>
        <w:t>。</w:t>
      </w:r>
    </w:p>
    <w:p w14:paraId="41162FD0">
      <w:pPr>
        <w:pStyle w:val="6"/>
        <w:spacing w:line="360" w:lineRule="auto"/>
        <w:ind w:left="0" w:firstLine="482" w:firstLineChars="200"/>
        <w:rPr>
          <w:rFonts w:ascii="宋体" w:hAnsi="宋体" w:eastAsia="宋体" w:cs="宋体"/>
          <w:bCs w:val="0"/>
          <w:color w:val="auto"/>
          <w:sz w:val="24"/>
          <w:szCs w:val="24"/>
          <w:highlight w:val="none"/>
        </w:rPr>
      </w:pPr>
      <w:r>
        <w:rPr>
          <w:rFonts w:ascii="宋体" w:hAnsi="宋体" w:eastAsia="宋体" w:cs="宋体"/>
          <w:bCs w:val="0"/>
          <w:color w:val="auto"/>
          <w:sz w:val="24"/>
          <w:szCs w:val="24"/>
          <w:highlight w:val="none"/>
        </w:rPr>
        <w:t>10. 变更</w:t>
      </w:r>
    </w:p>
    <w:p w14:paraId="62F91E5A">
      <w:pPr>
        <w:spacing w:line="360" w:lineRule="auto"/>
        <w:ind w:firstLine="480" w:firstLineChars="200"/>
        <w:rPr>
          <w:rFonts w:ascii="宋体" w:hAnsi="宋体"/>
          <w:color w:val="auto"/>
          <w:sz w:val="24"/>
          <w:highlight w:val="none"/>
        </w:rPr>
      </w:pPr>
      <w:r>
        <w:rPr>
          <w:rFonts w:ascii="宋体" w:hAnsi="宋体"/>
          <w:color w:val="auto"/>
          <w:sz w:val="24"/>
          <w:highlight w:val="none"/>
        </w:rPr>
        <w:t>10.1变更的范围</w:t>
      </w:r>
    </w:p>
    <w:p w14:paraId="4957A682">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关于变更的范围的约定：</w:t>
      </w:r>
      <w:r>
        <w:rPr>
          <w:rFonts w:ascii="宋体" w:hAnsi="宋体"/>
          <w:b/>
          <w:color w:val="auto"/>
          <w:sz w:val="24"/>
          <w:highlight w:val="none"/>
          <w:u w:val="single"/>
        </w:rPr>
        <w:t xml:space="preserve">按通用合同条款约定             </w:t>
      </w:r>
      <w:r>
        <w:rPr>
          <w:rFonts w:ascii="宋体" w:hAnsi="宋体"/>
          <w:b/>
          <w:color w:val="auto"/>
          <w:sz w:val="24"/>
          <w:highlight w:val="none"/>
        </w:rPr>
        <w:t>。</w:t>
      </w:r>
    </w:p>
    <w:p w14:paraId="080FDBA3">
      <w:pPr>
        <w:spacing w:line="360" w:lineRule="auto"/>
        <w:ind w:firstLine="480" w:firstLineChars="200"/>
        <w:rPr>
          <w:rFonts w:ascii="宋体" w:hAnsi="宋体"/>
          <w:color w:val="auto"/>
          <w:sz w:val="24"/>
          <w:highlight w:val="none"/>
        </w:rPr>
      </w:pPr>
      <w:r>
        <w:rPr>
          <w:rFonts w:ascii="宋体" w:hAnsi="宋体"/>
          <w:color w:val="auto"/>
          <w:sz w:val="24"/>
          <w:highlight w:val="none"/>
        </w:rPr>
        <w:t>10.4 变更估价</w:t>
      </w:r>
    </w:p>
    <w:p w14:paraId="2A35A74B">
      <w:pPr>
        <w:spacing w:line="360" w:lineRule="auto"/>
        <w:ind w:firstLine="480" w:firstLineChars="200"/>
        <w:rPr>
          <w:rFonts w:ascii="宋体" w:hAnsi="宋体"/>
          <w:color w:val="auto"/>
          <w:sz w:val="24"/>
          <w:highlight w:val="none"/>
        </w:rPr>
      </w:pPr>
      <w:r>
        <w:rPr>
          <w:rFonts w:ascii="宋体" w:hAnsi="宋体"/>
          <w:color w:val="auto"/>
          <w:sz w:val="24"/>
          <w:highlight w:val="none"/>
        </w:rPr>
        <w:t>10.4.1 变更估价原则</w:t>
      </w:r>
    </w:p>
    <w:p w14:paraId="55FC61F0">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关于变更估价的约定: </w:t>
      </w:r>
    </w:p>
    <w:p w14:paraId="694D40D1">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 xml:space="preserve">（1）已标价工程量清单或预算书有相同项目的，按照相同项目单价确定。 </w:t>
      </w:r>
    </w:p>
    <w:p w14:paraId="4AFA0A1C">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 xml:space="preserve">（2）已标价工程量清单或预算书中无相同项目，但有类似项目的，参照类似项目的单价确定。 </w:t>
      </w:r>
    </w:p>
    <w:p w14:paraId="48303EBA">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（3）已标价工程量清单或预算书中无相同项目及类似项目单价的，其单价的确定，按以下约定：套用浙江省 2018版预算定额</w:t>
      </w:r>
      <w:bookmarkStart w:id="402" w:name="ed_2022Y1M25D9H51M25"/>
      <w:r>
        <w:rPr>
          <w:rFonts w:ascii="宋体" w:hAnsi="宋体"/>
          <w:b/>
          <w:color w:val="auto"/>
          <w:sz w:val="24"/>
          <w:highlight w:val="none"/>
          <w:u w:val="single"/>
        </w:rPr>
        <w:t>和《浙江省建设工程</w:t>
      </w:r>
      <w:r>
        <w:rPr>
          <w:rFonts w:hint="eastAsia" w:ascii="宋体" w:hAnsi="宋体"/>
          <w:b/>
          <w:color w:val="auto"/>
          <w:sz w:val="24"/>
          <w:highlight w:val="none"/>
          <w:u w:val="single"/>
        </w:rPr>
        <w:t>计价规则</w:t>
      </w:r>
      <w:r>
        <w:rPr>
          <w:rFonts w:ascii="宋体" w:hAnsi="宋体"/>
          <w:b/>
          <w:color w:val="auto"/>
          <w:sz w:val="24"/>
          <w:highlight w:val="none"/>
          <w:u w:val="single"/>
        </w:rPr>
        <w:t>》（2018版）或</w:t>
      </w:r>
      <w:bookmarkEnd w:id="402"/>
      <w:r>
        <w:rPr>
          <w:rFonts w:ascii="宋体" w:hAnsi="宋体"/>
          <w:b/>
          <w:color w:val="auto"/>
          <w:sz w:val="24"/>
          <w:highlight w:val="none"/>
          <w:u w:val="single"/>
        </w:rPr>
        <w:t>现行相应专业定额，</w:t>
      </w:r>
      <w:r>
        <w:rPr>
          <w:rFonts w:hint="eastAsia" w:ascii="宋体" w:hAnsi="宋体"/>
          <w:b/>
          <w:color w:val="auto"/>
          <w:sz w:val="24"/>
          <w:highlight w:val="none"/>
          <w:u w:val="single"/>
        </w:rPr>
        <w:t>安全文明施工费、企业管理费、利润按相应类别工程费率的中限计取，</w:t>
      </w:r>
      <w:r>
        <w:rPr>
          <w:rFonts w:ascii="宋体" w:hAnsi="宋体"/>
          <w:b/>
          <w:color w:val="auto"/>
          <w:sz w:val="24"/>
          <w:highlight w:val="none"/>
          <w:u w:val="single"/>
        </w:rPr>
        <w:t>规费、税金按《浙江省建设工程计价规则》（2018版）规定计取；材料价格有投标价的执行投标价，无投标价的执行合同工期信息价平均值，对当地信息价正刊没有公布的材料，发包人应在充分市场询价基础上，参照同期同类材料市场价格水平，按照相关规定审批程序签证确定；当零星工程发生签证台班数量，机械单价有投标价的执行投标价，无投标价的执行预算定额单价；按照上述方法计算后乘以（1-承包人报价浮动率L）得出结算单价，承包人报价浮动率 L=（1-中标价÷招标控制价）×100%</w:t>
      </w:r>
      <w:bookmarkStart w:id="403" w:name="ed_2022Y1M25D9H51M53"/>
      <w:r>
        <w:rPr>
          <w:rFonts w:ascii="宋体" w:hAnsi="宋体"/>
          <w:b/>
          <w:color w:val="auto"/>
          <w:sz w:val="24"/>
          <w:highlight w:val="none"/>
          <w:u w:val="single"/>
        </w:rPr>
        <w:t>（若项目含</w:t>
      </w:r>
      <w:r>
        <w:rPr>
          <w:rFonts w:hint="eastAsia" w:ascii="宋体" w:hAnsi="宋体"/>
          <w:b/>
          <w:color w:val="auto"/>
          <w:sz w:val="24"/>
          <w:highlight w:val="none"/>
          <w:u w:val="single"/>
        </w:rPr>
        <w:t>暂列金额</w:t>
      </w:r>
      <w:r>
        <w:rPr>
          <w:rFonts w:ascii="宋体" w:hAnsi="宋体"/>
          <w:b/>
          <w:color w:val="auto"/>
          <w:sz w:val="24"/>
          <w:highlight w:val="none"/>
          <w:u w:val="single"/>
        </w:rPr>
        <w:t>，中标价及招标控制价均扣除</w:t>
      </w:r>
      <w:r>
        <w:rPr>
          <w:rFonts w:hint="eastAsia" w:ascii="宋体" w:hAnsi="宋体"/>
          <w:b/>
          <w:color w:val="auto"/>
          <w:sz w:val="24"/>
          <w:highlight w:val="none"/>
          <w:u w:val="single"/>
        </w:rPr>
        <w:t>暂列金额</w:t>
      </w:r>
      <w:r>
        <w:rPr>
          <w:rFonts w:ascii="宋体" w:hAnsi="宋体"/>
          <w:b/>
          <w:color w:val="auto"/>
          <w:sz w:val="24"/>
          <w:highlight w:val="none"/>
          <w:u w:val="single"/>
        </w:rPr>
        <w:t>）</w:t>
      </w:r>
      <w:bookmarkEnd w:id="403"/>
      <w:r>
        <w:rPr>
          <w:rFonts w:ascii="宋体" w:hAnsi="宋体"/>
          <w:b/>
          <w:color w:val="auto"/>
          <w:sz w:val="24"/>
          <w:highlight w:val="none"/>
          <w:u w:val="single"/>
        </w:rPr>
        <w:t xml:space="preserve">。 </w:t>
      </w:r>
    </w:p>
    <w:p w14:paraId="43D43278">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 xml:space="preserve">（4）工程量清单错误和（或）设计变更导致实际完成的工程量与已标价工程量清单或预算书中列明的该项目工程量的变化幅度超过以下情况的，其单价允许调整：凡合价金额占合同总价 2%及以上的分部分项清单项目，其工程量增加或减少超过本项目工程数量 15%及以上时，或者合价金额占合同总价不到 2%的分部分项清单项目，但其工程量增加或减少超过本项目工程数量 25%以上时。工程量偏差超过上述变化幅度之外变动部分的相应单价调整方法按以下方式约定：按照《建设工程工程量清单计价规范》（GB50500-2013）9.6.2 条规定，增加部分的工程量的综合单价应予调低，减少后剩余部分的工程量的综合单价应予调高，可按下列公式调整: </w:t>
      </w:r>
    </w:p>
    <w:p w14:paraId="6CD493AE">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 xml:space="preserve">凡合价金额占合同总价 2%及以上的分部分项清单项目， </w:t>
      </w:r>
    </w:p>
    <w:p w14:paraId="59E19AE6">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 xml:space="preserve">①当 Q1&gt;1.15Q0 时: S=1.15Q0×P0+（Q1-1.15 Q0）×P1 </w:t>
      </w:r>
    </w:p>
    <w:p w14:paraId="647D258A">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 xml:space="preserve">②当 Q1&lt;0.85Q0 时: S=Q1×P1 </w:t>
      </w:r>
    </w:p>
    <w:p w14:paraId="369B1761">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 xml:space="preserve">凡合价金额占合同总价不到 2%的分部分项清单项目， </w:t>
      </w:r>
    </w:p>
    <w:p w14:paraId="13D62B28">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 xml:space="preserve">③当 Q1&gt;1.25Q0 时: S=1.25Q0×P0+（Q1-1.25 Q0）×P1 </w:t>
      </w:r>
    </w:p>
    <w:p w14:paraId="473AD411">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 xml:space="preserve">④当 Q1&lt;0.75Q0 时: S=Q1×P1 </w:t>
      </w:r>
    </w:p>
    <w:p w14:paraId="73F49524">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 xml:space="preserve">式中 S——调整后某一分部分项工程费结算价； </w:t>
      </w:r>
    </w:p>
    <w:p w14:paraId="2D6FC2D0">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 xml:space="preserve">Q1——最终完成的工程量； </w:t>
      </w:r>
    </w:p>
    <w:p w14:paraId="63DCFB92">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 xml:space="preserve">Q0——招标工程量清单中列出的工程量； </w:t>
      </w:r>
    </w:p>
    <w:p w14:paraId="7DB4EED1">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 xml:space="preserve">P0——承包人在已标价工程量清单中填报的综合单价 </w:t>
      </w:r>
    </w:p>
    <w:p w14:paraId="35A9B9AD">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 xml:space="preserve">P1——按照最终完成工程量重新调整后的综合单价，按本合同第 10.4.1条（3）款 </w:t>
      </w:r>
    </w:p>
    <w:p w14:paraId="7E5A87A6">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 xml:space="preserve">计算结果和 P0 比较，在工程量增加时，若计算结果大于 P0 的,取 P1=P0，在工程量减少时，若计算结果小于 P0 的, 取 P1= P0。 </w:t>
      </w:r>
    </w:p>
    <w:p w14:paraId="01829F6F">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 xml:space="preserve">（5）其他：①工程量必须按照《建设工程工程量清单计价规范》（GB50500-2013）规定的工程量计算规则计算。工程量必须以承包人完成合同工程应予计量的工程量确定。最终结算工程量应首先报监理及发包人初审。 </w:t>
      </w:r>
    </w:p>
    <w:p w14:paraId="16B4C60B">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 xml:space="preserve">②工程变更管理按《杭州市政府投资项目工程变更管理暂行办法》（杭财建[2013]1246 号）执行，未履行规定程序的联系单，不得纳入工程结算。 </w:t>
      </w:r>
    </w:p>
    <w:p w14:paraId="0AF4A14B">
      <w:pPr>
        <w:spacing w:line="360" w:lineRule="auto"/>
        <w:ind w:firstLine="482" w:firstLineChars="200"/>
        <w:rPr>
          <w:rFonts w:ascii="宋体" w:hAnsi="宋体"/>
          <w:b/>
          <w:color w:val="auto"/>
          <w:sz w:val="24"/>
          <w:highlight w:val="none"/>
          <w:u w:val="single"/>
        </w:rPr>
      </w:pPr>
      <w:r>
        <w:rPr>
          <w:rFonts w:hint="eastAsia" w:ascii="宋体" w:hAnsi="宋体"/>
          <w:b/>
          <w:color w:val="auto"/>
          <w:sz w:val="24"/>
          <w:highlight w:val="none"/>
          <w:u w:val="single"/>
        </w:rPr>
        <w:t>③本合同专用条款</w:t>
      </w:r>
      <w:r>
        <w:rPr>
          <w:rFonts w:ascii="宋体" w:hAnsi="宋体"/>
          <w:b/>
          <w:color w:val="auto"/>
          <w:sz w:val="24"/>
          <w:highlight w:val="none"/>
          <w:u w:val="single"/>
        </w:rPr>
        <w:t>1.1.1.10中的“施工组织设计”是指承包人在投标书中制定的相关技术、经济和施工组织的综合性文件。施工组织措施费按投标报价包干。施工技术措施费，根据实际施工发生的按实结算，原技术措施费项目清单中已有的技术措施项目，按原有技术措施费的</w:t>
      </w:r>
      <w:r>
        <w:rPr>
          <w:rFonts w:hint="eastAsia" w:ascii="宋体" w:hAnsi="宋体"/>
          <w:b/>
          <w:color w:val="auto"/>
          <w:sz w:val="24"/>
          <w:highlight w:val="none"/>
          <w:u w:val="single"/>
        </w:rPr>
        <w:t>组价方法或单价调整，按项计的技术措施费不做调整；原技术措施费项目清单中没有的项目，组价方法按照“</w:t>
      </w:r>
      <w:r>
        <w:rPr>
          <w:rFonts w:ascii="宋体" w:hAnsi="宋体"/>
          <w:b/>
          <w:color w:val="auto"/>
          <w:sz w:val="24"/>
          <w:highlight w:val="none"/>
          <w:u w:val="single"/>
        </w:rPr>
        <w:t xml:space="preserve">10.4.1变更估价原则第（3）条执行。如有甩项工程，发包人将对承包人未实际投入的施工组织措施费和技术措施费按上述方法予以扣除。 </w:t>
      </w:r>
    </w:p>
    <w:p w14:paraId="73C9D7CD">
      <w:pPr>
        <w:spacing w:line="360" w:lineRule="auto"/>
        <w:ind w:firstLine="482" w:firstLineChars="200"/>
        <w:rPr>
          <w:rFonts w:ascii="宋体" w:hAnsi="宋体"/>
          <w:b/>
          <w:color w:val="auto"/>
          <w:sz w:val="24"/>
          <w:highlight w:val="none"/>
          <w:u w:val="single"/>
        </w:rPr>
      </w:pPr>
      <w:r>
        <w:rPr>
          <w:rFonts w:hint="eastAsia" w:ascii="宋体" w:hAnsi="宋体"/>
          <w:b/>
          <w:color w:val="auto"/>
          <w:sz w:val="24"/>
          <w:highlight w:val="none"/>
          <w:u w:val="single"/>
        </w:rPr>
        <w:t>④工程量清单项目特征描述的分项工程内容均应计入综合单价报价，若承包人提供的分部分项工程量综合单价计算表及综合单价工料机分析表没有详尽分析的，发包人将对实际未实施的分项工程予以扣除，扣除部分的价格按照“</w:t>
      </w:r>
      <w:r>
        <w:rPr>
          <w:rFonts w:ascii="宋体" w:hAnsi="宋体"/>
          <w:b/>
          <w:color w:val="auto"/>
          <w:sz w:val="24"/>
          <w:highlight w:val="none"/>
          <w:u w:val="single"/>
        </w:rPr>
        <w:t>10.4.1变更估价原则第（3）条执行。⑤现有管线、邻近建筑物、构筑物（含文物保护建筑）、古树名木等的保护费计算。招标时已明确的，其保护费用承包人应根据发包人提供的交底资料，结合现场探勘，充分考虑施工难度，计入报价，包干使用。实施过程中新发现的，其保护费用按实计算，计算口径按照“10.4.1变更估价原则第（3）条执行。</w:t>
      </w:r>
    </w:p>
    <w:p w14:paraId="49AEC840">
      <w:pPr>
        <w:spacing w:line="360" w:lineRule="auto"/>
        <w:ind w:firstLine="480" w:firstLineChars="200"/>
        <w:rPr>
          <w:rFonts w:ascii="宋体" w:hAnsi="宋体"/>
          <w:b/>
          <w:color w:val="auto"/>
          <w:sz w:val="24"/>
          <w:highlight w:val="none"/>
          <w:u w:val="single"/>
        </w:rPr>
      </w:pPr>
      <w:r>
        <w:rPr>
          <w:rFonts w:ascii="宋体" w:hAnsi="宋体"/>
          <w:color w:val="auto"/>
          <w:sz w:val="24"/>
          <w:highlight w:val="none"/>
          <w:u w:val="single"/>
        </w:rPr>
        <w:fldChar w:fldCharType="begin"/>
      </w:r>
      <w:r>
        <w:rPr>
          <w:rFonts w:ascii="宋体" w:hAnsi="宋体"/>
          <w:color w:val="auto"/>
          <w:sz w:val="24"/>
          <w:highlight w:val="none"/>
          <w:u w:val="single"/>
        </w:rPr>
        <w:instrText xml:space="preserve"> </w:instrText>
      </w:r>
      <w:r>
        <w:rPr>
          <w:rFonts w:hint="eastAsia" w:ascii="宋体" w:hAnsi="宋体"/>
          <w:color w:val="auto"/>
          <w:sz w:val="24"/>
          <w:highlight w:val="none"/>
          <w:u w:val="single"/>
        </w:rPr>
        <w:instrText xml:space="preserve">= 5 \* GB3</w:instrText>
      </w:r>
      <w:r>
        <w:rPr>
          <w:rFonts w:ascii="宋体" w:hAnsi="宋体"/>
          <w:color w:val="auto"/>
          <w:sz w:val="24"/>
          <w:highlight w:val="none"/>
          <w:u w:val="single"/>
        </w:rPr>
        <w:instrText xml:space="preserve"> </w:instrText>
      </w:r>
      <w:r>
        <w:rPr>
          <w:rFonts w:ascii="宋体" w:hAnsi="宋体"/>
          <w:color w:val="auto"/>
          <w:sz w:val="24"/>
          <w:highlight w:val="none"/>
          <w:u w:val="single"/>
        </w:rPr>
        <w:fldChar w:fldCharType="separate"/>
      </w:r>
      <w:r>
        <w:rPr>
          <w:rFonts w:hint="eastAsia" w:ascii="宋体" w:hAnsi="宋体"/>
          <w:color w:val="auto"/>
          <w:sz w:val="24"/>
          <w:highlight w:val="none"/>
          <w:u w:val="single"/>
        </w:rPr>
        <w:t>⑤</w:t>
      </w:r>
      <w:r>
        <w:rPr>
          <w:rFonts w:ascii="宋体" w:hAnsi="宋体"/>
          <w:color w:val="auto"/>
          <w:sz w:val="24"/>
          <w:highlight w:val="none"/>
          <w:u w:val="single"/>
        </w:rPr>
        <w:fldChar w:fldCharType="end"/>
      </w:r>
      <w:r>
        <w:rPr>
          <w:rFonts w:ascii="宋体" w:hAnsi="宋体"/>
          <w:b/>
          <w:color w:val="auto"/>
          <w:sz w:val="24"/>
          <w:highlight w:val="none"/>
          <w:u w:val="single"/>
        </w:rPr>
        <w:t xml:space="preserve">发包人与承包人在询标过程中，涉及到合同价款结算有须明确或澄清的事项包括： </w:t>
      </w:r>
    </w:p>
    <w:p w14:paraId="5B5DA53E">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 xml:space="preserve">待询标明确 </w:t>
      </w:r>
    </w:p>
    <w:p w14:paraId="7FD3F947">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⑥因受疫情影响造成的损失和费用增加，按照《关于新型冠状病毒肺炎疫情后我市建</w:t>
      </w:r>
    </w:p>
    <w:p w14:paraId="30FECC4D">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 xml:space="preserve">设工程施工合同履约及工程价款调整的指导意见》执行。 </w:t>
      </w:r>
    </w:p>
    <w:p w14:paraId="45ABD33C">
      <w:pPr>
        <w:spacing w:line="360" w:lineRule="auto"/>
        <w:ind w:firstLine="480" w:firstLineChars="200"/>
        <w:rPr>
          <w:rFonts w:ascii="宋体" w:hAnsi="宋体"/>
          <w:color w:val="auto"/>
          <w:sz w:val="24"/>
          <w:highlight w:val="none"/>
        </w:rPr>
      </w:pPr>
      <w:r>
        <w:rPr>
          <w:rFonts w:ascii="宋体" w:hAnsi="宋体"/>
          <w:color w:val="auto"/>
          <w:sz w:val="24"/>
          <w:highlight w:val="none"/>
        </w:rPr>
        <w:t>10.5承包人的合理化建议</w:t>
      </w:r>
    </w:p>
    <w:p w14:paraId="5E0F0F8C">
      <w:pPr>
        <w:spacing w:line="360" w:lineRule="auto"/>
        <w:ind w:firstLine="480" w:firstLineChars="200"/>
        <w:rPr>
          <w:rFonts w:ascii="宋体" w:hAnsi="宋体"/>
          <w:color w:val="auto"/>
          <w:sz w:val="24"/>
          <w:highlight w:val="none"/>
        </w:rPr>
      </w:pPr>
      <w:r>
        <w:rPr>
          <w:rFonts w:ascii="宋体" w:hAnsi="宋体"/>
          <w:color w:val="auto"/>
          <w:sz w:val="24"/>
          <w:highlight w:val="none"/>
        </w:rPr>
        <w:t>监理人审查承包人合理化建议的期限：</w:t>
      </w:r>
      <w:r>
        <w:rPr>
          <w:rFonts w:ascii="宋体" w:hAnsi="宋体"/>
          <w:b/>
          <w:color w:val="auto"/>
          <w:sz w:val="24"/>
          <w:highlight w:val="none"/>
          <w:u w:val="single"/>
        </w:rPr>
        <w:t>按通用合同条款约定</w:t>
      </w:r>
      <w:r>
        <w:rPr>
          <w:rFonts w:ascii="宋体" w:hAnsi="宋体"/>
          <w:color w:val="auto"/>
          <w:sz w:val="24"/>
          <w:highlight w:val="none"/>
        </w:rPr>
        <w:t>。</w:t>
      </w:r>
    </w:p>
    <w:p w14:paraId="1B64BDBF">
      <w:pPr>
        <w:spacing w:line="360" w:lineRule="auto"/>
        <w:ind w:firstLine="480" w:firstLineChars="200"/>
        <w:rPr>
          <w:rFonts w:ascii="宋体" w:hAnsi="宋体"/>
          <w:color w:val="auto"/>
          <w:sz w:val="24"/>
          <w:highlight w:val="none"/>
        </w:rPr>
      </w:pPr>
      <w:r>
        <w:rPr>
          <w:rFonts w:ascii="宋体" w:hAnsi="宋体"/>
          <w:color w:val="auto"/>
          <w:sz w:val="24"/>
          <w:highlight w:val="none"/>
        </w:rPr>
        <w:t>发包人审批承包人合理化建议的期限：</w:t>
      </w:r>
      <w:r>
        <w:rPr>
          <w:rFonts w:ascii="宋体" w:hAnsi="宋体"/>
          <w:b/>
          <w:color w:val="auto"/>
          <w:sz w:val="24"/>
          <w:highlight w:val="none"/>
          <w:u w:val="single"/>
        </w:rPr>
        <w:t>按通用合同条款约定</w:t>
      </w:r>
      <w:r>
        <w:rPr>
          <w:rFonts w:ascii="宋体" w:hAnsi="宋体"/>
          <w:color w:val="auto"/>
          <w:sz w:val="24"/>
          <w:highlight w:val="none"/>
        </w:rPr>
        <w:t>。</w:t>
      </w:r>
    </w:p>
    <w:p w14:paraId="26B66DC4">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承包人提出的合理化建议降低了合同价格或者提高了工程经济效益的奖励的方法和金额为：</w:t>
      </w:r>
      <w:r>
        <w:rPr>
          <w:rFonts w:ascii="宋体" w:hAnsi="宋体"/>
          <w:b/>
          <w:color w:val="auto"/>
          <w:sz w:val="24"/>
          <w:highlight w:val="none"/>
          <w:u w:val="single"/>
        </w:rPr>
        <w:t xml:space="preserve">/ </w:t>
      </w:r>
      <w:r>
        <w:rPr>
          <w:rFonts w:ascii="宋体" w:hAnsi="宋体"/>
          <w:color w:val="auto"/>
          <w:sz w:val="24"/>
          <w:highlight w:val="none"/>
        </w:rPr>
        <w:t>。</w:t>
      </w:r>
    </w:p>
    <w:p w14:paraId="2DE010AA">
      <w:pPr>
        <w:spacing w:line="360" w:lineRule="auto"/>
        <w:ind w:firstLine="480" w:firstLineChars="200"/>
        <w:rPr>
          <w:rFonts w:ascii="宋体" w:hAnsi="宋体"/>
          <w:color w:val="auto"/>
          <w:sz w:val="24"/>
          <w:highlight w:val="none"/>
        </w:rPr>
      </w:pPr>
      <w:r>
        <w:rPr>
          <w:rFonts w:ascii="宋体" w:hAnsi="宋体"/>
          <w:color w:val="auto"/>
          <w:sz w:val="24"/>
          <w:highlight w:val="none"/>
        </w:rPr>
        <w:t>10.7 暂估价</w:t>
      </w:r>
    </w:p>
    <w:p w14:paraId="71C46ABC">
      <w:pPr>
        <w:spacing w:line="360" w:lineRule="auto"/>
        <w:ind w:firstLine="480" w:firstLineChars="200"/>
        <w:rPr>
          <w:rFonts w:ascii="宋体" w:hAnsi="宋体"/>
          <w:color w:val="auto"/>
          <w:sz w:val="24"/>
          <w:highlight w:val="none"/>
        </w:rPr>
      </w:pPr>
      <w:r>
        <w:rPr>
          <w:rFonts w:ascii="宋体" w:hAnsi="宋体"/>
          <w:color w:val="auto"/>
          <w:sz w:val="24"/>
          <w:highlight w:val="none"/>
        </w:rPr>
        <w:t>暂估价材料和工程设备的明细详见附件11：《暂估价一览表》。</w:t>
      </w:r>
    </w:p>
    <w:p w14:paraId="1FA6C3BE">
      <w:pPr>
        <w:spacing w:line="360" w:lineRule="auto"/>
        <w:ind w:firstLine="480" w:firstLineChars="200"/>
        <w:rPr>
          <w:rFonts w:ascii="宋体" w:hAnsi="宋体"/>
          <w:color w:val="auto"/>
          <w:sz w:val="24"/>
          <w:highlight w:val="none"/>
        </w:rPr>
      </w:pPr>
      <w:r>
        <w:rPr>
          <w:rFonts w:ascii="宋体" w:hAnsi="宋体"/>
          <w:color w:val="auto"/>
          <w:sz w:val="24"/>
          <w:highlight w:val="none"/>
        </w:rPr>
        <w:t>10.7.1 依法必须招标的暂估价项目</w:t>
      </w:r>
    </w:p>
    <w:p w14:paraId="70F18E06">
      <w:pPr>
        <w:spacing w:line="360" w:lineRule="auto"/>
        <w:ind w:firstLine="480" w:firstLineChars="200"/>
        <w:rPr>
          <w:rFonts w:ascii="宋体" w:hAnsi="宋体"/>
          <w:color w:val="auto"/>
          <w:sz w:val="24"/>
          <w:highlight w:val="none"/>
        </w:rPr>
      </w:pPr>
      <w:r>
        <w:rPr>
          <w:rFonts w:ascii="宋体" w:hAnsi="宋体"/>
          <w:color w:val="auto"/>
          <w:sz w:val="24"/>
          <w:highlight w:val="none"/>
        </w:rPr>
        <w:t>对于依法必须招标的暂估价项目的确认和批准采取第</w:t>
      </w:r>
      <w:r>
        <w:rPr>
          <w:rFonts w:ascii="宋体" w:hAnsi="宋体"/>
          <w:b/>
          <w:color w:val="auto"/>
          <w:sz w:val="24"/>
          <w:highlight w:val="none"/>
          <w:u w:val="single"/>
        </w:rPr>
        <w:t xml:space="preserve"> / </w:t>
      </w:r>
      <w:r>
        <w:rPr>
          <w:rFonts w:ascii="宋体" w:hAnsi="宋体"/>
          <w:color w:val="auto"/>
          <w:sz w:val="24"/>
          <w:highlight w:val="none"/>
        </w:rPr>
        <w:t>种方式确定。</w:t>
      </w:r>
    </w:p>
    <w:p w14:paraId="6C63FC89">
      <w:pPr>
        <w:spacing w:line="360" w:lineRule="auto"/>
        <w:ind w:firstLine="480" w:firstLineChars="200"/>
        <w:rPr>
          <w:rFonts w:ascii="宋体" w:hAnsi="宋体"/>
          <w:color w:val="auto"/>
          <w:sz w:val="24"/>
          <w:highlight w:val="none"/>
        </w:rPr>
      </w:pPr>
      <w:r>
        <w:rPr>
          <w:rFonts w:ascii="宋体" w:hAnsi="宋体"/>
          <w:color w:val="auto"/>
          <w:sz w:val="24"/>
          <w:highlight w:val="none"/>
        </w:rPr>
        <w:t>10.7.2 不属于依法必须招标的暂估价项目</w:t>
      </w:r>
    </w:p>
    <w:p w14:paraId="0B4A4ADC">
      <w:pPr>
        <w:spacing w:line="360" w:lineRule="auto"/>
        <w:ind w:firstLine="480" w:firstLineChars="200"/>
        <w:rPr>
          <w:rFonts w:ascii="宋体" w:hAnsi="宋体"/>
          <w:color w:val="auto"/>
          <w:sz w:val="24"/>
          <w:highlight w:val="none"/>
        </w:rPr>
      </w:pPr>
      <w:r>
        <w:rPr>
          <w:rFonts w:ascii="宋体" w:hAnsi="宋体"/>
          <w:color w:val="auto"/>
          <w:sz w:val="24"/>
          <w:highlight w:val="none"/>
        </w:rPr>
        <w:t>对于不属于依法必须招标的暂估价项目的确认和批准采取第</w:t>
      </w:r>
      <w:r>
        <w:rPr>
          <w:rFonts w:ascii="宋体" w:hAnsi="宋体"/>
          <w:b/>
          <w:color w:val="auto"/>
          <w:sz w:val="24"/>
          <w:highlight w:val="none"/>
          <w:u w:val="single"/>
        </w:rPr>
        <w:t xml:space="preserve">/  </w:t>
      </w:r>
      <w:r>
        <w:rPr>
          <w:rFonts w:ascii="宋体" w:hAnsi="宋体"/>
          <w:color w:val="auto"/>
          <w:sz w:val="24"/>
          <w:highlight w:val="none"/>
        </w:rPr>
        <w:t>种方式确定。</w:t>
      </w:r>
    </w:p>
    <w:p w14:paraId="3CEBC291">
      <w:pPr>
        <w:spacing w:line="360" w:lineRule="auto"/>
        <w:ind w:firstLine="480" w:firstLineChars="200"/>
        <w:rPr>
          <w:rFonts w:ascii="宋体" w:hAnsi="宋体"/>
          <w:color w:val="auto"/>
          <w:sz w:val="24"/>
          <w:highlight w:val="none"/>
        </w:rPr>
      </w:pPr>
      <w:r>
        <w:rPr>
          <w:rFonts w:ascii="宋体" w:hAnsi="宋体"/>
          <w:color w:val="auto"/>
          <w:sz w:val="24"/>
          <w:highlight w:val="none"/>
        </w:rPr>
        <w:t>第3种方式：承包人直接实施的暂估价项目</w:t>
      </w:r>
    </w:p>
    <w:p w14:paraId="6BB04600">
      <w:pPr>
        <w:spacing w:line="360" w:lineRule="auto"/>
        <w:ind w:firstLine="480" w:firstLineChars="200"/>
        <w:rPr>
          <w:rFonts w:ascii="宋体" w:hAnsi="宋体"/>
          <w:color w:val="auto"/>
          <w:sz w:val="24"/>
          <w:highlight w:val="none"/>
        </w:rPr>
      </w:pPr>
      <w:r>
        <w:rPr>
          <w:rFonts w:ascii="宋体" w:hAnsi="宋体"/>
          <w:color w:val="auto"/>
          <w:sz w:val="24"/>
          <w:highlight w:val="none"/>
        </w:rPr>
        <w:t>承包人直接实施的暂估价项目的约定：</w:t>
      </w:r>
      <w:r>
        <w:rPr>
          <w:rFonts w:ascii="宋体" w:hAnsi="宋体"/>
          <w:b/>
          <w:color w:val="auto"/>
          <w:sz w:val="24"/>
          <w:highlight w:val="none"/>
          <w:u w:val="single"/>
        </w:rPr>
        <w:t xml:space="preserve">/ </w:t>
      </w:r>
      <w:r>
        <w:rPr>
          <w:rFonts w:ascii="宋体" w:hAnsi="宋体"/>
          <w:color w:val="auto"/>
          <w:sz w:val="24"/>
          <w:highlight w:val="none"/>
        </w:rPr>
        <w:t>。</w:t>
      </w:r>
    </w:p>
    <w:p w14:paraId="31CBE7DF">
      <w:pPr>
        <w:spacing w:line="360" w:lineRule="auto"/>
        <w:ind w:firstLine="480" w:firstLineChars="200"/>
        <w:rPr>
          <w:rFonts w:ascii="宋体" w:hAnsi="宋体"/>
          <w:color w:val="auto"/>
          <w:sz w:val="24"/>
          <w:highlight w:val="none"/>
        </w:rPr>
      </w:pPr>
      <w:r>
        <w:rPr>
          <w:rFonts w:ascii="宋体" w:hAnsi="宋体"/>
          <w:color w:val="auto"/>
          <w:sz w:val="24"/>
          <w:highlight w:val="none"/>
        </w:rPr>
        <w:t>10.8 暂列金额</w:t>
      </w:r>
    </w:p>
    <w:p w14:paraId="6943B965">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合同当事人关于暂列金额使用的约定：</w:t>
      </w:r>
      <w:r>
        <w:rPr>
          <w:rFonts w:ascii="宋体" w:hAnsi="宋体"/>
          <w:b/>
          <w:color w:val="auto"/>
          <w:sz w:val="24"/>
          <w:highlight w:val="none"/>
          <w:u w:val="single"/>
        </w:rPr>
        <w:t xml:space="preserve">/ </w:t>
      </w:r>
      <w:r>
        <w:rPr>
          <w:rFonts w:ascii="宋体" w:hAnsi="宋体"/>
          <w:color w:val="auto"/>
          <w:sz w:val="24"/>
          <w:highlight w:val="none"/>
        </w:rPr>
        <w:t>。</w:t>
      </w:r>
    </w:p>
    <w:p w14:paraId="15F1049A">
      <w:pPr>
        <w:pStyle w:val="6"/>
        <w:spacing w:line="360" w:lineRule="auto"/>
        <w:ind w:left="0" w:firstLine="482" w:firstLineChars="200"/>
        <w:rPr>
          <w:rFonts w:ascii="宋体" w:hAnsi="宋体" w:eastAsia="宋体" w:cs="宋体"/>
          <w:bCs w:val="0"/>
          <w:color w:val="auto"/>
          <w:sz w:val="24"/>
          <w:szCs w:val="24"/>
          <w:highlight w:val="none"/>
        </w:rPr>
      </w:pPr>
      <w:r>
        <w:rPr>
          <w:rFonts w:ascii="宋体" w:hAnsi="宋体" w:eastAsia="宋体" w:cs="宋体"/>
          <w:bCs w:val="0"/>
          <w:color w:val="auto"/>
          <w:sz w:val="24"/>
          <w:szCs w:val="24"/>
          <w:highlight w:val="none"/>
        </w:rPr>
        <w:t>11. 价格调整</w:t>
      </w:r>
    </w:p>
    <w:p w14:paraId="04E599BC">
      <w:pPr>
        <w:spacing w:line="360" w:lineRule="auto"/>
        <w:ind w:firstLine="480" w:firstLineChars="200"/>
        <w:rPr>
          <w:rFonts w:ascii="宋体" w:hAnsi="宋体"/>
          <w:color w:val="auto"/>
          <w:sz w:val="24"/>
          <w:highlight w:val="none"/>
        </w:rPr>
      </w:pPr>
      <w:r>
        <w:rPr>
          <w:rFonts w:ascii="宋体" w:hAnsi="宋体"/>
          <w:color w:val="auto"/>
          <w:sz w:val="24"/>
          <w:highlight w:val="none"/>
        </w:rPr>
        <w:t>11.1 市场价格波动引起的调整</w:t>
      </w:r>
    </w:p>
    <w:p w14:paraId="19C72D92">
      <w:pPr>
        <w:spacing w:line="360" w:lineRule="auto"/>
        <w:ind w:firstLine="480" w:firstLineChars="200"/>
        <w:rPr>
          <w:rFonts w:ascii="宋体" w:hAnsi="宋体"/>
          <w:color w:val="auto"/>
          <w:sz w:val="24"/>
          <w:highlight w:val="none"/>
        </w:rPr>
      </w:pPr>
      <w:r>
        <w:rPr>
          <w:rFonts w:ascii="宋体" w:hAnsi="宋体"/>
          <w:color w:val="auto"/>
          <w:sz w:val="24"/>
          <w:highlight w:val="none"/>
        </w:rPr>
        <w:t>市场价格波动是否调整合同价格的约定：</w:t>
      </w:r>
      <w:r>
        <w:rPr>
          <w:rFonts w:ascii="宋体" w:hAnsi="宋体"/>
          <w:b/>
          <w:color w:val="auto"/>
          <w:sz w:val="24"/>
          <w:highlight w:val="none"/>
          <w:u w:val="single"/>
        </w:rPr>
        <w:t>是</w:t>
      </w:r>
      <w:r>
        <w:rPr>
          <w:rFonts w:ascii="宋体" w:hAnsi="宋体"/>
          <w:color w:val="auto"/>
          <w:sz w:val="24"/>
          <w:highlight w:val="none"/>
        </w:rPr>
        <w:t>。</w:t>
      </w:r>
    </w:p>
    <w:p w14:paraId="65DBE9FB">
      <w:pPr>
        <w:spacing w:line="360" w:lineRule="auto"/>
        <w:ind w:firstLine="480" w:firstLineChars="200"/>
        <w:rPr>
          <w:rFonts w:ascii="宋体" w:hAnsi="宋体"/>
          <w:color w:val="auto"/>
          <w:sz w:val="24"/>
          <w:highlight w:val="none"/>
        </w:rPr>
      </w:pPr>
      <w:r>
        <w:rPr>
          <w:rFonts w:ascii="宋体" w:hAnsi="宋体"/>
          <w:color w:val="auto"/>
          <w:sz w:val="24"/>
          <w:highlight w:val="none"/>
        </w:rPr>
        <w:t>因市场价格波动调整合同价格，采用以下第</w:t>
      </w:r>
      <w:r>
        <w:rPr>
          <w:rFonts w:ascii="宋体" w:hAnsi="宋体"/>
          <w:b/>
          <w:color w:val="auto"/>
          <w:sz w:val="24"/>
          <w:highlight w:val="none"/>
          <w:u w:val="single"/>
        </w:rPr>
        <w:t xml:space="preserve">3 </w:t>
      </w:r>
      <w:r>
        <w:rPr>
          <w:rFonts w:ascii="宋体" w:hAnsi="宋体"/>
          <w:color w:val="auto"/>
          <w:sz w:val="24"/>
          <w:highlight w:val="none"/>
        </w:rPr>
        <w:t>种方式对合同价格进行调整：</w:t>
      </w:r>
    </w:p>
    <w:p w14:paraId="788B1608">
      <w:pPr>
        <w:spacing w:line="360" w:lineRule="auto"/>
        <w:ind w:firstLine="480" w:firstLineChars="200"/>
        <w:rPr>
          <w:rFonts w:ascii="宋体" w:hAnsi="宋体"/>
          <w:color w:val="auto"/>
          <w:sz w:val="24"/>
          <w:highlight w:val="none"/>
        </w:rPr>
      </w:pPr>
      <w:r>
        <w:rPr>
          <w:rFonts w:ascii="宋体" w:hAnsi="宋体"/>
          <w:color w:val="auto"/>
          <w:sz w:val="24"/>
          <w:highlight w:val="none"/>
        </w:rPr>
        <w:t>第1种方式：采用价格指数进行价格调整。</w:t>
      </w:r>
    </w:p>
    <w:p w14:paraId="1A563B97">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关于各可调因子、定值和变值权重，以及基本价格指数及其来源的约定：</w:t>
      </w:r>
      <w:r>
        <w:rPr>
          <w:rFonts w:ascii="宋体" w:hAnsi="宋体"/>
          <w:b/>
          <w:color w:val="auto"/>
          <w:sz w:val="24"/>
          <w:highlight w:val="none"/>
          <w:u w:val="single"/>
        </w:rPr>
        <w:t xml:space="preserve">/ </w:t>
      </w:r>
      <w:r>
        <w:rPr>
          <w:rFonts w:ascii="宋体" w:hAnsi="宋体"/>
          <w:color w:val="auto"/>
          <w:sz w:val="24"/>
          <w:highlight w:val="none"/>
        </w:rPr>
        <w:t xml:space="preserve">；  </w:t>
      </w:r>
    </w:p>
    <w:p w14:paraId="40AC5122">
      <w:pPr>
        <w:spacing w:line="360" w:lineRule="auto"/>
        <w:ind w:firstLine="480" w:firstLineChars="200"/>
        <w:rPr>
          <w:rFonts w:ascii="宋体" w:hAnsi="宋体"/>
          <w:color w:val="auto"/>
          <w:sz w:val="24"/>
          <w:highlight w:val="none"/>
        </w:rPr>
      </w:pPr>
      <w:r>
        <w:rPr>
          <w:rFonts w:ascii="宋体" w:hAnsi="宋体"/>
          <w:color w:val="auto"/>
          <w:sz w:val="24"/>
          <w:highlight w:val="none"/>
        </w:rPr>
        <w:t>第2种方式：采用造价信息进行价格调整。</w:t>
      </w:r>
    </w:p>
    <w:p w14:paraId="71486975">
      <w:pPr>
        <w:spacing w:line="360" w:lineRule="auto"/>
        <w:ind w:firstLine="480" w:firstLineChars="200"/>
        <w:rPr>
          <w:rFonts w:ascii="宋体" w:hAnsi="宋体"/>
          <w:color w:val="auto"/>
          <w:sz w:val="24"/>
          <w:highlight w:val="none"/>
        </w:rPr>
      </w:pPr>
      <w:r>
        <w:rPr>
          <w:rFonts w:ascii="宋体" w:hAnsi="宋体"/>
          <w:color w:val="auto"/>
          <w:sz w:val="24"/>
          <w:highlight w:val="none"/>
        </w:rPr>
        <w:t>（2）关于基准价格的约定：</w:t>
      </w:r>
      <w:r>
        <w:rPr>
          <w:rFonts w:ascii="宋体" w:hAnsi="宋体"/>
          <w:b/>
          <w:color w:val="auto"/>
          <w:sz w:val="24"/>
          <w:highlight w:val="none"/>
          <w:u w:val="single"/>
        </w:rPr>
        <w:t xml:space="preserve">/ </w:t>
      </w:r>
      <w:r>
        <w:rPr>
          <w:rFonts w:ascii="宋体" w:hAnsi="宋体"/>
          <w:color w:val="auto"/>
          <w:sz w:val="24"/>
          <w:highlight w:val="none"/>
        </w:rPr>
        <w:t>。</w:t>
      </w:r>
    </w:p>
    <w:p w14:paraId="79CCC9C0">
      <w:pPr>
        <w:spacing w:line="360" w:lineRule="auto"/>
        <w:ind w:firstLine="480" w:firstLineChars="200"/>
        <w:rPr>
          <w:rFonts w:ascii="宋体" w:hAnsi="宋体"/>
          <w:color w:val="auto"/>
          <w:sz w:val="24"/>
          <w:highlight w:val="none"/>
        </w:rPr>
      </w:pPr>
      <w:r>
        <w:rPr>
          <w:rFonts w:ascii="宋体" w:hAnsi="宋体"/>
          <w:color w:val="auto"/>
          <w:sz w:val="24"/>
          <w:highlight w:val="none"/>
        </w:rPr>
        <w:t>专用合同条款①承包人在已标价工程量清单或预算书中载明的材料单价低于基准价格的：专用合同条款合同履行期间材料单价涨幅以基准价格为基础超过</w:t>
      </w:r>
      <w:r>
        <w:rPr>
          <w:rFonts w:ascii="宋体" w:hAnsi="宋体"/>
          <w:b/>
          <w:color w:val="auto"/>
          <w:sz w:val="24"/>
          <w:highlight w:val="none"/>
          <w:u w:val="single"/>
        </w:rPr>
        <w:t xml:space="preserve">/ </w:t>
      </w:r>
      <w:r>
        <w:rPr>
          <w:rFonts w:ascii="宋体" w:hAnsi="宋体"/>
          <w:color w:val="auto"/>
          <w:sz w:val="24"/>
          <w:highlight w:val="none"/>
        </w:rPr>
        <w:t>%时，或材料单价跌幅以已标价工程量清单或预算书中载明材料单价为基础超过</w:t>
      </w:r>
      <w:r>
        <w:rPr>
          <w:rFonts w:ascii="宋体" w:hAnsi="宋体"/>
          <w:b/>
          <w:color w:val="auto"/>
          <w:sz w:val="24"/>
          <w:highlight w:val="none"/>
          <w:u w:val="single"/>
        </w:rPr>
        <w:t xml:space="preserve">/ </w:t>
      </w:r>
      <w:r>
        <w:rPr>
          <w:rFonts w:ascii="宋体" w:hAnsi="宋体"/>
          <w:color w:val="auto"/>
          <w:sz w:val="24"/>
          <w:highlight w:val="none"/>
        </w:rPr>
        <w:t>%时，其超过部分据实调整。</w:t>
      </w:r>
    </w:p>
    <w:p w14:paraId="320860C0">
      <w:pPr>
        <w:spacing w:line="360" w:lineRule="auto"/>
        <w:ind w:firstLine="480" w:firstLineChars="200"/>
        <w:rPr>
          <w:rFonts w:ascii="宋体" w:hAnsi="宋体"/>
          <w:color w:val="auto"/>
          <w:sz w:val="24"/>
          <w:highlight w:val="none"/>
        </w:rPr>
      </w:pPr>
      <w:r>
        <w:rPr>
          <w:rFonts w:ascii="宋体" w:hAnsi="宋体"/>
          <w:color w:val="auto"/>
          <w:sz w:val="24"/>
          <w:highlight w:val="none"/>
        </w:rPr>
        <w:t>②承包人在已标价工程量清单或预算书中载明的材料单价高于基准价格的：专用合同条款合同履行期间材料单价跌幅以基准价格为基础超过</w:t>
      </w:r>
      <w:r>
        <w:rPr>
          <w:rFonts w:ascii="宋体" w:hAnsi="宋体"/>
          <w:b/>
          <w:color w:val="auto"/>
          <w:sz w:val="24"/>
          <w:highlight w:val="none"/>
          <w:u w:val="single"/>
        </w:rPr>
        <w:t xml:space="preserve">/ </w:t>
      </w:r>
      <w:r>
        <w:rPr>
          <w:rFonts w:ascii="宋体" w:hAnsi="宋体"/>
          <w:color w:val="auto"/>
          <w:sz w:val="24"/>
          <w:highlight w:val="none"/>
        </w:rPr>
        <w:t>%时，材料单价涨幅以已标价工程量清单或预算书中载明材料单价为基础超过</w:t>
      </w:r>
      <w:r>
        <w:rPr>
          <w:rFonts w:ascii="宋体" w:hAnsi="宋体"/>
          <w:b/>
          <w:color w:val="auto"/>
          <w:sz w:val="24"/>
          <w:highlight w:val="none"/>
          <w:u w:val="single"/>
        </w:rPr>
        <w:t xml:space="preserve">/ </w:t>
      </w:r>
      <w:r>
        <w:rPr>
          <w:rFonts w:ascii="宋体" w:hAnsi="宋体"/>
          <w:color w:val="auto"/>
          <w:sz w:val="24"/>
          <w:highlight w:val="none"/>
        </w:rPr>
        <w:t>%时，其超过部分据实调整。</w:t>
      </w:r>
    </w:p>
    <w:p w14:paraId="755589EA">
      <w:pPr>
        <w:spacing w:line="360" w:lineRule="auto"/>
        <w:ind w:firstLine="480" w:firstLineChars="200"/>
        <w:rPr>
          <w:rFonts w:ascii="宋体" w:hAnsi="宋体"/>
          <w:color w:val="auto"/>
          <w:sz w:val="24"/>
          <w:highlight w:val="none"/>
        </w:rPr>
      </w:pPr>
      <w:r>
        <w:rPr>
          <w:rFonts w:ascii="宋体" w:hAnsi="宋体"/>
          <w:color w:val="auto"/>
          <w:sz w:val="24"/>
          <w:highlight w:val="none"/>
        </w:rPr>
        <w:t>③承包人在已标价工程量清单或预算书中载明的材料单价等于基准单价的：专用合同条款合同履行期间材料单价涨跌幅以基准单价为基础超过±</w:t>
      </w:r>
      <w:r>
        <w:rPr>
          <w:rFonts w:ascii="宋体" w:hAnsi="宋体"/>
          <w:b/>
          <w:color w:val="auto"/>
          <w:sz w:val="24"/>
          <w:highlight w:val="none"/>
          <w:u w:val="single"/>
        </w:rPr>
        <w:t xml:space="preserve">/ </w:t>
      </w:r>
      <w:r>
        <w:rPr>
          <w:rFonts w:ascii="宋体" w:hAnsi="宋体"/>
          <w:color w:val="auto"/>
          <w:sz w:val="24"/>
          <w:highlight w:val="none"/>
        </w:rPr>
        <w:t>%时，其超过部分据实调整。</w:t>
      </w:r>
    </w:p>
    <w:p w14:paraId="3C35076D">
      <w:pPr>
        <w:spacing w:line="360" w:lineRule="auto"/>
        <w:ind w:firstLine="482" w:firstLineChars="200"/>
        <w:rPr>
          <w:rFonts w:ascii="宋体" w:hAnsi="宋体"/>
          <w:b/>
          <w:color w:val="auto"/>
          <w:sz w:val="24"/>
          <w:highlight w:val="none"/>
        </w:rPr>
      </w:pPr>
      <w:r>
        <w:rPr>
          <w:rFonts w:ascii="宋体" w:hAnsi="宋体"/>
          <w:b/>
          <w:color w:val="auto"/>
          <w:sz w:val="24"/>
          <w:highlight w:val="none"/>
        </w:rPr>
        <w:t>第3种方式：采用政策性文件进行价格调整。</w:t>
      </w:r>
    </w:p>
    <w:p w14:paraId="087FE28E">
      <w:pPr>
        <w:spacing w:line="360" w:lineRule="auto"/>
        <w:ind w:firstLine="482" w:firstLineChars="200"/>
        <w:rPr>
          <w:rFonts w:ascii="宋体" w:hAnsi="宋体"/>
          <w:b/>
          <w:color w:val="auto"/>
          <w:sz w:val="24"/>
          <w:highlight w:val="none"/>
        </w:rPr>
      </w:pPr>
      <w:r>
        <w:rPr>
          <w:rFonts w:ascii="宋体" w:hAnsi="宋体"/>
          <w:b/>
          <w:color w:val="auto"/>
          <w:sz w:val="24"/>
          <w:highlight w:val="none"/>
        </w:rPr>
        <w:t>政府投资工程因市场价格波动引起的调整按以下</w:t>
      </w:r>
      <w:r>
        <w:rPr>
          <w:rFonts w:ascii="宋体" w:hAnsi="宋体"/>
          <w:b/>
          <w:color w:val="auto"/>
          <w:sz w:val="24"/>
          <w:highlight w:val="none"/>
          <w:u w:val="single"/>
        </w:rPr>
        <w:t>第（ 一 ）种方式</w:t>
      </w:r>
      <w:r>
        <w:rPr>
          <w:rFonts w:ascii="宋体" w:hAnsi="宋体"/>
          <w:b/>
          <w:color w:val="auto"/>
          <w:sz w:val="24"/>
          <w:highlight w:val="none"/>
        </w:rPr>
        <w:t>约定执行：</w:t>
      </w:r>
    </w:p>
    <w:p w14:paraId="7A47C5A7">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（一）按《关于进一步加强杭州市建设工程市场要素价格动态管理的指导意见》（杭建市发〔2018〕579号）执行</w:t>
      </w:r>
      <w:r>
        <w:rPr>
          <w:rFonts w:ascii="宋体" w:hAnsi="宋体"/>
          <w:b/>
          <w:color w:val="auto"/>
          <w:sz w:val="24"/>
          <w:highlight w:val="none"/>
        </w:rPr>
        <w:t>；</w:t>
      </w:r>
    </w:p>
    <w:p w14:paraId="7067663A">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 xml:space="preserve">（二）其他：     /      </w:t>
      </w:r>
      <w:r>
        <w:rPr>
          <w:rFonts w:ascii="宋体" w:hAnsi="宋体"/>
          <w:b/>
          <w:color w:val="auto"/>
          <w:sz w:val="24"/>
          <w:highlight w:val="none"/>
        </w:rPr>
        <w:t>。</w:t>
      </w:r>
    </w:p>
    <w:p w14:paraId="74B4DB52">
      <w:pPr>
        <w:spacing w:line="360" w:lineRule="auto"/>
        <w:rPr>
          <w:rFonts w:ascii="宋体" w:hAnsi="宋体"/>
          <w:b/>
          <w:color w:val="auto"/>
          <w:sz w:val="24"/>
          <w:highlight w:val="none"/>
        </w:rPr>
      </w:pPr>
      <w:r>
        <w:rPr>
          <w:rFonts w:ascii="宋体" w:hAnsi="宋体"/>
          <w:b/>
          <w:color w:val="auto"/>
          <w:sz w:val="24"/>
          <w:highlight w:val="none"/>
        </w:rPr>
        <w:t>其中：</w:t>
      </w:r>
    </w:p>
    <w:p w14:paraId="38C0BD5A">
      <w:pPr>
        <w:spacing w:line="360" w:lineRule="auto"/>
        <w:ind w:firstLine="645"/>
        <w:rPr>
          <w:rFonts w:ascii="宋体" w:hAnsi="宋体"/>
          <w:b/>
          <w:color w:val="auto"/>
          <w:sz w:val="24"/>
          <w:highlight w:val="none"/>
        </w:rPr>
      </w:pPr>
      <w:r>
        <w:rPr>
          <w:rFonts w:ascii="宋体" w:hAnsi="宋体"/>
          <w:b/>
          <w:color w:val="auto"/>
          <w:sz w:val="24"/>
          <w:highlight w:val="none"/>
        </w:rPr>
        <w:t>1、风险范围及幅度的约定：</w:t>
      </w:r>
    </w:p>
    <w:p w14:paraId="25E4D35D">
      <w:pPr>
        <w:spacing w:line="360" w:lineRule="auto"/>
        <w:ind w:firstLine="645"/>
        <w:rPr>
          <w:rFonts w:ascii="宋体" w:hAnsi="宋体"/>
          <w:b/>
          <w:color w:val="auto"/>
          <w:sz w:val="24"/>
          <w:highlight w:val="none"/>
          <w:u w:val="single"/>
        </w:rPr>
      </w:pPr>
      <w:r>
        <w:rPr>
          <w:rFonts w:ascii="宋体" w:hAnsi="宋体"/>
          <w:b/>
          <w:color w:val="auto"/>
          <w:sz w:val="24"/>
          <w:highlight w:val="none"/>
          <w:u w:val="single"/>
        </w:rPr>
        <w:t>（1）人工费的风险幅度（ 5 %）</w:t>
      </w:r>
    </w:p>
    <w:p w14:paraId="227E233E">
      <w:pPr>
        <w:spacing w:line="360" w:lineRule="auto"/>
        <w:ind w:firstLine="645"/>
        <w:rPr>
          <w:rFonts w:ascii="宋体" w:hAnsi="宋体"/>
          <w:b/>
          <w:color w:val="auto"/>
          <w:sz w:val="24"/>
          <w:highlight w:val="none"/>
          <w:u w:val="single"/>
        </w:rPr>
      </w:pPr>
      <w:r>
        <w:rPr>
          <w:rFonts w:ascii="宋体" w:hAnsi="宋体"/>
          <w:b/>
          <w:color w:val="auto"/>
          <w:sz w:val="24"/>
          <w:highlight w:val="none"/>
          <w:u w:val="single"/>
        </w:rPr>
        <w:t>（2）材料价格的风险幅度（ 5 %）</w:t>
      </w:r>
    </w:p>
    <w:p w14:paraId="771D82B5">
      <w:pPr>
        <w:spacing w:line="360" w:lineRule="auto"/>
        <w:ind w:firstLine="645"/>
        <w:rPr>
          <w:rFonts w:ascii="宋体" w:hAnsi="宋体"/>
          <w:b/>
          <w:color w:val="auto"/>
          <w:sz w:val="24"/>
          <w:highlight w:val="none"/>
        </w:rPr>
      </w:pPr>
      <w:r>
        <w:rPr>
          <w:rFonts w:ascii="宋体" w:hAnsi="宋体"/>
          <w:b/>
          <w:color w:val="auto"/>
          <w:sz w:val="24"/>
          <w:highlight w:val="none"/>
        </w:rPr>
        <w:t>2、材料价款动态调整结算方式采用以下</w:t>
      </w:r>
      <w:r>
        <w:rPr>
          <w:rFonts w:ascii="宋体" w:hAnsi="宋体"/>
          <w:b/>
          <w:color w:val="auto"/>
          <w:sz w:val="24"/>
          <w:highlight w:val="none"/>
          <w:u w:val="single"/>
        </w:rPr>
        <w:t>第（ 3 ）种方式</w:t>
      </w:r>
      <w:r>
        <w:rPr>
          <w:rFonts w:ascii="宋体" w:hAnsi="宋体"/>
          <w:b/>
          <w:color w:val="auto"/>
          <w:sz w:val="24"/>
          <w:highlight w:val="none"/>
        </w:rPr>
        <w:t>约定：</w:t>
      </w:r>
    </w:p>
    <w:p w14:paraId="5D2EE4B1">
      <w:pPr>
        <w:spacing w:line="360" w:lineRule="auto"/>
        <w:ind w:firstLine="645"/>
        <w:rPr>
          <w:rFonts w:ascii="宋体" w:hAnsi="宋体"/>
          <w:b/>
          <w:color w:val="auto"/>
          <w:sz w:val="24"/>
          <w:highlight w:val="none"/>
          <w:u w:val="single"/>
        </w:rPr>
      </w:pPr>
      <w:r>
        <w:rPr>
          <w:rFonts w:ascii="宋体" w:hAnsi="宋体"/>
          <w:b/>
          <w:color w:val="auto"/>
          <w:sz w:val="24"/>
          <w:highlight w:val="none"/>
          <w:u w:val="single"/>
        </w:rPr>
        <w:t>（1）按时间进度分段结算：                            。</w:t>
      </w:r>
    </w:p>
    <w:p w14:paraId="55E59007">
      <w:pPr>
        <w:spacing w:line="360" w:lineRule="auto"/>
        <w:ind w:firstLine="645"/>
        <w:rPr>
          <w:rFonts w:ascii="宋体" w:hAnsi="宋体"/>
          <w:b/>
          <w:color w:val="auto"/>
          <w:sz w:val="24"/>
          <w:highlight w:val="none"/>
          <w:u w:val="single"/>
        </w:rPr>
      </w:pPr>
      <w:r>
        <w:rPr>
          <w:rFonts w:ascii="宋体" w:hAnsi="宋体"/>
          <w:b/>
          <w:color w:val="auto"/>
          <w:sz w:val="24"/>
          <w:highlight w:val="none"/>
          <w:u w:val="single"/>
        </w:rPr>
        <w:t>（2）按工程形象部位(目标)分段结算：                 。</w:t>
      </w:r>
    </w:p>
    <w:p w14:paraId="55C88834">
      <w:pPr>
        <w:spacing w:line="360" w:lineRule="auto"/>
        <w:ind w:firstLine="645"/>
        <w:rPr>
          <w:rFonts w:ascii="宋体" w:hAnsi="宋体"/>
          <w:b/>
          <w:color w:val="auto"/>
          <w:sz w:val="24"/>
          <w:highlight w:val="none"/>
          <w:u w:val="single"/>
        </w:rPr>
      </w:pPr>
      <w:r>
        <w:rPr>
          <w:rFonts w:ascii="宋体" w:hAnsi="宋体"/>
          <w:b/>
          <w:color w:val="auto"/>
          <w:sz w:val="24"/>
          <w:highlight w:val="none"/>
          <w:u w:val="single"/>
        </w:rPr>
        <w:t xml:space="preserve">（3）竣工后一次性结算            </w:t>
      </w:r>
      <w:r>
        <w:rPr>
          <w:rFonts w:ascii="宋体" w:hAnsi="宋体"/>
          <w:b/>
          <w:color w:val="auto"/>
          <w:sz w:val="24"/>
          <w:highlight w:val="none"/>
        </w:rPr>
        <w:t>。</w:t>
      </w:r>
    </w:p>
    <w:p w14:paraId="543DED9C">
      <w:pPr>
        <w:pStyle w:val="6"/>
        <w:spacing w:line="360" w:lineRule="auto"/>
        <w:ind w:left="0" w:firstLine="482" w:firstLineChars="200"/>
        <w:rPr>
          <w:rFonts w:ascii="宋体" w:hAnsi="宋体" w:eastAsia="宋体" w:cs="宋体"/>
          <w:bCs w:val="0"/>
          <w:color w:val="auto"/>
          <w:sz w:val="24"/>
          <w:szCs w:val="24"/>
          <w:highlight w:val="none"/>
        </w:rPr>
      </w:pPr>
      <w:r>
        <w:rPr>
          <w:rFonts w:ascii="宋体" w:hAnsi="宋体" w:eastAsia="宋体" w:cs="宋体"/>
          <w:bCs w:val="0"/>
          <w:color w:val="auto"/>
          <w:sz w:val="24"/>
          <w:szCs w:val="24"/>
          <w:highlight w:val="none"/>
        </w:rPr>
        <w:t>12. 合同价格、计量与支付</w:t>
      </w:r>
    </w:p>
    <w:p w14:paraId="15425E50">
      <w:pPr>
        <w:tabs>
          <w:tab w:val="left" w:pos="864"/>
        </w:tabs>
        <w:spacing w:line="360" w:lineRule="auto"/>
        <w:ind w:firstLine="480" w:firstLineChars="200"/>
        <w:rPr>
          <w:rFonts w:ascii="宋体" w:hAnsi="宋体"/>
          <w:b/>
          <w:color w:val="auto"/>
          <w:sz w:val="24"/>
          <w:highlight w:val="none"/>
        </w:rPr>
      </w:pPr>
      <w:r>
        <w:rPr>
          <w:rFonts w:ascii="宋体" w:hAnsi="宋体"/>
          <w:color w:val="auto"/>
          <w:sz w:val="24"/>
          <w:highlight w:val="none"/>
        </w:rPr>
        <w:t>12.1 合同价格形式</w:t>
      </w:r>
    </w:p>
    <w:p w14:paraId="75164914">
      <w:pPr>
        <w:spacing w:line="360" w:lineRule="auto"/>
        <w:ind w:firstLine="480" w:firstLineChars="200"/>
        <w:rPr>
          <w:rFonts w:ascii="宋体" w:hAnsi="宋体"/>
          <w:color w:val="auto"/>
          <w:sz w:val="24"/>
          <w:highlight w:val="none"/>
        </w:rPr>
      </w:pPr>
      <w:r>
        <w:rPr>
          <w:rFonts w:ascii="宋体" w:hAnsi="宋体"/>
          <w:color w:val="auto"/>
          <w:sz w:val="24"/>
          <w:highlight w:val="none"/>
        </w:rPr>
        <w:t>12.1.1、单价合同。</w:t>
      </w:r>
    </w:p>
    <w:p w14:paraId="3DC201E7">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综合单价包含的风险范围：</w:t>
      </w:r>
    </w:p>
    <w:p w14:paraId="2854CCF2">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rPr>
        <w:t>（1）</w:t>
      </w:r>
      <w:r>
        <w:rPr>
          <w:rFonts w:ascii="宋体" w:hAnsi="宋体"/>
          <w:b/>
          <w:color w:val="auto"/>
          <w:sz w:val="24"/>
          <w:highlight w:val="none"/>
          <w:u w:val="single"/>
        </w:rPr>
        <w:t xml:space="preserve">应由承包人承担的工、料、机在投标编制期或预算书编制  期与合同实施期间所发生的市场价格波动。 </w:t>
      </w:r>
    </w:p>
    <w:p w14:paraId="7BB5B261">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rPr>
        <w:t>（2）</w:t>
      </w:r>
      <w:r>
        <w:rPr>
          <w:rFonts w:ascii="宋体" w:hAnsi="宋体"/>
          <w:b/>
          <w:color w:val="auto"/>
          <w:sz w:val="24"/>
          <w:highlight w:val="none"/>
          <w:u w:val="single"/>
        </w:rPr>
        <w:t>其他：</w:t>
      </w:r>
    </w:p>
    <w:p w14:paraId="3F009355">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①技术规范要求的费用；</w:t>
      </w:r>
    </w:p>
    <w:p w14:paraId="24794723">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②由于承包人原因造成的施工方案更改或单方更改施工方案；</w:t>
      </w:r>
    </w:p>
    <w:p w14:paraId="094F4D65">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③承包人对工程现场环境以及招标人提供的招标文件、图纸等资料做出错误的推论、理解而导致报价失误；</w:t>
      </w:r>
    </w:p>
    <w:p w14:paraId="243189EB">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④工程量清单描述不全或现行预算定额未包括或计价规范未描述到，但又是完成分项工程必须的工作内容；</w:t>
      </w:r>
    </w:p>
    <w:p w14:paraId="799EFDA0">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⑤工程量清单数量误差引起的综合单价成本差异；</w:t>
      </w:r>
    </w:p>
    <w:p w14:paraId="07F8A86E">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⑥合同及各合同附件约定的，要求包干的项目；</w:t>
      </w:r>
    </w:p>
    <w:p w14:paraId="70D1936D">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⑦作为一个有经验的承包人应能预计的可能发生的其他费用</w:t>
      </w:r>
      <w:r>
        <w:rPr>
          <w:rFonts w:ascii="宋体" w:hAnsi="宋体"/>
          <w:b/>
          <w:color w:val="auto"/>
          <w:sz w:val="24"/>
          <w:highlight w:val="none"/>
        </w:rPr>
        <w:t>。</w:t>
      </w:r>
    </w:p>
    <w:p w14:paraId="2E1ADBD7">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风险费用的计算方法：</w:t>
      </w:r>
      <w:r>
        <w:rPr>
          <w:rFonts w:ascii="宋体" w:hAnsi="宋体"/>
          <w:b/>
          <w:color w:val="auto"/>
          <w:sz w:val="24"/>
          <w:highlight w:val="none"/>
          <w:u w:val="single"/>
        </w:rPr>
        <w:t>以上风险范围之内的费用投标人在投标报价时自行考虑，工程结算时均不作调整</w:t>
      </w:r>
      <w:r>
        <w:rPr>
          <w:rFonts w:ascii="宋体" w:hAnsi="宋体"/>
          <w:color w:val="auto"/>
          <w:sz w:val="24"/>
          <w:highlight w:val="none"/>
        </w:rPr>
        <w:t>。</w:t>
      </w:r>
    </w:p>
    <w:p w14:paraId="7B7DF4E1">
      <w:pPr>
        <w:spacing w:line="360" w:lineRule="auto"/>
        <w:ind w:firstLine="480" w:firstLineChars="200"/>
        <w:rPr>
          <w:rFonts w:ascii="宋体" w:hAnsi="宋体"/>
          <w:color w:val="auto"/>
          <w:sz w:val="24"/>
          <w:highlight w:val="none"/>
        </w:rPr>
      </w:pPr>
      <w:r>
        <w:rPr>
          <w:rFonts w:ascii="宋体" w:hAnsi="宋体"/>
          <w:color w:val="auto"/>
          <w:sz w:val="24"/>
          <w:highlight w:val="none"/>
        </w:rPr>
        <w:t>风险范围以外合同价格的调整方法：</w:t>
      </w:r>
    </w:p>
    <w:p w14:paraId="62E9C864">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rPr>
        <w:t>（1）</w:t>
      </w:r>
      <w:r>
        <w:rPr>
          <w:rFonts w:ascii="宋体" w:hAnsi="宋体"/>
          <w:b/>
          <w:color w:val="auto"/>
          <w:sz w:val="24"/>
          <w:highlight w:val="none"/>
          <w:u w:val="single"/>
        </w:rPr>
        <w:t>市场价格波动引起的调整按本合同11.1第3种方式的约定计算</w:t>
      </w:r>
      <w:r>
        <w:rPr>
          <w:rFonts w:ascii="宋体" w:hAnsi="宋体"/>
          <w:b/>
          <w:color w:val="auto"/>
          <w:sz w:val="24"/>
          <w:highlight w:val="none"/>
        </w:rPr>
        <w:t>。</w:t>
      </w:r>
    </w:p>
    <w:p w14:paraId="382F83FA">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rPr>
        <w:t>（2）</w:t>
      </w:r>
      <w:r>
        <w:rPr>
          <w:rFonts w:ascii="宋体" w:hAnsi="宋体"/>
          <w:b/>
          <w:color w:val="auto"/>
          <w:sz w:val="24"/>
          <w:highlight w:val="none"/>
          <w:u w:val="single"/>
        </w:rPr>
        <w:t>其他：①实物工程量数量按实调整；②变更估价按本合同10.4.1 的约定计算</w:t>
      </w:r>
      <w:r>
        <w:rPr>
          <w:rFonts w:ascii="宋体" w:hAnsi="宋体"/>
          <w:b/>
          <w:color w:val="auto"/>
          <w:sz w:val="24"/>
          <w:highlight w:val="none"/>
        </w:rPr>
        <w:t>。</w:t>
      </w:r>
    </w:p>
    <w:p w14:paraId="0A041415">
      <w:pPr>
        <w:spacing w:line="360" w:lineRule="auto"/>
        <w:ind w:firstLine="504" w:firstLineChars="210"/>
        <w:rPr>
          <w:rFonts w:ascii="宋体" w:hAnsi="宋体"/>
          <w:color w:val="auto"/>
          <w:sz w:val="24"/>
          <w:highlight w:val="none"/>
        </w:rPr>
      </w:pPr>
      <w:r>
        <w:rPr>
          <w:rFonts w:ascii="宋体" w:hAnsi="宋体"/>
          <w:color w:val="auto"/>
          <w:sz w:val="24"/>
          <w:highlight w:val="none"/>
        </w:rPr>
        <w:t>12.1.2、总价合同。</w:t>
      </w:r>
    </w:p>
    <w:p w14:paraId="108E70AD">
      <w:pPr>
        <w:spacing w:line="360" w:lineRule="auto"/>
        <w:ind w:firstLine="480" w:firstLineChars="200"/>
        <w:rPr>
          <w:rFonts w:ascii="宋体" w:hAnsi="宋体"/>
          <w:color w:val="auto"/>
          <w:sz w:val="24"/>
          <w:highlight w:val="none"/>
        </w:rPr>
      </w:pPr>
      <w:r>
        <w:rPr>
          <w:rFonts w:ascii="宋体" w:hAnsi="宋体"/>
          <w:color w:val="auto"/>
          <w:sz w:val="24"/>
          <w:highlight w:val="none"/>
        </w:rPr>
        <w:t>总价包含的风险范围：</w:t>
      </w:r>
      <w:r>
        <w:rPr>
          <w:rFonts w:ascii="宋体" w:hAnsi="宋体"/>
          <w:b/>
          <w:color w:val="auto"/>
          <w:sz w:val="24"/>
          <w:highlight w:val="none"/>
          <w:u w:val="single"/>
        </w:rPr>
        <w:t xml:space="preserve">/ </w:t>
      </w:r>
      <w:r>
        <w:rPr>
          <w:rFonts w:ascii="宋体" w:hAnsi="宋体"/>
          <w:color w:val="auto"/>
          <w:sz w:val="24"/>
          <w:highlight w:val="none"/>
        </w:rPr>
        <w:t>。</w:t>
      </w:r>
    </w:p>
    <w:p w14:paraId="6E9B4B70">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风险费用的计算方法：</w:t>
      </w:r>
      <w:r>
        <w:rPr>
          <w:rFonts w:ascii="宋体" w:hAnsi="宋体"/>
          <w:b/>
          <w:color w:val="auto"/>
          <w:sz w:val="24"/>
          <w:highlight w:val="none"/>
          <w:u w:val="single"/>
        </w:rPr>
        <w:t xml:space="preserve">/ </w:t>
      </w:r>
      <w:r>
        <w:rPr>
          <w:rFonts w:ascii="宋体" w:hAnsi="宋体"/>
          <w:color w:val="auto"/>
          <w:sz w:val="24"/>
          <w:highlight w:val="none"/>
        </w:rPr>
        <w:t>。</w:t>
      </w:r>
    </w:p>
    <w:p w14:paraId="63421EE8">
      <w:pPr>
        <w:spacing w:line="360" w:lineRule="auto"/>
        <w:ind w:firstLine="480" w:firstLineChars="200"/>
        <w:rPr>
          <w:rFonts w:ascii="宋体" w:hAnsi="宋体"/>
          <w:color w:val="auto"/>
          <w:sz w:val="24"/>
          <w:highlight w:val="none"/>
        </w:rPr>
      </w:pPr>
      <w:r>
        <w:rPr>
          <w:rFonts w:ascii="宋体" w:hAnsi="宋体"/>
          <w:color w:val="auto"/>
          <w:sz w:val="24"/>
          <w:highlight w:val="none"/>
        </w:rPr>
        <w:t>风险范围以外合同价格的调整方法：</w:t>
      </w:r>
      <w:r>
        <w:rPr>
          <w:rFonts w:ascii="宋体" w:hAnsi="宋体"/>
          <w:b/>
          <w:color w:val="auto"/>
          <w:sz w:val="24"/>
          <w:highlight w:val="none"/>
          <w:u w:val="single"/>
        </w:rPr>
        <w:t xml:space="preserve">/ </w:t>
      </w:r>
      <w:r>
        <w:rPr>
          <w:rFonts w:ascii="宋体" w:hAnsi="宋体"/>
          <w:color w:val="auto"/>
          <w:sz w:val="24"/>
          <w:highlight w:val="none"/>
        </w:rPr>
        <w:t>。</w:t>
      </w:r>
    </w:p>
    <w:p w14:paraId="3A6E0443">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12.1.3、其他价格方式：</w:t>
      </w:r>
      <w:r>
        <w:rPr>
          <w:rFonts w:ascii="宋体" w:hAnsi="宋体"/>
          <w:b/>
          <w:color w:val="auto"/>
          <w:sz w:val="24"/>
          <w:highlight w:val="none"/>
          <w:u w:val="single"/>
        </w:rPr>
        <w:t xml:space="preserve">/ </w:t>
      </w:r>
      <w:r>
        <w:rPr>
          <w:rFonts w:ascii="宋体" w:hAnsi="宋体"/>
          <w:color w:val="auto"/>
          <w:sz w:val="24"/>
          <w:highlight w:val="none"/>
        </w:rPr>
        <w:t>。</w:t>
      </w:r>
    </w:p>
    <w:p w14:paraId="3D7A3895">
      <w:pPr>
        <w:spacing w:line="360" w:lineRule="auto"/>
        <w:ind w:firstLine="480" w:firstLineChars="200"/>
        <w:rPr>
          <w:rFonts w:ascii="宋体" w:hAnsi="宋体"/>
          <w:color w:val="auto"/>
          <w:sz w:val="24"/>
          <w:highlight w:val="none"/>
        </w:rPr>
      </w:pPr>
      <w:r>
        <w:rPr>
          <w:rFonts w:ascii="宋体" w:hAnsi="宋体"/>
          <w:color w:val="auto"/>
          <w:sz w:val="24"/>
          <w:highlight w:val="none"/>
        </w:rPr>
        <w:t>12.2 预付款</w:t>
      </w:r>
    </w:p>
    <w:p w14:paraId="3AC489ED">
      <w:pPr>
        <w:spacing w:line="360" w:lineRule="auto"/>
        <w:ind w:firstLine="480" w:firstLineChars="200"/>
        <w:rPr>
          <w:rFonts w:ascii="宋体" w:hAnsi="宋体"/>
          <w:color w:val="auto"/>
          <w:sz w:val="24"/>
          <w:highlight w:val="none"/>
        </w:rPr>
      </w:pPr>
      <w:r>
        <w:rPr>
          <w:rFonts w:ascii="宋体" w:hAnsi="宋体"/>
          <w:color w:val="auto"/>
          <w:sz w:val="24"/>
          <w:highlight w:val="none"/>
        </w:rPr>
        <w:t>12.2.1 预付款的支付</w:t>
      </w:r>
    </w:p>
    <w:p w14:paraId="75A0E9A0">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预付款支付比例或金额：</w:t>
      </w:r>
      <w:r>
        <w:rPr>
          <w:rFonts w:ascii="宋体" w:hAnsi="宋体"/>
          <w:b/>
          <w:color w:val="auto"/>
          <w:sz w:val="24"/>
          <w:highlight w:val="none"/>
          <w:u w:val="single"/>
        </w:rPr>
        <w:t>50%（含工资性工程款预付款和安全文明施工费）</w:t>
      </w:r>
      <w:r>
        <w:rPr>
          <w:rFonts w:ascii="宋体" w:hAnsi="宋体"/>
          <w:color w:val="auto"/>
          <w:sz w:val="24"/>
          <w:highlight w:val="none"/>
        </w:rPr>
        <w:t>。</w:t>
      </w:r>
    </w:p>
    <w:p w14:paraId="11FD8134">
      <w:pPr>
        <w:spacing w:line="360" w:lineRule="auto"/>
        <w:ind w:firstLine="480" w:firstLineChars="200"/>
        <w:rPr>
          <w:rFonts w:ascii="宋体" w:hAnsi="宋体"/>
          <w:color w:val="auto"/>
          <w:sz w:val="24"/>
          <w:highlight w:val="none"/>
        </w:rPr>
      </w:pPr>
      <w:r>
        <w:rPr>
          <w:rFonts w:ascii="宋体" w:hAnsi="宋体"/>
          <w:color w:val="auto"/>
          <w:sz w:val="24"/>
          <w:highlight w:val="none"/>
        </w:rPr>
        <w:t>预付款支付期限：</w:t>
      </w:r>
      <w:r>
        <w:rPr>
          <w:rFonts w:ascii="宋体" w:hAnsi="宋体"/>
          <w:b/>
          <w:color w:val="auto"/>
          <w:sz w:val="24"/>
          <w:highlight w:val="none"/>
          <w:u w:val="single"/>
        </w:rPr>
        <w:t>合同签订且承包人向发包人缴纳合同价1%履约担保后，发包人完成内部审批后进行支付。</w:t>
      </w:r>
    </w:p>
    <w:p w14:paraId="77E162B0">
      <w:pPr>
        <w:spacing w:line="360" w:lineRule="auto"/>
        <w:ind w:firstLine="480" w:firstLineChars="200"/>
        <w:rPr>
          <w:rFonts w:ascii="宋体" w:hAnsi="宋体"/>
          <w:color w:val="auto"/>
          <w:sz w:val="24"/>
          <w:highlight w:val="none"/>
        </w:rPr>
      </w:pPr>
      <w:r>
        <w:rPr>
          <w:rFonts w:ascii="宋体" w:hAnsi="宋体"/>
          <w:color w:val="auto"/>
          <w:sz w:val="24"/>
          <w:highlight w:val="none"/>
        </w:rPr>
        <w:t>预付款扣回的方式：</w:t>
      </w:r>
      <w:r>
        <w:rPr>
          <w:rFonts w:ascii="宋体" w:hAnsi="宋体"/>
          <w:color w:val="auto"/>
          <w:sz w:val="24"/>
          <w:highlight w:val="none"/>
          <w:u w:val="single"/>
        </w:rPr>
        <w:t>在竣工时一并结算</w:t>
      </w:r>
      <w:r>
        <w:rPr>
          <w:rFonts w:ascii="宋体" w:hAnsi="宋体"/>
          <w:color w:val="auto"/>
          <w:sz w:val="24"/>
          <w:highlight w:val="none"/>
        </w:rPr>
        <w:t>。</w:t>
      </w:r>
    </w:p>
    <w:p w14:paraId="57CDF906">
      <w:pPr>
        <w:spacing w:line="360" w:lineRule="auto"/>
        <w:ind w:firstLine="480" w:firstLineChars="200"/>
        <w:rPr>
          <w:rFonts w:ascii="宋体" w:hAnsi="宋体"/>
          <w:color w:val="auto"/>
          <w:sz w:val="24"/>
          <w:highlight w:val="none"/>
        </w:rPr>
      </w:pPr>
      <w:r>
        <w:rPr>
          <w:rFonts w:ascii="宋体" w:hAnsi="宋体"/>
          <w:color w:val="auto"/>
          <w:sz w:val="24"/>
          <w:highlight w:val="none"/>
        </w:rPr>
        <w:t>12.2.2 预付款担保</w:t>
      </w:r>
    </w:p>
    <w:p w14:paraId="2D56F25E">
      <w:pPr>
        <w:spacing w:line="360" w:lineRule="auto"/>
        <w:ind w:firstLine="480" w:firstLineChars="200"/>
        <w:rPr>
          <w:rFonts w:ascii="宋体" w:hAnsi="宋体"/>
          <w:color w:val="auto"/>
          <w:sz w:val="24"/>
          <w:highlight w:val="none"/>
        </w:rPr>
      </w:pPr>
      <w:r>
        <w:rPr>
          <w:rFonts w:ascii="宋体" w:hAnsi="宋体"/>
          <w:color w:val="auto"/>
          <w:sz w:val="24"/>
          <w:highlight w:val="none"/>
        </w:rPr>
        <w:t>承包人提交预付款担保的期限：</w:t>
      </w:r>
      <w:r>
        <w:rPr>
          <w:rFonts w:ascii="宋体" w:hAnsi="宋体"/>
          <w:b/>
          <w:color w:val="auto"/>
          <w:sz w:val="24"/>
          <w:highlight w:val="none"/>
          <w:u w:val="single"/>
        </w:rPr>
        <w:t xml:space="preserve">  /           </w:t>
      </w:r>
      <w:r>
        <w:rPr>
          <w:rFonts w:ascii="宋体" w:hAnsi="宋体"/>
          <w:color w:val="auto"/>
          <w:sz w:val="24"/>
          <w:highlight w:val="none"/>
        </w:rPr>
        <w:t>。</w:t>
      </w:r>
    </w:p>
    <w:p w14:paraId="51B8442E">
      <w:pPr>
        <w:spacing w:line="360" w:lineRule="auto"/>
        <w:ind w:firstLine="480" w:firstLineChars="200"/>
        <w:rPr>
          <w:rFonts w:ascii="宋体" w:hAnsi="宋体"/>
          <w:color w:val="auto"/>
          <w:sz w:val="24"/>
          <w:highlight w:val="none"/>
        </w:rPr>
      </w:pPr>
      <w:r>
        <w:rPr>
          <w:rFonts w:ascii="宋体" w:hAnsi="宋体"/>
          <w:color w:val="auto"/>
          <w:sz w:val="24"/>
          <w:highlight w:val="none"/>
        </w:rPr>
        <w:t>预付款担保的形式为：</w:t>
      </w:r>
      <w:r>
        <w:rPr>
          <w:rFonts w:ascii="宋体" w:hAnsi="宋体"/>
          <w:b/>
          <w:color w:val="auto"/>
          <w:sz w:val="24"/>
          <w:highlight w:val="none"/>
          <w:u w:val="single"/>
        </w:rPr>
        <w:t xml:space="preserve">      /  </w:t>
      </w:r>
      <w:r>
        <w:rPr>
          <w:rFonts w:ascii="宋体" w:hAnsi="宋体"/>
          <w:color w:val="auto"/>
          <w:sz w:val="24"/>
          <w:highlight w:val="none"/>
        </w:rPr>
        <w:t>。</w:t>
      </w:r>
    </w:p>
    <w:p w14:paraId="53B67C06">
      <w:pPr>
        <w:spacing w:line="360" w:lineRule="auto"/>
        <w:ind w:firstLine="480" w:firstLineChars="200"/>
        <w:rPr>
          <w:rFonts w:ascii="宋体" w:hAnsi="宋体"/>
          <w:color w:val="auto"/>
          <w:sz w:val="24"/>
          <w:highlight w:val="none"/>
        </w:rPr>
      </w:pPr>
      <w:r>
        <w:rPr>
          <w:rFonts w:ascii="宋体" w:hAnsi="宋体"/>
          <w:color w:val="auto"/>
          <w:sz w:val="24"/>
          <w:highlight w:val="none"/>
        </w:rPr>
        <w:t>12.3 计量</w:t>
      </w:r>
    </w:p>
    <w:p w14:paraId="298BA412">
      <w:pPr>
        <w:spacing w:line="360" w:lineRule="auto"/>
        <w:ind w:firstLine="480" w:firstLineChars="200"/>
        <w:rPr>
          <w:rFonts w:ascii="宋体" w:hAnsi="宋体"/>
          <w:color w:val="auto"/>
          <w:sz w:val="24"/>
          <w:highlight w:val="none"/>
        </w:rPr>
      </w:pPr>
      <w:r>
        <w:rPr>
          <w:rFonts w:ascii="宋体" w:hAnsi="宋体"/>
          <w:color w:val="auto"/>
          <w:sz w:val="24"/>
          <w:highlight w:val="none"/>
        </w:rPr>
        <w:t>12.3.1 计量原则</w:t>
      </w:r>
    </w:p>
    <w:p w14:paraId="31E60CEE">
      <w:pPr>
        <w:spacing w:line="360" w:lineRule="auto"/>
        <w:ind w:firstLine="480" w:firstLineChars="200"/>
        <w:rPr>
          <w:rFonts w:ascii="宋体" w:hAnsi="宋体"/>
          <w:color w:val="auto"/>
          <w:sz w:val="24"/>
          <w:highlight w:val="none"/>
        </w:rPr>
      </w:pPr>
      <w:r>
        <w:rPr>
          <w:rFonts w:ascii="宋体" w:hAnsi="宋体"/>
          <w:color w:val="auto"/>
          <w:sz w:val="24"/>
          <w:highlight w:val="none"/>
        </w:rPr>
        <w:t>工程量计算规则：</w:t>
      </w:r>
    </w:p>
    <w:p w14:paraId="0E11DC49">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rPr>
        <w:t>（1）</w:t>
      </w:r>
      <w:r>
        <w:rPr>
          <w:rFonts w:ascii="宋体" w:hAnsi="宋体"/>
          <w:b/>
          <w:color w:val="auto"/>
          <w:sz w:val="24"/>
          <w:highlight w:val="none"/>
          <w:u w:val="single"/>
        </w:rPr>
        <w:t xml:space="preserve"> 实行工程量清单计价的工程项目，其工程量的计算规则应按国家标准工程量计算规范及省级行业主管部门颁布的补充规定执行。</w:t>
      </w:r>
    </w:p>
    <w:p w14:paraId="7E26A248">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rPr>
        <w:t>（2）</w:t>
      </w:r>
      <w:r>
        <w:rPr>
          <w:rFonts w:ascii="宋体" w:hAnsi="宋体"/>
          <w:b/>
          <w:color w:val="auto"/>
          <w:sz w:val="24"/>
          <w:highlight w:val="none"/>
          <w:u w:val="single"/>
        </w:rPr>
        <w:t>不实行工程量清单计价的工程项目，工程量的计算规则应按省、市行业主管部门颁布的各专业工程定额的工程量计算规则执行。</w:t>
      </w:r>
    </w:p>
    <w:p w14:paraId="62A01EEA">
      <w:pPr>
        <w:spacing w:line="360" w:lineRule="auto"/>
        <w:ind w:firstLine="480" w:firstLineChars="200"/>
        <w:rPr>
          <w:rFonts w:ascii="宋体" w:hAnsi="宋体"/>
          <w:color w:val="auto"/>
          <w:sz w:val="24"/>
          <w:highlight w:val="none"/>
        </w:rPr>
      </w:pPr>
      <w:r>
        <w:rPr>
          <w:rFonts w:ascii="宋体" w:hAnsi="宋体"/>
          <w:color w:val="auto"/>
          <w:sz w:val="24"/>
          <w:highlight w:val="none"/>
        </w:rPr>
        <w:t>12.3.2 计量周期</w:t>
      </w:r>
    </w:p>
    <w:p w14:paraId="1B48CFA1">
      <w:pPr>
        <w:spacing w:line="360" w:lineRule="auto"/>
        <w:ind w:firstLine="480" w:firstLineChars="200"/>
        <w:rPr>
          <w:rFonts w:ascii="宋体" w:hAnsi="宋体"/>
          <w:color w:val="auto"/>
          <w:sz w:val="24"/>
          <w:highlight w:val="none"/>
        </w:rPr>
      </w:pPr>
      <w:r>
        <w:rPr>
          <w:rFonts w:ascii="宋体" w:hAnsi="宋体"/>
          <w:color w:val="auto"/>
          <w:sz w:val="24"/>
          <w:highlight w:val="none"/>
        </w:rPr>
        <w:t>关于计量周期的约定：</w:t>
      </w:r>
      <w:r>
        <w:rPr>
          <w:rFonts w:ascii="宋体" w:hAnsi="宋体"/>
          <w:color w:val="auto"/>
          <w:sz w:val="24"/>
          <w:highlight w:val="none"/>
          <w:u w:val="single"/>
        </w:rPr>
        <w:t>按通用条款执行</w:t>
      </w:r>
      <w:r>
        <w:rPr>
          <w:rFonts w:ascii="宋体" w:hAnsi="宋体"/>
          <w:color w:val="auto"/>
          <w:sz w:val="24"/>
          <w:highlight w:val="none"/>
        </w:rPr>
        <w:t>。</w:t>
      </w:r>
    </w:p>
    <w:p w14:paraId="32642267">
      <w:pPr>
        <w:spacing w:line="360" w:lineRule="auto"/>
        <w:ind w:firstLine="420" w:firstLineChars="175"/>
        <w:rPr>
          <w:rFonts w:ascii="宋体" w:hAnsi="宋体"/>
          <w:color w:val="auto"/>
          <w:sz w:val="24"/>
          <w:highlight w:val="none"/>
        </w:rPr>
      </w:pPr>
      <w:r>
        <w:rPr>
          <w:rFonts w:ascii="宋体" w:hAnsi="宋体"/>
          <w:color w:val="auto"/>
          <w:sz w:val="24"/>
          <w:highlight w:val="none"/>
        </w:rPr>
        <w:t>12.3.3 单价合同的计量</w:t>
      </w:r>
    </w:p>
    <w:p w14:paraId="23DC4026">
      <w:pPr>
        <w:spacing w:line="360" w:lineRule="auto"/>
        <w:ind w:firstLine="480" w:firstLineChars="200"/>
        <w:rPr>
          <w:rFonts w:ascii="宋体" w:hAnsi="宋体"/>
          <w:color w:val="auto"/>
          <w:sz w:val="24"/>
          <w:highlight w:val="none"/>
        </w:rPr>
      </w:pPr>
      <w:r>
        <w:rPr>
          <w:rFonts w:ascii="宋体" w:hAnsi="宋体"/>
          <w:color w:val="auto"/>
          <w:sz w:val="24"/>
          <w:highlight w:val="none"/>
        </w:rPr>
        <w:t>关于单价合同计量的约定：</w:t>
      </w:r>
      <w:r>
        <w:rPr>
          <w:rFonts w:ascii="宋体" w:hAnsi="宋体"/>
          <w:color w:val="auto"/>
          <w:sz w:val="24"/>
          <w:highlight w:val="none"/>
          <w:u w:val="single"/>
        </w:rPr>
        <w:t>按通用条款执行</w:t>
      </w:r>
      <w:r>
        <w:rPr>
          <w:rFonts w:ascii="宋体" w:hAnsi="宋体"/>
          <w:color w:val="auto"/>
          <w:sz w:val="24"/>
          <w:highlight w:val="none"/>
        </w:rPr>
        <w:t>。</w:t>
      </w:r>
    </w:p>
    <w:p w14:paraId="3114D796">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工资性工程款比例约定： </w:t>
      </w:r>
      <w:r>
        <w:rPr>
          <w:rFonts w:hint="eastAsia" w:ascii="宋体" w:hAnsi="宋体"/>
          <w:color w:val="auto"/>
          <w:sz w:val="24"/>
          <w:highlight w:val="none"/>
        </w:rPr>
        <w:t xml:space="preserve">               。</w:t>
      </w:r>
      <w:r>
        <w:rPr>
          <w:rFonts w:ascii="宋体" w:hAnsi="宋体"/>
          <w:color w:val="auto"/>
          <w:sz w:val="24"/>
          <w:highlight w:val="none"/>
        </w:rPr>
        <w:t xml:space="preserve"> 。</w:t>
      </w:r>
    </w:p>
    <w:p w14:paraId="05CEA0FE">
      <w:pPr>
        <w:spacing w:line="360" w:lineRule="auto"/>
        <w:ind w:firstLine="480" w:firstLineChars="200"/>
        <w:rPr>
          <w:rFonts w:ascii="宋体" w:hAnsi="宋体"/>
          <w:color w:val="auto"/>
          <w:sz w:val="24"/>
          <w:highlight w:val="none"/>
        </w:rPr>
      </w:pPr>
      <w:r>
        <w:rPr>
          <w:rFonts w:ascii="宋体" w:hAnsi="宋体"/>
          <w:color w:val="auto"/>
          <w:sz w:val="24"/>
          <w:highlight w:val="none"/>
        </w:rPr>
        <w:t>12.3.4 总价合同的计量</w:t>
      </w:r>
    </w:p>
    <w:p w14:paraId="70DEC0C0">
      <w:pPr>
        <w:spacing w:line="360" w:lineRule="auto"/>
        <w:ind w:firstLine="480" w:firstLineChars="200"/>
        <w:rPr>
          <w:rFonts w:ascii="宋体" w:hAnsi="宋体"/>
          <w:color w:val="auto"/>
          <w:sz w:val="24"/>
          <w:highlight w:val="none"/>
        </w:rPr>
      </w:pPr>
      <w:r>
        <w:rPr>
          <w:rFonts w:ascii="宋体" w:hAnsi="宋体"/>
          <w:color w:val="auto"/>
          <w:sz w:val="24"/>
          <w:highlight w:val="none"/>
        </w:rPr>
        <w:t>关于总价合同计量的约定：</w:t>
      </w:r>
      <w:r>
        <w:rPr>
          <w:rFonts w:ascii="宋体" w:hAnsi="宋体"/>
          <w:b/>
          <w:color w:val="auto"/>
          <w:sz w:val="24"/>
          <w:highlight w:val="none"/>
          <w:u w:val="single"/>
        </w:rPr>
        <w:t xml:space="preserve">/   </w:t>
      </w:r>
      <w:r>
        <w:rPr>
          <w:rFonts w:ascii="宋体" w:hAnsi="宋体"/>
          <w:color w:val="auto"/>
          <w:sz w:val="24"/>
          <w:highlight w:val="none"/>
        </w:rPr>
        <w:t>。</w:t>
      </w:r>
    </w:p>
    <w:p w14:paraId="1C4A43B0">
      <w:pPr>
        <w:spacing w:line="360" w:lineRule="auto"/>
        <w:ind w:firstLine="480" w:firstLineChars="200"/>
        <w:rPr>
          <w:rFonts w:ascii="宋体" w:hAnsi="宋体"/>
          <w:color w:val="auto"/>
          <w:sz w:val="24"/>
          <w:highlight w:val="none"/>
        </w:rPr>
      </w:pPr>
      <w:r>
        <w:rPr>
          <w:rFonts w:ascii="宋体" w:hAnsi="宋体"/>
          <w:color w:val="auto"/>
          <w:sz w:val="24"/>
          <w:highlight w:val="none"/>
        </w:rPr>
        <w:t>工资性工程款比例约定：       。</w:t>
      </w:r>
    </w:p>
    <w:p w14:paraId="19390393">
      <w:pPr>
        <w:spacing w:line="360" w:lineRule="auto"/>
        <w:ind w:firstLine="480" w:firstLineChars="200"/>
        <w:rPr>
          <w:rFonts w:ascii="宋体" w:hAnsi="宋体"/>
          <w:color w:val="auto"/>
          <w:sz w:val="24"/>
          <w:highlight w:val="none"/>
        </w:rPr>
      </w:pPr>
      <w:r>
        <w:rPr>
          <w:rFonts w:ascii="宋体" w:hAnsi="宋体"/>
          <w:color w:val="auto"/>
          <w:sz w:val="24"/>
          <w:highlight w:val="none"/>
        </w:rPr>
        <w:t>12.3.5总价合同采用支付分解表计量支付的，是否适用第12.3.4 项〔总价合同的计量〕约定进行计量：</w:t>
      </w:r>
      <w:r>
        <w:rPr>
          <w:rFonts w:ascii="宋体" w:hAnsi="宋体"/>
          <w:b/>
          <w:color w:val="auto"/>
          <w:sz w:val="24"/>
          <w:highlight w:val="none"/>
          <w:u w:val="single"/>
        </w:rPr>
        <w:t xml:space="preserve">/ </w:t>
      </w:r>
      <w:r>
        <w:rPr>
          <w:rFonts w:ascii="宋体" w:hAnsi="宋体"/>
          <w:color w:val="auto"/>
          <w:sz w:val="24"/>
          <w:highlight w:val="none"/>
        </w:rPr>
        <w:t>。</w:t>
      </w:r>
    </w:p>
    <w:p w14:paraId="2C9E87B3">
      <w:pPr>
        <w:spacing w:line="360" w:lineRule="auto"/>
        <w:ind w:firstLine="480" w:firstLineChars="200"/>
        <w:rPr>
          <w:rFonts w:ascii="宋体" w:hAnsi="宋体"/>
          <w:color w:val="auto"/>
          <w:sz w:val="24"/>
          <w:highlight w:val="none"/>
        </w:rPr>
      </w:pPr>
      <w:r>
        <w:rPr>
          <w:rFonts w:ascii="宋体" w:hAnsi="宋体"/>
          <w:color w:val="auto"/>
          <w:sz w:val="24"/>
          <w:highlight w:val="none"/>
        </w:rPr>
        <w:t>12.3.6 其他价格形式合同的计量</w:t>
      </w:r>
    </w:p>
    <w:p w14:paraId="11163D2E">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其他价格形式的计量方式和程序</w:t>
      </w:r>
      <w:r>
        <w:rPr>
          <w:rFonts w:ascii="宋体" w:hAnsi="宋体"/>
          <w:b/>
          <w:color w:val="auto"/>
          <w:sz w:val="24"/>
          <w:highlight w:val="none"/>
          <w:u w:val="single"/>
        </w:rPr>
        <w:t xml:space="preserve">/ </w:t>
      </w:r>
      <w:r>
        <w:rPr>
          <w:rFonts w:ascii="宋体" w:hAnsi="宋体"/>
          <w:color w:val="auto"/>
          <w:sz w:val="24"/>
          <w:highlight w:val="none"/>
        </w:rPr>
        <w:t>。</w:t>
      </w:r>
    </w:p>
    <w:p w14:paraId="280D64F7">
      <w:pPr>
        <w:spacing w:line="360" w:lineRule="auto"/>
        <w:ind w:firstLine="480" w:firstLineChars="200"/>
        <w:rPr>
          <w:rFonts w:ascii="宋体" w:hAnsi="宋体"/>
          <w:color w:val="auto"/>
          <w:sz w:val="24"/>
          <w:highlight w:val="none"/>
        </w:rPr>
      </w:pPr>
      <w:r>
        <w:rPr>
          <w:rFonts w:ascii="宋体" w:hAnsi="宋体"/>
          <w:color w:val="auto"/>
          <w:sz w:val="24"/>
          <w:highlight w:val="none"/>
        </w:rPr>
        <w:t>12.4 工程进度款支付</w:t>
      </w:r>
    </w:p>
    <w:p w14:paraId="6AC53A6D">
      <w:pPr>
        <w:spacing w:line="360" w:lineRule="auto"/>
        <w:ind w:firstLine="480" w:firstLineChars="200"/>
        <w:rPr>
          <w:rFonts w:ascii="宋体" w:hAnsi="宋体"/>
          <w:color w:val="auto"/>
          <w:sz w:val="24"/>
          <w:highlight w:val="none"/>
        </w:rPr>
      </w:pPr>
      <w:r>
        <w:rPr>
          <w:rFonts w:ascii="宋体" w:hAnsi="宋体"/>
          <w:color w:val="auto"/>
          <w:sz w:val="24"/>
          <w:highlight w:val="none"/>
        </w:rPr>
        <w:t>12.4.1 付款周期</w:t>
      </w:r>
    </w:p>
    <w:p w14:paraId="20FA6260">
      <w:pPr>
        <w:spacing w:line="360" w:lineRule="auto"/>
        <w:ind w:firstLine="480" w:firstLineChars="200"/>
        <w:rPr>
          <w:rFonts w:ascii="宋体" w:hAnsi="宋体"/>
          <w:b/>
          <w:color w:val="auto"/>
          <w:sz w:val="24"/>
          <w:highlight w:val="none"/>
          <w:u w:val="single"/>
        </w:rPr>
      </w:pPr>
      <w:r>
        <w:rPr>
          <w:rFonts w:ascii="宋体" w:hAnsi="宋体"/>
          <w:color w:val="auto"/>
          <w:sz w:val="24"/>
          <w:highlight w:val="none"/>
        </w:rPr>
        <w:t>关于付款周期的约定：</w:t>
      </w:r>
    </w:p>
    <w:p w14:paraId="09C76769">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1、合同价款内的工程款支付：</w:t>
      </w:r>
    </w:p>
    <w:p w14:paraId="2D3D3382">
      <w:pPr>
        <w:pStyle w:val="971"/>
        <w:numPr>
          <w:ilvl w:val="0"/>
          <w:numId w:val="0"/>
        </w:numPr>
        <w:tabs>
          <w:tab w:val="left" w:pos="-180"/>
          <w:tab w:val="left" w:pos="0"/>
        </w:tabs>
        <w:spacing w:line="360" w:lineRule="auto"/>
        <w:ind w:firstLine="482" w:firstLineChars="200"/>
        <w:outlineLvl w:val="9"/>
        <w:rPr>
          <w:rFonts w:hAnsi="宋体"/>
          <w:b/>
          <w:color w:val="auto"/>
          <w:sz w:val="24"/>
          <w:highlight w:val="none"/>
          <w:u w:val="single"/>
          <w:lang w:val="en-US"/>
        </w:rPr>
      </w:pPr>
      <w:bookmarkStart w:id="404" w:name="ed_2020Y11M23D15H38M13"/>
      <w:r>
        <w:rPr>
          <w:rFonts w:hAnsi="宋体"/>
          <w:b/>
          <w:color w:val="auto"/>
          <w:sz w:val="24"/>
          <w:highlight w:val="none"/>
          <w:u w:val="single"/>
          <w:lang w:val="en-US"/>
        </w:rPr>
        <w:t>（1）</w:t>
      </w:r>
      <w:bookmarkEnd w:id="404"/>
      <w:r>
        <w:rPr>
          <w:rFonts w:hAnsi="宋体"/>
          <w:b/>
          <w:color w:val="auto"/>
          <w:sz w:val="24"/>
          <w:highlight w:val="none"/>
          <w:u w:val="single"/>
        </w:rPr>
        <w:t>合同签订且承包人向发包人缴纳合同价1%履约担保后支付合同总价的</w:t>
      </w:r>
      <w:r>
        <w:rPr>
          <w:rFonts w:hAnsi="宋体"/>
          <w:b/>
          <w:color w:val="auto"/>
          <w:sz w:val="24"/>
          <w:highlight w:val="none"/>
          <w:u w:val="single"/>
          <w:lang w:val="en-US"/>
        </w:rPr>
        <w:t>5</w:t>
      </w:r>
      <w:r>
        <w:rPr>
          <w:rFonts w:hAnsi="宋体"/>
          <w:b/>
          <w:color w:val="auto"/>
          <w:sz w:val="24"/>
          <w:highlight w:val="none"/>
          <w:u w:val="single"/>
        </w:rPr>
        <w:t>0%的预付款</w:t>
      </w:r>
      <w:r>
        <w:rPr>
          <w:rFonts w:hint="eastAsia" w:hAnsi="宋体"/>
          <w:b/>
          <w:color w:val="auto"/>
          <w:sz w:val="24"/>
          <w:highlight w:val="none"/>
          <w:u w:val="single"/>
        </w:rPr>
        <w:t>；</w:t>
      </w:r>
    </w:p>
    <w:p w14:paraId="73FF0FB5">
      <w:pPr>
        <w:pStyle w:val="971"/>
        <w:numPr>
          <w:ilvl w:val="0"/>
          <w:numId w:val="0"/>
        </w:numPr>
        <w:tabs>
          <w:tab w:val="left" w:pos="-180"/>
          <w:tab w:val="left" w:pos="0"/>
        </w:tabs>
        <w:spacing w:line="360" w:lineRule="auto"/>
        <w:ind w:firstLine="482" w:firstLineChars="200"/>
        <w:outlineLvl w:val="9"/>
        <w:rPr>
          <w:rFonts w:hAnsi="宋体"/>
          <w:b/>
          <w:color w:val="auto"/>
          <w:sz w:val="24"/>
          <w:highlight w:val="none"/>
          <w:u w:val="single"/>
        </w:rPr>
      </w:pPr>
      <w:r>
        <w:rPr>
          <w:rFonts w:hAnsi="宋体"/>
          <w:b/>
          <w:color w:val="auto"/>
          <w:sz w:val="24"/>
          <w:highlight w:val="none"/>
          <w:u w:val="single"/>
        </w:rPr>
        <w:t>（</w:t>
      </w:r>
      <w:r>
        <w:rPr>
          <w:rFonts w:hAnsi="宋体"/>
          <w:b/>
          <w:color w:val="auto"/>
          <w:sz w:val="24"/>
          <w:highlight w:val="none"/>
          <w:u w:val="single"/>
          <w:lang w:val="en-US"/>
        </w:rPr>
        <w:t>2</w:t>
      </w:r>
      <w:r>
        <w:rPr>
          <w:rFonts w:hAnsi="宋体"/>
          <w:b/>
          <w:color w:val="auto"/>
          <w:sz w:val="24"/>
          <w:highlight w:val="none"/>
          <w:u w:val="single"/>
        </w:rPr>
        <w:t>）</w:t>
      </w:r>
      <w:r>
        <w:rPr>
          <w:rFonts w:hint="eastAsia" w:hAnsi="宋体"/>
          <w:b/>
          <w:color w:val="auto"/>
          <w:sz w:val="24"/>
          <w:highlight w:val="none"/>
          <w:u w:val="single"/>
        </w:rPr>
        <w:t>竣工验收合格后并提供完整的竣工结算书及相关资料支付至合同总价的80%（含预付款</w:t>
      </w:r>
      <w:r>
        <w:rPr>
          <w:rFonts w:hAnsi="宋体"/>
          <w:b/>
          <w:color w:val="auto"/>
          <w:sz w:val="24"/>
          <w:highlight w:val="none"/>
          <w:u w:val="single"/>
        </w:rPr>
        <w:t>5</w:t>
      </w:r>
      <w:r>
        <w:rPr>
          <w:rFonts w:hint="eastAsia" w:hAnsi="宋体"/>
          <w:b/>
          <w:color w:val="auto"/>
          <w:sz w:val="24"/>
          <w:highlight w:val="none"/>
          <w:u w:val="single"/>
        </w:rPr>
        <w:t>0%）</w:t>
      </w:r>
      <w:r>
        <w:rPr>
          <w:rFonts w:hAnsi="宋体"/>
          <w:b/>
          <w:color w:val="auto"/>
          <w:sz w:val="24"/>
          <w:highlight w:val="none"/>
          <w:u w:val="single"/>
        </w:rPr>
        <w:t>；</w:t>
      </w:r>
    </w:p>
    <w:p w14:paraId="6FF22D88">
      <w:pPr>
        <w:pStyle w:val="971"/>
        <w:numPr>
          <w:ilvl w:val="0"/>
          <w:numId w:val="0"/>
        </w:numPr>
        <w:tabs>
          <w:tab w:val="left" w:pos="-180"/>
          <w:tab w:val="left" w:pos="0"/>
        </w:tabs>
        <w:spacing w:line="360" w:lineRule="auto"/>
        <w:ind w:firstLine="482" w:firstLineChars="200"/>
        <w:outlineLvl w:val="9"/>
        <w:rPr>
          <w:rFonts w:hAnsi="宋体"/>
          <w:b/>
          <w:color w:val="auto"/>
          <w:sz w:val="24"/>
          <w:highlight w:val="none"/>
          <w:u w:val="single"/>
          <w:lang w:val="en-US"/>
        </w:rPr>
      </w:pPr>
      <w:r>
        <w:rPr>
          <w:rFonts w:hAnsi="宋体"/>
          <w:b/>
          <w:color w:val="auto"/>
          <w:sz w:val="24"/>
          <w:highlight w:val="none"/>
          <w:u w:val="single"/>
          <w:lang w:val="en-US"/>
        </w:rPr>
        <w:t>（3）工程竣工结算审核完成后，付至结算总价的100%</w:t>
      </w:r>
      <w:r>
        <w:rPr>
          <w:rFonts w:hint="eastAsia" w:hAnsi="宋体"/>
          <w:b/>
          <w:color w:val="auto"/>
          <w:sz w:val="24"/>
          <w:highlight w:val="none"/>
          <w:u w:val="single"/>
          <w:lang w:val="en-US"/>
        </w:rPr>
        <w:t>。</w:t>
      </w:r>
    </w:p>
    <w:p w14:paraId="4029794F">
      <w:pPr>
        <w:spacing w:line="360" w:lineRule="auto"/>
        <w:ind w:firstLine="520" w:firstLineChars="216"/>
        <w:rPr>
          <w:rFonts w:ascii="宋体" w:hAnsi="宋体"/>
          <w:b/>
          <w:color w:val="auto"/>
          <w:sz w:val="24"/>
          <w:highlight w:val="none"/>
          <w:u w:val="single"/>
        </w:rPr>
      </w:pPr>
      <w:r>
        <w:rPr>
          <w:rFonts w:ascii="宋体" w:hAnsi="宋体"/>
          <w:b/>
          <w:color w:val="auto"/>
          <w:sz w:val="24"/>
          <w:highlight w:val="none"/>
          <w:u w:val="single"/>
        </w:rPr>
        <w:t>（4）乙方及时上报结算及相应计算依据和明细，现场具备交付条件，工程结算审定确认后并提供等额发票后，在30个工作日内支付至合同结算价的100%。</w:t>
      </w:r>
    </w:p>
    <w:p w14:paraId="7EC941A9">
      <w:pPr>
        <w:pStyle w:val="971"/>
        <w:numPr>
          <w:ilvl w:val="0"/>
          <w:numId w:val="0"/>
        </w:numPr>
        <w:tabs>
          <w:tab w:val="left" w:pos="-180"/>
          <w:tab w:val="left" w:pos="0"/>
        </w:tabs>
        <w:spacing w:line="360" w:lineRule="auto"/>
        <w:ind w:firstLine="482" w:firstLineChars="200"/>
        <w:outlineLvl w:val="9"/>
        <w:rPr>
          <w:rFonts w:hAnsi="宋体"/>
          <w:b/>
          <w:color w:val="auto"/>
          <w:sz w:val="24"/>
          <w:highlight w:val="none"/>
          <w:u w:val="single"/>
        </w:rPr>
      </w:pPr>
      <w:r>
        <w:rPr>
          <w:rFonts w:hAnsi="宋体"/>
          <w:b/>
          <w:color w:val="auto"/>
          <w:sz w:val="24"/>
          <w:highlight w:val="none"/>
          <w:u w:val="single"/>
        </w:rPr>
        <w:t>（</w:t>
      </w:r>
      <w:r>
        <w:rPr>
          <w:rFonts w:hAnsi="宋体"/>
          <w:b/>
          <w:color w:val="auto"/>
          <w:sz w:val="24"/>
          <w:highlight w:val="none"/>
          <w:u w:val="single"/>
          <w:lang w:val="en-US"/>
        </w:rPr>
        <w:t>5</w:t>
      </w:r>
      <w:r>
        <w:rPr>
          <w:rFonts w:hAnsi="宋体"/>
          <w:b/>
          <w:color w:val="auto"/>
          <w:sz w:val="24"/>
          <w:highlight w:val="none"/>
          <w:u w:val="single"/>
        </w:rPr>
        <w:t>）发包人每次支付工程款前，承包人需取得监理、发包人对工程进度、质量、安全的认可，并向发包人开具等额的发票，否则发包人有权顺延支付工程进度款。发票的真实、合法、合规、有效性由承包人负责。因承包人开具的发票不规范、不合法或涉嫌虚开发票引起税务问题的，投标人需向发包人重新开具发票，并赔偿发包人损失，包括但不限于税款、滞纳金、罚款及相关损失等。</w:t>
      </w:r>
    </w:p>
    <w:p w14:paraId="08EDCCED">
      <w:pPr>
        <w:pStyle w:val="33"/>
        <w:widowControl/>
        <w:spacing w:line="360" w:lineRule="auto"/>
        <w:ind w:left="142" w:firstLine="482" w:firstLineChars="200"/>
        <w:rPr>
          <w:rFonts w:hAnsi="宋体"/>
          <w:b/>
          <w:color w:val="auto"/>
          <w:kern w:val="0"/>
          <w:sz w:val="24"/>
          <w:szCs w:val="24"/>
          <w:highlight w:val="none"/>
          <w:u w:val="single"/>
        </w:rPr>
      </w:pPr>
      <w:r>
        <w:rPr>
          <w:rFonts w:hAnsi="宋体"/>
          <w:b/>
          <w:color w:val="auto"/>
          <w:kern w:val="0"/>
          <w:sz w:val="24"/>
          <w:szCs w:val="24"/>
          <w:highlight w:val="none"/>
          <w:u w:val="single"/>
        </w:rPr>
        <w:t>2、合同价款外的工程款支付：</w:t>
      </w:r>
    </w:p>
    <w:p w14:paraId="10834298">
      <w:pPr>
        <w:pStyle w:val="33"/>
        <w:widowControl/>
        <w:spacing w:line="360" w:lineRule="auto"/>
        <w:ind w:left="142" w:firstLine="482" w:firstLineChars="200"/>
        <w:rPr>
          <w:rFonts w:hAnsi="宋体"/>
          <w:b/>
          <w:color w:val="auto"/>
          <w:kern w:val="0"/>
          <w:sz w:val="24"/>
          <w:szCs w:val="24"/>
          <w:highlight w:val="none"/>
          <w:u w:val="single"/>
        </w:rPr>
      </w:pPr>
      <w:r>
        <w:rPr>
          <w:rFonts w:hAnsi="宋体"/>
          <w:b/>
          <w:color w:val="auto"/>
          <w:kern w:val="0"/>
          <w:sz w:val="24"/>
          <w:szCs w:val="24"/>
          <w:highlight w:val="none"/>
          <w:u w:val="single"/>
        </w:rPr>
        <w:t>在施工进度质量正常的前提下，因工程变更引起合同价款增加但增加部分累计不足原合同价款的10%时，工程款仍按原合同价款支付，增加部分待工程竣工并验收合格经结算审计完毕后一次性付清；因工程变更引起合同价款增减且增减部分累计达到或超过原合同价款的10%时，双方经协商一致后可签订补充协议。</w:t>
      </w:r>
    </w:p>
    <w:p w14:paraId="73BB2301">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3、开票约定：</w:t>
      </w:r>
    </w:p>
    <w:p w14:paraId="2DCACCE2">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（1）每次付款前，承包人应提供合法有效的增值税发票并在开票后送达发包人，否则发包人有权拒绝付款。如有质保金，需在结算完成时开具全额发票。</w:t>
      </w:r>
    </w:p>
    <w:p w14:paraId="1AE2F785">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2）承包人对其开具发票的合规性负责，如果因其开具的发票不合规（包括但不限于以下情形）而导致发包人无法税前扣除或遭受其他损失的，承包人应承担赔偿责任，且发包人有权要求重新开具合法有效的发票。同时发包人有权迟延支付应付款项，且不承担任何违约责任，承包人的各项合同义务仍按合同约定履行：</w:t>
      </w:r>
    </w:p>
    <w:p w14:paraId="73BCDF40">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•开具虚假、作废等无效发票或者违反国家法律法规开具、提供发票的；</w:t>
      </w:r>
    </w:p>
    <w:p w14:paraId="42A34D92">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•开具发票种类错误；开具发票税率与合同约定不符；</w:t>
      </w:r>
    </w:p>
    <w:p w14:paraId="6DCCC611">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•发票上的信息错误；</w:t>
      </w:r>
    </w:p>
    <w:p w14:paraId="4230FDC3">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•因乙方迟延送达、开具错误等原因造成发票认证失败；</w:t>
      </w:r>
    </w:p>
    <w:p w14:paraId="3881D055">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•其他不符合开具发票、提供发票的情形。</w:t>
      </w:r>
    </w:p>
    <w:p w14:paraId="679E83A8">
      <w:pPr>
        <w:spacing w:line="360" w:lineRule="auto"/>
        <w:ind w:firstLine="480" w:firstLineChars="200"/>
        <w:rPr>
          <w:rFonts w:ascii="宋体" w:hAnsi="宋体"/>
          <w:color w:val="auto"/>
          <w:sz w:val="24"/>
          <w:highlight w:val="none"/>
        </w:rPr>
      </w:pPr>
      <w:r>
        <w:rPr>
          <w:rFonts w:ascii="宋体" w:hAnsi="宋体"/>
          <w:color w:val="auto"/>
          <w:sz w:val="24"/>
          <w:highlight w:val="none"/>
        </w:rPr>
        <w:t>12.4.2 进度付款申请单的编制</w:t>
      </w:r>
    </w:p>
    <w:p w14:paraId="1EC1D53A">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关于进度付款申请单编制的约定：</w:t>
      </w:r>
      <w:r>
        <w:rPr>
          <w:rFonts w:ascii="宋体" w:hAnsi="宋体"/>
          <w:b/>
          <w:color w:val="auto"/>
          <w:sz w:val="24"/>
          <w:highlight w:val="none"/>
          <w:u w:val="single"/>
        </w:rPr>
        <w:t>按通用合同条款约定，一式伍份</w:t>
      </w:r>
      <w:r>
        <w:rPr>
          <w:rFonts w:ascii="宋体" w:hAnsi="宋体"/>
          <w:color w:val="auto"/>
          <w:sz w:val="24"/>
          <w:highlight w:val="none"/>
        </w:rPr>
        <w:t>。</w:t>
      </w:r>
    </w:p>
    <w:p w14:paraId="7FA96158">
      <w:pPr>
        <w:spacing w:line="360" w:lineRule="auto"/>
        <w:ind w:firstLine="480" w:firstLineChars="200"/>
        <w:rPr>
          <w:rFonts w:ascii="宋体" w:hAnsi="宋体"/>
          <w:color w:val="auto"/>
          <w:sz w:val="24"/>
          <w:highlight w:val="none"/>
        </w:rPr>
      </w:pPr>
      <w:r>
        <w:rPr>
          <w:rFonts w:ascii="宋体" w:hAnsi="宋体"/>
          <w:color w:val="auto"/>
          <w:sz w:val="24"/>
          <w:highlight w:val="none"/>
        </w:rPr>
        <w:t>12.4.3 进度付款申请单的提交</w:t>
      </w:r>
    </w:p>
    <w:p w14:paraId="19BF5828">
      <w:pPr>
        <w:spacing w:line="360" w:lineRule="auto"/>
        <w:ind w:firstLine="480" w:firstLineChars="200"/>
        <w:rPr>
          <w:rFonts w:ascii="宋体" w:hAnsi="宋体"/>
          <w:color w:val="auto"/>
          <w:sz w:val="24"/>
          <w:highlight w:val="none"/>
        </w:rPr>
      </w:pPr>
      <w:r>
        <w:rPr>
          <w:rFonts w:ascii="宋体" w:hAnsi="宋体"/>
          <w:color w:val="auto"/>
          <w:sz w:val="24"/>
          <w:highlight w:val="none"/>
        </w:rPr>
        <w:t>（1）单价合同进度付款申请单提交的约定：</w:t>
      </w:r>
      <w:r>
        <w:rPr>
          <w:rFonts w:ascii="宋体" w:hAnsi="宋体"/>
          <w:color w:val="auto"/>
          <w:sz w:val="24"/>
          <w:highlight w:val="none"/>
          <w:u w:val="single"/>
        </w:rPr>
        <w:t>按通用条款执行</w:t>
      </w:r>
      <w:r>
        <w:rPr>
          <w:rFonts w:ascii="宋体" w:hAnsi="宋体"/>
          <w:color w:val="auto"/>
          <w:sz w:val="24"/>
          <w:highlight w:val="none"/>
        </w:rPr>
        <w:t>。</w:t>
      </w:r>
    </w:p>
    <w:p w14:paraId="7A4A0AFA">
      <w:pPr>
        <w:spacing w:line="360" w:lineRule="auto"/>
        <w:ind w:firstLine="480" w:firstLineChars="200"/>
        <w:rPr>
          <w:rFonts w:ascii="宋体" w:hAnsi="宋体"/>
          <w:color w:val="auto"/>
          <w:sz w:val="24"/>
          <w:highlight w:val="none"/>
        </w:rPr>
      </w:pPr>
      <w:r>
        <w:rPr>
          <w:rFonts w:ascii="宋体" w:hAnsi="宋体"/>
          <w:color w:val="auto"/>
          <w:sz w:val="24"/>
          <w:highlight w:val="none"/>
        </w:rPr>
        <w:t>（2）总价合同进度付款申请单提交的约定：</w:t>
      </w:r>
      <w:r>
        <w:rPr>
          <w:rFonts w:ascii="宋体" w:hAnsi="宋体"/>
          <w:b/>
          <w:color w:val="auto"/>
          <w:sz w:val="24"/>
          <w:highlight w:val="none"/>
          <w:u w:val="single"/>
        </w:rPr>
        <w:t xml:space="preserve">/ </w:t>
      </w:r>
      <w:r>
        <w:rPr>
          <w:rFonts w:ascii="宋体" w:hAnsi="宋体"/>
          <w:color w:val="auto"/>
          <w:sz w:val="24"/>
          <w:highlight w:val="none"/>
        </w:rPr>
        <w:t>。</w:t>
      </w:r>
    </w:p>
    <w:p w14:paraId="1C04E091">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（3）其他价格形式合同进度付款申请单提交的约定：</w:t>
      </w:r>
      <w:r>
        <w:rPr>
          <w:rFonts w:ascii="宋体" w:hAnsi="宋体"/>
          <w:b/>
          <w:color w:val="auto"/>
          <w:sz w:val="24"/>
          <w:highlight w:val="none"/>
          <w:u w:val="single"/>
        </w:rPr>
        <w:t xml:space="preserve">/ </w:t>
      </w:r>
      <w:r>
        <w:rPr>
          <w:rFonts w:ascii="宋体" w:hAnsi="宋体"/>
          <w:color w:val="auto"/>
          <w:sz w:val="24"/>
          <w:highlight w:val="none"/>
        </w:rPr>
        <w:t>。</w:t>
      </w:r>
    </w:p>
    <w:p w14:paraId="4118545E">
      <w:pPr>
        <w:spacing w:line="360" w:lineRule="auto"/>
        <w:ind w:firstLine="480" w:firstLineChars="200"/>
        <w:rPr>
          <w:rFonts w:ascii="宋体" w:hAnsi="宋体"/>
          <w:color w:val="auto"/>
          <w:sz w:val="24"/>
          <w:highlight w:val="none"/>
        </w:rPr>
      </w:pPr>
      <w:r>
        <w:rPr>
          <w:rFonts w:ascii="宋体" w:hAnsi="宋体"/>
          <w:color w:val="auto"/>
          <w:sz w:val="24"/>
          <w:highlight w:val="none"/>
        </w:rPr>
        <w:t>12.4.4 进度款审核和支付</w:t>
      </w:r>
    </w:p>
    <w:p w14:paraId="743593D2">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（1）监理人审查并报送发包人的期限：</w:t>
      </w:r>
      <w:r>
        <w:rPr>
          <w:rFonts w:ascii="宋体" w:hAnsi="宋体"/>
          <w:b/>
          <w:color w:val="auto"/>
          <w:sz w:val="24"/>
          <w:highlight w:val="none"/>
          <w:u w:val="single"/>
        </w:rPr>
        <w:t>监理人应在收到承包人进度付款申请单以及相关资料后7天内完成审查并报送发包人</w:t>
      </w:r>
      <w:r>
        <w:rPr>
          <w:rFonts w:ascii="宋体" w:hAnsi="宋体"/>
          <w:color w:val="auto"/>
          <w:sz w:val="24"/>
          <w:highlight w:val="none"/>
        </w:rPr>
        <w:t>。</w:t>
      </w:r>
    </w:p>
    <w:p w14:paraId="28A216C9">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发包人完成审批并签发进度款支付证书的期限：</w:t>
      </w:r>
      <w:r>
        <w:rPr>
          <w:rFonts w:ascii="宋体" w:hAnsi="宋体"/>
          <w:b/>
          <w:color w:val="auto"/>
          <w:sz w:val="24"/>
          <w:highlight w:val="none"/>
          <w:u w:val="single"/>
        </w:rPr>
        <w:t>发包人应在收到后20天内完成审批并签发进度款支付证书</w:t>
      </w:r>
      <w:r>
        <w:rPr>
          <w:rFonts w:ascii="宋体" w:hAnsi="宋体"/>
          <w:color w:val="auto"/>
          <w:sz w:val="24"/>
          <w:highlight w:val="none"/>
        </w:rPr>
        <w:t>。</w:t>
      </w:r>
    </w:p>
    <w:p w14:paraId="517E12A3">
      <w:pPr>
        <w:spacing w:line="360" w:lineRule="auto"/>
        <w:ind w:firstLine="480" w:firstLineChars="200"/>
        <w:rPr>
          <w:rFonts w:ascii="宋体" w:hAnsi="宋体"/>
          <w:color w:val="auto"/>
          <w:sz w:val="24"/>
          <w:highlight w:val="none"/>
        </w:rPr>
      </w:pPr>
      <w:r>
        <w:rPr>
          <w:rFonts w:ascii="宋体" w:hAnsi="宋体"/>
          <w:color w:val="auto"/>
          <w:sz w:val="24"/>
          <w:highlight w:val="none"/>
        </w:rPr>
        <w:t>（2）发包人支付进度款的期限：</w:t>
      </w:r>
      <w:r>
        <w:rPr>
          <w:rFonts w:ascii="宋体" w:hAnsi="宋体"/>
          <w:b/>
          <w:color w:val="auto"/>
          <w:sz w:val="24"/>
          <w:highlight w:val="none"/>
          <w:u w:val="single"/>
        </w:rPr>
        <w:t xml:space="preserve">   /   </w:t>
      </w:r>
      <w:r>
        <w:rPr>
          <w:rFonts w:ascii="宋体" w:hAnsi="宋体"/>
          <w:color w:val="auto"/>
          <w:sz w:val="24"/>
          <w:highlight w:val="none"/>
        </w:rPr>
        <w:t>。</w:t>
      </w:r>
    </w:p>
    <w:p w14:paraId="2D79D31B">
      <w:pPr>
        <w:spacing w:line="360" w:lineRule="auto"/>
        <w:ind w:firstLine="600" w:firstLineChars="250"/>
        <w:rPr>
          <w:rFonts w:ascii="宋体" w:hAnsi="宋体"/>
          <w:color w:val="auto"/>
          <w:sz w:val="24"/>
          <w:highlight w:val="none"/>
          <w:u w:val="single"/>
        </w:rPr>
      </w:pPr>
      <w:r>
        <w:rPr>
          <w:rFonts w:ascii="宋体" w:hAnsi="宋体"/>
          <w:color w:val="auto"/>
          <w:sz w:val="24"/>
          <w:highlight w:val="none"/>
        </w:rPr>
        <w:t>发包人逾期支付进度款的违约金的计算方式：</w:t>
      </w:r>
      <w:r>
        <w:rPr>
          <w:rFonts w:ascii="宋体" w:hAnsi="宋体"/>
          <w:b/>
          <w:color w:val="auto"/>
          <w:sz w:val="24"/>
          <w:highlight w:val="none"/>
          <w:u w:val="single"/>
        </w:rPr>
        <w:t>按通用合同条款约定</w:t>
      </w:r>
      <w:r>
        <w:rPr>
          <w:rFonts w:ascii="宋体" w:hAnsi="宋体"/>
          <w:color w:val="auto"/>
          <w:sz w:val="24"/>
          <w:highlight w:val="none"/>
        </w:rPr>
        <w:t>。</w:t>
      </w:r>
    </w:p>
    <w:p w14:paraId="5FC9BC5B">
      <w:pPr>
        <w:spacing w:line="360" w:lineRule="auto"/>
        <w:ind w:firstLine="480" w:firstLineChars="200"/>
        <w:rPr>
          <w:rFonts w:ascii="宋体" w:hAnsi="宋体"/>
          <w:color w:val="auto"/>
          <w:sz w:val="24"/>
          <w:highlight w:val="none"/>
        </w:rPr>
      </w:pPr>
      <w:r>
        <w:rPr>
          <w:rFonts w:ascii="宋体" w:hAnsi="宋体"/>
          <w:color w:val="auto"/>
          <w:sz w:val="24"/>
          <w:highlight w:val="none"/>
        </w:rPr>
        <w:t>12.4.6 支付分解表的编制</w:t>
      </w:r>
    </w:p>
    <w:p w14:paraId="0588D295">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2、总价合同支付分解表的编制与审批：</w:t>
      </w:r>
      <w:r>
        <w:rPr>
          <w:rFonts w:ascii="宋体" w:hAnsi="宋体"/>
          <w:b/>
          <w:color w:val="auto"/>
          <w:sz w:val="24"/>
          <w:highlight w:val="none"/>
          <w:u w:val="single"/>
        </w:rPr>
        <w:t xml:space="preserve">/ </w:t>
      </w:r>
      <w:r>
        <w:rPr>
          <w:rFonts w:ascii="宋体" w:hAnsi="宋体"/>
          <w:color w:val="auto"/>
          <w:sz w:val="24"/>
          <w:highlight w:val="none"/>
        </w:rPr>
        <w:t>。</w:t>
      </w:r>
    </w:p>
    <w:p w14:paraId="708F1FF6">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3、单价合同的总价项目支付分解表的编制与审批：</w:t>
      </w:r>
      <w:r>
        <w:rPr>
          <w:rFonts w:ascii="宋体" w:hAnsi="宋体"/>
          <w:b/>
          <w:color w:val="auto"/>
          <w:sz w:val="24"/>
          <w:highlight w:val="none"/>
          <w:u w:val="single"/>
        </w:rPr>
        <w:t>按通用合同条款约定</w:t>
      </w:r>
      <w:r>
        <w:rPr>
          <w:rFonts w:ascii="宋体" w:hAnsi="宋体"/>
          <w:color w:val="auto"/>
          <w:sz w:val="24"/>
          <w:highlight w:val="none"/>
        </w:rPr>
        <w:t>。</w:t>
      </w:r>
    </w:p>
    <w:p w14:paraId="205F9366">
      <w:pPr>
        <w:pStyle w:val="6"/>
        <w:spacing w:line="360" w:lineRule="auto"/>
        <w:ind w:left="0" w:firstLine="482" w:firstLineChars="200"/>
        <w:rPr>
          <w:rFonts w:ascii="宋体" w:hAnsi="宋体" w:eastAsia="宋体" w:cs="宋体"/>
          <w:bCs w:val="0"/>
          <w:color w:val="auto"/>
          <w:sz w:val="24"/>
          <w:szCs w:val="24"/>
          <w:highlight w:val="none"/>
        </w:rPr>
      </w:pPr>
      <w:r>
        <w:rPr>
          <w:rFonts w:ascii="宋体" w:hAnsi="宋体" w:eastAsia="宋体" w:cs="宋体"/>
          <w:bCs w:val="0"/>
          <w:color w:val="auto"/>
          <w:sz w:val="24"/>
          <w:szCs w:val="24"/>
          <w:highlight w:val="none"/>
        </w:rPr>
        <w:t>13. 验收和工程试车</w:t>
      </w:r>
    </w:p>
    <w:p w14:paraId="4C58949E">
      <w:pPr>
        <w:spacing w:line="360" w:lineRule="auto"/>
        <w:ind w:firstLine="480" w:firstLineChars="200"/>
        <w:rPr>
          <w:rFonts w:ascii="宋体" w:hAnsi="宋体"/>
          <w:color w:val="auto"/>
          <w:sz w:val="24"/>
          <w:highlight w:val="none"/>
        </w:rPr>
      </w:pPr>
      <w:r>
        <w:rPr>
          <w:rFonts w:ascii="宋体" w:hAnsi="宋体"/>
          <w:color w:val="auto"/>
          <w:sz w:val="24"/>
          <w:highlight w:val="none"/>
        </w:rPr>
        <w:t>13.1 分部分项工程验收</w:t>
      </w:r>
    </w:p>
    <w:p w14:paraId="1FC7BAF3">
      <w:pPr>
        <w:spacing w:line="360" w:lineRule="auto"/>
        <w:ind w:firstLine="480" w:firstLineChars="200"/>
        <w:rPr>
          <w:rFonts w:ascii="宋体" w:hAnsi="宋体"/>
          <w:color w:val="auto"/>
          <w:sz w:val="24"/>
          <w:highlight w:val="none"/>
        </w:rPr>
      </w:pPr>
      <w:r>
        <w:rPr>
          <w:rFonts w:ascii="宋体" w:hAnsi="宋体"/>
          <w:color w:val="auto"/>
          <w:sz w:val="24"/>
          <w:highlight w:val="none"/>
        </w:rPr>
        <w:t>13.1.2监理人不能按时进行验收时，应提前</w:t>
      </w:r>
      <w:r>
        <w:rPr>
          <w:rFonts w:ascii="宋体" w:hAnsi="宋体"/>
          <w:b/>
          <w:color w:val="auto"/>
          <w:sz w:val="24"/>
          <w:highlight w:val="none"/>
          <w:u w:val="single"/>
        </w:rPr>
        <w:t>24</w:t>
      </w:r>
      <w:r>
        <w:rPr>
          <w:rFonts w:ascii="宋体" w:hAnsi="宋体"/>
          <w:color w:val="auto"/>
          <w:sz w:val="24"/>
          <w:highlight w:val="none"/>
        </w:rPr>
        <w:t>小时提交书面延期要求。</w:t>
      </w:r>
    </w:p>
    <w:p w14:paraId="1A2AF4E3">
      <w:pPr>
        <w:spacing w:line="360" w:lineRule="auto"/>
        <w:ind w:firstLine="480" w:firstLineChars="200"/>
        <w:rPr>
          <w:rFonts w:ascii="宋体" w:hAnsi="宋体"/>
          <w:b/>
          <w:color w:val="auto"/>
          <w:sz w:val="24"/>
          <w:highlight w:val="none"/>
        </w:rPr>
      </w:pPr>
      <w:r>
        <w:rPr>
          <w:rFonts w:ascii="宋体" w:hAnsi="宋体"/>
          <w:color w:val="auto"/>
          <w:sz w:val="24"/>
          <w:highlight w:val="none"/>
        </w:rPr>
        <w:t>关于延期最长不得超过：</w:t>
      </w:r>
      <w:r>
        <w:rPr>
          <w:rFonts w:ascii="宋体" w:hAnsi="宋体"/>
          <w:b/>
          <w:color w:val="auto"/>
          <w:sz w:val="24"/>
          <w:highlight w:val="none"/>
          <w:u w:val="single"/>
        </w:rPr>
        <w:t>48</w:t>
      </w:r>
      <w:r>
        <w:rPr>
          <w:rFonts w:ascii="宋体" w:hAnsi="宋体"/>
          <w:color w:val="auto"/>
          <w:sz w:val="24"/>
          <w:highlight w:val="none"/>
        </w:rPr>
        <w:t>小时。</w:t>
      </w:r>
    </w:p>
    <w:p w14:paraId="057C36CE">
      <w:pPr>
        <w:spacing w:line="360" w:lineRule="auto"/>
        <w:ind w:firstLine="480" w:firstLineChars="200"/>
        <w:rPr>
          <w:rFonts w:ascii="宋体" w:hAnsi="宋体"/>
          <w:color w:val="auto"/>
          <w:sz w:val="24"/>
          <w:highlight w:val="none"/>
        </w:rPr>
      </w:pPr>
      <w:r>
        <w:rPr>
          <w:rFonts w:ascii="宋体" w:hAnsi="宋体"/>
          <w:color w:val="auto"/>
          <w:sz w:val="24"/>
          <w:highlight w:val="none"/>
        </w:rPr>
        <w:t>13.2 竣工验收</w:t>
      </w:r>
    </w:p>
    <w:p w14:paraId="23536BC2">
      <w:pPr>
        <w:spacing w:line="360" w:lineRule="auto"/>
        <w:ind w:firstLine="480" w:firstLineChars="200"/>
        <w:rPr>
          <w:rFonts w:ascii="宋体" w:hAnsi="宋体"/>
          <w:color w:val="auto"/>
          <w:sz w:val="24"/>
          <w:highlight w:val="none"/>
        </w:rPr>
      </w:pPr>
      <w:r>
        <w:rPr>
          <w:rFonts w:ascii="宋体" w:hAnsi="宋体"/>
          <w:color w:val="auto"/>
          <w:sz w:val="24"/>
          <w:highlight w:val="none"/>
        </w:rPr>
        <w:t>13.2.2竣工验收程序</w:t>
      </w:r>
    </w:p>
    <w:p w14:paraId="6DC5C196">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关于竣工验收程序的约定：</w:t>
      </w:r>
      <w:r>
        <w:rPr>
          <w:rFonts w:ascii="宋体" w:hAnsi="宋体"/>
          <w:b/>
          <w:color w:val="auto"/>
          <w:sz w:val="24"/>
          <w:highlight w:val="none"/>
          <w:u w:val="single"/>
        </w:rPr>
        <w:t>按通用合同条款约定</w:t>
      </w:r>
      <w:r>
        <w:rPr>
          <w:rFonts w:ascii="宋体" w:hAnsi="宋体"/>
          <w:color w:val="auto"/>
          <w:sz w:val="24"/>
          <w:highlight w:val="none"/>
        </w:rPr>
        <w:t>。</w:t>
      </w:r>
    </w:p>
    <w:p w14:paraId="7F0DBC27">
      <w:pPr>
        <w:spacing w:line="360" w:lineRule="auto"/>
        <w:ind w:firstLine="480" w:firstLineChars="200"/>
        <w:rPr>
          <w:rFonts w:ascii="宋体" w:hAnsi="宋体"/>
          <w:color w:val="auto"/>
          <w:sz w:val="24"/>
          <w:highlight w:val="none"/>
        </w:rPr>
      </w:pPr>
      <w:r>
        <w:rPr>
          <w:rFonts w:ascii="宋体" w:hAnsi="宋体"/>
          <w:color w:val="auto"/>
          <w:sz w:val="24"/>
          <w:highlight w:val="none"/>
        </w:rPr>
        <w:t>发包人不按照本项约定组织竣工验收、颁发工程接收证书的违约金的计算方法：</w:t>
      </w:r>
      <w:r>
        <w:rPr>
          <w:rFonts w:ascii="宋体" w:hAnsi="宋体"/>
          <w:b/>
          <w:color w:val="auto"/>
          <w:sz w:val="24"/>
          <w:highlight w:val="none"/>
          <w:u w:val="single"/>
        </w:rPr>
        <w:t>按通用合同条款约定</w:t>
      </w:r>
      <w:r>
        <w:rPr>
          <w:rFonts w:ascii="宋体" w:hAnsi="宋体"/>
          <w:color w:val="auto"/>
          <w:sz w:val="24"/>
          <w:highlight w:val="none"/>
        </w:rPr>
        <w:t>。</w:t>
      </w:r>
    </w:p>
    <w:p w14:paraId="0E3ACD8B">
      <w:pPr>
        <w:spacing w:line="360" w:lineRule="auto"/>
        <w:ind w:firstLine="480" w:firstLineChars="200"/>
        <w:rPr>
          <w:rFonts w:ascii="宋体" w:hAnsi="宋体"/>
          <w:color w:val="auto"/>
          <w:sz w:val="24"/>
          <w:highlight w:val="none"/>
        </w:rPr>
      </w:pPr>
      <w:r>
        <w:rPr>
          <w:rFonts w:ascii="宋体" w:hAnsi="宋体"/>
          <w:color w:val="auto"/>
          <w:sz w:val="24"/>
          <w:highlight w:val="none"/>
        </w:rPr>
        <w:t>13.2.5移交、接收全部与部分工程</w:t>
      </w:r>
    </w:p>
    <w:p w14:paraId="3AF8247E">
      <w:pPr>
        <w:spacing w:line="360" w:lineRule="auto"/>
        <w:ind w:firstLine="480" w:firstLineChars="200"/>
        <w:rPr>
          <w:rFonts w:ascii="宋体" w:hAnsi="宋体"/>
          <w:color w:val="auto"/>
          <w:sz w:val="24"/>
          <w:highlight w:val="none"/>
        </w:rPr>
      </w:pPr>
      <w:r>
        <w:rPr>
          <w:rFonts w:ascii="宋体" w:hAnsi="宋体"/>
          <w:color w:val="auto"/>
          <w:sz w:val="24"/>
          <w:highlight w:val="none"/>
        </w:rPr>
        <w:t>承包人向发包人移交工程的期限：</w:t>
      </w:r>
      <w:r>
        <w:rPr>
          <w:rFonts w:ascii="宋体" w:hAnsi="宋体"/>
          <w:b/>
          <w:color w:val="auto"/>
          <w:sz w:val="24"/>
          <w:highlight w:val="none"/>
          <w:u w:val="single"/>
        </w:rPr>
        <w:t>按通用合同条款约定</w:t>
      </w:r>
      <w:r>
        <w:rPr>
          <w:rFonts w:ascii="宋体" w:hAnsi="宋体"/>
          <w:color w:val="auto"/>
          <w:sz w:val="24"/>
          <w:highlight w:val="none"/>
        </w:rPr>
        <w:t>。</w:t>
      </w:r>
    </w:p>
    <w:p w14:paraId="6F09939A">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发包人未按本合同约定接收全部或部分工程的，违约金的计算方法为：</w:t>
      </w:r>
      <w:r>
        <w:rPr>
          <w:rFonts w:ascii="宋体" w:hAnsi="宋体"/>
          <w:b/>
          <w:color w:val="auto"/>
          <w:sz w:val="24"/>
          <w:highlight w:val="none"/>
          <w:u w:val="single"/>
        </w:rPr>
        <w:t xml:space="preserve">/ </w:t>
      </w:r>
      <w:r>
        <w:rPr>
          <w:rFonts w:ascii="宋体" w:hAnsi="宋体"/>
          <w:color w:val="auto"/>
          <w:sz w:val="24"/>
          <w:highlight w:val="none"/>
        </w:rPr>
        <w:t>。</w:t>
      </w:r>
    </w:p>
    <w:p w14:paraId="5E48CC51">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承包人未按时移交工程的，违约金的计算方法为：</w:t>
      </w:r>
      <w:r>
        <w:rPr>
          <w:rFonts w:ascii="宋体" w:hAnsi="宋体"/>
          <w:b/>
          <w:color w:val="auto"/>
          <w:sz w:val="24"/>
          <w:highlight w:val="none"/>
          <w:u w:val="single"/>
        </w:rPr>
        <w:t>按工期延误承担违约责任</w:t>
      </w:r>
      <w:r>
        <w:rPr>
          <w:rFonts w:ascii="宋体" w:hAnsi="宋体"/>
          <w:color w:val="auto"/>
          <w:sz w:val="24"/>
          <w:highlight w:val="none"/>
        </w:rPr>
        <w:t>。</w:t>
      </w:r>
    </w:p>
    <w:p w14:paraId="5A33463B">
      <w:pPr>
        <w:spacing w:line="360" w:lineRule="auto"/>
        <w:ind w:firstLine="480" w:firstLineChars="200"/>
        <w:rPr>
          <w:rFonts w:ascii="宋体" w:hAnsi="宋体"/>
          <w:color w:val="auto"/>
          <w:sz w:val="24"/>
          <w:highlight w:val="none"/>
        </w:rPr>
      </w:pPr>
      <w:r>
        <w:rPr>
          <w:rFonts w:ascii="宋体" w:hAnsi="宋体"/>
          <w:color w:val="auto"/>
          <w:sz w:val="24"/>
          <w:highlight w:val="none"/>
        </w:rPr>
        <w:t>13.3 工程试车</w:t>
      </w:r>
    </w:p>
    <w:p w14:paraId="6BDC9CF7">
      <w:pPr>
        <w:spacing w:line="360" w:lineRule="auto"/>
        <w:ind w:firstLine="480" w:firstLineChars="200"/>
        <w:rPr>
          <w:rFonts w:ascii="宋体" w:hAnsi="宋体"/>
          <w:color w:val="auto"/>
          <w:sz w:val="24"/>
          <w:highlight w:val="none"/>
        </w:rPr>
      </w:pPr>
      <w:r>
        <w:rPr>
          <w:rFonts w:ascii="宋体" w:hAnsi="宋体"/>
          <w:color w:val="auto"/>
          <w:sz w:val="24"/>
          <w:highlight w:val="none"/>
        </w:rPr>
        <w:t>13.3.1 试车程序</w:t>
      </w:r>
    </w:p>
    <w:p w14:paraId="304ADCB2">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工程试车内容：</w:t>
      </w:r>
      <w:r>
        <w:rPr>
          <w:rFonts w:ascii="宋体" w:hAnsi="宋体"/>
          <w:b/>
          <w:color w:val="auto"/>
          <w:sz w:val="24"/>
          <w:highlight w:val="none"/>
          <w:u w:val="single"/>
        </w:rPr>
        <w:t xml:space="preserve">/ </w:t>
      </w:r>
      <w:r>
        <w:rPr>
          <w:rFonts w:ascii="宋体" w:hAnsi="宋体"/>
          <w:color w:val="auto"/>
          <w:sz w:val="24"/>
          <w:highlight w:val="none"/>
        </w:rPr>
        <w:t>。</w:t>
      </w:r>
    </w:p>
    <w:p w14:paraId="3B25B163">
      <w:pPr>
        <w:spacing w:line="360" w:lineRule="auto"/>
        <w:ind w:firstLine="480" w:firstLineChars="200"/>
        <w:rPr>
          <w:rFonts w:ascii="宋体" w:hAnsi="宋体"/>
          <w:color w:val="auto"/>
          <w:sz w:val="24"/>
          <w:highlight w:val="none"/>
        </w:rPr>
      </w:pPr>
      <w:r>
        <w:rPr>
          <w:rFonts w:ascii="宋体" w:hAnsi="宋体"/>
          <w:color w:val="auto"/>
          <w:sz w:val="24"/>
          <w:highlight w:val="none"/>
        </w:rPr>
        <w:t>（1）单机无负荷试车费用由</w:t>
      </w:r>
      <w:r>
        <w:rPr>
          <w:rFonts w:ascii="宋体" w:hAnsi="宋体"/>
          <w:b/>
          <w:color w:val="auto"/>
          <w:sz w:val="24"/>
          <w:highlight w:val="none"/>
          <w:u w:val="single"/>
        </w:rPr>
        <w:t xml:space="preserve">/ </w:t>
      </w:r>
      <w:r>
        <w:rPr>
          <w:rFonts w:ascii="宋体" w:hAnsi="宋体"/>
          <w:color w:val="auto"/>
          <w:sz w:val="24"/>
          <w:highlight w:val="none"/>
        </w:rPr>
        <w:t>承担；</w:t>
      </w:r>
    </w:p>
    <w:p w14:paraId="46901CF4">
      <w:pPr>
        <w:spacing w:line="360" w:lineRule="auto"/>
        <w:ind w:firstLine="480" w:firstLineChars="200"/>
        <w:rPr>
          <w:rFonts w:ascii="宋体" w:hAnsi="宋体"/>
          <w:color w:val="auto"/>
          <w:sz w:val="24"/>
          <w:highlight w:val="none"/>
        </w:rPr>
      </w:pPr>
      <w:r>
        <w:rPr>
          <w:rFonts w:ascii="宋体" w:hAnsi="宋体"/>
          <w:color w:val="auto"/>
          <w:sz w:val="24"/>
          <w:highlight w:val="none"/>
        </w:rPr>
        <w:t>（2）无负荷联动试车费用由</w:t>
      </w:r>
      <w:r>
        <w:rPr>
          <w:rFonts w:ascii="宋体" w:hAnsi="宋体"/>
          <w:b/>
          <w:color w:val="auto"/>
          <w:sz w:val="24"/>
          <w:highlight w:val="none"/>
          <w:u w:val="single"/>
        </w:rPr>
        <w:t xml:space="preserve">/ </w:t>
      </w:r>
      <w:r>
        <w:rPr>
          <w:rFonts w:ascii="宋体" w:hAnsi="宋体"/>
          <w:color w:val="auto"/>
          <w:sz w:val="24"/>
          <w:highlight w:val="none"/>
        </w:rPr>
        <w:t>承担。</w:t>
      </w:r>
    </w:p>
    <w:p w14:paraId="344DFB65">
      <w:pPr>
        <w:spacing w:line="360" w:lineRule="auto"/>
        <w:ind w:firstLine="480" w:firstLineChars="200"/>
        <w:rPr>
          <w:rFonts w:ascii="宋体" w:hAnsi="宋体"/>
          <w:color w:val="auto"/>
          <w:sz w:val="24"/>
          <w:highlight w:val="none"/>
        </w:rPr>
      </w:pPr>
      <w:r>
        <w:rPr>
          <w:rFonts w:ascii="宋体" w:hAnsi="宋体"/>
          <w:color w:val="auto"/>
          <w:sz w:val="24"/>
          <w:highlight w:val="none"/>
        </w:rPr>
        <w:t>13.3.3 投料试车</w:t>
      </w:r>
    </w:p>
    <w:p w14:paraId="50BF7902">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关于投料试车相关事项的约定：</w:t>
      </w:r>
      <w:r>
        <w:rPr>
          <w:rFonts w:ascii="宋体" w:hAnsi="宋体"/>
          <w:b/>
          <w:color w:val="auto"/>
          <w:sz w:val="24"/>
          <w:highlight w:val="none"/>
          <w:u w:val="single"/>
        </w:rPr>
        <w:t xml:space="preserve">/ </w:t>
      </w:r>
      <w:r>
        <w:rPr>
          <w:rFonts w:ascii="宋体" w:hAnsi="宋体"/>
          <w:color w:val="auto"/>
          <w:sz w:val="24"/>
          <w:highlight w:val="none"/>
        </w:rPr>
        <w:t>。</w:t>
      </w:r>
    </w:p>
    <w:p w14:paraId="56AC9EE9">
      <w:pPr>
        <w:spacing w:line="360" w:lineRule="auto"/>
        <w:ind w:firstLine="480" w:firstLineChars="200"/>
        <w:rPr>
          <w:rFonts w:ascii="宋体" w:hAnsi="宋体"/>
          <w:color w:val="auto"/>
          <w:sz w:val="24"/>
          <w:highlight w:val="none"/>
        </w:rPr>
      </w:pPr>
      <w:r>
        <w:rPr>
          <w:rFonts w:ascii="宋体" w:hAnsi="宋体"/>
          <w:color w:val="auto"/>
          <w:sz w:val="24"/>
          <w:highlight w:val="none"/>
        </w:rPr>
        <w:t>13.6 竣工退场</w:t>
      </w:r>
    </w:p>
    <w:p w14:paraId="686B0851">
      <w:pPr>
        <w:spacing w:line="360" w:lineRule="auto"/>
        <w:ind w:firstLine="480" w:firstLineChars="200"/>
        <w:rPr>
          <w:rFonts w:ascii="宋体" w:hAnsi="宋体"/>
          <w:color w:val="auto"/>
          <w:sz w:val="24"/>
          <w:highlight w:val="none"/>
        </w:rPr>
      </w:pPr>
      <w:r>
        <w:rPr>
          <w:rFonts w:ascii="宋体" w:hAnsi="宋体"/>
          <w:color w:val="auto"/>
          <w:sz w:val="24"/>
          <w:highlight w:val="none"/>
        </w:rPr>
        <w:t>13.6.1 竣工退场</w:t>
      </w:r>
    </w:p>
    <w:p w14:paraId="7F65C458">
      <w:pPr>
        <w:spacing w:line="360" w:lineRule="auto"/>
        <w:ind w:firstLine="480" w:firstLineChars="200"/>
        <w:rPr>
          <w:rFonts w:ascii="宋体" w:hAnsi="宋体"/>
          <w:color w:val="auto"/>
          <w:sz w:val="24"/>
          <w:highlight w:val="none"/>
        </w:rPr>
      </w:pPr>
      <w:r>
        <w:rPr>
          <w:rFonts w:ascii="宋体" w:hAnsi="宋体"/>
          <w:color w:val="auto"/>
          <w:sz w:val="24"/>
          <w:highlight w:val="none"/>
        </w:rPr>
        <w:t>承包人完成竣工退场的期限：</w:t>
      </w:r>
      <w:r>
        <w:rPr>
          <w:rFonts w:ascii="宋体" w:hAnsi="宋体"/>
          <w:color w:val="auto"/>
          <w:sz w:val="24"/>
          <w:highlight w:val="none"/>
          <w:u w:val="single"/>
        </w:rPr>
        <w:t>工程移交完成后14天内</w:t>
      </w:r>
      <w:r>
        <w:rPr>
          <w:rFonts w:ascii="宋体" w:hAnsi="宋体"/>
          <w:color w:val="auto"/>
          <w:sz w:val="24"/>
          <w:highlight w:val="none"/>
        </w:rPr>
        <w:t>。</w:t>
      </w:r>
    </w:p>
    <w:p w14:paraId="4C170DD1">
      <w:pPr>
        <w:pStyle w:val="6"/>
        <w:spacing w:line="360" w:lineRule="auto"/>
        <w:ind w:left="0" w:firstLine="482" w:firstLineChars="200"/>
        <w:rPr>
          <w:rFonts w:ascii="宋体" w:hAnsi="宋体" w:eastAsia="宋体" w:cs="宋体"/>
          <w:bCs w:val="0"/>
          <w:color w:val="auto"/>
          <w:sz w:val="24"/>
          <w:szCs w:val="24"/>
          <w:highlight w:val="none"/>
        </w:rPr>
      </w:pPr>
      <w:r>
        <w:rPr>
          <w:rFonts w:ascii="宋体" w:hAnsi="宋体" w:eastAsia="宋体" w:cs="宋体"/>
          <w:bCs w:val="0"/>
          <w:color w:val="auto"/>
          <w:sz w:val="24"/>
          <w:szCs w:val="24"/>
          <w:highlight w:val="none"/>
        </w:rPr>
        <w:t>14. 竣工结算</w:t>
      </w:r>
    </w:p>
    <w:p w14:paraId="09BF59CA">
      <w:pPr>
        <w:spacing w:line="360" w:lineRule="auto"/>
        <w:ind w:firstLine="480" w:firstLineChars="200"/>
        <w:rPr>
          <w:rFonts w:ascii="宋体" w:hAnsi="宋体"/>
          <w:color w:val="auto"/>
          <w:sz w:val="24"/>
          <w:highlight w:val="none"/>
        </w:rPr>
      </w:pPr>
      <w:r>
        <w:rPr>
          <w:rFonts w:ascii="宋体" w:hAnsi="宋体"/>
          <w:color w:val="auto"/>
          <w:sz w:val="24"/>
          <w:highlight w:val="none"/>
        </w:rPr>
        <w:t>14.1 竣工付款申请</w:t>
      </w:r>
    </w:p>
    <w:p w14:paraId="6348823E">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承包人提交竣工付款申请单的期限：</w:t>
      </w:r>
      <w:r>
        <w:rPr>
          <w:rFonts w:ascii="宋体" w:hAnsi="宋体"/>
          <w:b/>
          <w:color w:val="auto"/>
          <w:sz w:val="24"/>
          <w:highlight w:val="none"/>
          <w:u w:val="single"/>
        </w:rPr>
        <w:t xml:space="preserve">工程竣工验收报告经发包人认可后的28日内。 </w:t>
      </w:r>
    </w:p>
    <w:p w14:paraId="7569C7AC">
      <w:pPr>
        <w:spacing w:line="360" w:lineRule="auto"/>
        <w:ind w:firstLine="480" w:firstLineChars="200"/>
        <w:rPr>
          <w:rFonts w:ascii="宋体" w:hAnsi="宋体"/>
          <w:color w:val="auto"/>
          <w:sz w:val="24"/>
          <w:highlight w:val="none"/>
        </w:rPr>
      </w:pPr>
      <w:r>
        <w:rPr>
          <w:rFonts w:ascii="宋体" w:hAnsi="宋体"/>
          <w:color w:val="auto"/>
          <w:sz w:val="24"/>
          <w:highlight w:val="none"/>
          <w:u w:val="single"/>
        </w:rPr>
        <w:t>竣工结算申请单应包括的内容：</w:t>
      </w:r>
      <w:r>
        <w:rPr>
          <w:rFonts w:ascii="宋体" w:hAnsi="宋体"/>
          <w:b/>
          <w:color w:val="auto"/>
          <w:sz w:val="24"/>
          <w:highlight w:val="none"/>
          <w:u w:val="single"/>
        </w:rPr>
        <w:t xml:space="preserve">完整的竣工结算书文件及相关资料。 </w:t>
      </w:r>
    </w:p>
    <w:p w14:paraId="3AAD3CFB">
      <w:pPr>
        <w:spacing w:line="360" w:lineRule="auto"/>
        <w:ind w:firstLine="480" w:firstLineChars="200"/>
        <w:rPr>
          <w:rFonts w:ascii="宋体" w:hAnsi="宋体"/>
          <w:color w:val="auto"/>
          <w:sz w:val="24"/>
          <w:highlight w:val="none"/>
          <w:u w:val="single"/>
        </w:rPr>
      </w:pPr>
    </w:p>
    <w:p w14:paraId="62192716">
      <w:pPr>
        <w:spacing w:line="360" w:lineRule="auto"/>
        <w:ind w:firstLine="480" w:firstLineChars="200"/>
        <w:rPr>
          <w:rFonts w:ascii="宋体" w:hAnsi="宋体"/>
          <w:color w:val="auto"/>
          <w:sz w:val="24"/>
          <w:highlight w:val="none"/>
        </w:rPr>
      </w:pPr>
      <w:r>
        <w:rPr>
          <w:rFonts w:ascii="宋体" w:hAnsi="宋体"/>
          <w:color w:val="auto"/>
          <w:sz w:val="24"/>
          <w:highlight w:val="none"/>
        </w:rPr>
        <w:t>14.2 竣工结算审核</w:t>
      </w:r>
    </w:p>
    <w:p w14:paraId="4D79C2BD">
      <w:pPr>
        <w:spacing w:line="360" w:lineRule="auto"/>
        <w:ind w:firstLine="480" w:firstLineChars="200"/>
        <w:rPr>
          <w:rFonts w:ascii="宋体" w:hAnsi="宋体"/>
          <w:b/>
          <w:color w:val="auto"/>
          <w:sz w:val="24"/>
          <w:highlight w:val="none"/>
          <w:u w:val="single"/>
        </w:rPr>
      </w:pPr>
      <w:r>
        <w:rPr>
          <w:rFonts w:ascii="宋体" w:hAnsi="宋体"/>
          <w:color w:val="auto"/>
          <w:sz w:val="24"/>
          <w:highlight w:val="none"/>
        </w:rPr>
        <w:t>发包人审批竣工付款申请单的期限：</w:t>
      </w:r>
      <w:r>
        <w:rPr>
          <w:rFonts w:ascii="宋体" w:hAnsi="宋体"/>
          <w:b/>
          <w:color w:val="auto"/>
          <w:sz w:val="24"/>
          <w:highlight w:val="none"/>
          <w:u w:val="single"/>
        </w:rPr>
        <w:t xml:space="preserve">竣工结算书文件核对期限是（承包人未按照前述 14.1 中约定的时限内递交完整的竣工结算书文件及相关资料的，以下关于核对期限的约定将不对 发包人产生效力）： </w:t>
      </w:r>
    </w:p>
    <w:p w14:paraId="7FB67AE6">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咨询人向承包人收取审计追加费以超过送审造价5％幅度以外的净核减的5%计取，该项咨询费用由承包人支付给咨询单位，若承包人不予支付的，发包人可以从承包人的竣工结算款中代扣后支付给咨询单位。</w:t>
      </w:r>
    </w:p>
    <w:p w14:paraId="5E5588E6">
      <w:pPr>
        <w:spacing w:line="360" w:lineRule="auto"/>
        <w:ind w:firstLine="480" w:firstLineChars="200"/>
        <w:rPr>
          <w:rFonts w:ascii="宋体" w:hAnsi="宋体"/>
          <w:b/>
          <w:color w:val="auto"/>
          <w:sz w:val="24"/>
          <w:highlight w:val="none"/>
          <w:u w:val="single"/>
        </w:rPr>
      </w:pPr>
      <w:r>
        <w:rPr>
          <w:rFonts w:ascii="宋体" w:hAnsi="宋体"/>
          <w:color w:val="auto"/>
          <w:sz w:val="24"/>
          <w:highlight w:val="none"/>
        </w:rPr>
        <w:t>发包人完成竣工付款的期限：</w:t>
      </w:r>
      <w:r>
        <w:rPr>
          <w:rFonts w:ascii="宋体" w:hAnsi="宋体"/>
          <w:b/>
          <w:color w:val="auto"/>
          <w:sz w:val="24"/>
          <w:highlight w:val="none"/>
          <w:u w:val="single"/>
        </w:rPr>
        <w:t>签发竣工付款证书后的28天内。</w:t>
      </w:r>
    </w:p>
    <w:p w14:paraId="172A6732">
      <w:pPr>
        <w:spacing w:line="360" w:lineRule="auto"/>
        <w:ind w:firstLine="480" w:firstLineChars="200"/>
        <w:rPr>
          <w:rFonts w:ascii="宋体" w:hAnsi="宋体"/>
          <w:b/>
          <w:color w:val="auto"/>
          <w:sz w:val="24"/>
          <w:highlight w:val="none"/>
          <w:u w:val="single"/>
        </w:rPr>
      </w:pPr>
      <w:r>
        <w:rPr>
          <w:rFonts w:ascii="宋体" w:hAnsi="宋体"/>
          <w:color w:val="auto"/>
          <w:sz w:val="24"/>
          <w:highlight w:val="none"/>
        </w:rPr>
        <w:t>关于竣工付款证书异议部分复核的方式和程序：</w:t>
      </w:r>
      <w:r>
        <w:rPr>
          <w:rFonts w:ascii="宋体" w:hAnsi="宋体"/>
          <w:b/>
          <w:color w:val="auto"/>
          <w:sz w:val="24"/>
          <w:highlight w:val="none"/>
          <w:u w:val="single"/>
        </w:rPr>
        <w:t xml:space="preserve">1、发包人应在竣工结算书文件核对期限内核对。经核对需要承包人进一步补充资料和修改结算文件的，应在竣工结算书文件核对期限内向承包人提出核对意见。发包人在竣工结算书文件核对期限内，不核对竣工结算或未提出核对意见的，视为承包人递交的竣工结算书已经发包人认可，发包人应据此向承包人支付工程结算价款。 </w:t>
      </w:r>
    </w:p>
    <w:p w14:paraId="6237CF6A">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 xml:space="preserve">2、承包人在接到发包人提出的核对意见后，在 28 日内按发包人提出的合理要求补充资料、修改竣工结算文件，并再次提交发包人复核后批准。承包人在 28 日内不确认也未提出异议的，视为发包人提出的核对意见已经认可。 </w:t>
      </w:r>
    </w:p>
    <w:p w14:paraId="7C42F635">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 xml:space="preserve">3、发包人收到承包人再次提交的补充资料和修改的竣工结算文件后，在 14 日内予以复核，修正核对意见，并通知承包人。 </w:t>
      </w:r>
    </w:p>
    <w:p w14:paraId="5E92C051">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 xml:space="preserve">4、发、承包人均对修正核对意见无异议的，应于 7 日内在竣工结算核对意见上签字确认。 </w:t>
      </w:r>
    </w:p>
    <w:p w14:paraId="2D094288">
      <w:pPr>
        <w:spacing w:line="360" w:lineRule="auto"/>
        <w:ind w:firstLine="480" w:firstLineChars="200"/>
        <w:rPr>
          <w:rFonts w:ascii="宋体" w:hAnsi="宋体"/>
          <w:color w:val="auto"/>
          <w:sz w:val="24"/>
          <w:highlight w:val="none"/>
        </w:rPr>
      </w:pPr>
      <w:r>
        <w:rPr>
          <w:rFonts w:ascii="宋体" w:hAnsi="宋体"/>
          <w:color w:val="auto"/>
          <w:sz w:val="24"/>
          <w:highlight w:val="none"/>
        </w:rPr>
        <w:t>14.4 最终结清</w:t>
      </w:r>
    </w:p>
    <w:p w14:paraId="69559D9A">
      <w:pPr>
        <w:spacing w:line="360" w:lineRule="auto"/>
        <w:ind w:firstLine="480" w:firstLineChars="200"/>
        <w:rPr>
          <w:rFonts w:ascii="宋体" w:hAnsi="宋体"/>
          <w:color w:val="auto"/>
          <w:sz w:val="24"/>
          <w:highlight w:val="none"/>
        </w:rPr>
      </w:pPr>
      <w:r>
        <w:rPr>
          <w:rFonts w:ascii="宋体" w:hAnsi="宋体"/>
          <w:color w:val="auto"/>
          <w:sz w:val="24"/>
          <w:highlight w:val="none"/>
        </w:rPr>
        <w:t>14.4.1 最终结清申请单</w:t>
      </w:r>
    </w:p>
    <w:p w14:paraId="24F1BCEA">
      <w:pPr>
        <w:spacing w:line="360" w:lineRule="auto"/>
        <w:ind w:firstLine="480" w:firstLineChars="200"/>
        <w:rPr>
          <w:rFonts w:ascii="宋体" w:hAnsi="宋体"/>
          <w:color w:val="auto"/>
          <w:sz w:val="24"/>
          <w:highlight w:val="none"/>
        </w:rPr>
      </w:pPr>
      <w:r>
        <w:rPr>
          <w:rFonts w:ascii="宋体" w:hAnsi="宋体"/>
          <w:color w:val="auto"/>
          <w:sz w:val="24"/>
          <w:highlight w:val="none"/>
        </w:rPr>
        <w:t>承包人提交最终结清申请单的份数：</w:t>
      </w:r>
      <w:r>
        <w:rPr>
          <w:rFonts w:ascii="宋体" w:hAnsi="宋体"/>
          <w:b/>
          <w:color w:val="auto"/>
          <w:sz w:val="24"/>
          <w:highlight w:val="none"/>
          <w:u w:val="single"/>
        </w:rPr>
        <w:t>承包人应在质量保修期终止证书颁发后7天内，向发包人提交一式伍份的最终结清申请单，并提供相关证明材料。最终结清申请单应列明质量保证金、应扣除的质量保证金、质量保修期内发生的增减费用</w:t>
      </w:r>
      <w:r>
        <w:rPr>
          <w:rFonts w:ascii="宋体" w:hAnsi="宋体"/>
          <w:color w:val="auto"/>
          <w:sz w:val="24"/>
          <w:highlight w:val="none"/>
        </w:rPr>
        <w:t>。</w:t>
      </w:r>
    </w:p>
    <w:p w14:paraId="05AA342A">
      <w:pPr>
        <w:spacing w:line="360" w:lineRule="auto"/>
        <w:ind w:firstLine="480" w:firstLineChars="200"/>
        <w:rPr>
          <w:rFonts w:ascii="宋体" w:hAnsi="宋体"/>
          <w:color w:val="auto"/>
          <w:sz w:val="24"/>
          <w:highlight w:val="none"/>
        </w:rPr>
      </w:pPr>
      <w:r>
        <w:rPr>
          <w:rFonts w:ascii="宋体" w:hAnsi="宋体"/>
          <w:color w:val="auto"/>
          <w:sz w:val="24"/>
          <w:highlight w:val="none"/>
        </w:rPr>
        <w:t>承包人提交最终结算申请单的期限：</w:t>
      </w:r>
      <w:r>
        <w:rPr>
          <w:rFonts w:ascii="宋体" w:hAnsi="宋体"/>
          <w:b/>
          <w:color w:val="auto"/>
          <w:sz w:val="24"/>
          <w:highlight w:val="none"/>
          <w:u w:val="single"/>
        </w:rPr>
        <w:t>按通用合同条款约定</w:t>
      </w:r>
      <w:r>
        <w:rPr>
          <w:rFonts w:ascii="宋体" w:hAnsi="宋体"/>
          <w:color w:val="auto"/>
          <w:sz w:val="24"/>
          <w:highlight w:val="none"/>
        </w:rPr>
        <w:t xml:space="preserve">。 </w:t>
      </w:r>
    </w:p>
    <w:p w14:paraId="4E251CDC">
      <w:pPr>
        <w:spacing w:line="360" w:lineRule="auto"/>
        <w:ind w:firstLine="480" w:firstLineChars="200"/>
        <w:rPr>
          <w:rFonts w:ascii="宋体" w:hAnsi="宋体"/>
          <w:color w:val="auto"/>
          <w:sz w:val="24"/>
          <w:highlight w:val="none"/>
        </w:rPr>
      </w:pPr>
      <w:r>
        <w:rPr>
          <w:rFonts w:ascii="宋体" w:hAnsi="宋体"/>
          <w:color w:val="auto"/>
          <w:sz w:val="24"/>
          <w:highlight w:val="none"/>
        </w:rPr>
        <w:t>14.4.2 最终结清证书和支付</w:t>
      </w:r>
    </w:p>
    <w:p w14:paraId="3516C2B4">
      <w:pPr>
        <w:spacing w:line="360" w:lineRule="auto"/>
        <w:ind w:firstLine="480" w:firstLineChars="200"/>
        <w:rPr>
          <w:rFonts w:ascii="宋体" w:hAnsi="宋体"/>
          <w:color w:val="auto"/>
          <w:sz w:val="24"/>
          <w:highlight w:val="none"/>
        </w:rPr>
      </w:pPr>
      <w:r>
        <w:rPr>
          <w:rFonts w:ascii="宋体" w:hAnsi="宋体"/>
          <w:color w:val="auto"/>
          <w:sz w:val="24"/>
          <w:highlight w:val="none"/>
        </w:rPr>
        <w:t>（1）发包人完成最终结清申请单的审批并颁发最终结清证书的期限：</w:t>
      </w:r>
      <w:r>
        <w:rPr>
          <w:rFonts w:ascii="宋体" w:hAnsi="宋体"/>
          <w:b/>
          <w:color w:val="auto"/>
          <w:sz w:val="24"/>
          <w:highlight w:val="none"/>
          <w:u w:val="single"/>
        </w:rPr>
        <w:t>发包人应在收到承包人提交的最终结清申请单后30天内完成审批并向承包人颁发最终结清证书。发包人逾期未完成审批，又未提出修改意见的，承包人应向发包人发出书面催告，在收到承包人书面催告后7天内发包人仍未回复的，视为发包人同意承包人提交的最终结清申请单</w:t>
      </w:r>
      <w:r>
        <w:rPr>
          <w:rFonts w:ascii="宋体" w:hAnsi="宋体"/>
          <w:color w:val="auto"/>
          <w:sz w:val="24"/>
          <w:highlight w:val="none"/>
        </w:rPr>
        <w:t>。</w:t>
      </w:r>
    </w:p>
    <w:p w14:paraId="0EEF7B2F">
      <w:pPr>
        <w:spacing w:line="360" w:lineRule="auto"/>
        <w:ind w:firstLine="480" w:firstLineChars="200"/>
        <w:rPr>
          <w:rFonts w:ascii="宋体" w:hAnsi="宋体"/>
          <w:color w:val="auto"/>
          <w:sz w:val="24"/>
          <w:highlight w:val="none"/>
        </w:rPr>
      </w:pPr>
      <w:r>
        <w:rPr>
          <w:rFonts w:ascii="宋体" w:hAnsi="宋体"/>
          <w:color w:val="auto"/>
          <w:sz w:val="24"/>
          <w:highlight w:val="none"/>
        </w:rPr>
        <w:t>（2）发包人完成支付的期限：</w:t>
      </w:r>
      <w:r>
        <w:rPr>
          <w:rFonts w:ascii="宋体" w:hAnsi="宋体"/>
          <w:b/>
          <w:color w:val="auto"/>
          <w:sz w:val="24"/>
          <w:highlight w:val="none"/>
          <w:u w:val="single"/>
        </w:rPr>
        <w:t>发包人应在颁发最终结清证书后30天内完成支付。</w:t>
      </w:r>
    </w:p>
    <w:p w14:paraId="1332CBC3">
      <w:pPr>
        <w:pStyle w:val="6"/>
        <w:spacing w:line="360" w:lineRule="auto"/>
        <w:ind w:left="0" w:firstLine="482" w:firstLineChars="200"/>
        <w:rPr>
          <w:rFonts w:ascii="宋体" w:hAnsi="宋体" w:eastAsia="宋体" w:cs="宋体"/>
          <w:bCs w:val="0"/>
          <w:color w:val="auto"/>
          <w:sz w:val="24"/>
          <w:szCs w:val="24"/>
          <w:highlight w:val="none"/>
        </w:rPr>
      </w:pPr>
      <w:r>
        <w:rPr>
          <w:rFonts w:ascii="宋体" w:hAnsi="宋体" w:eastAsia="宋体" w:cs="宋体"/>
          <w:bCs w:val="0"/>
          <w:color w:val="auto"/>
          <w:sz w:val="24"/>
          <w:szCs w:val="24"/>
          <w:highlight w:val="none"/>
        </w:rPr>
        <w:t>15. 缺陷责任期与保修</w:t>
      </w:r>
    </w:p>
    <w:p w14:paraId="620166E0">
      <w:pPr>
        <w:spacing w:line="360" w:lineRule="auto"/>
        <w:ind w:firstLine="480" w:firstLineChars="200"/>
        <w:rPr>
          <w:rFonts w:ascii="宋体" w:hAnsi="宋体"/>
          <w:color w:val="auto"/>
          <w:sz w:val="24"/>
          <w:highlight w:val="none"/>
        </w:rPr>
      </w:pPr>
      <w:r>
        <w:rPr>
          <w:rFonts w:ascii="宋体" w:hAnsi="宋体"/>
          <w:color w:val="auto"/>
          <w:sz w:val="24"/>
          <w:highlight w:val="none"/>
        </w:rPr>
        <w:t>15.2缺陷责任期</w:t>
      </w:r>
    </w:p>
    <w:p w14:paraId="6B0B82DD">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缺陷责任期的具体期限：</w:t>
      </w:r>
      <w:r>
        <w:rPr>
          <w:rFonts w:ascii="宋体" w:hAnsi="宋体"/>
          <w:b/>
          <w:color w:val="auto"/>
          <w:sz w:val="24"/>
          <w:highlight w:val="none"/>
          <w:u w:val="single"/>
        </w:rPr>
        <w:t>24个月</w:t>
      </w:r>
      <w:r>
        <w:rPr>
          <w:rFonts w:ascii="宋体" w:hAnsi="宋体"/>
          <w:color w:val="auto"/>
          <w:sz w:val="24"/>
          <w:highlight w:val="none"/>
        </w:rPr>
        <w:t>。</w:t>
      </w:r>
    </w:p>
    <w:p w14:paraId="54F7B01D">
      <w:pPr>
        <w:spacing w:line="360" w:lineRule="auto"/>
        <w:ind w:firstLine="480" w:firstLineChars="200"/>
        <w:rPr>
          <w:rFonts w:ascii="宋体" w:hAnsi="宋体"/>
          <w:color w:val="auto"/>
          <w:sz w:val="24"/>
          <w:highlight w:val="none"/>
        </w:rPr>
      </w:pPr>
      <w:r>
        <w:rPr>
          <w:rFonts w:ascii="宋体" w:hAnsi="宋体"/>
          <w:color w:val="auto"/>
          <w:sz w:val="24"/>
          <w:highlight w:val="none"/>
        </w:rPr>
        <w:t>15.3 质量保证金</w:t>
      </w:r>
    </w:p>
    <w:p w14:paraId="7D059272">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无</w:t>
      </w:r>
    </w:p>
    <w:p w14:paraId="18FD55EF">
      <w:pPr>
        <w:spacing w:line="360" w:lineRule="auto"/>
        <w:ind w:firstLine="480" w:firstLineChars="200"/>
        <w:rPr>
          <w:rFonts w:ascii="宋体" w:hAnsi="宋体"/>
          <w:color w:val="auto"/>
          <w:sz w:val="24"/>
          <w:highlight w:val="none"/>
        </w:rPr>
      </w:pPr>
      <w:r>
        <w:rPr>
          <w:rFonts w:ascii="宋体" w:hAnsi="宋体"/>
          <w:color w:val="auto"/>
          <w:sz w:val="24"/>
          <w:highlight w:val="none"/>
        </w:rPr>
        <w:t>15.4保修</w:t>
      </w:r>
    </w:p>
    <w:p w14:paraId="7DB8C468">
      <w:pPr>
        <w:spacing w:line="360" w:lineRule="auto"/>
        <w:ind w:firstLine="468" w:firstLineChars="195"/>
        <w:rPr>
          <w:rFonts w:ascii="宋体" w:hAnsi="宋体"/>
          <w:color w:val="auto"/>
          <w:sz w:val="24"/>
          <w:highlight w:val="none"/>
        </w:rPr>
      </w:pPr>
      <w:r>
        <w:rPr>
          <w:rFonts w:ascii="宋体" w:hAnsi="宋体"/>
          <w:color w:val="auto"/>
          <w:sz w:val="24"/>
          <w:highlight w:val="none"/>
        </w:rPr>
        <w:t>15.4.1 保修责任</w:t>
      </w:r>
    </w:p>
    <w:p w14:paraId="48CD0EA0">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工程保修期为：</w:t>
      </w:r>
      <w:r>
        <w:rPr>
          <w:rFonts w:ascii="宋体" w:hAnsi="宋体"/>
          <w:b/>
          <w:color w:val="auto"/>
          <w:sz w:val="24"/>
          <w:highlight w:val="none"/>
          <w:u w:val="single"/>
        </w:rPr>
        <w:t xml:space="preserve"> 详见工程质量保修书（附件3）  。</w:t>
      </w:r>
    </w:p>
    <w:p w14:paraId="2133AE70">
      <w:pPr>
        <w:pStyle w:val="6"/>
        <w:spacing w:line="360" w:lineRule="auto"/>
        <w:ind w:left="0" w:firstLine="482" w:firstLineChars="200"/>
        <w:rPr>
          <w:rFonts w:ascii="宋体" w:hAnsi="宋体" w:eastAsia="宋体" w:cs="宋体"/>
          <w:bCs w:val="0"/>
          <w:color w:val="auto"/>
          <w:sz w:val="24"/>
          <w:szCs w:val="24"/>
          <w:highlight w:val="none"/>
        </w:rPr>
      </w:pPr>
      <w:r>
        <w:rPr>
          <w:rFonts w:ascii="宋体" w:hAnsi="宋体" w:eastAsia="宋体" w:cs="宋体"/>
          <w:bCs w:val="0"/>
          <w:color w:val="auto"/>
          <w:sz w:val="24"/>
          <w:szCs w:val="24"/>
          <w:highlight w:val="none"/>
        </w:rPr>
        <w:t>16. 违约</w:t>
      </w:r>
    </w:p>
    <w:p w14:paraId="1D29B018">
      <w:pPr>
        <w:spacing w:line="360" w:lineRule="auto"/>
        <w:ind w:firstLine="480" w:firstLineChars="200"/>
        <w:rPr>
          <w:rFonts w:ascii="宋体" w:hAnsi="宋体"/>
          <w:color w:val="auto"/>
          <w:sz w:val="24"/>
          <w:highlight w:val="none"/>
        </w:rPr>
      </w:pPr>
      <w:r>
        <w:rPr>
          <w:rFonts w:ascii="宋体" w:hAnsi="宋体"/>
          <w:color w:val="auto"/>
          <w:sz w:val="24"/>
          <w:highlight w:val="none"/>
        </w:rPr>
        <w:t>16.1 发包人违约</w:t>
      </w:r>
    </w:p>
    <w:p w14:paraId="6BEAC004">
      <w:pPr>
        <w:spacing w:line="360" w:lineRule="auto"/>
        <w:ind w:firstLine="480" w:firstLineChars="200"/>
        <w:rPr>
          <w:rFonts w:ascii="宋体" w:hAnsi="宋体"/>
          <w:color w:val="auto"/>
          <w:sz w:val="24"/>
          <w:highlight w:val="none"/>
        </w:rPr>
      </w:pPr>
      <w:r>
        <w:rPr>
          <w:rFonts w:ascii="宋体" w:hAnsi="宋体"/>
          <w:color w:val="auto"/>
          <w:sz w:val="24"/>
          <w:highlight w:val="none"/>
        </w:rPr>
        <w:t>16.1.1发包人违约的情形</w:t>
      </w:r>
    </w:p>
    <w:p w14:paraId="203326BC">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发包人违约的其他情形：</w:t>
      </w:r>
      <w:r>
        <w:rPr>
          <w:rFonts w:ascii="宋体" w:hAnsi="宋体"/>
          <w:b/>
          <w:color w:val="auto"/>
          <w:sz w:val="24"/>
          <w:highlight w:val="none"/>
          <w:u w:val="single"/>
        </w:rPr>
        <w:t xml:space="preserve">/ </w:t>
      </w:r>
      <w:r>
        <w:rPr>
          <w:rFonts w:ascii="宋体" w:hAnsi="宋体"/>
          <w:color w:val="auto"/>
          <w:sz w:val="24"/>
          <w:highlight w:val="none"/>
        </w:rPr>
        <w:t>。</w:t>
      </w:r>
    </w:p>
    <w:p w14:paraId="22C92551">
      <w:pPr>
        <w:spacing w:line="360" w:lineRule="auto"/>
        <w:ind w:firstLine="480" w:firstLineChars="200"/>
        <w:rPr>
          <w:rFonts w:ascii="宋体" w:hAnsi="宋体"/>
          <w:color w:val="auto"/>
          <w:sz w:val="24"/>
          <w:highlight w:val="none"/>
        </w:rPr>
      </w:pPr>
      <w:r>
        <w:rPr>
          <w:rFonts w:ascii="宋体" w:hAnsi="宋体"/>
          <w:color w:val="auto"/>
          <w:sz w:val="24"/>
          <w:highlight w:val="none"/>
        </w:rPr>
        <w:t>16.1.2 发包人违约的责任</w:t>
      </w:r>
    </w:p>
    <w:p w14:paraId="2C033BC6">
      <w:pPr>
        <w:spacing w:line="360" w:lineRule="auto"/>
        <w:ind w:firstLine="480" w:firstLineChars="200"/>
        <w:rPr>
          <w:rFonts w:ascii="宋体" w:hAnsi="宋体"/>
          <w:color w:val="auto"/>
          <w:sz w:val="24"/>
          <w:highlight w:val="none"/>
        </w:rPr>
      </w:pPr>
      <w:r>
        <w:rPr>
          <w:rFonts w:ascii="宋体" w:hAnsi="宋体"/>
          <w:color w:val="auto"/>
          <w:sz w:val="24"/>
          <w:highlight w:val="none"/>
        </w:rPr>
        <w:t>发包人违约责任的承担方式和计算方法：</w:t>
      </w:r>
    </w:p>
    <w:p w14:paraId="021D9424">
      <w:pPr>
        <w:numPr>
          <w:ilvl w:val="0"/>
          <w:numId w:val="6"/>
        </w:numPr>
        <w:autoSpaceDE w:val="0"/>
        <w:autoSpaceDN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因发包人原因未能在计划开工日期前7天内下达开工通知的违约责任：</w:t>
      </w:r>
      <w:r>
        <w:rPr>
          <w:rFonts w:ascii="宋体" w:hAnsi="宋体"/>
          <w:b/>
          <w:color w:val="auto"/>
          <w:sz w:val="24"/>
          <w:highlight w:val="none"/>
          <w:u w:val="single"/>
        </w:rPr>
        <w:t>由发包人承担因其违约给承包人延误的工期，但承包人不得向发包人提出除工期顺延外的任何索赔要求</w:t>
      </w:r>
      <w:r>
        <w:rPr>
          <w:rFonts w:ascii="宋体" w:hAnsi="宋体"/>
          <w:color w:val="auto"/>
          <w:sz w:val="24"/>
          <w:highlight w:val="none"/>
        </w:rPr>
        <w:t>。</w:t>
      </w:r>
    </w:p>
    <w:p w14:paraId="1EAED9D2">
      <w:pPr>
        <w:spacing w:line="360" w:lineRule="auto"/>
        <w:ind w:firstLine="480" w:firstLineChars="200"/>
        <w:rPr>
          <w:rFonts w:ascii="宋体" w:hAnsi="宋体"/>
          <w:color w:val="auto"/>
          <w:sz w:val="24"/>
          <w:highlight w:val="none"/>
        </w:rPr>
      </w:pPr>
      <w:r>
        <w:rPr>
          <w:rFonts w:ascii="宋体" w:hAnsi="宋体"/>
          <w:color w:val="auto"/>
          <w:sz w:val="24"/>
          <w:highlight w:val="none"/>
        </w:rPr>
        <w:t>（2）因发包人原因未能按合同约定支付合同价款的违约责任：</w:t>
      </w:r>
      <w:r>
        <w:rPr>
          <w:rFonts w:ascii="宋体" w:hAnsi="宋体"/>
          <w:b/>
          <w:color w:val="auto"/>
          <w:sz w:val="24"/>
          <w:highlight w:val="none"/>
          <w:u w:val="single"/>
        </w:rPr>
        <w:t>发包人超过约定的支付时间不支付合同价款的，承包人可向发包人发出要求付款的书面通知，发包人收到承包人书面通知后30天内仍不能按要求付款，可与承包人协商签订延期付款协议，经承包人同意后可延期支付，除此之外不承担其他任何责任</w:t>
      </w:r>
      <w:r>
        <w:rPr>
          <w:rFonts w:ascii="宋体" w:hAnsi="宋体"/>
          <w:color w:val="auto"/>
          <w:sz w:val="24"/>
          <w:highlight w:val="none"/>
        </w:rPr>
        <w:t>。</w:t>
      </w:r>
    </w:p>
    <w:p w14:paraId="622BA481">
      <w:pPr>
        <w:spacing w:line="360" w:lineRule="auto"/>
        <w:ind w:firstLine="480" w:firstLineChars="200"/>
        <w:rPr>
          <w:rFonts w:ascii="宋体" w:hAnsi="宋体"/>
          <w:color w:val="auto"/>
          <w:sz w:val="24"/>
          <w:highlight w:val="none"/>
        </w:rPr>
      </w:pPr>
      <w:r>
        <w:rPr>
          <w:rFonts w:ascii="宋体" w:hAnsi="宋体"/>
          <w:color w:val="auto"/>
          <w:sz w:val="24"/>
          <w:highlight w:val="none"/>
        </w:rPr>
        <w:t>（3）发包人违反第10.1款〔变更的范围〕第（2）项约定，自行实施被取消的工作或转由他人实施的违约责任：</w:t>
      </w:r>
      <w:r>
        <w:rPr>
          <w:rFonts w:ascii="宋体" w:hAnsi="宋体"/>
          <w:b/>
          <w:color w:val="auto"/>
          <w:sz w:val="24"/>
          <w:highlight w:val="none"/>
          <w:u w:val="single"/>
        </w:rPr>
        <w:t>由发包人承担由此给承包人造成的直接损失，不另计违约金及承包人利润</w:t>
      </w:r>
      <w:r>
        <w:rPr>
          <w:rFonts w:ascii="宋体" w:hAnsi="宋体"/>
          <w:color w:val="auto"/>
          <w:sz w:val="24"/>
          <w:highlight w:val="none"/>
        </w:rPr>
        <w:t>。</w:t>
      </w:r>
    </w:p>
    <w:p w14:paraId="2CD351AD">
      <w:pPr>
        <w:spacing w:line="360" w:lineRule="auto"/>
        <w:ind w:firstLine="480" w:firstLineChars="200"/>
        <w:rPr>
          <w:rFonts w:ascii="宋体" w:hAnsi="宋体"/>
          <w:color w:val="auto"/>
          <w:sz w:val="24"/>
          <w:highlight w:val="none"/>
        </w:rPr>
      </w:pPr>
      <w:r>
        <w:rPr>
          <w:rFonts w:ascii="宋体" w:hAnsi="宋体"/>
          <w:color w:val="auto"/>
          <w:sz w:val="24"/>
          <w:highlight w:val="none"/>
        </w:rPr>
        <w:t>（4）发包人提供的材料、工程设备的规格、数量或质量不符合合同约定，或因发包人原因导致交货日期延误或交货地点变更等情况的违约责任：</w:t>
      </w:r>
      <w:r>
        <w:rPr>
          <w:rFonts w:ascii="宋体" w:hAnsi="宋体"/>
          <w:b/>
          <w:color w:val="auto"/>
          <w:sz w:val="24"/>
          <w:highlight w:val="none"/>
          <w:u w:val="single"/>
        </w:rPr>
        <w:t>由发包人承担因其违约给承包人延误的工期；若给承包人造成损失的，由发包人承担由此给承包人造成的直接损失</w:t>
      </w:r>
      <w:r>
        <w:rPr>
          <w:rFonts w:ascii="宋体" w:hAnsi="宋体"/>
          <w:color w:val="auto"/>
          <w:sz w:val="24"/>
          <w:highlight w:val="none"/>
        </w:rPr>
        <w:t>。</w:t>
      </w:r>
    </w:p>
    <w:p w14:paraId="22815277">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（5）因发包人违反合同约定造成暂停施工的违约责任：</w:t>
      </w:r>
      <w:r>
        <w:rPr>
          <w:rFonts w:ascii="宋体" w:hAnsi="宋体"/>
          <w:b/>
          <w:color w:val="auto"/>
          <w:sz w:val="24"/>
          <w:highlight w:val="none"/>
          <w:u w:val="single"/>
        </w:rPr>
        <w:t>由发包人承担因其违约给承包人延误的工期，不另计违约金及承包人利润</w:t>
      </w:r>
      <w:r>
        <w:rPr>
          <w:rFonts w:ascii="宋体" w:hAnsi="宋体"/>
          <w:color w:val="auto"/>
          <w:sz w:val="24"/>
          <w:highlight w:val="none"/>
        </w:rPr>
        <w:t>。</w:t>
      </w:r>
    </w:p>
    <w:p w14:paraId="72D3159B">
      <w:pPr>
        <w:spacing w:line="360" w:lineRule="auto"/>
        <w:ind w:firstLine="480" w:firstLineChars="200"/>
        <w:rPr>
          <w:rFonts w:ascii="宋体" w:hAnsi="宋体"/>
          <w:color w:val="auto"/>
          <w:sz w:val="24"/>
          <w:highlight w:val="none"/>
        </w:rPr>
      </w:pPr>
      <w:r>
        <w:rPr>
          <w:rFonts w:ascii="宋体" w:hAnsi="宋体"/>
          <w:color w:val="auto"/>
          <w:sz w:val="24"/>
          <w:highlight w:val="none"/>
        </w:rPr>
        <w:t>（6）发包人无正当理由没有在约定期限内发出复工指示，导致承包人无法复工的违约责任：</w:t>
      </w:r>
      <w:r>
        <w:rPr>
          <w:rFonts w:ascii="宋体" w:hAnsi="宋体"/>
          <w:b/>
          <w:color w:val="auto"/>
          <w:sz w:val="24"/>
          <w:highlight w:val="none"/>
          <w:u w:val="single"/>
        </w:rPr>
        <w:t>由发包人承担因其违约给承包人延误的工期，不另计违约金及承包人利润</w:t>
      </w:r>
      <w:r>
        <w:rPr>
          <w:rFonts w:ascii="宋体" w:hAnsi="宋体"/>
          <w:color w:val="auto"/>
          <w:sz w:val="24"/>
          <w:highlight w:val="none"/>
        </w:rPr>
        <w:t>。</w:t>
      </w:r>
    </w:p>
    <w:p w14:paraId="0DD767D8">
      <w:pPr>
        <w:spacing w:line="360" w:lineRule="auto"/>
        <w:ind w:firstLine="480" w:firstLineChars="200"/>
        <w:rPr>
          <w:rFonts w:ascii="宋体" w:hAnsi="宋体"/>
          <w:color w:val="auto"/>
          <w:sz w:val="24"/>
          <w:highlight w:val="none"/>
        </w:rPr>
      </w:pPr>
      <w:r>
        <w:rPr>
          <w:rFonts w:ascii="宋体" w:hAnsi="宋体"/>
          <w:color w:val="auto"/>
          <w:sz w:val="24"/>
          <w:highlight w:val="none"/>
        </w:rPr>
        <w:t>（7）其他：</w:t>
      </w:r>
      <w:r>
        <w:rPr>
          <w:rFonts w:ascii="宋体" w:hAnsi="宋体"/>
          <w:b/>
          <w:color w:val="auto"/>
          <w:sz w:val="24"/>
          <w:highlight w:val="none"/>
          <w:u w:val="single"/>
        </w:rPr>
        <w:t>无</w:t>
      </w:r>
      <w:r>
        <w:rPr>
          <w:rFonts w:ascii="宋体" w:hAnsi="宋体"/>
          <w:color w:val="auto"/>
          <w:sz w:val="24"/>
          <w:highlight w:val="none"/>
        </w:rPr>
        <w:t>。</w:t>
      </w:r>
    </w:p>
    <w:p w14:paraId="6D2B9003">
      <w:pPr>
        <w:spacing w:line="360" w:lineRule="auto"/>
        <w:ind w:firstLine="480" w:firstLineChars="200"/>
        <w:rPr>
          <w:rFonts w:ascii="宋体" w:hAnsi="宋体"/>
          <w:color w:val="auto"/>
          <w:sz w:val="24"/>
          <w:highlight w:val="none"/>
        </w:rPr>
      </w:pPr>
      <w:r>
        <w:rPr>
          <w:rFonts w:ascii="宋体" w:hAnsi="宋体"/>
          <w:color w:val="auto"/>
          <w:sz w:val="24"/>
          <w:highlight w:val="none"/>
        </w:rPr>
        <w:t>16.1.3 因发包人违约解除合同</w:t>
      </w:r>
    </w:p>
    <w:p w14:paraId="33838C0D">
      <w:pPr>
        <w:spacing w:line="360" w:lineRule="auto"/>
        <w:ind w:firstLine="480" w:firstLineChars="200"/>
        <w:rPr>
          <w:rFonts w:ascii="宋体" w:hAnsi="宋体"/>
          <w:color w:val="auto"/>
          <w:sz w:val="24"/>
          <w:highlight w:val="none"/>
        </w:rPr>
      </w:pPr>
      <w:r>
        <w:rPr>
          <w:rFonts w:ascii="宋体" w:hAnsi="宋体"/>
          <w:color w:val="auto"/>
          <w:sz w:val="24"/>
          <w:highlight w:val="none"/>
        </w:rPr>
        <w:t>承包人按16.1.1项〔发包人违约的情形〕约定暂停施工满</w:t>
      </w:r>
      <w:r>
        <w:rPr>
          <w:rFonts w:ascii="宋体" w:hAnsi="宋体"/>
          <w:color w:val="auto"/>
          <w:sz w:val="24"/>
          <w:highlight w:val="none"/>
          <w:u w:val="single"/>
        </w:rPr>
        <w:t xml:space="preserve"> 90 </w:t>
      </w:r>
      <w:r>
        <w:rPr>
          <w:rFonts w:ascii="宋体" w:hAnsi="宋体"/>
          <w:color w:val="auto"/>
          <w:sz w:val="24"/>
          <w:highlight w:val="none"/>
        </w:rPr>
        <w:t>天后发包人仍不纠正其违约行为并致使合同目的不能实现的，承包人有权解除合同。</w:t>
      </w:r>
    </w:p>
    <w:p w14:paraId="66908CF2">
      <w:pPr>
        <w:spacing w:line="360" w:lineRule="auto"/>
        <w:ind w:firstLine="480" w:firstLineChars="200"/>
        <w:rPr>
          <w:rFonts w:ascii="宋体" w:hAnsi="宋体"/>
          <w:color w:val="auto"/>
          <w:sz w:val="24"/>
          <w:highlight w:val="none"/>
        </w:rPr>
      </w:pPr>
      <w:r>
        <w:rPr>
          <w:rFonts w:ascii="宋体" w:hAnsi="宋体"/>
          <w:color w:val="auto"/>
          <w:sz w:val="24"/>
          <w:highlight w:val="none"/>
        </w:rPr>
        <w:t>16.2 承包人违约</w:t>
      </w:r>
    </w:p>
    <w:p w14:paraId="55CFDE62">
      <w:pPr>
        <w:spacing w:line="360" w:lineRule="auto"/>
        <w:ind w:firstLine="480" w:firstLineChars="200"/>
        <w:rPr>
          <w:rFonts w:ascii="宋体" w:hAnsi="宋体"/>
          <w:color w:val="auto"/>
          <w:sz w:val="24"/>
          <w:highlight w:val="none"/>
        </w:rPr>
      </w:pPr>
      <w:r>
        <w:rPr>
          <w:rFonts w:ascii="宋体" w:hAnsi="宋体"/>
          <w:color w:val="auto"/>
          <w:sz w:val="24"/>
          <w:highlight w:val="none"/>
        </w:rPr>
        <w:t>16.2.1 承包人违约的情形</w:t>
      </w:r>
    </w:p>
    <w:p w14:paraId="53647D50">
      <w:pPr>
        <w:spacing w:line="360" w:lineRule="auto"/>
        <w:ind w:firstLine="480" w:firstLineChars="200"/>
        <w:rPr>
          <w:rFonts w:ascii="宋体" w:hAnsi="宋体"/>
          <w:color w:val="auto"/>
          <w:sz w:val="24"/>
          <w:highlight w:val="none"/>
        </w:rPr>
      </w:pPr>
      <w:r>
        <w:rPr>
          <w:rFonts w:ascii="宋体" w:hAnsi="宋体"/>
          <w:color w:val="auto"/>
          <w:sz w:val="24"/>
          <w:highlight w:val="none"/>
        </w:rPr>
        <w:t>承包人违约的其他情形：</w:t>
      </w:r>
      <w:r>
        <w:rPr>
          <w:rFonts w:ascii="宋体" w:hAnsi="宋体"/>
          <w:b/>
          <w:color w:val="auto"/>
          <w:sz w:val="24"/>
          <w:highlight w:val="none"/>
          <w:u w:val="single"/>
        </w:rPr>
        <w:t xml:space="preserve">/ </w:t>
      </w:r>
      <w:r>
        <w:rPr>
          <w:rFonts w:ascii="宋体" w:hAnsi="宋体"/>
          <w:color w:val="auto"/>
          <w:sz w:val="24"/>
          <w:highlight w:val="none"/>
        </w:rPr>
        <w:t>。</w:t>
      </w:r>
    </w:p>
    <w:p w14:paraId="55CC674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（1）承包人未按3.1（10）条规定分包渣土运输业务的，承包人应支付 </w:t>
      </w:r>
      <w:r>
        <w:rPr>
          <w:rFonts w:ascii="宋体" w:hAnsi="宋体"/>
          <w:color w:val="auto"/>
          <w:sz w:val="24"/>
          <w:highlight w:val="none"/>
        </w:rPr>
        <w:t> </w:t>
      </w:r>
      <w:r>
        <w:rPr>
          <w:rFonts w:ascii="宋体" w:hAnsi="宋体"/>
          <w:color w:val="auto"/>
          <w:sz w:val="24"/>
          <w:highlight w:val="none"/>
          <w:u w:val="single"/>
        </w:rPr>
        <w:t>/</w:t>
      </w:r>
      <w:r>
        <w:rPr>
          <w:rFonts w:ascii="宋体" w:hAnsi="宋体"/>
          <w:color w:val="auto"/>
          <w:sz w:val="24"/>
          <w:highlight w:val="none"/>
        </w:rPr>
        <w:t> </w:t>
      </w:r>
      <w:r>
        <w:rPr>
          <w:rFonts w:hint="eastAsia" w:ascii="宋体" w:hAnsi="宋体"/>
          <w:color w:val="auto"/>
          <w:sz w:val="24"/>
          <w:highlight w:val="none"/>
        </w:rPr>
        <w:t>元违约金；</w:t>
      </w:r>
    </w:p>
    <w:p w14:paraId="6552AE4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（2）承包人未按照3.1（10）条规定加强建筑垃圾处置分包合同履约监管，出现分包单位使用不符合规定的车辆进出施工现场运输建筑垃圾或将建筑垃圾运输至非指定消纳场所等现象的，承包人应支付 </w:t>
      </w:r>
      <w:r>
        <w:rPr>
          <w:rFonts w:ascii="宋体" w:hAnsi="宋体"/>
          <w:color w:val="auto"/>
          <w:sz w:val="24"/>
          <w:highlight w:val="none"/>
        </w:rPr>
        <w:t> </w:t>
      </w:r>
      <w:r>
        <w:rPr>
          <w:rFonts w:ascii="宋体" w:hAnsi="宋体"/>
          <w:color w:val="auto"/>
          <w:sz w:val="24"/>
          <w:highlight w:val="none"/>
          <w:u w:val="single"/>
        </w:rPr>
        <w:t>50000元</w:t>
      </w:r>
      <w:r>
        <w:rPr>
          <w:rFonts w:ascii="宋体" w:hAnsi="宋体"/>
          <w:color w:val="auto"/>
          <w:sz w:val="24"/>
          <w:highlight w:val="none"/>
        </w:rPr>
        <w:t> </w:t>
      </w:r>
      <w:r>
        <w:rPr>
          <w:rFonts w:hint="eastAsia" w:ascii="宋体" w:hAnsi="宋体"/>
          <w:color w:val="auto"/>
          <w:sz w:val="24"/>
          <w:highlight w:val="none"/>
        </w:rPr>
        <w:t>违约金；</w:t>
      </w:r>
    </w:p>
    <w:p w14:paraId="799155E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（3）承包人未做好工程垃圾处理出土处置台账的，承包人应支付 </w:t>
      </w:r>
      <w:r>
        <w:rPr>
          <w:rFonts w:ascii="宋体" w:hAnsi="宋体"/>
          <w:color w:val="auto"/>
          <w:sz w:val="24"/>
          <w:highlight w:val="none"/>
        </w:rPr>
        <w:t> </w:t>
      </w:r>
      <w:r>
        <w:rPr>
          <w:rFonts w:ascii="宋体" w:hAnsi="宋体"/>
          <w:color w:val="auto"/>
          <w:sz w:val="24"/>
          <w:highlight w:val="none"/>
          <w:u w:val="single"/>
        </w:rPr>
        <w:t>50000元</w:t>
      </w:r>
      <w:r>
        <w:rPr>
          <w:rFonts w:ascii="宋体" w:hAnsi="宋体"/>
          <w:color w:val="auto"/>
          <w:sz w:val="24"/>
          <w:highlight w:val="none"/>
        </w:rPr>
        <w:t> </w:t>
      </w:r>
      <w:r>
        <w:rPr>
          <w:rFonts w:hint="eastAsia" w:ascii="宋体" w:hAnsi="宋体"/>
          <w:color w:val="auto"/>
          <w:sz w:val="24"/>
          <w:highlight w:val="none"/>
        </w:rPr>
        <w:t>违约金；</w:t>
      </w:r>
    </w:p>
    <w:p w14:paraId="1199CB1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（4）承包人在结算前未查验接纳回执，与运输、处置单位结算相关费用的，承包人应支付 </w:t>
      </w:r>
      <w:r>
        <w:rPr>
          <w:rFonts w:ascii="宋体" w:hAnsi="宋体"/>
          <w:color w:val="auto"/>
          <w:sz w:val="24"/>
          <w:highlight w:val="none"/>
        </w:rPr>
        <w:t> </w:t>
      </w:r>
      <w:r>
        <w:rPr>
          <w:rFonts w:ascii="宋体" w:hAnsi="宋体"/>
          <w:color w:val="auto"/>
          <w:sz w:val="24"/>
          <w:highlight w:val="none"/>
          <w:u w:val="single"/>
        </w:rPr>
        <w:t>50000元</w:t>
      </w:r>
      <w:r>
        <w:rPr>
          <w:rFonts w:ascii="宋体" w:hAnsi="宋体"/>
          <w:color w:val="auto"/>
          <w:sz w:val="24"/>
          <w:highlight w:val="none"/>
        </w:rPr>
        <w:t> </w:t>
      </w:r>
      <w:r>
        <w:rPr>
          <w:rFonts w:hint="eastAsia" w:ascii="宋体" w:hAnsi="宋体"/>
          <w:color w:val="auto"/>
          <w:sz w:val="24"/>
          <w:highlight w:val="none"/>
        </w:rPr>
        <w:t>违约金；</w:t>
      </w:r>
    </w:p>
    <w:p w14:paraId="7B74732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（5）承包人未按照已备案的渣土处置方案落实渣土处置措施的，承包人应支付 </w:t>
      </w:r>
      <w:r>
        <w:rPr>
          <w:rFonts w:ascii="宋体" w:hAnsi="宋体"/>
          <w:color w:val="auto"/>
          <w:sz w:val="24"/>
          <w:highlight w:val="none"/>
        </w:rPr>
        <w:t> </w:t>
      </w:r>
      <w:r>
        <w:rPr>
          <w:rFonts w:ascii="宋体" w:hAnsi="宋体"/>
          <w:color w:val="auto"/>
          <w:sz w:val="24"/>
          <w:highlight w:val="none"/>
          <w:u w:val="single"/>
        </w:rPr>
        <w:t>/</w:t>
      </w:r>
      <w:r>
        <w:rPr>
          <w:rFonts w:ascii="宋体" w:hAnsi="宋体"/>
          <w:color w:val="auto"/>
          <w:sz w:val="24"/>
          <w:highlight w:val="none"/>
        </w:rPr>
        <w:t> </w:t>
      </w:r>
      <w:r>
        <w:rPr>
          <w:rFonts w:hint="eastAsia" w:ascii="宋体" w:hAnsi="宋体"/>
          <w:color w:val="auto"/>
          <w:sz w:val="24"/>
          <w:highlight w:val="none"/>
        </w:rPr>
        <w:t>违约金；</w:t>
      </w:r>
    </w:p>
    <w:p w14:paraId="39F7006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（6）其他：</w:t>
      </w:r>
    </w:p>
    <w:p w14:paraId="3472EED2">
      <w:pPr>
        <w:spacing w:line="360" w:lineRule="auto"/>
        <w:ind w:firstLine="480" w:firstLineChars="200"/>
        <w:rPr>
          <w:rFonts w:ascii="宋体" w:hAnsi="宋体"/>
          <w:color w:val="auto"/>
          <w:sz w:val="24"/>
          <w:highlight w:val="none"/>
        </w:rPr>
      </w:pPr>
      <w:r>
        <w:rPr>
          <w:rFonts w:ascii="宋体" w:hAnsi="宋体"/>
          <w:color w:val="auto"/>
          <w:sz w:val="24"/>
          <w:highlight w:val="none"/>
        </w:rPr>
        <w:t>16.2.2承包人违约的责任</w:t>
      </w:r>
    </w:p>
    <w:p w14:paraId="2FAC2B3F">
      <w:pPr>
        <w:pStyle w:val="33"/>
        <w:spacing w:line="360" w:lineRule="auto"/>
        <w:rPr>
          <w:rFonts w:hAnsi="宋体"/>
          <w:color w:val="auto"/>
          <w:kern w:val="0"/>
          <w:sz w:val="24"/>
          <w:szCs w:val="24"/>
          <w:highlight w:val="none"/>
        </w:rPr>
      </w:pPr>
      <w:r>
        <w:rPr>
          <w:rFonts w:hAnsi="宋体"/>
          <w:color w:val="auto"/>
          <w:kern w:val="0"/>
          <w:sz w:val="24"/>
          <w:szCs w:val="24"/>
          <w:highlight w:val="none"/>
        </w:rPr>
        <w:t>承包人违约责任的承担方式和计算方法：</w:t>
      </w:r>
    </w:p>
    <w:p w14:paraId="4A1D94B8">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（1）承包人违反合同约定进行转包或违法分包的违约责任：发包人有权解除合同，没收全部履约保证金外，赔偿由此给发包人造成的一切损失。</w:t>
      </w:r>
    </w:p>
    <w:p w14:paraId="0201F067">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（2）承包人违反合同约定采购和使用不合格的材料和工程设备的违约责任：除重新采购合格的材料和工程设备，如已施工的无条件返工，并自行承担相关费用和造成的损失且工期不得顺延外；每发生一次应</w:t>
      </w:r>
      <w:r>
        <w:rPr>
          <w:rFonts w:hint="eastAsia" w:ascii="宋体" w:hAnsi="宋体"/>
          <w:b/>
          <w:color w:val="auto"/>
          <w:sz w:val="24"/>
          <w:highlight w:val="none"/>
          <w:u w:val="single"/>
        </w:rPr>
        <w:t>承担人民币</w:t>
      </w:r>
      <w:r>
        <w:rPr>
          <w:rFonts w:ascii="宋体" w:hAnsi="宋体"/>
          <w:b/>
          <w:color w:val="auto"/>
          <w:sz w:val="24"/>
          <w:highlight w:val="none"/>
          <w:u w:val="single"/>
        </w:rPr>
        <w:t>2万元的</w:t>
      </w:r>
      <w:r>
        <w:rPr>
          <w:rFonts w:hint="eastAsia" w:ascii="宋体" w:hAnsi="宋体"/>
          <w:b/>
          <w:color w:val="auto"/>
          <w:sz w:val="24"/>
          <w:highlight w:val="none"/>
          <w:u w:val="single"/>
        </w:rPr>
        <w:t>违约金</w:t>
      </w:r>
      <w:r>
        <w:rPr>
          <w:rFonts w:ascii="宋体" w:hAnsi="宋体"/>
          <w:b/>
          <w:color w:val="auto"/>
          <w:sz w:val="24"/>
          <w:highlight w:val="none"/>
          <w:u w:val="single"/>
        </w:rPr>
        <w:t>；若由此还给发包人造成损失的，由承包人负责赔偿。</w:t>
      </w:r>
    </w:p>
    <w:p w14:paraId="44AD352A">
      <w:pPr>
        <w:pStyle w:val="33"/>
        <w:spacing w:line="360" w:lineRule="auto"/>
        <w:ind w:firstLine="424" w:firstLineChars="176"/>
        <w:rPr>
          <w:rFonts w:hAnsi="宋体"/>
          <w:b/>
          <w:color w:val="auto"/>
          <w:sz w:val="24"/>
          <w:szCs w:val="24"/>
          <w:highlight w:val="none"/>
          <w:u w:val="single"/>
        </w:rPr>
      </w:pPr>
      <w:r>
        <w:rPr>
          <w:rFonts w:hAnsi="宋体"/>
          <w:b/>
          <w:color w:val="auto"/>
          <w:sz w:val="24"/>
          <w:szCs w:val="24"/>
          <w:highlight w:val="none"/>
          <w:u w:val="single"/>
        </w:rPr>
        <w:t xml:space="preserve">（3）因承包人原因导致工程质量不符合合同要求的违约责任：工程经各方验收，质量未达到合同约定“合格”标准的，由承包人负责整改直至通过验收，承包人承担由此产生的所有费用及给发包人造成的损失，且工期不予顺延；工程经过承包人的全面整改后，经各方验收仍然未达到合同约定“合格”标准的，承包人必须按合同总价的5%向发包人支付违约金，该违约金从履约保证金及工程款中扣除。若承包人不按发包人要求整改的，发包人有权委托第三方进行整改，整改费用由承包人承担，在工程款中扣除。发包人委托第三方整改不能免除承包人根据合同约定应当承担的工程维修责任。  </w:t>
      </w:r>
    </w:p>
    <w:p w14:paraId="0C731BCF">
      <w:pPr>
        <w:pStyle w:val="33"/>
        <w:spacing w:line="360" w:lineRule="auto"/>
        <w:ind w:firstLine="424" w:firstLineChars="176"/>
        <w:rPr>
          <w:rFonts w:hAnsi="宋体"/>
          <w:b/>
          <w:color w:val="auto"/>
          <w:sz w:val="24"/>
          <w:szCs w:val="24"/>
          <w:highlight w:val="none"/>
          <w:u w:val="single"/>
        </w:rPr>
      </w:pPr>
      <w:r>
        <w:rPr>
          <w:rFonts w:hAnsi="宋体"/>
          <w:b/>
          <w:color w:val="auto"/>
          <w:sz w:val="24"/>
          <w:szCs w:val="24"/>
          <w:highlight w:val="none"/>
          <w:u w:val="single"/>
        </w:rPr>
        <w:t>承包人必须严格按合同条款、施工图纸及设计说明文件、施工验收规范、国家和省市的有关质量验收标准，精心组织施工，确保工程质量达到国家合格验收标准。</w:t>
      </w:r>
    </w:p>
    <w:p w14:paraId="4431AB04">
      <w:pPr>
        <w:pStyle w:val="33"/>
        <w:spacing w:line="360" w:lineRule="auto"/>
        <w:ind w:firstLine="424" w:firstLineChars="176"/>
        <w:rPr>
          <w:rFonts w:hAnsi="宋体"/>
          <w:b/>
          <w:color w:val="auto"/>
          <w:sz w:val="24"/>
          <w:szCs w:val="24"/>
          <w:highlight w:val="none"/>
          <w:u w:val="single"/>
        </w:rPr>
      </w:pPr>
      <w:r>
        <w:rPr>
          <w:rFonts w:hAnsi="宋体"/>
          <w:b/>
          <w:color w:val="auto"/>
          <w:sz w:val="24"/>
          <w:szCs w:val="24"/>
          <w:highlight w:val="none"/>
          <w:u w:val="single"/>
        </w:rPr>
        <w:t>（4）承包人违反材料与设备专用要求的约定，未经批准，私自将已按照合同约定进入施工现场的材料或设备撤离施工现场的违约责任：承包人应及时停止撤离，并承担相应损失。</w:t>
      </w:r>
    </w:p>
    <w:p w14:paraId="46B1DA16">
      <w:pPr>
        <w:pStyle w:val="33"/>
        <w:spacing w:line="360" w:lineRule="auto"/>
        <w:ind w:firstLine="424" w:firstLineChars="176"/>
        <w:rPr>
          <w:rFonts w:hAnsi="宋体"/>
          <w:b/>
          <w:color w:val="auto"/>
          <w:sz w:val="24"/>
          <w:szCs w:val="24"/>
          <w:highlight w:val="none"/>
          <w:u w:val="single"/>
        </w:rPr>
      </w:pPr>
      <w:r>
        <w:rPr>
          <w:rFonts w:hAnsi="宋体"/>
          <w:b/>
          <w:color w:val="auto"/>
          <w:sz w:val="24"/>
          <w:szCs w:val="24"/>
          <w:highlight w:val="none"/>
          <w:u w:val="single"/>
        </w:rPr>
        <w:t xml:space="preserve">（5）承包人未能按施工进度计划及时完成合同约定的工作，造成工期延误的违约责任：同专用条款7.5.2款约定。 </w:t>
      </w:r>
    </w:p>
    <w:p w14:paraId="065DDA45">
      <w:pPr>
        <w:pStyle w:val="33"/>
        <w:spacing w:line="360" w:lineRule="auto"/>
        <w:ind w:firstLine="424" w:firstLineChars="176"/>
        <w:rPr>
          <w:rFonts w:hAnsi="宋体"/>
          <w:b/>
          <w:color w:val="auto"/>
          <w:sz w:val="24"/>
          <w:szCs w:val="24"/>
          <w:highlight w:val="none"/>
          <w:u w:val="single"/>
        </w:rPr>
      </w:pPr>
      <w:r>
        <w:rPr>
          <w:rFonts w:hAnsi="宋体"/>
          <w:b/>
          <w:color w:val="auto"/>
          <w:sz w:val="24"/>
          <w:szCs w:val="24"/>
          <w:highlight w:val="none"/>
          <w:u w:val="single"/>
        </w:rPr>
        <w:t>（6）承包人在缺陷责任期及保修期内，未能在合理期限对工程缺陷进行修复，或拒绝按发包人要求进行修复的违约责任：发包人有权自行修复或委托第三方修复，所需费用由承包人全部承担（修复费用=实际修复费用+实际修复费用20%的管理费用），上述违约金额在质量保证金中直接扣除，且承包人应在收到发包人扣罚通知后7天内补足质量保证金，若承包人未按要求补足质量保证金的，发包人有权在退还质量保证金时双倍扣减上述修复费用。</w:t>
      </w:r>
    </w:p>
    <w:p w14:paraId="2CDB8B8C">
      <w:pPr>
        <w:pStyle w:val="33"/>
        <w:spacing w:line="360" w:lineRule="auto"/>
        <w:ind w:firstLine="424" w:firstLineChars="176"/>
        <w:rPr>
          <w:rFonts w:hAnsi="宋体"/>
          <w:b/>
          <w:color w:val="auto"/>
          <w:sz w:val="24"/>
          <w:szCs w:val="24"/>
          <w:highlight w:val="none"/>
          <w:u w:val="single"/>
        </w:rPr>
      </w:pPr>
      <w:r>
        <w:rPr>
          <w:rFonts w:hAnsi="宋体"/>
          <w:b/>
          <w:color w:val="auto"/>
          <w:sz w:val="24"/>
          <w:szCs w:val="24"/>
          <w:highlight w:val="none"/>
          <w:u w:val="single"/>
        </w:rPr>
        <w:t xml:space="preserve">（7）双方约定的承包人其他违约责任: </w:t>
      </w:r>
    </w:p>
    <w:p w14:paraId="764543E9">
      <w:pPr>
        <w:spacing w:line="360" w:lineRule="auto"/>
        <w:ind w:firstLine="424" w:firstLineChars="176"/>
        <w:rPr>
          <w:rFonts w:ascii="宋体" w:hAnsi="宋体"/>
          <w:b/>
          <w:color w:val="auto"/>
          <w:sz w:val="24"/>
          <w:highlight w:val="none"/>
          <w:u w:val="single"/>
        </w:rPr>
      </w:pPr>
      <w:r>
        <w:rPr>
          <w:rFonts w:ascii="宋体" w:hAnsi="宋体"/>
          <w:b/>
          <w:color w:val="auto"/>
          <w:sz w:val="24"/>
          <w:highlight w:val="none"/>
          <w:u w:val="single"/>
        </w:rPr>
        <w:t>1）本工程的所有隐蔽工程必须经监理验收合格签字确认后方可隐蔽，如隐蔽工程未经监理工程师验收合格签字认可，而承包人擅自隐蔽进入下道工序的，每发生一次除全部返工并承担返工费用外，发包人</w:t>
      </w:r>
      <w:r>
        <w:rPr>
          <w:rFonts w:hint="eastAsia" w:ascii="宋体" w:hAnsi="宋体"/>
          <w:b/>
          <w:color w:val="auto"/>
          <w:sz w:val="24"/>
          <w:highlight w:val="none"/>
          <w:u w:val="single"/>
        </w:rPr>
        <w:t>有权要求承包方承担</w:t>
      </w:r>
      <w:r>
        <w:rPr>
          <w:rFonts w:ascii="宋体" w:hAnsi="宋体"/>
          <w:b/>
          <w:color w:val="auto"/>
          <w:sz w:val="24"/>
          <w:highlight w:val="none"/>
          <w:u w:val="single"/>
        </w:rPr>
        <w:t>2万元的</w:t>
      </w:r>
      <w:r>
        <w:rPr>
          <w:rFonts w:hint="eastAsia" w:ascii="宋体" w:hAnsi="宋体"/>
          <w:b/>
          <w:color w:val="auto"/>
          <w:sz w:val="24"/>
          <w:highlight w:val="none"/>
          <w:u w:val="single"/>
        </w:rPr>
        <w:t>违约金</w:t>
      </w:r>
      <w:r>
        <w:rPr>
          <w:rFonts w:ascii="宋体" w:hAnsi="宋体"/>
          <w:b/>
          <w:color w:val="auto"/>
          <w:sz w:val="24"/>
          <w:highlight w:val="none"/>
          <w:u w:val="single"/>
        </w:rPr>
        <w:t xml:space="preserve">。 </w:t>
      </w:r>
    </w:p>
    <w:p w14:paraId="17F3B713">
      <w:pPr>
        <w:pStyle w:val="33"/>
        <w:spacing w:line="360" w:lineRule="auto"/>
        <w:ind w:firstLine="424" w:firstLineChars="176"/>
        <w:rPr>
          <w:rFonts w:hAnsi="宋体"/>
          <w:b/>
          <w:color w:val="auto"/>
          <w:sz w:val="24"/>
          <w:szCs w:val="24"/>
          <w:highlight w:val="none"/>
          <w:u w:val="single"/>
        </w:rPr>
      </w:pPr>
      <w:r>
        <w:rPr>
          <w:rFonts w:hAnsi="宋体"/>
          <w:b/>
          <w:color w:val="auto"/>
          <w:sz w:val="24"/>
          <w:szCs w:val="24"/>
          <w:highlight w:val="none"/>
          <w:u w:val="single"/>
        </w:rPr>
        <w:t xml:space="preserve">2）施工中不能达到安全文明施工的相关要求，经监理人确认后发包人有权停止支付剩余安全文明施工费用，待安全文明施工工作符合合同约定和相关要求后发包人恢复支付；情节严重时，发包人有权视情节要求承包人承担相应的违约责任。 </w:t>
      </w:r>
    </w:p>
    <w:p w14:paraId="6AB5B21B">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3）施工过程中，如承包人的施工队伍素质、力量、机构配备不符合投标承诺或施工组织设计，造成现场管理混乱，工程质量和进度明显不到预定计划时，发包人有权要求其调整充实力量，加强管理。当上述措施仍无效时，发包人有权视情节要求承包人</w:t>
      </w:r>
      <w:r>
        <w:rPr>
          <w:rFonts w:hint="eastAsia" w:ascii="宋体" w:hAnsi="宋体"/>
          <w:b/>
          <w:color w:val="auto"/>
          <w:sz w:val="24"/>
          <w:highlight w:val="none"/>
          <w:u w:val="single"/>
        </w:rPr>
        <w:t>承担相应的违约责任</w:t>
      </w:r>
      <w:r>
        <w:rPr>
          <w:rFonts w:ascii="宋体" w:hAnsi="宋体"/>
          <w:b/>
          <w:color w:val="auto"/>
          <w:sz w:val="24"/>
          <w:highlight w:val="none"/>
          <w:u w:val="single"/>
        </w:rPr>
        <w:t>，情节恶劣时发包人有权单方面终止本承包合同，并由承包人承担由此造成的一切损失。</w:t>
      </w:r>
    </w:p>
    <w:p w14:paraId="6F6CF62E">
      <w:pPr>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4）由于管理混乱，造成的罚款与损失均由乙方自行承担外，甲方将提出警告并</w:t>
      </w:r>
      <w:r>
        <w:rPr>
          <w:rFonts w:hint="eastAsia" w:ascii="宋体" w:hAnsi="宋体"/>
          <w:b/>
          <w:color w:val="auto"/>
          <w:sz w:val="24"/>
          <w:highlight w:val="none"/>
          <w:u w:val="single"/>
        </w:rPr>
        <w:t>有权要求乙方承担</w:t>
      </w:r>
      <w:r>
        <w:rPr>
          <w:rFonts w:ascii="宋体" w:hAnsi="宋体"/>
          <w:b/>
          <w:color w:val="auto"/>
          <w:sz w:val="24"/>
          <w:highlight w:val="none"/>
          <w:u w:val="single"/>
        </w:rPr>
        <w:t>每次二万元</w:t>
      </w:r>
      <w:r>
        <w:rPr>
          <w:rFonts w:hint="eastAsia" w:ascii="宋体" w:hAnsi="宋体"/>
          <w:b/>
          <w:color w:val="auto"/>
          <w:sz w:val="24"/>
          <w:highlight w:val="none"/>
          <w:u w:val="single"/>
        </w:rPr>
        <w:t>的违约金</w:t>
      </w:r>
      <w:r>
        <w:rPr>
          <w:rFonts w:ascii="宋体" w:hAnsi="宋体"/>
          <w:b/>
          <w:color w:val="auto"/>
          <w:sz w:val="24"/>
          <w:highlight w:val="none"/>
          <w:u w:val="single"/>
        </w:rPr>
        <w:t>，并扣除该项措施费用及履约担保金中的相关费用，以确保本工程文明管理得到贯彻执行。</w:t>
      </w:r>
    </w:p>
    <w:p w14:paraId="7738421A">
      <w:pPr>
        <w:spacing w:line="360" w:lineRule="auto"/>
        <w:ind w:firstLine="482" w:firstLineChars="200"/>
        <w:rPr>
          <w:rFonts w:ascii="宋体" w:hAnsi="宋体"/>
          <w:color w:val="auto"/>
          <w:sz w:val="24"/>
          <w:highlight w:val="none"/>
          <w:u w:val="single"/>
        </w:rPr>
      </w:pPr>
      <w:r>
        <w:rPr>
          <w:rFonts w:ascii="宋体" w:hAnsi="宋体"/>
          <w:b/>
          <w:color w:val="auto"/>
          <w:sz w:val="24"/>
          <w:highlight w:val="none"/>
          <w:u w:val="single"/>
        </w:rPr>
        <w:t>5）承包人不履行合同义务，或不按合同约定履行合同义务的其他情况，承包人承担违约责任，发包人保留索赔其他损失的权利</w:t>
      </w:r>
      <w:r>
        <w:rPr>
          <w:rFonts w:ascii="宋体" w:hAnsi="宋体"/>
          <w:color w:val="auto"/>
          <w:sz w:val="24"/>
          <w:highlight w:val="none"/>
        </w:rPr>
        <w:t>。</w:t>
      </w:r>
    </w:p>
    <w:p w14:paraId="791CE8B3">
      <w:pPr>
        <w:spacing w:line="360" w:lineRule="auto"/>
        <w:ind w:firstLine="480" w:firstLineChars="200"/>
        <w:rPr>
          <w:rFonts w:ascii="宋体" w:hAnsi="宋体"/>
          <w:color w:val="auto"/>
          <w:sz w:val="24"/>
          <w:highlight w:val="none"/>
        </w:rPr>
      </w:pPr>
      <w:r>
        <w:rPr>
          <w:rFonts w:ascii="宋体" w:hAnsi="宋体"/>
          <w:color w:val="auto"/>
          <w:sz w:val="24"/>
          <w:highlight w:val="none"/>
        </w:rPr>
        <w:t>16.2.3 因承包人违约解除合同</w:t>
      </w:r>
    </w:p>
    <w:p w14:paraId="080A6D3D">
      <w:pPr>
        <w:spacing w:line="360" w:lineRule="auto"/>
        <w:ind w:firstLine="480" w:firstLineChars="200"/>
        <w:rPr>
          <w:rFonts w:ascii="宋体" w:hAnsi="宋体"/>
          <w:b/>
          <w:color w:val="auto"/>
          <w:sz w:val="24"/>
          <w:highlight w:val="none"/>
          <w:u w:val="single"/>
        </w:rPr>
      </w:pPr>
      <w:r>
        <w:rPr>
          <w:rFonts w:ascii="宋体" w:hAnsi="宋体"/>
          <w:color w:val="auto"/>
          <w:sz w:val="24"/>
          <w:highlight w:val="none"/>
        </w:rPr>
        <w:t>关于承包人违约解除合同的特别约定：</w:t>
      </w:r>
      <w:r>
        <w:rPr>
          <w:rFonts w:ascii="宋体" w:hAnsi="宋体"/>
          <w:b/>
          <w:color w:val="auto"/>
          <w:sz w:val="24"/>
          <w:highlight w:val="none"/>
          <w:u w:val="single"/>
        </w:rPr>
        <w:t>（1）合同解除后发包人将本工程另行发包，承包人应负责保管施工场地直至与新的施工单位办理移交。新的施工单位签约价与本合同签约价之间的差额作为发包人损失全部由承包人承担。</w:t>
      </w:r>
    </w:p>
    <w:p w14:paraId="761E9C30">
      <w:pPr>
        <w:spacing w:line="360" w:lineRule="auto"/>
        <w:ind w:firstLine="482" w:firstLineChars="200"/>
        <w:rPr>
          <w:rFonts w:ascii="宋体" w:hAnsi="宋体"/>
          <w:color w:val="auto"/>
          <w:sz w:val="24"/>
          <w:highlight w:val="none"/>
          <w:u w:val="single"/>
        </w:rPr>
      </w:pPr>
      <w:r>
        <w:rPr>
          <w:rFonts w:ascii="宋体" w:hAnsi="宋体"/>
          <w:b/>
          <w:color w:val="auto"/>
          <w:sz w:val="24"/>
          <w:highlight w:val="none"/>
          <w:u w:val="single"/>
        </w:rPr>
        <w:t>（2）合同解除后，承包人对由其完成的工程，仍应按《工程质量保修书》约定履行质量保修义务。</w:t>
      </w:r>
    </w:p>
    <w:p w14:paraId="2AFE5AEB">
      <w:pPr>
        <w:spacing w:line="360" w:lineRule="auto"/>
        <w:ind w:firstLine="480" w:firstLineChars="200"/>
        <w:rPr>
          <w:rFonts w:ascii="宋体" w:hAnsi="宋体"/>
          <w:color w:val="auto"/>
          <w:sz w:val="24"/>
          <w:highlight w:val="none"/>
        </w:rPr>
      </w:pPr>
      <w:r>
        <w:rPr>
          <w:rFonts w:ascii="宋体" w:hAnsi="宋体"/>
          <w:color w:val="auto"/>
          <w:sz w:val="24"/>
          <w:highlight w:val="none"/>
        </w:rPr>
        <w:t>发包人继续使用承包人在施工现场的材料、设备、临时工程、承包人文件和由承包人或以其名义编制的其他文件的费用承担方式：</w:t>
      </w:r>
      <w:r>
        <w:rPr>
          <w:rFonts w:ascii="宋体" w:hAnsi="宋体"/>
          <w:b/>
          <w:color w:val="auto"/>
          <w:sz w:val="24"/>
          <w:highlight w:val="none"/>
          <w:u w:val="single"/>
        </w:rPr>
        <w:t>由发包人支付承包人相应费用（成本费用，不计利润）</w:t>
      </w:r>
      <w:r>
        <w:rPr>
          <w:rFonts w:ascii="宋体" w:hAnsi="宋体"/>
          <w:color w:val="auto"/>
          <w:sz w:val="24"/>
          <w:highlight w:val="none"/>
        </w:rPr>
        <w:t>。</w:t>
      </w:r>
    </w:p>
    <w:p w14:paraId="43667509">
      <w:pPr>
        <w:pStyle w:val="6"/>
        <w:spacing w:line="360" w:lineRule="auto"/>
        <w:ind w:left="0" w:firstLine="482" w:firstLineChars="200"/>
        <w:rPr>
          <w:rFonts w:ascii="宋体" w:hAnsi="宋体" w:eastAsia="宋体" w:cs="宋体"/>
          <w:bCs w:val="0"/>
          <w:color w:val="auto"/>
          <w:sz w:val="24"/>
          <w:szCs w:val="24"/>
          <w:highlight w:val="none"/>
        </w:rPr>
      </w:pPr>
      <w:r>
        <w:rPr>
          <w:rFonts w:ascii="宋体" w:hAnsi="宋体" w:eastAsia="宋体" w:cs="宋体"/>
          <w:bCs w:val="0"/>
          <w:color w:val="auto"/>
          <w:sz w:val="24"/>
          <w:szCs w:val="24"/>
          <w:highlight w:val="none"/>
        </w:rPr>
        <w:t xml:space="preserve">17. 不可抗力 </w:t>
      </w:r>
    </w:p>
    <w:p w14:paraId="47831B38">
      <w:pPr>
        <w:spacing w:line="360" w:lineRule="auto"/>
        <w:ind w:firstLine="480" w:firstLineChars="200"/>
        <w:rPr>
          <w:rFonts w:ascii="宋体" w:hAnsi="宋体"/>
          <w:color w:val="auto"/>
          <w:sz w:val="24"/>
          <w:highlight w:val="none"/>
        </w:rPr>
      </w:pPr>
      <w:r>
        <w:rPr>
          <w:rFonts w:ascii="宋体" w:hAnsi="宋体"/>
          <w:color w:val="auto"/>
          <w:sz w:val="24"/>
          <w:highlight w:val="none"/>
        </w:rPr>
        <w:t>17.1 不可抗力的确认</w:t>
      </w:r>
    </w:p>
    <w:p w14:paraId="442220C7">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除通用合同条款约定的不可抗力事件之外，视为不可抗力的其他情形：</w:t>
      </w:r>
      <w:r>
        <w:rPr>
          <w:rFonts w:ascii="宋体" w:hAnsi="宋体"/>
          <w:b/>
          <w:color w:val="auto"/>
          <w:sz w:val="24"/>
          <w:highlight w:val="none"/>
          <w:u w:val="single"/>
        </w:rPr>
        <w:t>按通用合同条款约定</w:t>
      </w:r>
      <w:r>
        <w:rPr>
          <w:rFonts w:ascii="宋体" w:hAnsi="宋体"/>
          <w:color w:val="auto"/>
          <w:sz w:val="24"/>
          <w:highlight w:val="none"/>
        </w:rPr>
        <w:t>。</w:t>
      </w:r>
    </w:p>
    <w:p w14:paraId="19A3DE04">
      <w:pPr>
        <w:spacing w:line="360" w:lineRule="auto"/>
        <w:ind w:firstLine="480" w:firstLineChars="200"/>
        <w:rPr>
          <w:rFonts w:ascii="宋体" w:hAnsi="宋体"/>
          <w:color w:val="auto"/>
          <w:sz w:val="24"/>
          <w:highlight w:val="none"/>
        </w:rPr>
      </w:pPr>
      <w:r>
        <w:rPr>
          <w:rFonts w:ascii="宋体" w:hAnsi="宋体"/>
          <w:color w:val="auto"/>
          <w:sz w:val="24"/>
          <w:highlight w:val="none"/>
        </w:rPr>
        <w:t>17.4 因不可抗力解除合同</w:t>
      </w:r>
    </w:p>
    <w:p w14:paraId="03C177C2">
      <w:pPr>
        <w:spacing w:line="360" w:lineRule="auto"/>
        <w:ind w:firstLine="480" w:firstLineChars="200"/>
        <w:rPr>
          <w:rFonts w:ascii="宋体" w:hAnsi="宋体"/>
          <w:color w:val="auto"/>
          <w:sz w:val="24"/>
          <w:highlight w:val="none"/>
        </w:rPr>
      </w:pPr>
      <w:r>
        <w:rPr>
          <w:rFonts w:ascii="宋体" w:hAnsi="宋体"/>
          <w:color w:val="auto"/>
          <w:sz w:val="24"/>
          <w:highlight w:val="none"/>
        </w:rPr>
        <w:t>合同解除后，发包人应在商定或确定发包人应支付款项后</w:t>
      </w:r>
      <w:r>
        <w:rPr>
          <w:rFonts w:ascii="宋体" w:hAnsi="宋体"/>
          <w:b/>
          <w:color w:val="auto"/>
          <w:sz w:val="24"/>
          <w:highlight w:val="none"/>
          <w:u w:val="single"/>
        </w:rPr>
        <w:t xml:space="preserve"> 30 </w:t>
      </w:r>
      <w:r>
        <w:rPr>
          <w:rFonts w:ascii="宋体" w:hAnsi="宋体"/>
          <w:color w:val="auto"/>
          <w:sz w:val="24"/>
          <w:highlight w:val="none"/>
        </w:rPr>
        <w:t>天内完成款项的支付。</w:t>
      </w:r>
    </w:p>
    <w:p w14:paraId="7E3AD26E">
      <w:pPr>
        <w:pStyle w:val="6"/>
        <w:spacing w:line="360" w:lineRule="auto"/>
        <w:ind w:left="0" w:firstLine="482" w:firstLineChars="200"/>
        <w:rPr>
          <w:rFonts w:ascii="宋体" w:hAnsi="宋体" w:eastAsia="宋体" w:cs="宋体"/>
          <w:bCs w:val="0"/>
          <w:color w:val="auto"/>
          <w:sz w:val="24"/>
          <w:szCs w:val="24"/>
          <w:highlight w:val="none"/>
        </w:rPr>
      </w:pPr>
      <w:r>
        <w:rPr>
          <w:rFonts w:ascii="宋体" w:hAnsi="宋体" w:eastAsia="宋体" w:cs="宋体"/>
          <w:bCs w:val="0"/>
          <w:color w:val="auto"/>
          <w:sz w:val="24"/>
          <w:szCs w:val="24"/>
          <w:highlight w:val="none"/>
        </w:rPr>
        <w:t>18. 保险</w:t>
      </w:r>
    </w:p>
    <w:p w14:paraId="12FF9D06">
      <w:pPr>
        <w:spacing w:line="360" w:lineRule="auto"/>
        <w:ind w:firstLine="480" w:firstLineChars="200"/>
        <w:rPr>
          <w:rFonts w:ascii="宋体" w:hAnsi="宋体"/>
          <w:color w:val="auto"/>
          <w:sz w:val="24"/>
          <w:highlight w:val="none"/>
        </w:rPr>
      </w:pPr>
      <w:r>
        <w:rPr>
          <w:rFonts w:ascii="宋体" w:hAnsi="宋体"/>
          <w:color w:val="auto"/>
          <w:sz w:val="24"/>
          <w:highlight w:val="none"/>
        </w:rPr>
        <w:t>18.1 工程保险</w:t>
      </w:r>
    </w:p>
    <w:p w14:paraId="1A3DCF56">
      <w:pPr>
        <w:spacing w:line="360" w:lineRule="auto"/>
        <w:ind w:firstLine="480" w:firstLineChars="200"/>
        <w:rPr>
          <w:rFonts w:ascii="宋体" w:hAnsi="宋体"/>
          <w:color w:val="auto"/>
          <w:sz w:val="24"/>
          <w:highlight w:val="none"/>
        </w:rPr>
      </w:pPr>
      <w:r>
        <w:rPr>
          <w:rFonts w:ascii="宋体" w:hAnsi="宋体"/>
          <w:color w:val="auto"/>
          <w:sz w:val="24"/>
          <w:highlight w:val="none"/>
        </w:rPr>
        <w:t>关于工程保险的特别约定：</w:t>
      </w:r>
      <w:r>
        <w:rPr>
          <w:rFonts w:ascii="宋体" w:hAnsi="宋体"/>
          <w:b/>
          <w:color w:val="auto"/>
          <w:sz w:val="24"/>
          <w:highlight w:val="none"/>
          <w:u w:val="single"/>
        </w:rPr>
        <w:t>承包人应投保工程一切险，并承担相应费用</w:t>
      </w:r>
      <w:r>
        <w:rPr>
          <w:rFonts w:ascii="宋体" w:hAnsi="宋体"/>
          <w:color w:val="auto"/>
          <w:sz w:val="24"/>
          <w:highlight w:val="none"/>
        </w:rPr>
        <w:t>。</w:t>
      </w:r>
    </w:p>
    <w:p w14:paraId="1E5298B2">
      <w:pPr>
        <w:spacing w:line="360" w:lineRule="auto"/>
        <w:ind w:firstLine="480" w:firstLineChars="200"/>
        <w:rPr>
          <w:rFonts w:ascii="宋体" w:hAnsi="宋体"/>
          <w:color w:val="auto"/>
          <w:sz w:val="24"/>
          <w:highlight w:val="none"/>
        </w:rPr>
      </w:pPr>
      <w:r>
        <w:rPr>
          <w:rFonts w:ascii="宋体" w:hAnsi="宋体"/>
          <w:color w:val="auto"/>
          <w:sz w:val="24"/>
          <w:highlight w:val="none"/>
        </w:rPr>
        <w:t>18.3 其他保险</w:t>
      </w:r>
    </w:p>
    <w:p w14:paraId="2979A01C">
      <w:pPr>
        <w:spacing w:line="360" w:lineRule="auto"/>
        <w:ind w:firstLine="480" w:firstLineChars="200"/>
        <w:rPr>
          <w:rFonts w:ascii="宋体" w:hAnsi="宋体"/>
          <w:color w:val="auto"/>
          <w:sz w:val="24"/>
          <w:highlight w:val="none"/>
        </w:rPr>
      </w:pPr>
      <w:r>
        <w:rPr>
          <w:rFonts w:ascii="宋体" w:hAnsi="宋体"/>
          <w:color w:val="auto"/>
          <w:sz w:val="24"/>
          <w:highlight w:val="none"/>
        </w:rPr>
        <w:t>关于其他保险的约定：</w:t>
      </w:r>
      <w:r>
        <w:rPr>
          <w:rFonts w:ascii="宋体" w:hAnsi="宋体"/>
          <w:b/>
          <w:color w:val="auto"/>
          <w:sz w:val="24"/>
          <w:highlight w:val="none"/>
          <w:u w:val="single"/>
        </w:rPr>
        <w:t>承包人为建设工程和施工场地内的自有人员设备及第三方生命财产办理保险并支付保险费用，费用已包含在总价内。施工期间所发生的一切与本工程有关的承包人的人员、财产等意外伤害、损失，由承包人承担全部责任和费用</w:t>
      </w:r>
      <w:r>
        <w:rPr>
          <w:rFonts w:ascii="宋体" w:hAnsi="宋体"/>
          <w:color w:val="auto"/>
          <w:sz w:val="24"/>
          <w:highlight w:val="none"/>
        </w:rPr>
        <w:t>。</w:t>
      </w:r>
    </w:p>
    <w:p w14:paraId="7440D127">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承包人是否应为其施工设备等办理财产保险：</w:t>
      </w:r>
      <w:r>
        <w:rPr>
          <w:rFonts w:ascii="宋体" w:hAnsi="宋体"/>
          <w:b/>
          <w:color w:val="auto"/>
          <w:sz w:val="24"/>
          <w:highlight w:val="none"/>
          <w:u w:val="single"/>
        </w:rPr>
        <w:t>是，并承担相应费用</w:t>
      </w:r>
      <w:r>
        <w:rPr>
          <w:rFonts w:ascii="宋体" w:hAnsi="宋体"/>
          <w:color w:val="auto"/>
          <w:sz w:val="24"/>
          <w:highlight w:val="none"/>
        </w:rPr>
        <w:t>。</w:t>
      </w:r>
    </w:p>
    <w:p w14:paraId="47205C6B">
      <w:pPr>
        <w:spacing w:line="360" w:lineRule="auto"/>
        <w:ind w:firstLine="480" w:firstLineChars="200"/>
        <w:rPr>
          <w:rFonts w:ascii="宋体" w:hAnsi="宋体"/>
          <w:color w:val="auto"/>
          <w:sz w:val="24"/>
          <w:highlight w:val="none"/>
        </w:rPr>
      </w:pPr>
      <w:r>
        <w:rPr>
          <w:rFonts w:ascii="宋体" w:hAnsi="宋体"/>
          <w:color w:val="auto"/>
          <w:sz w:val="24"/>
          <w:highlight w:val="none"/>
        </w:rPr>
        <w:t>18.7 通知义务</w:t>
      </w:r>
    </w:p>
    <w:p w14:paraId="6EB5965A">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关于变更保险合同时的通知义务的约定：</w:t>
      </w:r>
      <w:r>
        <w:rPr>
          <w:rFonts w:ascii="宋体" w:hAnsi="宋体"/>
          <w:b/>
          <w:color w:val="auto"/>
          <w:sz w:val="24"/>
          <w:highlight w:val="none"/>
          <w:u w:val="single"/>
        </w:rPr>
        <w:t>按通用合同条款约定</w:t>
      </w:r>
      <w:r>
        <w:rPr>
          <w:rFonts w:ascii="宋体" w:hAnsi="宋体"/>
          <w:color w:val="auto"/>
          <w:sz w:val="24"/>
          <w:highlight w:val="none"/>
        </w:rPr>
        <w:t>。</w:t>
      </w:r>
    </w:p>
    <w:p w14:paraId="254119A3">
      <w:pPr>
        <w:pStyle w:val="6"/>
        <w:spacing w:line="360" w:lineRule="auto"/>
        <w:ind w:left="0" w:firstLine="482" w:firstLineChars="200"/>
        <w:rPr>
          <w:rFonts w:ascii="宋体" w:hAnsi="宋体" w:eastAsia="宋体" w:cs="宋体"/>
          <w:bCs w:val="0"/>
          <w:color w:val="auto"/>
          <w:sz w:val="24"/>
          <w:szCs w:val="24"/>
          <w:highlight w:val="none"/>
        </w:rPr>
      </w:pPr>
      <w:r>
        <w:rPr>
          <w:rFonts w:ascii="宋体" w:hAnsi="宋体" w:eastAsia="宋体" w:cs="宋体"/>
          <w:bCs w:val="0"/>
          <w:color w:val="auto"/>
          <w:sz w:val="24"/>
          <w:szCs w:val="24"/>
          <w:highlight w:val="none"/>
        </w:rPr>
        <w:t>20. 争议解决</w:t>
      </w:r>
    </w:p>
    <w:p w14:paraId="46FD8802">
      <w:pPr>
        <w:spacing w:line="360" w:lineRule="auto"/>
        <w:ind w:firstLine="480" w:firstLineChars="200"/>
        <w:rPr>
          <w:rFonts w:ascii="宋体" w:hAnsi="宋体"/>
          <w:color w:val="auto"/>
          <w:sz w:val="24"/>
          <w:highlight w:val="none"/>
        </w:rPr>
      </w:pPr>
      <w:r>
        <w:rPr>
          <w:rFonts w:ascii="宋体" w:hAnsi="宋体"/>
          <w:color w:val="auto"/>
          <w:sz w:val="24"/>
          <w:highlight w:val="none"/>
        </w:rPr>
        <w:t>20.3 争议评审</w:t>
      </w:r>
    </w:p>
    <w:p w14:paraId="02148EF4">
      <w:pPr>
        <w:spacing w:line="360" w:lineRule="auto"/>
        <w:ind w:left="149" w:leftChars="71" w:firstLine="360" w:firstLineChars="150"/>
        <w:rPr>
          <w:rFonts w:ascii="宋体" w:hAnsi="宋体"/>
          <w:color w:val="auto"/>
          <w:sz w:val="24"/>
          <w:highlight w:val="none"/>
          <w:u w:val="single"/>
        </w:rPr>
      </w:pPr>
      <w:r>
        <w:rPr>
          <w:rFonts w:ascii="宋体" w:hAnsi="宋体"/>
          <w:color w:val="auto"/>
          <w:sz w:val="24"/>
          <w:highlight w:val="none"/>
        </w:rPr>
        <w:t>合同当事人是否同意将工程争议提交争议评审小组决定：</w:t>
      </w:r>
      <w:r>
        <w:rPr>
          <w:rFonts w:ascii="宋体" w:hAnsi="宋体"/>
          <w:b/>
          <w:color w:val="auto"/>
          <w:sz w:val="24"/>
          <w:highlight w:val="none"/>
          <w:u w:val="single"/>
        </w:rPr>
        <w:t>否</w:t>
      </w:r>
      <w:r>
        <w:rPr>
          <w:rFonts w:ascii="宋体" w:hAnsi="宋体"/>
          <w:color w:val="auto"/>
          <w:sz w:val="24"/>
          <w:highlight w:val="none"/>
        </w:rPr>
        <w:t xml:space="preserve">。  </w:t>
      </w:r>
    </w:p>
    <w:p w14:paraId="7878C469">
      <w:pPr>
        <w:spacing w:line="360" w:lineRule="auto"/>
        <w:ind w:firstLine="480" w:firstLineChars="200"/>
        <w:rPr>
          <w:rFonts w:ascii="宋体" w:hAnsi="宋体"/>
          <w:color w:val="auto"/>
          <w:sz w:val="24"/>
          <w:highlight w:val="none"/>
        </w:rPr>
      </w:pPr>
      <w:r>
        <w:rPr>
          <w:rFonts w:ascii="宋体" w:hAnsi="宋体"/>
          <w:color w:val="auto"/>
          <w:sz w:val="24"/>
          <w:highlight w:val="none"/>
        </w:rPr>
        <w:t>20.3.1 争议评审小组的确定</w:t>
      </w:r>
    </w:p>
    <w:p w14:paraId="48238F3F">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争议评审小组成员的确定：</w:t>
      </w:r>
      <w:r>
        <w:rPr>
          <w:rFonts w:ascii="宋体" w:hAnsi="宋体"/>
          <w:b/>
          <w:color w:val="auto"/>
          <w:sz w:val="24"/>
          <w:highlight w:val="none"/>
          <w:u w:val="single"/>
        </w:rPr>
        <w:t xml:space="preserve">/ </w:t>
      </w:r>
      <w:r>
        <w:rPr>
          <w:rFonts w:ascii="宋体" w:hAnsi="宋体"/>
          <w:color w:val="auto"/>
          <w:sz w:val="24"/>
          <w:highlight w:val="none"/>
        </w:rPr>
        <w:t>。</w:t>
      </w:r>
    </w:p>
    <w:p w14:paraId="5A305A36">
      <w:pPr>
        <w:spacing w:line="360" w:lineRule="auto"/>
        <w:ind w:firstLine="480" w:firstLineChars="200"/>
        <w:rPr>
          <w:rFonts w:ascii="宋体" w:hAnsi="宋体"/>
          <w:color w:val="auto"/>
          <w:sz w:val="24"/>
          <w:highlight w:val="none"/>
        </w:rPr>
      </w:pPr>
      <w:r>
        <w:rPr>
          <w:rFonts w:ascii="宋体" w:hAnsi="宋体"/>
          <w:color w:val="auto"/>
          <w:sz w:val="24"/>
          <w:highlight w:val="none"/>
        </w:rPr>
        <w:t>选定争议评审员的期限：</w:t>
      </w:r>
      <w:r>
        <w:rPr>
          <w:rFonts w:ascii="宋体" w:hAnsi="宋体"/>
          <w:b/>
          <w:color w:val="auto"/>
          <w:sz w:val="24"/>
          <w:highlight w:val="none"/>
          <w:u w:val="single"/>
        </w:rPr>
        <w:t xml:space="preserve">/ </w:t>
      </w:r>
      <w:r>
        <w:rPr>
          <w:rFonts w:ascii="宋体" w:hAnsi="宋体"/>
          <w:color w:val="auto"/>
          <w:sz w:val="24"/>
          <w:highlight w:val="none"/>
        </w:rPr>
        <w:t>。</w:t>
      </w:r>
    </w:p>
    <w:p w14:paraId="6290CAA2">
      <w:pPr>
        <w:spacing w:line="360" w:lineRule="auto"/>
        <w:ind w:firstLine="480" w:firstLineChars="200"/>
        <w:rPr>
          <w:rFonts w:ascii="宋体" w:hAnsi="宋体"/>
          <w:color w:val="auto"/>
          <w:sz w:val="24"/>
          <w:highlight w:val="none"/>
        </w:rPr>
      </w:pPr>
      <w:r>
        <w:rPr>
          <w:rFonts w:ascii="宋体" w:hAnsi="宋体"/>
          <w:color w:val="auto"/>
          <w:sz w:val="24"/>
          <w:highlight w:val="none"/>
        </w:rPr>
        <w:t>争议评审小组成员的报酬承担方式：</w:t>
      </w:r>
      <w:r>
        <w:rPr>
          <w:rFonts w:ascii="宋体" w:hAnsi="宋体"/>
          <w:b/>
          <w:color w:val="auto"/>
          <w:sz w:val="24"/>
          <w:highlight w:val="none"/>
          <w:u w:val="single"/>
        </w:rPr>
        <w:t xml:space="preserve">/ </w:t>
      </w:r>
      <w:r>
        <w:rPr>
          <w:rFonts w:ascii="宋体" w:hAnsi="宋体"/>
          <w:color w:val="auto"/>
          <w:sz w:val="24"/>
          <w:highlight w:val="none"/>
        </w:rPr>
        <w:t>。</w:t>
      </w:r>
    </w:p>
    <w:p w14:paraId="369236FF">
      <w:pPr>
        <w:spacing w:line="360" w:lineRule="auto"/>
        <w:ind w:firstLine="480" w:firstLineChars="200"/>
        <w:rPr>
          <w:rFonts w:ascii="宋体" w:hAnsi="宋体"/>
          <w:color w:val="auto"/>
          <w:sz w:val="24"/>
          <w:highlight w:val="none"/>
        </w:rPr>
      </w:pPr>
      <w:r>
        <w:rPr>
          <w:rFonts w:ascii="宋体" w:hAnsi="宋体"/>
          <w:color w:val="auto"/>
          <w:sz w:val="24"/>
          <w:highlight w:val="none"/>
        </w:rPr>
        <w:t>其他事项的约定：</w:t>
      </w:r>
      <w:r>
        <w:rPr>
          <w:rFonts w:ascii="宋体" w:hAnsi="宋体"/>
          <w:b/>
          <w:color w:val="auto"/>
          <w:sz w:val="24"/>
          <w:highlight w:val="none"/>
          <w:u w:val="single"/>
        </w:rPr>
        <w:t xml:space="preserve">/ </w:t>
      </w:r>
      <w:r>
        <w:rPr>
          <w:rFonts w:ascii="宋体" w:hAnsi="宋体"/>
          <w:color w:val="auto"/>
          <w:sz w:val="24"/>
          <w:highlight w:val="none"/>
        </w:rPr>
        <w:t>。</w:t>
      </w:r>
    </w:p>
    <w:p w14:paraId="0842EE83">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20.3.2 争议评审小组的决定</w:t>
      </w:r>
    </w:p>
    <w:p w14:paraId="41406D1B">
      <w:pPr>
        <w:spacing w:line="360" w:lineRule="auto"/>
        <w:ind w:firstLine="480" w:firstLineChars="200"/>
        <w:rPr>
          <w:rFonts w:ascii="宋体" w:hAnsi="宋体"/>
          <w:color w:val="auto"/>
          <w:sz w:val="24"/>
          <w:highlight w:val="none"/>
        </w:rPr>
      </w:pPr>
      <w:r>
        <w:rPr>
          <w:rFonts w:ascii="宋体" w:hAnsi="宋体"/>
          <w:color w:val="auto"/>
          <w:sz w:val="24"/>
          <w:highlight w:val="none"/>
        </w:rPr>
        <w:t>合同当事人关于本项的约定：</w:t>
      </w:r>
      <w:r>
        <w:rPr>
          <w:rFonts w:ascii="宋体" w:hAnsi="宋体"/>
          <w:b/>
          <w:color w:val="auto"/>
          <w:sz w:val="24"/>
          <w:highlight w:val="none"/>
          <w:u w:val="single"/>
        </w:rPr>
        <w:t xml:space="preserve">/ </w:t>
      </w:r>
      <w:r>
        <w:rPr>
          <w:rFonts w:ascii="宋体" w:hAnsi="宋体"/>
          <w:color w:val="auto"/>
          <w:sz w:val="24"/>
          <w:highlight w:val="none"/>
        </w:rPr>
        <w:t>。</w:t>
      </w:r>
    </w:p>
    <w:p w14:paraId="09106C3C">
      <w:pPr>
        <w:spacing w:line="360" w:lineRule="auto"/>
        <w:ind w:firstLine="480" w:firstLineChars="200"/>
        <w:rPr>
          <w:rFonts w:ascii="宋体" w:hAnsi="宋体"/>
          <w:color w:val="auto"/>
          <w:sz w:val="24"/>
          <w:highlight w:val="none"/>
        </w:rPr>
      </w:pPr>
      <w:r>
        <w:rPr>
          <w:rFonts w:ascii="宋体" w:hAnsi="宋体"/>
          <w:color w:val="auto"/>
          <w:sz w:val="24"/>
          <w:highlight w:val="none"/>
        </w:rPr>
        <w:t>20.4仲裁或诉讼</w:t>
      </w:r>
    </w:p>
    <w:p w14:paraId="3A6E12D8">
      <w:pPr>
        <w:spacing w:line="360" w:lineRule="auto"/>
        <w:ind w:firstLine="480" w:firstLineChars="200"/>
        <w:rPr>
          <w:rFonts w:ascii="宋体" w:hAnsi="宋体"/>
          <w:color w:val="auto"/>
          <w:sz w:val="24"/>
          <w:highlight w:val="none"/>
        </w:rPr>
      </w:pPr>
      <w:r>
        <w:rPr>
          <w:rFonts w:ascii="宋体" w:hAnsi="宋体"/>
          <w:color w:val="auto"/>
          <w:sz w:val="24"/>
          <w:highlight w:val="none"/>
        </w:rPr>
        <w:t>因合同及合同有关事项发生的争议，双方当事人一致同意按下列解决方式中第</w:t>
      </w:r>
      <w:r>
        <w:rPr>
          <w:rFonts w:ascii="宋体" w:hAnsi="宋体"/>
          <w:b/>
          <w:color w:val="auto"/>
          <w:sz w:val="24"/>
          <w:highlight w:val="none"/>
          <w:u w:val="single"/>
        </w:rPr>
        <w:t>（2）</w:t>
      </w:r>
      <w:r>
        <w:rPr>
          <w:rFonts w:ascii="宋体" w:hAnsi="宋体"/>
          <w:color w:val="auto"/>
          <w:sz w:val="24"/>
          <w:highlight w:val="none"/>
        </w:rPr>
        <w:t>种方式解决争议：</w:t>
      </w:r>
    </w:p>
    <w:p w14:paraId="06887D6B">
      <w:pPr>
        <w:spacing w:line="360" w:lineRule="auto"/>
        <w:ind w:firstLine="480" w:firstLineChars="200"/>
        <w:rPr>
          <w:rFonts w:ascii="宋体" w:hAnsi="宋体"/>
          <w:color w:val="auto"/>
          <w:sz w:val="24"/>
          <w:highlight w:val="none"/>
        </w:rPr>
      </w:pPr>
      <w:r>
        <w:rPr>
          <w:rFonts w:ascii="宋体" w:hAnsi="宋体"/>
          <w:color w:val="auto"/>
          <w:sz w:val="24"/>
          <w:highlight w:val="none"/>
        </w:rPr>
        <w:t>（1）提交</w:t>
      </w:r>
      <w:r>
        <w:rPr>
          <w:rFonts w:ascii="宋体" w:hAnsi="宋体"/>
          <w:b/>
          <w:color w:val="auto"/>
          <w:sz w:val="24"/>
          <w:highlight w:val="none"/>
          <w:u w:val="single"/>
        </w:rPr>
        <w:t xml:space="preserve">/ </w:t>
      </w:r>
      <w:r>
        <w:rPr>
          <w:rFonts w:ascii="宋体" w:hAnsi="宋体"/>
          <w:color w:val="auto"/>
          <w:sz w:val="24"/>
          <w:highlight w:val="none"/>
        </w:rPr>
        <w:t>仲裁委员会申请仲裁；</w:t>
      </w:r>
    </w:p>
    <w:p w14:paraId="40079F25">
      <w:pPr>
        <w:spacing w:line="360" w:lineRule="auto"/>
        <w:ind w:firstLine="480" w:firstLineChars="200"/>
        <w:rPr>
          <w:rFonts w:ascii="宋体" w:hAnsi="宋体"/>
          <w:color w:val="auto"/>
          <w:sz w:val="24"/>
          <w:highlight w:val="none"/>
        </w:rPr>
      </w:pPr>
      <w:r>
        <w:rPr>
          <w:rFonts w:ascii="宋体" w:hAnsi="宋体"/>
          <w:color w:val="auto"/>
          <w:sz w:val="24"/>
          <w:highlight w:val="none"/>
        </w:rPr>
        <w:t>（2）依法向</w:t>
      </w:r>
      <w:r>
        <w:rPr>
          <w:rFonts w:ascii="宋体" w:hAnsi="宋体"/>
          <w:b/>
          <w:color w:val="auto"/>
          <w:sz w:val="24"/>
          <w:highlight w:val="none"/>
          <w:u w:val="single"/>
        </w:rPr>
        <w:t>工程所在地</w:t>
      </w:r>
      <w:r>
        <w:rPr>
          <w:rFonts w:ascii="宋体" w:hAnsi="宋体"/>
          <w:color w:val="auto"/>
          <w:sz w:val="24"/>
          <w:highlight w:val="none"/>
        </w:rPr>
        <w:t>人民法院起诉</w:t>
      </w:r>
      <w:r>
        <w:rPr>
          <w:rFonts w:hint="eastAsia" w:ascii="宋体" w:hAnsi="宋体"/>
          <w:color w:val="auto"/>
          <w:sz w:val="24"/>
          <w:highlight w:val="none"/>
        </w:rPr>
        <w:t>，败诉方应承担胜诉方因办理案件而支出的合理费用包括律师费等。</w:t>
      </w:r>
    </w:p>
    <w:p w14:paraId="0C790A74">
      <w:pPr>
        <w:pStyle w:val="6"/>
        <w:spacing w:line="240" w:lineRule="auto"/>
        <w:ind w:left="0" w:firstLine="482" w:firstLineChars="200"/>
        <w:rPr>
          <w:rFonts w:ascii="宋体" w:hAnsi="宋体" w:eastAsia="宋体" w:cs="宋体"/>
          <w:color w:val="auto"/>
          <w:sz w:val="24"/>
          <w:szCs w:val="24"/>
          <w:highlight w:val="none"/>
        </w:rPr>
      </w:pPr>
      <w:r>
        <w:rPr>
          <w:rFonts w:ascii="宋体" w:hAnsi="宋体" w:eastAsia="宋体" w:cs="宋体"/>
          <w:bCs w:val="0"/>
          <w:color w:val="auto"/>
          <w:sz w:val="24"/>
          <w:szCs w:val="24"/>
          <w:highlight w:val="none"/>
        </w:rPr>
        <w:t>21．其他补充事项的约定</w:t>
      </w:r>
    </w:p>
    <w:p w14:paraId="25224859">
      <w:pPr>
        <w:spacing w:line="360" w:lineRule="auto"/>
        <w:ind w:firstLine="475" w:firstLineChars="198"/>
        <w:rPr>
          <w:rFonts w:ascii="宋体" w:hAnsi="宋体"/>
          <w:color w:val="auto"/>
          <w:sz w:val="24"/>
          <w:highlight w:val="none"/>
        </w:rPr>
      </w:pPr>
      <w:r>
        <w:rPr>
          <w:rFonts w:hint="eastAsia" w:ascii="宋体" w:hAnsi="宋体"/>
          <w:color w:val="auto"/>
          <w:sz w:val="24"/>
          <w:highlight w:val="none"/>
        </w:rPr>
        <w:t>21.1本工程要做好与外部相关部门的沟通衔接，做好施工时的安全保护措施。</w:t>
      </w:r>
    </w:p>
    <w:p w14:paraId="085A5DC4">
      <w:pPr>
        <w:spacing w:line="360" w:lineRule="auto"/>
        <w:ind w:firstLine="475" w:firstLineChars="198"/>
        <w:rPr>
          <w:rFonts w:ascii="宋体" w:hAnsi="宋体"/>
          <w:color w:val="auto"/>
          <w:sz w:val="24"/>
          <w:highlight w:val="none"/>
        </w:rPr>
      </w:pPr>
      <w:r>
        <w:rPr>
          <w:rFonts w:hint="eastAsia" w:ascii="宋体" w:hAnsi="宋体"/>
          <w:color w:val="auto"/>
          <w:sz w:val="24"/>
          <w:highlight w:val="none"/>
        </w:rPr>
        <w:t>21.2工程质量与进度的补充约定：对放线验线、隐蔽工程等关键工序，在发包人和监理方验收后，发包人仍可请权威机构进行复核或复验，复核或复验合格，则由发包人承担相应的复核、检验费用；如不合格，则由承包人承担相应复核、检验费用、返工费用及造成的一切损失。</w:t>
      </w:r>
    </w:p>
    <w:p w14:paraId="48428DAD">
      <w:pPr>
        <w:spacing w:line="360" w:lineRule="auto"/>
        <w:ind w:firstLine="475" w:firstLineChars="198"/>
        <w:rPr>
          <w:rFonts w:ascii="宋体" w:hAnsi="宋体"/>
          <w:color w:val="auto"/>
          <w:sz w:val="24"/>
          <w:highlight w:val="none"/>
        </w:rPr>
      </w:pPr>
      <w:r>
        <w:rPr>
          <w:rFonts w:hint="eastAsia" w:ascii="宋体" w:hAnsi="宋体"/>
          <w:color w:val="auto"/>
          <w:sz w:val="24"/>
          <w:highlight w:val="none"/>
        </w:rPr>
        <w:t>21.3工程的保管</w:t>
      </w:r>
    </w:p>
    <w:p w14:paraId="3A2D2675">
      <w:pPr>
        <w:spacing w:line="360" w:lineRule="auto"/>
        <w:ind w:firstLine="475" w:firstLineChars="198"/>
        <w:rPr>
          <w:rFonts w:ascii="宋体" w:hAnsi="宋体"/>
          <w:color w:val="auto"/>
          <w:sz w:val="24"/>
          <w:highlight w:val="none"/>
        </w:rPr>
      </w:pPr>
      <w:r>
        <w:rPr>
          <w:rFonts w:hint="eastAsia" w:ascii="宋体" w:hAnsi="宋体"/>
          <w:color w:val="auto"/>
          <w:sz w:val="24"/>
          <w:highlight w:val="none"/>
        </w:rPr>
        <w:t>21.3.1开工日后，施工场地由承包人负责保管并负担保管费用。</w:t>
      </w:r>
    </w:p>
    <w:p w14:paraId="2BA68B09">
      <w:pPr>
        <w:spacing w:line="360" w:lineRule="auto"/>
        <w:ind w:firstLine="475" w:firstLineChars="198"/>
        <w:rPr>
          <w:rFonts w:ascii="宋体" w:hAnsi="宋体"/>
          <w:color w:val="auto"/>
          <w:sz w:val="24"/>
          <w:highlight w:val="none"/>
        </w:rPr>
      </w:pPr>
      <w:r>
        <w:rPr>
          <w:rFonts w:hint="eastAsia" w:ascii="宋体" w:hAnsi="宋体"/>
          <w:color w:val="auto"/>
          <w:sz w:val="24"/>
          <w:highlight w:val="none"/>
        </w:rPr>
        <w:t>21.3.2施工期间，承包人实施的在建工程，承包人采购的物资、使用的设备，以及发包人采购但已经交付给承包人的物资、设备，由承包人负责保管并负担保管费用。</w:t>
      </w:r>
    </w:p>
    <w:p w14:paraId="44806C23">
      <w:pPr>
        <w:spacing w:line="360" w:lineRule="auto"/>
        <w:ind w:firstLine="475" w:firstLineChars="198"/>
        <w:rPr>
          <w:rFonts w:ascii="宋体" w:hAnsi="宋体"/>
          <w:color w:val="auto"/>
          <w:sz w:val="24"/>
          <w:highlight w:val="none"/>
        </w:rPr>
      </w:pPr>
      <w:r>
        <w:rPr>
          <w:rFonts w:hint="eastAsia" w:ascii="宋体" w:hAnsi="宋体"/>
          <w:color w:val="auto"/>
          <w:sz w:val="24"/>
          <w:highlight w:val="none"/>
        </w:rPr>
        <w:t>21.3.3竣工日后到依据专用条款确定的工程移交日前，竣工工程（包括附属设备、设施），由承包人负责保管并负担保管费用。</w:t>
      </w:r>
    </w:p>
    <w:p w14:paraId="1D5D04F3">
      <w:pPr>
        <w:spacing w:line="360" w:lineRule="auto"/>
        <w:ind w:firstLine="475" w:firstLineChars="198"/>
        <w:rPr>
          <w:rFonts w:ascii="宋体" w:hAnsi="宋体"/>
          <w:color w:val="auto"/>
          <w:sz w:val="24"/>
          <w:highlight w:val="none"/>
        </w:rPr>
      </w:pPr>
      <w:r>
        <w:rPr>
          <w:rFonts w:hint="eastAsia" w:ascii="宋体" w:hAnsi="宋体"/>
          <w:color w:val="auto"/>
          <w:sz w:val="24"/>
          <w:highlight w:val="none"/>
        </w:rPr>
        <w:t>21.3.4依据专用条款确定的工程移交日后，对于承包人已经移交给发包人的竣工工程（包括附属设备、设施），由发包人负责保管并负担保管费用；对于承包人尚未移交给发包人的竣工工程（包括附属设备、设施），由承包人负责保管并负担保管费用。</w:t>
      </w:r>
    </w:p>
    <w:p w14:paraId="28443432">
      <w:pPr>
        <w:spacing w:line="360" w:lineRule="auto"/>
        <w:ind w:firstLine="475" w:firstLineChars="198"/>
        <w:rPr>
          <w:rFonts w:ascii="宋体" w:hAnsi="宋体"/>
          <w:color w:val="auto"/>
          <w:sz w:val="24"/>
          <w:highlight w:val="none"/>
        </w:rPr>
      </w:pPr>
      <w:r>
        <w:rPr>
          <w:rFonts w:hint="eastAsia" w:ascii="宋体" w:hAnsi="宋体"/>
          <w:color w:val="auto"/>
          <w:sz w:val="24"/>
          <w:highlight w:val="none"/>
        </w:rPr>
        <w:t>21.3.5在承包人保管期间，发生工程、物资、设施设备等损坏、减少、灭失的，承包人应及时自费修复、补足、恢复原状。若承包人无法自行修复、补足、恢复原状的，应及时书面告知发包人，并承担由此产生的全部赔偿责任。造成的工期延期的，由承包人自行承担。</w:t>
      </w:r>
    </w:p>
    <w:p w14:paraId="39D7E619">
      <w:pPr>
        <w:spacing w:line="360" w:lineRule="auto"/>
        <w:ind w:firstLine="475" w:firstLineChars="198"/>
        <w:rPr>
          <w:rFonts w:ascii="宋体" w:hAnsi="宋体"/>
          <w:color w:val="auto"/>
          <w:sz w:val="24"/>
          <w:highlight w:val="none"/>
        </w:rPr>
      </w:pPr>
      <w:r>
        <w:rPr>
          <w:rFonts w:hint="eastAsia" w:ascii="宋体" w:hAnsi="宋体"/>
          <w:color w:val="auto"/>
          <w:sz w:val="24"/>
          <w:highlight w:val="none"/>
        </w:rPr>
        <w:t>21.4合格工程的移交</w:t>
      </w:r>
    </w:p>
    <w:p w14:paraId="6E9C4074">
      <w:pPr>
        <w:spacing w:line="360" w:lineRule="auto"/>
        <w:ind w:firstLine="475" w:firstLineChars="198"/>
        <w:rPr>
          <w:rFonts w:ascii="宋体" w:hAnsi="宋体"/>
          <w:color w:val="auto"/>
          <w:sz w:val="24"/>
          <w:highlight w:val="none"/>
        </w:rPr>
      </w:pPr>
      <w:r>
        <w:rPr>
          <w:rFonts w:hint="eastAsia" w:ascii="宋体" w:hAnsi="宋体"/>
          <w:color w:val="auto"/>
          <w:sz w:val="24"/>
          <w:highlight w:val="none"/>
        </w:rPr>
        <w:t>21.4.1通过竣工验收程序、发包人确认竣工工程验收合格后，承包人应在发包人通知的期限内向发包人办理工程移交手续；承包人不得以任何理由拒绝在发包人通知的期限内完整地向发包人移交工程，否则，发包人有权拒绝办理竣工结算及支付剩余的工程价款。</w:t>
      </w:r>
    </w:p>
    <w:p w14:paraId="18804B38">
      <w:pPr>
        <w:spacing w:line="360" w:lineRule="auto"/>
        <w:ind w:firstLine="475" w:firstLineChars="198"/>
        <w:rPr>
          <w:rFonts w:ascii="宋体" w:hAnsi="宋体"/>
          <w:color w:val="auto"/>
          <w:sz w:val="24"/>
          <w:highlight w:val="none"/>
        </w:rPr>
      </w:pPr>
      <w:r>
        <w:rPr>
          <w:rFonts w:hint="eastAsia" w:ascii="宋体" w:hAnsi="宋体"/>
          <w:color w:val="auto"/>
          <w:sz w:val="24"/>
          <w:highlight w:val="none"/>
        </w:rPr>
        <w:t>21.4.2承包人应当向发包人实施工程移交的内容包括但不限于：</w:t>
      </w:r>
    </w:p>
    <w:p w14:paraId="5497136A">
      <w:pPr>
        <w:spacing w:line="360" w:lineRule="auto"/>
        <w:ind w:firstLine="475" w:firstLineChars="198"/>
        <w:rPr>
          <w:rFonts w:ascii="宋体" w:hAnsi="宋体"/>
          <w:color w:val="auto"/>
          <w:sz w:val="24"/>
          <w:highlight w:val="none"/>
        </w:rPr>
      </w:pPr>
      <w:r>
        <w:rPr>
          <w:rFonts w:hint="eastAsia" w:ascii="宋体" w:hAnsi="宋体"/>
          <w:color w:val="auto"/>
          <w:sz w:val="24"/>
          <w:highlight w:val="none"/>
        </w:rPr>
        <w:t>承包人实施承包的全部工程；</w:t>
      </w:r>
    </w:p>
    <w:p w14:paraId="797BE83D">
      <w:pPr>
        <w:spacing w:line="360" w:lineRule="auto"/>
        <w:ind w:firstLine="475" w:firstLineChars="198"/>
        <w:rPr>
          <w:rFonts w:ascii="宋体" w:hAnsi="宋体"/>
          <w:color w:val="auto"/>
          <w:sz w:val="24"/>
          <w:highlight w:val="none"/>
        </w:rPr>
      </w:pPr>
      <w:r>
        <w:rPr>
          <w:rFonts w:hint="eastAsia" w:ascii="宋体" w:hAnsi="宋体"/>
          <w:color w:val="auto"/>
          <w:sz w:val="24"/>
          <w:highlight w:val="none"/>
        </w:rPr>
        <w:t>工程竣工资料原件（包括但不限于：工程施工资料，工程质量保证资料，工程检验评定资料，竣工图，规定的其他应交资料、各种管线图纸、以及设备的使用说明书、质量保证书、维修卡等）；</w:t>
      </w:r>
    </w:p>
    <w:p w14:paraId="38BC3FB4">
      <w:pPr>
        <w:spacing w:line="360" w:lineRule="auto"/>
        <w:ind w:firstLine="475" w:firstLineChars="198"/>
        <w:rPr>
          <w:rFonts w:ascii="宋体" w:hAnsi="宋体"/>
          <w:color w:val="auto"/>
          <w:sz w:val="24"/>
          <w:highlight w:val="none"/>
        </w:rPr>
      </w:pPr>
      <w:r>
        <w:rPr>
          <w:rFonts w:hint="eastAsia" w:ascii="宋体" w:hAnsi="宋体"/>
          <w:color w:val="auto"/>
          <w:sz w:val="24"/>
          <w:highlight w:val="none"/>
        </w:rPr>
        <w:t>其他属于承包人移交义务的工程、设施、设备、文件资料。</w:t>
      </w:r>
    </w:p>
    <w:p w14:paraId="1F2BD2D2">
      <w:pPr>
        <w:spacing w:line="360" w:lineRule="auto"/>
        <w:ind w:firstLine="475" w:firstLineChars="198"/>
        <w:rPr>
          <w:rFonts w:ascii="宋体" w:hAnsi="宋体"/>
          <w:color w:val="auto"/>
          <w:sz w:val="24"/>
          <w:highlight w:val="none"/>
        </w:rPr>
      </w:pPr>
      <w:r>
        <w:rPr>
          <w:rFonts w:hint="eastAsia" w:ascii="宋体" w:hAnsi="宋体"/>
          <w:color w:val="auto"/>
          <w:sz w:val="24"/>
          <w:highlight w:val="none"/>
        </w:rPr>
        <w:t>21.5承包人应落实或提供在工程质保期间的维保人员，并接受发包人的整改意见，承诺于24小时内作出回复，如有延误，发包方有权自行安排整改，其费用在承包人的费用中扣除。</w:t>
      </w:r>
    </w:p>
    <w:p w14:paraId="5E04F79D">
      <w:pPr>
        <w:spacing w:line="360" w:lineRule="auto"/>
        <w:ind w:firstLine="475" w:firstLineChars="198"/>
        <w:rPr>
          <w:rFonts w:ascii="宋体" w:hAnsi="宋体"/>
          <w:color w:val="auto"/>
          <w:sz w:val="24"/>
          <w:highlight w:val="none"/>
        </w:rPr>
      </w:pPr>
      <w:r>
        <w:rPr>
          <w:rFonts w:hint="eastAsia" w:ascii="宋体" w:hAnsi="宋体"/>
          <w:color w:val="auto"/>
          <w:sz w:val="24"/>
          <w:highlight w:val="none"/>
        </w:rPr>
        <w:t>21.6发包人需严格按双方约定的材料、设备供应、品牌要求和安装进度计划表实施。</w:t>
      </w:r>
    </w:p>
    <w:p w14:paraId="5B8742E0">
      <w:pPr>
        <w:spacing w:line="360" w:lineRule="auto"/>
        <w:ind w:firstLine="475" w:firstLineChars="198"/>
        <w:rPr>
          <w:rFonts w:ascii="宋体" w:hAnsi="宋体"/>
          <w:color w:val="auto"/>
          <w:sz w:val="24"/>
          <w:highlight w:val="none"/>
        </w:rPr>
      </w:pPr>
      <w:r>
        <w:rPr>
          <w:rFonts w:hint="eastAsia" w:ascii="宋体" w:hAnsi="宋体"/>
          <w:color w:val="auto"/>
          <w:sz w:val="24"/>
          <w:highlight w:val="none"/>
        </w:rPr>
        <w:t>21.7发包人和承包人一致同意招标文件和询标纪要中实质性条款作为本协议书的专用条款，是今后合同履行的重要依据。承包人在投标文件中单方面设置限制招标人的条款和内容应自行承担废标风险。投标文件中所有在招标文件约定内容之外的与费用、进度、质量、索赔等有关的制约性内容在承包人中标后，经发包人作出书面确认之前，均视作无效。</w:t>
      </w:r>
    </w:p>
    <w:p w14:paraId="002464AC">
      <w:pPr>
        <w:spacing w:line="360" w:lineRule="auto"/>
        <w:ind w:firstLine="475" w:firstLineChars="198"/>
        <w:rPr>
          <w:rFonts w:ascii="宋体" w:hAnsi="宋体"/>
          <w:color w:val="auto"/>
          <w:sz w:val="24"/>
          <w:highlight w:val="none"/>
        </w:rPr>
      </w:pPr>
      <w:r>
        <w:rPr>
          <w:rFonts w:hint="eastAsia" w:ascii="宋体" w:hAnsi="宋体"/>
          <w:color w:val="auto"/>
          <w:sz w:val="24"/>
          <w:highlight w:val="none"/>
        </w:rPr>
        <w:t>21.8承包人应确保民工工资的及时支付，如不及时支付，视作违约，发包人有权代承包人支付民工工资，并在工程款中扣除。</w:t>
      </w:r>
    </w:p>
    <w:p w14:paraId="4190CDE4">
      <w:pPr>
        <w:spacing w:line="360" w:lineRule="auto"/>
        <w:ind w:firstLine="475" w:firstLineChars="198"/>
        <w:rPr>
          <w:rFonts w:ascii="宋体" w:hAnsi="宋体"/>
          <w:color w:val="auto"/>
          <w:sz w:val="24"/>
          <w:highlight w:val="none"/>
        </w:rPr>
      </w:pPr>
      <w:r>
        <w:rPr>
          <w:rFonts w:hint="eastAsia" w:ascii="宋体" w:hAnsi="宋体"/>
          <w:color w:val="auto"/>
          <w:sz w:val="24"/>
          <w:highlight w:val="none"/>
        </w:rPr>
        <w:t>21.9承包人在中标后不得以任何理由拒绝发包人要求的工程量的增加或减少及工作内容的变更。</w:t>
      </w:r>
    </w:p>
    <w:p w14:paraId="70C13D51">
      <w:pPr>
        <w:spacing w:line="360" w:lineRule="auto"/>
        <w:ind w:firstLine="475" w:firstLineChars="198"/>
        <w:rPr>
          <w:rFonts w:ascii="宋体" w:hAnsi="宋体"/>
          <w:color w:val="auto"/>
          <w:sz w:val="24"/>
          <w:highlight w:val="none"/>
        </w:rPr>
      </w:pPr>
      <w:r>
        <w:rPr>
          <w:rFonts w:hint="eastAsia" w:ascii="宋体" w:hAnsi="宋体"/>
          <w:color w:val="auto"/>
          <w:sz w:val="24"/>
          <w:highlight w:val="none"/>
        </w:rPr>
        <w:t>21.10承包人在中标后视为对招标文件中和投标文件中的承诺，不得随意提出材料品种和规格的变更，除非发包人和设计的同意，也不得以采购困难等理由延误工期，否则发包人可自行组织采购，视为甲供材料，费用从承包人工程款中扣除。</w:t>
      </w:r>
    </w:p>
    <w:p w14:paraId="0CF77AB7">
      <w:pPr>
        <w:spacing w:line="360" w:lineRule="auto"/>
        <w:ind w:firstLine="475" w:firstLineChars="198"/>
        <w:rPr>
          <w:rFonts w:ascii="宋体" w:hAnsi="宋体"/>
          <w:color w:val="auto"/>
          <w:sz w:val="24"/>
          <w:highlight w:val="none"/>
        </w:rPr>
      </w:pPr>
      <w:r>
        <w:rPr>
          <w:rFonts w:hint="eastAsia" w:ascii="宋体" w:hAnsi="宋体"/>
          <w:color w:val="auto"/>
          <w:sz w:val="24"/>
          <w:highlight w:val="none"/>
        </w:rPr>
        <w:t>21.11委托中介机构对承包人提交的竣工结算报告进行审核（计）时，承包人必须根据发包人及中介机构的要求履行配合义务，因承包人不配合中介机构，导致中介机构无法及时完成造价审核（审计）的，责任由承包人承担，承包人不得以此要求发包人承担逾期付款违约责任，且承包人赔偿因给发包人造成的损失。</w:t>
      </w:r>
    </w:p>
    <w:p w14:paraId="731BEA2C">
      <w:pPr>
        <w:spacing w:line="360" w:lineRule="auto"/>
        <w:ind w:firstLine="475" w:firstLineChars="198"/>
        <w:rPr>
          <w:rFonts w:ascii="宋体" w:hAnsi="宋体"/>
          <w:color w:val="auto"/>
          <w:sz w:val="24"/>
          <w:highlight w:val="none"/>
        </w:rPr>
      </w:pPr>
      <w:r>
        <w:rPr>
          <w:rFonts w:hint="eastAsia" w:ascii="宋体" w:hAnsi="宋体"/>
          <w:color w:val="auto"/>
          <w:sz w:val="24"/>
          <w:highlight w:val="none"/>
        </w:rPr>
        <w:t>发包人向承包人提交审核报告（审计报告）后30日内，承包人未提出意见的，视为承包人认可该审核报告（审计报告），发包人按审核报告支付结算款。</w:t>
      </w:r>
    </w:p>
    <w:p w14:paraId="36EA684F">
      <w:pPr>
        <w:spacing w:line="360" w:lineRule="auto"/>
        <w:ind w:firstLine="475" w:firstLineChars="198"/>
        <w:rPr>
          <w:color w:val="auto"/>
          <w:highlight w:val="none"/>
        </w:rPr>
      </w:pPr>
      <w:r>
        <w:rPr>
          <w:rFonts w:ascii="宋体" w:hAnsi="宋体"/>
          <w:color w:val="auto"/>
          <w:sz w:val="24"/>
          <w:highlight w:val="none"/>
        </w:rPr>
        <w:t>21.12本工程场地受限，无临时占地修建临时设施的条件，投标人须考虑自行解决，并承担由此产生的费用，投标人要充分考虑本风险因素并在投标中考虑报价。</w:t>
      </w:r>
      <w:r>
        <w:rPr>
          <w:color w:val="auto"/>
          <w:highlight w:val="none"/>
        </w:rPr>
        <w:br w:type="page"/>
      </w:r>
    </w:p>
    <w:p w14:paraId="6787E500">
      <w:pPr>
        <w:pStyle w:val="970"/>
        <w:ind w:left="368" w:leftChars="175" w:firstLine="210" w:firstLineChars="100"/>
        <w:rPr>
          <w:color w:val="auto"/>
          <w:highlight w:val="none"/>
        </w:rPr>
      </w:pPr>
    </w:p>
    <w:p w14:paraId="2F259BA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p>
    <w:p w14:paraId="6640A8B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1.承包人承揽工程项目一览表</w:t>
      </w:r>
    </w:p>
    <w:p w14:paraId="152806B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2.发包人供应材料设备一览表</w:t>
      </w:r>
    </w:p>
    <w:p w14:paraId="5404A4A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3.工程质量保修书、安全生产责任协议书、工程建设施工廉政协议书</w:t>
      </w:r>
    </w:p>
    <w:p w14:paraId="197ABBC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4.主要建设工程文件目录</w:t>
      </w:r>
    </w:p>
    <w:p w14:paraId="7DDEB06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5.承包人用于本工程施工的机械设备表</w:t>
      </w:r>
    </w:p>
    <w:p w14:paraId="1F5E37A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6.承包人主要施工管理人员表</w:t>
      </w:r>
    </w:p>
    <w:p w14:paraId="5CFCE86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7.分包人主要施工管理人员表</w:t>
      </w:r>
    </w:p>
    <w:p w14:paraId="10F3F52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8.履约担保格式</w:t>
      </w:r>
    </w:p>
    <w:p w14:paraId="254A9A8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9.预付款担保格式</w:t>
      </w:r>
    </w:p>
    <w:p w14:paraId="0C61D55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10.支付担保格式（财政性投资项目按相关规定执行）</w:t>
      </w:r>
    </w:p>
    <w:p w14:paraId="0A133DB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11.暂估价一览表</w:t>
      </w:r>
    </w:p>
    <w:p w14:paraId="2F958C4C">
      <w:pPr>
        <w:rPr>
          <w:rFonts w:ascii="仿宋" w:hAnsi="仿宋" w:eastAsia="仿宋"/>
          <w:color w:val="auto"/>
          <w:sz w:val="32"/>
          <w:highlight w:val="none"/>
        </w:rPr>
      </w:pPr>
    </w:p>
    <w:p w14:paraId="17D95889">
      <w:pPr>
        <w:rPr>
          <w:rFonts w:ascii="仿宋" w:hAnsi="仿宋" w:eastAsia="仿宋"/>
          <w:color w:val="auto"/>
          <w:sz w:val="32"/>
          <w:highlight w:val="none"/>
        </w:rPr>
      </w:pPr>
    </w:p>
    <w:p w14:paraId="08FB82E1">
      <w:pPr>
        <w:rPr>
          <w:rFonts w:ascii="黑体" w:hAnsi="黑体" w:eastAsia="黑体"/>
          <w:color w:val="auto"/>
          <w:sz w:val="32"/>
          <w:highlight w:val="none"/>
        </w:rPr>
        <w:sectPr>
          <w:headerReference r:id="rId8" w:type="default"/>
          <w:footerReference r:id="rId9" w:type="default"/>
          <w:pgSz w:w="11905" w:h="16838"/>
          <w:pgMar w:top="1417" w:right="1417" w:bottom="1417" w:left="1417" w:header="850" w:footer="992" w:gutter="0"/>
          <w:pgNumType w:fmt="decimal"/>
          <w:cols w:space="0" w:num="1"/>
          <w:titlePg/>
          <w:rtlGutter w:val="0"/>
          <w:docGrid w:linePitch="578" w:charSpace="0"/>
        </w:sectPr>
      </w:pPr>
    </w:p>
    <w:p w14:paraId="1A73311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w:t>
      </w:r>
    </w:p>
    <w:p w14:paraId="6CEF2ECF">
      <w:pPr>
        <w:rPr>
          <w:rFonts w:hint="eastAsia" w:ascii="宋体" w:hAnsi="宋体" w:eastAsia="宋体" w:cs="宋体"/>
          <w:color w:val="auto"/>
          <w:sz w:val="24"/>
          <w:szCs w:val="24"/>
          <w:highlight w:val="none"/>
        </w:rPr>
      </w:pPr>
    </w:p>
    <w:p w14:paraId="6D1F579C">
      <w:pPr>
        <w:spacing w:line="56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承包人承揽工程项目一览表</w:t>
      </w:r>
    </w:p>
    <w:p w14:paraId="7D4A071D">
      <w:pPr>
        <w:rPr>
          <w:rFonts w:hint="eastAsia" w:ascii="宋体" w:hAnsi="宋体" w:eastAsia="宋体" w:cs="宋体"/>
          <w:color w:val="auto"/>
          <w:sz w:val="24"/>
          <w:szCs w:val="24"/>
          <w:highlight w:val="none"/>
        </w:rPr>
      </w:pPr>
    </w:p>
    <w:tbl>
      <w:tblPr>
        <w:tblStyle w:val="62"/>
        <w:tblW w:w="9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41"/>
        <w:gridCol w:w="949"/>
        <w:gridCol w:w="1090"/>
        <w:gridCol w:w="797"/>
        <w:gridCol w:w="451"/>
        <w:gridCol w:w="793"/>
        <w:gridCol w:w="1146"/>
        <w:gridCol w:w="1223"/>
        <w:gridCol w:w="756"/>
        <w:gridCol w:w="796"/>
      </w:tblGrid>
      <w:tr w14:paraId="1D004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2" w:hRule="atLeast"/>
          <w:jc w:val="center"/>
        </w:trPr>
        <w:tc>
          <w:tcPr>
            <w:tcW w:w="1141" w:type="dxa"/>
            <w:tcBorders>
              <w:top w:val="single" w:color="auto" w:sz="4" w:space="0"/>
              <w:left w:val="single" w:color="auto" w:sz="4" w:space="0"/>
              <w:bottom w:val="single" w:color="auto" w:sz="4" w:space="0"/>
              <w:right w:val="single" w:color="auto" w:sz="4" w:space="0"/>
            </w:tcBorders>
            <w:noWrap w:val="0"/>
            <w:vAlign w:val="center"/>
          </w:tcPr>
          <w:p w14:paraId="2A196C53">
            <w:pPr>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单位工程名称</w:t>
            </w:r>
          </w:p>
        </w:tc>
        <w:tc>
          <w:tcPr>
            <w:tcW w:w="949" w:type="dxa"/>
            <w:tcBorders>
              <w:top w:val="single" w:color="auto" w:sz="4" w:space="0"/>
              <w:left w:val="single" w:color="auto" w:sz="4" w:space="0"/>
              <w:bottom w:val="single" w:color="auto" w:sz="4" w:space="0"/>
              <w:right w:val="single" w:color="auto" w:sz="4" w:space="0"/>
            </w:tcBorders>
            <w:noWrap w:val="0"/>
            <w:vAlign w:val="center"/>
          </w:tcPr>
          <w:p w14:paraId="3F996D29">
            <w:pPr>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建设规模</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07B54124">
            <w:pPr>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建筑面积(m</w:t>
            </w:r>
            <w:r>
              <w:rPr>
                <w:rFonts w:hint="eastAsia" w:ascii="宋体" w:hAnsi="宋体" w:eastAsia="宋体" w:cs="宋体"/>
                <w:b/>
                <w:color w:val="auto"/>
                <w:sz w:val="24"/>
                <w:szCs w:val="24"/>
                <w:highlight w:val="none"/>
                <w:vertAlign w:val="superscript"/>
              </w:rPr>
              <w:t>2</w:t>
            </w:r>
            <w:r>
              <w:rPr>
                <w:rFonts w:hint="eastAsia" w:ascii="宋体" w:hAnsi="宋体" w:eastAsia="宋体" w:cs="宋体"/>
                <w:b/>
                <w:color w:val="auto"/>
                <w:sz w:val="24"/>
                <w:szCs w:val="24"/>
                <w:highlight w:val="none"/>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14:paraId="72AB5C83">
            <w:pPr>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结构形式</w:t>
            </w:r>
          </w:p>
        </w:tc>
        <w:tc>
          <w:tcPr>
            <w:tcW w:w="451" w:type="dxa"/>
            <w:tcBorders>
              <w:top w:val="single" w:color="auto" w:sz="4" w:space="0"/>
              <w:left w:val="single" w:color="auto" w:sz="4" w:space="0"/>
              <w:bottom w:val="single" w:color="auto" w:sz="4" w:space="0"/>
              <w:right w:val="single" w:color="auto" w:sz="4" w:space="0"/>
            </w:tcBorders>
            <w:noWrap w:val="0"/>
            <w:vAlign w:val="center"/>
          </w:tcPr>
          <w:p w14:paraId="1C45BA67">
            <w:pPr>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层数</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76B64E3C">
            <w:pPr>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生产能力</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70A5076A">
            <w:pPr>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设备安装内容</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004BC75F">
            <w:pPr>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合同价格（元）</w:t>
            </w:r>
          </w:p>
        </w:tc>
        <w:tc>
          <w:tcPr>
            <w:tcW w:w="756" w:type="dxa"/>
            <w:tcBorders>
              <w:top w:val="single" w:color="auto" w:sz="4" w:space="0"/>
              <w:left w:val="single" w:color="auto" w:sz="4" w:space="0"/>
              <w:bottom w:val="single" w:color="auto" w:sz="4" w:space="0"/>
              <w:right w:val="single" w:color="auto" w:sz="4" w:space="0"/>
            </w:tcBorders>
            <w:noWrap w:val="0"/>
            <w:vAlign w:val="center"/>
          </w:tcPr>
          <w:p w14:paraId="689A2E68">
            <w:pPr>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开工日期</w:t>
            </w:r>
          </w:p>
        </w:tc>
        <w:tc>
          <w:tcPr>
            <w:tcW w:w="796" w:type="dxa"/>
            <w:tcBorders>
              <w:top w:val="single" w:color="auto" w:sz="4" w:space="0"/>
              <w:left w:val="single" w:color="auto" w:sz="4" w:space="0"/>
              <w:bottom w:val="single" w:color="auto" w:sz="4" w:space="0"/>
              <w:right w:val="single" w:color="auto" w:sz="4" w:space="0"/>
            </w:tcBorders>
            <w:noWrap w:val="0"/>
            <w:vAlign w:val="center"/>
          </w:tcPr>
          <w:p w14:paraId="448E451F">
            <w:pPr>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竣工日期</w:t>
            </w:r>
          </w:p>
        </w:tc>
      </w:tr>
      <w:tr w14:paraId="5940E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2" w:hRule="atLeast"/>
          <w:jc w:val="center"/>
        </w:trPr>
        <w:tc>
          <w:tcPr>
            <w:tcW w:w="1141" w:type="dxa"/>
            <w:tcBorders>
              <w:top w:val="single" w:color="auto" w:sz="4" w:space="0"/>
              <w:left w:val="single" w:color="auto" w:sz="4" w:space="0"/>
              <w:bottom w:val="single" w:color="auto" w:sz="4" w:space="0"/>
              <w:right w:val="single" w:color="auto" w:sz="4" w:space="0"/>
            </w:tcBorders>
            <w:noWrap w:val="0"/>
            <w:vAlign w:val="center"/>
          </w:tcPr>
          <w:p w14:paraId="49F23485">
            <w:pPr>
              <w:spacing w:line="320" w:lineRule="exact"/>
              <w:jc w:val="center"/>
              <w:rPr>
                <w:rFonts w:hint="eastAsia" w:ascii="宋体" w:hAnsi="宋体" w:eastAsia="宋体" w:cs="宋体"/>
                <w:color w:val="auto"/>
                <w:sz w:val="24"/>
                <w:szCs w:val="24"/>
                <w:highlight w:val="none"/>
              </w:rPr>
            </w:pPr>
          </w:p>
        </w:tc>
        <w:tc>
          <w:tcPr>
            <w:tcW w:w="949" w:type="dxa"/>
            <w:tcBorders>
              <w:top w:val="single" w:color="auto" w:sz="4" w:space="0"/>
              <w:left w:val="single" w:color="auto" w:sz="4" w:space="0"/>
              <w:bottom w:val="single" w:color="auto" w:sz="4" w:space="0"/>
              <w:right w:val="single" w:color="auto" w:sz="4" w:space="0"/>
            </w:tcBorders>
            <w:noWrap w:val="0"/>
            <w:vAlign w:val="center"/>
          </w:tcPr>
          <w:p w14:paraId="4E77D81B">
            <w:pPr>
              <w:spacing w:line="320" w:lineRule="exact"/>
              <w:jc w:val="center"/>
              <w:rPr>
                <w:rFonts w:hint="eastAsia" w:ascii="宋体" w:hAnsi="宋体" w:eastAsia="宋体" w:cs="宋体"/>
                <w:color w:val="auto"/>
                <w:sz w:val="24"/>
                <w:szCs w:val="24"/>
                <w:highlight w:val="none"/>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14:paraId="3642BA62">
            <w:pPr>
              <w:spacing w:line="320" w:lineRule="exact"/>
              <w:jc w:val="center"/>
              <w:rPr>
                <w:rFonts w:hint="eastAsia" w:ascii="宋体" w:hAnsi="宋体" w:eastAsia="宋体" w:cs="宋体"/>
                <w:color w:val="auto"/>
                <w:sz w:val="24"/>
                <w:szCs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14:paraId="01E98E03">
            <w:pPr>
              <w:spacing w:line="320" w:lineRule="exact"/>
              <w:jc w:val="center"/>
              <w:rPr>
                <w:rFonts w:hint="eastAsia" w:ascii="宋体" w:hAnsi="宋体" w:eastAsia="宋体" w:cs="宋体"/>
                <w:color w:val="auto"/>
                <w:sz w:val="24"/>
                <w:szCs w:val="24"/>
                <w:highlight w:val="none"/>
              </w:rPr>
            </w:pPr>
          </w:p>
        </w:tc>
        <w:tc>
          <w:tcPr>
            <w:tcW w:w="451" w:type="dxa"/>
            <w:tcBorders>
              <w:top w:val="single" w:color="auto" w:sz="4" w:space="0"/>
              <w:left w:val="single" w:color="auto" w:sz="4" w:space="0"/>
              <w:bottom w:val="single" w:color="auto" w:sz="4" w:space="0"/>
              <w:right w:val="single" w:color="auto" w:sz="4" w:space="0"/>
            </w:tcBorders>
            <w:noWrap w:val="0"/>
            <w:vAlign w:val="center"/>
          </w:tcPr>
          <w:p w14:paraId="42308A79">
            <w:pPr>
              <w:spacing w:line="320" w:lineRule="exact"/>
              <w:jc w:val="center"/>
              <w:rPr>
                <w:rFonts w:hint="eastAsia" w:ascii="宋体" w:hAnsi="宋体" w:eastAsia="宋体" w:cs="宋体"/>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25017BBD">
            <w:pPr>
              <w:spacing w:line="320" w:lineRule="exact"/>
              <w:jc w:val="center"/>
              <w:rPr>
                <w:rFonts w:hint="eastAsia" w:ascii="宋体" w:hAnsi="宋体" w:eastAsia="宋体" w:cs="宋体"/>
                <w:color w:val="auto"/>
                <w:sz w:val="24"/>
                <w:szCs w:val="24"/>
                <w:highlight w:val="none"/>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043ACAF9">
            <w:pPr>
              <w:spacing w:line="320" w:lineRule="exact"/>
              <w:jc w:val="center"/>
              <w:rPr>
                <w:rFonts w:hint="eastAsia" w:ascii="宋体" w:hAnsi="宋体" w:eastAsia="宋体" w:cs="宋体"/>
                <w:color w:val="auto"/>
                <w:sz w:val="24"/>
                <w:szCs w:val="24"/>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14:paraId="27CF64DD">
            <w:pPr>
              <w:spacing w:line="320" w:lineRule="exact"/>
              <w:jc w:val="center"/>
              <w:rPr>
                <w:rFonts w:hint="eastAsia" w:ascii="宋体" w:hAnsi="宋体" w:eastAsia="宋体" w:cs="宋体"/>
                <w:color w:val="auto"/>
                <w:sz w:val="24"/>
                <w:szCs w:val="24"/>
                <w:highlight w:val="none"/>
              </w:rPr>
            </w:pPr>
          </w:p>
        </w:tc>
        <w:tc>
          <w:tcPr>
            <w:tcW w:w="756" w:type="dxa"/>
            <w:tcBorders>
              <w:top w:val="single" w:color="auto" w:sz="4" w:space="0"/>
              <w:left w:val="single" w:color="auto" w:sz="4" w:space="0"/>
              <w:bottom w:val="single" w:color="auto" w:sz="4" w:space="0"/>
              <w:right w:val="single" w:color="auto" w:sz="4" w:space="0"/>
            </w:tcBorders>
            <w:noWrap w:val="0"/>
            <w:vAlign w:val="center"/>
          </w:tcPr>
          <w:p w14:paraId="6B69CE3D">
            <w:pPr>
              <w:spacing w:line="320" w:lineRule="exact"/>
              <w:jc w:val="center"/>
              <w:rPr>
                <w:rFonts w:hint="eastAsia" w:ascii="宋体" w:hAnsi="宋体" w:eastAsia="宋体" w:cs="宋体"/>
                <w:color w:val="auto"/>
                <w:sz w:val="24"/>
                <w:szCs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14:paraId="38E45626">
            <w:pPr>
              <w:spacing w:line="320" w:lineRule="exact"/>
              <w:jc w:val="center"/>
              <w:rPr>
                <w:rFonts w:hint="eastAsia" w:ascii="宋体" w:hAnsi="宋体" w:eastAsia="宋体" w:cs="宋体"/>
                <w:color w:val="auto"/>
                <w:sz w:val="24"/>
                <w:szCs w:val="24"/>
                <w:highlight w:val="none"/>
              </w:rPr>
            </w:pPr>
          </w:p>
        </w:tc>
      </w:tr>
      <w:tr w14:paraId="0BAED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2" w:hRule="atLeast"/>
          <w:jc w:val="center"/>
        </w:trPr>
        <w:tc>
          <w:tcPr>
            <w:tcW w:w="1141" w:type="dxa"/>
            <w:tcBorders>
              <w:top w:val="single" w:color="auto" w:sz="4" w:space="0"/>
              <w:left w:val="single" w:color="auto" w:sz="4" w:space="0"/>
              <w:bottom w:val="single" w:color="auto" w:sz="4" w:space="0"/>
              <w:right w:val="single" w:color="auto" w:sz="4" w:space="0"/>
            </w:tcBorders>
            <w:noWrap w:val="0"/>
            <w:vAlign w:val="center"/>
          </w:tcPr>
          <w:p w14:paraId="70EB50B6">
            <w:pPr>
              <w:spacing w:line="320" w:lineRule="exact"/>
              <w:jc w:val="center"/>
              <w:rPr>
                <w:rFonts w:hint="eastAsia" w:ascii="宋体" w:hAnsi="宋体" w:eastAsia="宋体" w:cs="宋体"/>
                <w:color w:val="auto"/>
                <w:sz w:val="24"/>
                <w:szCs w:val="24"/>
                <w:highlight w:val="none"/>
              </w:rPr>
            </w:pPr>
          </w:p>
        </w:tc>
        <w:tc>
          <w:tcPr>
            <w:tcW w:w="949" w:type="dxa"/>
            <w:tcBorders>
              <w:top w:val="single" w:color="auto" w:sz="4" w:space="0"/>
              <w:left w:val="single" w:color="auto" w:sz="4" w:space="0"/>
              <w:bottom w:val="single" w:color="auto" w:sz="4" w:space="0"/>
              <w:right w:val="single" w:color="auto" w:sz="4" w:space="0"/>
            </w:tcBorders>
            <w:noWrap w:val="0"/>
            <w:vAlign w:val="center"/>
          </w:tcPr>
          <w:p w14:paraId="25CDECBA">
            <w:pPr>
              <w:spacing w:line="320" w:lineRule="exact"/>
              <w:jc w:val="center"/>
              <w:rPr>
                <w:rFonts w:hint="eastAsia" w:ascii="宋体" w:hAnsi="宋体" w:eastAsia="宋体" w:cs="宋体"/>
                <w:color w:val="auto"/>
                <w:sz w:val="24"/>
                <w:szCs w:val="24"/>
                <w:highlight w:val="none"/>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14:paraId="41B8363B">
            <w:pPr>
              <w:spacing w:line="320" w:lineRule="exact"/>
              <w:jc w:val="center"/>
              <w:rPr>
                <w:rFonts w:hint="eastAsia" w:ascii="宋体" w:hAnsi="宋体" w:eastAsia="宋体" w:cs="宋体"/>
                <w:color w:val="auto"/>
                <w:sz w:val="24"/>
                <w:szCs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14:paraId="2FC26602">
            <w:pPr>
              <w:spacing w:line="320" w:lineRule="exact"/>
              <w:jc w:val="center"/>
              <w:rPr>
                <w:rFonts w:hint="eastAsia" w:ascii="宋体" w:hAnsi="宋体" w:eastAsia="宋体" w:cs="宋体"/>
                <w:color w:val="auto"/>
                <w:sz w:val="24"/>
                <w:szCs w:val="24"/>
                <w:highlight w:val="none"/>
              </w:rPr>
            </w:pPr>
          </w:p>
        </w:tc>
        <w:tc>
          <w:tcPr>
            <w:tcW w:w="451" w:type="dxa"/>
            <w:tcBorders>
              <w:top w:val="single" w:color="auto" w:sz="4" w:space="0"/>
              <w:left w:val="single" w:color="auto" w:sz="4" w:space="0"/>
              <w:bottom w:val="single" w:color="auto" w:sz="4" w:space="0"/>
              <w:right w:val="single" w:color="auto" w:sz="4" w:space="0"/>
            </w:tcBorders>
            <w:noWrap w:val="0"/>
            <w:vAlign w:val="center"/>
          </w:tcPr>
          <w:p w14:paraId="1A18AD4B">
            <w:pPr>
              <w:spacing w:line="320" w:lineRule="exact"/>
              <w:jc w:val="center"/>
              <w:rPr>
                <w:rFonts w:hint="eastAsia" w:ascii="宋体" w:hAnsi="宋体" w:eastAsia="宋体" w:cs="宋体"/>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5F756508">
            <w:pPr>
              <w:spacing w:line="320" w:lineRule="exact"/>
              <w:jc w:val="center"/>
              <w:rPr>
                <w:rFonts w:hint="eastAsia" w:ascii="宋体" w:hAnsi="宋体" w:eastAsia="宋体" w:cs="宋体"/>
                <w:color w:val="auto"/>
                <w:sz w:val="24"/>
                <w:szCs w:val="24"/>
                <w:highlight w:val="none"/>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19677DA0">
            <w:pPr>
              <w:spacing w:line="320" w:lineRule="exact"/>
              <w:jc w:val="center"/>
              <w:rPr>
                <w:rFonts w:hint="eastAsia" w:ascii="宋体" w:hAnsi="宋体" w:eastAsia="宋体" w:cs="宋体"/>
                <w:color w:val="auto"/>
                <w:sz w:val="24"/>
                <w:szCs w:val="24"/>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14:paraId="48F161F6">
            <w:pPr>
              <w:spacing w:line="320" w:lineRule="exact"/>
              <w:jc w:val="center"/>
              <w:rPr>
                <w:rFonts w:hint="eastAsia" w:ascii="宋体" w:hAnsi="宋体" w:eastAsia="宋体" w:cs="宋体"/>
                <w:color w:val="auto"/>
                <w:sz w:val="24"/>
                <w:szCs w:val="24"/>
                <w:highlight w:val="none"/>
              </w:rPr>
            </w:pPr>
          </w:p>
        </w:tc>
        <w:tc>
          <w:tcPr>
            <w:tcW w:w="756" w:type="dxa"/>
            <w:tcBorders>
              <w:top w:val="single" w:color="auto" w:sz="4" w:space="0"/>
              <w:left w:val="single" w:color="auto" w:sz="4" w:space="0"/>
              <w:bottom w:val="single" w:color="auto" w:sz="4" w:space="0"/>
              <w:right w:val="single" w:color="auto" w:sz="4" w:space="0"/>
            </w:tcBorders>
            <w:noWrap w:val="0"/>
            <w:vAlign w:val="center"/>
          </w:tcPr>
          <w:p w14:paraId="6CDB8A2F">
            <w:pPr>
              <w:spacing w:line="320" w:lineRule="exact"/>
              <w:jc w:val="center"/>
              <w:rPr>
                <w:rFonts w:hint="eastAsia" w:ascii="宋体" w:hAnsi="宋体" w:eastAsia="宋体" w:cs="宋体"/>
                <w:color w:val="auto"/>
                <w:sz w:val="24"/>
                <w:szCs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14:paraId="341308F3">
            <w:pPr>
              <w:spacing w:line="320" w:lineRule="exact"/>
              <w:jc w:val="center"/>
              <w:rPr>
                <w:rFonts w:hint="eastAsia" w:ascii="宋体" w:hAnsi="宋体" w:eastAsia="宋体" w:cs="宋体"/>
                <w:color w:val="auto"/>
                <w:sz w:val="24"/>
                <w:szCs w:val="24"/>
                <w:highlight w:val="none"/>
              </w:rPr>
            </w:pPr>
          </w:p>
        </w:tc>
      </w:tr>
      <w:tr w14:paraId="708EB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2" w:hRule="atLeast"/>
          <w:jc w:val="center"/>
        </w:trPr>
        <w:tc>
          <w:tcPr>
            <w:tcW w:w="1141" w:type="dxa"/>
            <w:tcBorders>
              <w:top w:val="single" w:color="auto" w:sz="4" w:space="0"/>
              <w:left w:val="single" w:color="auto" w:sz="4" w:space="0"/>
              <w:bottom w:val="single" w:color="auto" w:sz="4" w:space="0"/>
              <w:right w:val="single" w:color="auto" w:sz="4" w:space="0"/>
            </w:tcBorders>
            <w:noWrap w:val="0"/>
            <w:vAlign w:val="center"/>
          </w:tcPr>
          <w:p w14:paraId="6AF045E3">
            <w:pPr>
              <w:spacing w:line="320" w:lineRule="exact"/>
              <w:jc w:val="center"/>
              <w:rPr>
                <w:rFonts w:hint="eastAsia" w:ascii="宋体" w:hAnsi="宋体" w:eastAsia="宋体" w:cs="宋体"/>
                <w:color w:val="auto"/>
                <w:sz w:val="24"/>
                <w:szCs w:val="24"/>
                <w:highlight w:val="none"/>
              </w:rPr>
            </w:pPr>
          </w:p>
        </w:tc>
        <w:tc>
          <w:tcPr>
            <w:tcW w:w="949" w:type="dxa"/>
            <w:tcBorders>
              <w:top w:val="single" w:color="auto" w:sz="4" w:space="0"/>
              <w:left w:val="single" w:color="auto" w:sz="4" w:space="0"/>
              <w:bottom w:val="single" w:color="auto" w:sz="4" w:space="0"/>
              <w:right w:val="single" w:color="auto" w:sz="4" w:space="0"/>
            </w:tcBorders>
            <w:noWrap w:val="0"/>
            <w:vAlign w:val="center"/>
          </w:tcPr>
          <w:p w14:paraId="1D5C0F12">
            <w:pPr>
              <w:spacing w:line="320" w:lineRule="exact"/>
              <w:jc w:val="center"/>
              <w:rPr>
                <w:rFonts w:hint="eastAsia" w:ascii="宋体" w:hAnsi="宋体" w:eastAsia="宋体" w:cs="宋体"/>
                <w:color w:val="auto"/>
                <w:sz w:val="24"/>
                <w:szCs w:val="24"/>
                <w:highlight w:val="none"/>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14:paraId="13E2DD48">
            <w:pPr>
              <w:spacing w:line="320" w:lineRule="exact"/>
              <w:jc w:val="center"/>
              <w:rPr>
                <w:rFonts w:hint="eastAsia" w:ascii="宋体" w:hAnsi="宋体" w:eastAsia="宋体" w:cs="宋体"/>
                <w:color w:val="auto"/>
                <w:sz w:val="24"/>
                <w:szCs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14:paraId="759BFFD6">
            <w:pPr>
              <w:spacing w:line="320" w:lineRule="exact"/>
              <w:jc w:val="center"/>
              <w:rPr>
                <w:rFonts w:hint="eastAsia" w:ascii="宋体" w:hAnsi="宋体" w:eastAsia="宋体" w:cs="宋体"/>
                <w:color w:val="auto"/>
                <w:sz w:val="24"/>
                <w:szCs w:val="24"/>
                <w:highlight w:val="none"/>
              </w:rPr>
            </w:pPr>
          </w:p>
        </w:tc>
        <w:tc>
          <w:tcPr>
            <w:tcW w:w="451" w:type="dxa"/>
            <w:tcBorders>
              <w:top w:val="single" w:color="auto" w:sz="4" w:space="0"/>
              <w:left w:val="single" w:color="auto" w:sz="4" w:space="0"/>
              <w:bottom w:val="single" w:color="auto" w:sz="4" w:space="0"/>
              <w:right w:val="single" w:color="auto" w:sz="4" w:space="0"/>
            </w:tcBorders>
            <w:noWrap w:val="0"/>
            <w:vAlign w:val="center"/>
          </w:tcPr>
          <w:p w14:paraId="0D8AC8FC">
            <w:pPr>
              <w:spacing w:line="320" w:lineRule="exact"/>
              <w:jc w:val="center"/>
              <w:rPr>
                <w:rFonts w:hint="eastAsia" w:ascii="宋体" w:hAnsi="宋体" w:eastAsia="宋体" w:cs="宋体"/>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03FCB76E">
            <w:pPr>
              <w:spacing w:line="320" w:lineRule="exact"/>
              <w:jc w:val="center"/>
              <w:rPr>
                <w:rFonts w:hint="eastAsia" w:ascii="宋体" w:hAnsi="宋体" w:eastAsia="宋体" w:cs="宋体"/>
                <w:color w:val="auto"/>
                <w:sz w:val="24"/>
                <w:szCs w:val="24"/>
                <w:highlight w:val="none"/>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38EAE06F">
            <w:pPr>
              <w:spacing w:line="320" w:lineRule="exact"/>
              <w:jc w:val="center"/>
              <w:rPr>
                <w:rFonts w:hint="eastAsia" w:ascii="宋体" w:hAnsi="宋体" w:eastAsia="宋体" w:cs="宋体"/>
                <w:color w:val="auto"/>
                <w:sz w:val="24"/>
                <w:szCs w:val="24"/>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14:paraId="09366B5E">
            <w:pPr>
              <w:spacing w:line="320" w:lineRule="exact"/>
              <w:jc w:val="center"/>
              <w:rPr>
                <w:rFonts w:hint="eastAsia" w:ascii="宋体" w:hAnsi="宋体" w:eastAsia="宋体" w:cs="宋体"/>
                <w:color w:val="auto"/>
                <w:sz w:val="24"/>
                <w:szCs w:val="24"/>
                <w:highlight w:val="none"/>
              </w:rPr>
            </w:pPr>
          </w:p>
        </w:tc>
        <w:tc>
          <w:tcPr>
            <w:tcW w:w="756" w:type="dxa"/>
            <w:tcBorders>
              <w:top w:val="single" w:color="auto" w:sz="4" w:space="0"/>
              <w:left w:val="single" w:color="auto" w:sz="4" w:space="0"/>
              <w:bottom w:val="single" w:color="auto" w:sz="4" w:space="0"/>
              <w:right w:val="single" w:color="auto" w:sz="4" w:space="0"/>
            </w:tcBorders>
            <w:noWrap w:val="0"/>
            <w:vAlign w:val="center"/>
          </w:tcPr>
          <w:p w14:paraId="5561A480">
            <w:pPr>
              <w:spacing w:line="320" w:lineRule="exact"/>
              <w:jc w:val="center"/>
              <w:rPr>
                <w:rFonts w:hint="eastAsia" w:ascii="宋体" w:hAnsi="宋体" w:eastAsia="宋体" w:cs="宋体"/>
                <w:color w:val="auto"/>
                <w:sz w:val="24"/>
                <w:szCs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14:paraId="5D6CD7AA">
            <w:pPr>
              <w:spacing w:line="320" w:lineRule="exact"/>
              <w:jc w:val="center"/>
              <w:rPr>
                <w:rFonts w:hint="eastAsia" w:ascii="宋体" w:hAnsi="宋体" w:eastAsia="宋体" w:cs="宋体"/>
                <w:color w:val="auto"/>
                <w:sz w:val="24"/>
                <w:szCs w:val="24"/>
                <w:highlight w:val="none"/>
              </w:rPr>
            </w:pPr>
          </w:p>
        </w:tc>
      </w:tr>
    </w:tbl>
    <w:p w14:paraId="14170DAC">
      <w:pPr>
        <w:rPr>
          <w:rFonts w:hint="eastAsia" w:ascii="宋体" w:hAnsi="宋体" w:eastAsia="宋体" w:cs="宋体"/>
          <w:color w:val="auto"/>
          <w:sz w:val="24"/>
          <w:szCs w:val="24"/>
          <w:highlight w:val="none"/>
        </w:rPr>
      </w:pPr>
    </w:p>
    <w:p w14:paraId="4EF9202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附件：2</w:t>
      </w:r>
    </w:p>
    <w:p w14:paraId="500AEDBC">
      <w:pPr>
        <w:spacing w:line="56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发包人供应材料设备一览表</w:t>
      </w:r>
    </w:p>
    <w:p w14:paraId="564AC88B">
      <w:pPr>
        <w:rPr>
          <w:rFonts w:hint="eastAsia" w:ascii="宋体" w:hAnsi="宋体" w:eastAsia="宋体" w:cs="宋体"/>
          <w:color w:val="auto"/>
          <w:sz w:val="24"/>
          <w:szCs w:val="24"/>
          <w:highlight w:val="none"/>
        </w:rPr>
      </w:pPr>
    </w:p>
    <w:tbl>
      <w:tblPr>
        <w:tblStyle w:val="62"/>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18"/>
        <w:gridCol w:w="1218"/>
        <w:gridCol w:w="1035"/>
        <w:gridCol w:w="940"/>
        <w:gridCol w:w="607"/>
        <w:gridCol w:w="1044"/>
        <w:gridCol w:w="992"/>
        <w:gridCol w:w="851"/>
        <w:gridCol w:w="922"/>
        <w:gridCol w:w="651"/>
      </w:tblGrid>
      <w:tr w14:paraId="0A87D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14:paraId="75B263C5">
            <w:pPr>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316F9CD0">
            <w:pPr>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材料、</w:t>
            </w:r>
          </w:p>
          <w:p w14:paraId="664D8E8B">
            <w:pPr>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设备品种</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49A8A68">
            <w:pPr>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规格型号</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548E4400">
            <w:pPr>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单位</w:t>
            </w:r>
          </w:p>
        </w:tc>
        <w:tc>
          <w:tcPr>
            <w:tcW w:w="607" w:type="dxa"/>
            <w:tcBorders>
              <w:top w:val="single" w:color="auto" w:sz="4" w:space="0"/>
              <w:left w:val="single" w:color="auto" w:sz="4" w:space="0"/>
              <w:bottom w:val="single" w:color="auto" w:sz="4" w:space="0"/>
              <w:right w:val="single" w:color="auto" w:sz="4" w:space="0"/>
            </w:tcBorders>
            <w:noWrap w:val="0"/>
            <w:vAlign w:val="center"/>
          </w:tcPr>
          <w:p w14:paraId="13B3A7D9">
            <w:pPr>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16044B5D">
            <w:pPr>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单价</w:t>
            </w:r>
          </w:p>
          <w:p w14:paraId="118DB97A">
            <w:pPr>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（元）</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C0C7552">
            <w:pPr>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质量</w:t>
            </w:r>
          </w:p>
          <w:p w14:paraId="2FF5C510">
            <w:pPr>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等级</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67C781F0">
            <w:pPr>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w:t>
            </w:r>
          </w:p>
          <w:p w14:paraId="6A8BDCDF">
            <w:pPr>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时间</w:t>
            </w:r>
          </w:p>
        </w:tc>
        <w:tc>
          <w:tcPr>
            <w:tcW w:w="922" w:type="dxa"/>
            <w:tcBorders>
              <w:top w:val="single" w:color="auto" w:sz="4" w:space="0"/>
              <w:left w:val="single" w:color="auto" w:sz="4" w:space="0"/>
              <w:bottom w:val="single" w:color="auto" w:sz="4" w:space="0"/>
              <w:right w:val="single" w:color="auto" w:sz="4" w:space="0"/>
            </w:tcBorders>
            <w:noWrap w:val="0"/>
            <w:vAlign w:val="center"/>
          </w:tcPr>
          <w:p w14:paraId="6B7CDF8F">
            <w:pPr>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送达</w:t>
            </w:r>
          </w:p>
          <w:p w14:paraId="7B0BCB5B">
            <w:pPr>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地点</w:t>
            </w:r>
          </w:p>
        </w:tc>
        <w:tc>
          <w:tcPr>
            <w:tcW w:w="651" w:type="dxa"/>
            <w:tcBorders>
              <w:top w:val="single" w:color="auto" w:sz="4" w:space="0"/>
              <w:left w:val="single" w:color="auto" w:sz="4" w:space="0"/>
              <w:bottom w:val="single" w:color="auto" w:sz="4" w:space="0"/>
              <w:right w:val="single" w:color="auto" w:sz="4" w:space="0"/>
            </w:tcBorders>
            <w:noWrap w:val="0"/>
            <w:vAlign w:val="center"/>
          </w:tcPr>
          <w:p w14:paraId="361F8017">
            <w:pPr>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r>
      <w:tr w14:paraId="4534B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14:paraId="4443A61C">
            <w:pPr>
              <w:spacing w:line="320" w:lineRule="exact"/>
              <w:jc w:val="center"/>
              <w:rPr>
                <w:rFonts w:hint="eastAsia" w:ascii="宋体" w:hAnsi="宋体" w:eastAsia="宋体" w:cs="宋体"/>
                <w:color w:val="auto"/>
                <w:sz w:val="24"/>
                <w:szCs w:val="24"/>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1BC72B4D">
            <w:pPr>
              <w:spacing w:line="320" w:lineRule="exact"/>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02F55A1">
            <w:pPr>
              <w:spacing w:line="320" w:lineRule="exact"/>
              <w:jc w:val="center"/>
              <w:rPr>
                <w:rFonts w:hint="eastAsia" w:ascii="宋体" w:hAnsi="宋体" w:eastAsia="宋体" w:cs="宋体"/>
                <w:color w:val="auto"/>
                <w:sz w:val="24"/>
                <w:szCs w:val="24"/>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6040BDC8">
            <w:pPr>
              <w:spacing w:line="320" w:lineRule="exact"/>
              <w:jc w:val="center"/>
              <w:rPr>
                <w:rFonts w:hint="eastAsia" w:ascii="宋体" w:hAnsi="宋体" w:eastAsia="宋体" w:cs="宋体"/>
                <w:color w:val="auto"/>
                <w:sz w:val="24"/>
                <w:szCs w:val="24"/>
                <w:highlight w:val="none"/>
              </w:rPr>
            </w:pPr>
          </w:p>
        </w:tc>
        <w:tc>
          <w:tcPr>
            <w:tcW w:w="607" w:type="dxa"/>
            <w:tcBorders>
              <w:top w:val="single" w:color="auto" w:sz="4" w:space="0"/>
              <w:left w:val="single" w:color="auto" w:sz="4" w:space="0"/>
              <w:bottom w:val="single" w:color="auto" w:sz="4" w:space="0"/>
              <w:right w:val="single" w:color="auto" w:sz="4" w:space="0"/>
            </w:tcBorders>
            <w:noWrap w:val="0"/>
            <w:vAlign w:val="center"/>
          </w:tcPr>
          <w:p w14:paraId="483C315E">
            <w:pPr>
              <w:spacing w:line="320" w:lineRule="exact"/>
              <w:jc w:val="center"/>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14:paraId="7536E158">
            <w:pPr>
              <w:spacing w:line="320" w:lineRule="exact"/>
              <w:jc w:val="center"/>
              <w:rPr>
                <w:rFonts w:hint="eastAsia" w:ascii="宋体" w:hAnsi="宋体" w:eastAsia="宋体" w:cs="宋体"/>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23EEB111">
            <w:pPr>
              <w:spacing w:line="320" w:lineRule="exact"/>
              <w:jc w:val="center"/>
              <w:rPr>
                <w:rFonts w:hint="eastAsia" w:ascii="宋体" w:hAnsi="宋体" w:eastAsia="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7C44060D">
            <w:pPr>
              <w:spacing w:line="320" w:lineRule="exact"/>
              <w:jc w:val="center"/>
              <w:rPr>
                <w:rFonts w:hint="eastAsia" w:ascii="宋体" w:hAnsi="宋体" w:eastAsia="宋体" w:cs="宋体"/>
                <w:color w:val="auto"/>
                <w:sz w:val="24"/>
                <w:szCs w:val="24"/>
                <w:highlight w:val="none"/>
              </w:rPr>
            </w:pPr>
          </w:p>
        </w:tc>
        <w:tc>
          <w:tcPr>
            <w:tcW w:w="922" w:type="dxa"/>
            <w:tcBorders>
              <w:top w:val="single" w:color="auto" w:sz="4" w:space="0"/>
              <w:left w:val="single" w:color="auto" w:sz="4" w:space="0"/>
              <w:bottom w:val="single" w:color="auto" w:sz="4" w:space="0"/>
              <w:right w:val="single" w:color="auto" w:sz="4" w:space="0"/>
            </w:tcBorders>
            <w:noWrap w:val="0"/>
            <w:vAlign w:val="center"/>
          </w:tcPr>
          <w:p w14:paraId="347CDE1D">
            <w:pPr>
              <w:spacing w:line="320" w:lineRule="exact"/>
              <w:jc w:val="center"/>
              <w:rPr>
                <w:rFonts w:hint="eastAsia" w:ascii="宋体" w:hAnsi="宋体" w:eastAsia="宋体" w:cs="宋体"/>
                <w:color w:val="auto"/>
                <w:sz w:val="24"/>
                <w:szCs w:val="24"/>
                <w:highlight w:val="none"/>
              </w:rPr>
            </w:pPr>
          </w:p>
        </w:tc>
        <w:tc>
          <w:tcPr>
            <w:tcW w:w="651" w:type="dxa"/>
            <w:tcBorders>
              <w:top w:val="single" w:color="auto" w:sz="4" w:space="0"/>
              <w:left w:val="single" w:color="auto" w:sz="4" w:space="0"/>
              <w:bottom w:val="single" w:color="auto" w:sz="4" w:space="0"/>
              <w:right w:val="single" w:color="auto" w:sz="4" w:space="0"/>
            </w:tcBorders>
            <w:noWrap w:val="0"/>
            <w:vAlign w:val="center"/>
          </w:tcPr>
          <w:p w14:paraId="143E4FEF">
            <w:pPr>
              <w:spacing w:line="320" w:lineRule="exact"/>
              <w:jc w:val="center"/>
              <w:rPr>
                <w:rFonts w:hint="eastAsia" w:ascii="宋体" w:hAnsi="宋体" w:eastAsia="宋体" w:cs="宋体"/>
                <w:color w:val="auto"/>
                <w:sz w:val="24"/>
                <w:szCs w:val="24"/>
                <w:highlight w:val="none"/>
              </w:rPr>
            </w:pPr>
          </w:p>
        </w:tc>
      </w:tr>
      <w:tr w14:paraId="18629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14:paraId="647A68D1">
            <w:pPr>
              <w:spacing w:line="320" w:lineRule="exact"/>
              <w:jc w:val="center"/>
              <w:rPr>
                <w:rFonts w:hint="eastAsia" w:ascii="宋体" w:hAnsi="宋体" w:eastAsia="宋体" w:cs="宋体"/>
                <w:color w:val="auto"/>
                <w:sz w:val="24"/>
                <w:szCs w:val="24"/>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4D5AC2F3">
            <w:pPr>
              <w:spacing w:line="320" w:lineRule="exact"/>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C4F5B45">
            <w:pPr>
              <w:spacing w:line="320" w:lineRule="exact"/>
              <w:jc w:val="center"/>
              <w:rPr>
                <w:rFonts w:hint="eastAsia" w:ascii="宋体" w:hAnsi="宋体" w:eastAsia="宋体" w:cs="宋体"/>
                <w:color w:val="auto"/>
                <w:sz w:val="24"/>
                <w:szCs w:val="24"/>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2A7E38D7">
            <w:pPr>
              <w:spacing w:line="320" w:lineRule="exact"/>
              <w:jc w:val="center"/>
              <w:rPr>
                <w:rFonts w:hint="eastAsia" w:ascii="宋体" w:hAnsi="宋体" w:eastAsia="宋体" w:cs="宋体"/>
                <w:color w:val="auto"/>
                <w:sz w:val="24"/>
                <w:szCs w:val="24"/>
                <w:highlight w:val="none"/>
              </w:rPr>
            </w:pPr>
          </w:p>
        </w:tc>
        <w:tc>
          <w:tcPr>
            <w:tcW w:w="607" w:type="dxa"/>
            <w:tcBorders>
              <w:top w:val="single" w:color="auto" w:sz="4" w:space="0"/>
              <w:left w:val="single" w:color="auto" w:sz="4" w:space="0"/>
              <w:bottom w:val="single" w:color="auto" w:sz="4" w:space="0"/>
              <w:right w:val="single" w:color="auto" w:sz="4" w:space="0"/>
            </w:tcBorders>
            <w:noWrap w:val="0"/>
            <w:vAlign w:val="center"/>
          </w:tcPr>
          <w:p w14:paraId="56586D7C">
            <w:pPr>
              <w:spacing w:line="320" w:lineRule="exact"/>
              <w:jc w:val="center"/>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14:paraId="6BA4DE12">
            <w:pPr>
              <w:spacing w:line="320" w:lineRule="exact"/>
              <w:jc w:val="center"/>
              <w:rPr>
                <w:rFonts w:hint="eastAsia" w:ascii="宋体" w:hAnsi="宋体" w:eastAsia="宋体" w:cs="宋体"/>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4636C973">
            <w:pPr>
              <w:spacing w:line="320" w:lineRule="exact"/>
              <w:jc w:val="center"/>
              <w:rPr>
                <w:rFonts w:hint="eastAsia" w:ascii="宋体" w:hAnsi="宋体" w:eastAsia="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35D8FC20">
            <w:pPr>
              <w:spacing w:line="320" w:lineRule="exact"/>
              <w:jc w:val="center"/>
              <w:rPr>
                <w:rFonts w:hint="eastAsia" w:ascii="宋体" w:hAnsi="宋体" w:eastAsia="宋体" w:cs="宋体"/>
                <w:color w:val="auto"/>
                <w:sz w:val="24"/>
                <w:szCs w:val="24"/>
                <w:highlight w:val="none"/>
              </w:rPr>
            </w:pPr>
          </w:p>
        </w:tc>
        <w:tc>
          <w:tcPr>
            <w:tcW w:w="922" w:type="dxa"/>
            <w:tcBorders>
              <w:top w:val="single" w:color="auto" w:sz="4" w:space="0"/>
              <w:left w:val="single" w:color="auto" w:sz="4" w:space="0"/>
              <w:bottom w:val="single" w:color="auto" w:sz="4" w:space="0"/>
              <w:right w:val="single" w:color="auto" w:sz="4" w:space="0"/>
            </w:tcBorders>
            <w:noWrap w:val="0"/>
            <w:vAlign w:val="center"/>
          </w:tcPr>
          <w:p w14:paraId="5FE73AE5">
            <w:pPr>
              <w:spacing w:line="320" w:lineRule="exact"/>
              <w:jc w:val="center"/>
              <w:rPr>
                <w:rFonts w:hint="eastAsia" w:ascii="宋体" w:hAnsi="宋体" w:eastAsia="宋体" w:cs="宋体"/>
                <w:color w:val="auto"/>
                <w:sz w:val="24"/>
                <w:szCs w:val="24"/>
                <w:highlight w:val="none"/>
              </w:rPr>
            </w:pPr>
          </w:p>
        </w:tc>
        <w:tc>
          <w:tcPr>
            <w:tcW w:w="651" w:type="dxa"/>
            <w:tcBorders>
              <w:top w:val="single" w:color="auto" w:sz="4" w:space="0"/>
              <w:left w:val="single" w:color="auto" w:sz="4" w:space="0"/>
              <w:bottom w:val="single" w:color="auto" w:sz="4" w:space="0"/>
              <w:right w:val="single" w:color="auto" w:sz="4" w:space="0"/>
            </w:tcBorders>
            <w:noWrap w:val="0"/>
            <w:vAlign w:val="center"/>
          </w:tcPr>
          <w:p w14:paraId="709C3563">
            <w:pPr>
              <w:spacing w:line="320" w:lineRule="exact"/>
              <w:jc w:val="center"/>
              <w:rPr>
                <w:rFonts w:hint="eastAsia" w:ascii="宋体" w:hAnsi="宋体" w:eastAsia="宋体" w:cs="宋体"/>
                <w:color w:val="auto"/>
                <w:sz w:val="24"/>
                <w:szCs w:val="24"/>
                <w:highlight w:val="none"/>
              </w:rPr>
            </w:pPr>
          </w:p>
        </w:tc>
      </w:tr>
      <w:tr w14:paraId="0C8FB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14:paraId="245EE6A9">
            <w:pPr>
              <w:spacing w:line="320" w:lineRule="exact"/>
              <w:jc w:val="center"/>
              <w:rPr>
                <w:rFonts w:hint="eastAsia" w:ascii="宋体" w:hAnsi="宋体" w:eastAsia="宋体" w:cs="宋体"/>
                <w:color w:val="auto"/>
                <w:sz w:val="24"/>
                <w:szCs w:val="24"/>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0EBF7C58">
            <w:pPr>
              <w:spacing w:line="320" w:lineRule="exact"/>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10BD632">
            <w:pPr>
              <w:spacing w:line="320" w:lineRule="exact"/>
              <w:jc w:val="center"/>
              <w:rPr>
                <w:rFonts w:hint="eastAsia" w:ascii="宋体" w:hAnsi="宋体" w:eastAsia="宋体" w:cs="宋体"/>
                <w:color w:val="auto"/>
                <w:sz w:val="24"/>
                <w:szCs w:val="24"/>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74DF153A">
            <w:pPr>
              <w:spacing w:line="320" w:lineRule="exact"/>
              <w:jc w:val="center"/>
              <w:rPr>
                <w:rFonts w:hint="eastAsia" w:ascii="宋体" w:hAnsi="宋体" w:eastAsia="宋体" w:cs="宋体"/>
                <w:color w:val="auto"/>
                <w:sz w:val="24"/>
                <w:szCs w:val="24"/>
                <w:highlight w:val="none"/>
              </w:rPr>
            </w:pPr>
          </w:p>
        </w:tc>
        <w:tc>
          <w:tcPr>
            <w:tcW w:w="607" w:type="dxa"/>
            <w:tcBorders>
              <w:top w:val="single" w:color="auto" w:sz="4" w:space="0"/>
              <w:left w:val="single" w:color="auto" w:sz="4" w:space="0"/>
              <w:bottom w:val="single" w:color="auto" w:sz="4" w:space="0"/>
              <w:right w:val="single" w:color="auto" w:sz="4" w:space="0"/>
            </w:tcBorders>
            <w:noWrap w:val="0"/>
            <w:vAlign w:val="center"/>
          </w:tcPr>
          <w:p w14:paraId="7CAC301B">
            <w:pPr>
              <w:spacing w:line="320" w:lineRule="exact"/>
              <w:jc w:val="center"/>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14:paraId="2C86FA4D">
            <w:pPr>
              <w:spacing w:line="320" w:lineRule="exact"/>
              <w:jc w:val="center"/>
              <w:rPr>
                <w:rFonts w:hint="eastAsia" w:ascii="宋体" w:hAnsi="宋体" w:eastAsia="宋体" w:cs="宋体"/>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44F58A85">
            <w:pPr>
              <w:spacing w:line="320" w:lineRule="exact"/>
              <w:jc w:val="center"/>
              <w:rPr>
                <w:rFonts w:hint="eastAsia" w:ascii="宋体" w:hAnsi="宋体" w:eastAsia="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568C45B4">
            <w:pPr>
              <w:spacing w:line="320" w:lineRule="exact"/>
              <w:jc w:val="center"/>
              <w:rPr>
                <w:rFonts w:hint="eastAsia" w:ascii="宋体" w:hAnsi="宋体" w:eastAsia="宋体" w:cs="宋体"/>
                <w:color w:val="auto"/>
                <w:sz w:val="24"/>
                <w:szCs w:val="24"/>
                <w:highlight w:val="none"/>
              </w:rPr>
            </w:pPr>
          </w:p>
        </w:tc>
        <w:tc>
          <w:tcPr>
            <w:tcW w:w="922" w:type="dxa"/>
            <w:tcBorders>
              <w:top w:val="single" w:color="auto" w:sz="4" w:space="0"/>
              <w:left w:val="single" w:color="auto" w:sz="4" w:space="0"/>
              <w:bottom w:val="single" w:color="auto" w:sz="4" w:space="0"/>
              <w:right w:val="single" w:color="auto" w:sz="4" w:space="0"/>
            </w:tcBorders>
            <w:noWrap w:val="0"/>
            <w:vAlign w:val="center"/>
          </w:tcPr>
          <w:p w14:paraId="4D85534C">
            <w:pPr>
              <w:spacing w:line="320" w:lineRule="exact"/>
              <w:jc w:val="center"/>
              <w:rPr>
                <w:rFonts w:hint="eastAsia" w:ascii="宋体" w:hAnsi="宋体" w:eastAsia="宋体" w:cs="宋体"/>
                <w:color w:val="auto"/>
                <w:sz w:val="24"/>
                <w:szCs w:val="24"/>
                <w:highlight w:val="none"/>
              </w:rPr>
            </w:pPr>
          </w:p>
        </w:tc>
        <w:tc>
          <w:tcPr>
            <w:tcW w:w="651" w:type="dxa"/>
            <w:tcBorders>
              <w:top w:val="single" w:color="auto" w:sz="4" w:space="0"/>
              <w:left w:val="single" w:color="auto" w:sz="4" w:space="0"/>
              <w:bottom w:val="single" w:color="auto" w:sz="4" w:space="0"/>
              <w:right w:val="single" w:color="auto" w:sz="4" w:space="0"/>
            </w:tcBorders>
            <w:noWrap w:val="0"/>
            <w:vAlign w:val="center"/>
          </w:tcPr>
          <w:p w14:paraId="25735491">
            <w:pPr>
              <w:spacing w:line="320" w:lineRule="exact"/>
              <w:jc w:val="center"/>
              <w:rPr>
                <w:rFonts w:hint="eastAsia" w:ascii="宋体" w:hAnsi="宋体" w:eastAsia="宋体" w:cs="宋体"/>
                <w:color w:val="auto"/>
                <w:sz w:val="24"/>
                <w:szCs w:val="24"/>
                <w:highlight w:val="none"/>
              </w:rPr>
            </w:pPr>
          </w:p>
        </w:tc>
      </w:tr>
      <w:tr w14:paraId="44197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14:paraId="34C4948A">
            <w:pPr>
              <w:spacing w:line="320" w:lineRule="exact"/>
              <w:jc w:val="center"/>
              <w:rPr>
                <w:rFonts w:hint="eastAsia" w:ascii="宋体" w:hAnsi="宋体" w:eastAsia="宋体" w:cs="宋体"/>
                <w:color w:val="auto"/>
                <w:sz w:val="24"/>
                <w:szCs w:val="24"/>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01B5B24F">
            <w:pPr>
              <w:spacing w:line="320" w:lineRule="exact"/>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A62426D">
            <w:pPr>
              <w:spacing w:line="320" w:lineRule="exact"/>
              <w:jc w:val="center"/>
              <w:rPr>
                <w:rFonts w:hint="eastAsia" w:ascii="宋体" w:hAnsi="宋体" w:eastAsia="宋体" w:cs="宋体"/>
                <w:color w:val="auto"/>
                <w:sz w:val="24"/>
                <w:szCs w:val="24"/>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7412D7C1">
            <w:pPr>
              <w:spacing w:line="320" w:lineRule="exact"/>
              <w:jc w:val="center"/>
              <w:rPr>
                <w:rFonts w:hint="eastAsia" w:ascii="宋体" w:hAnsi="宋体" w:eastAsia="宋体" w:cs="宋体"/>
                <w:color w:val="auto"/>
                <w:sz w:val="24"/>
                <w:szCs w:val="24"/>
                <w:highlight w:val="none"/>
              </w:rPr>
            </w:pPr>
          </w:p>
        </w:tc>
        <w:tc>
          <w:tcPr>
            <w:tcW w:w="607" w:type="dxa"/>
            <w:tcBorders>
              <w:top w:val="single" w:color="auto" w:sz="4" w:space="0"/>
              <w:left w:val="single" w:color="auto" w:sz="4" w:space="0"/>
              <w:bottom w:val="single" w:color="auto" w:sz="4" w:space="0"/>
              <w:right w:val="single" w:color="auto" w:sz="4" w:space="0"/>
            </w:tcBorders>
            <w:noWrap w:val="0"/>
            <w:vAlign w:val="center"/>
          </w:tcPr>
          <w:p w14:paraId="7B08D38E">
            <w:pPr>
              <w:spacing w:line="320" w:lineRule="exact"/>
              <w:jc w:val="center"/>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14:paraId="3A9446D2">
            <w:pPr>
              <w:spacing w:line="320" w:lineRule="exact"/>
              <w:jc w:val="center"/>
              <w:rPr>
                <w:rFonts w:hint="eastAsia" w:ascii="宋体" w:hAnsi="宋体" w:eastAsia="宋体" w:cs="宋体"/>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66F423D9">
            <w:pPr>
              <w:spacing w:line="320" w:lineRule="exact"/>
              <w:jc w:val="center"/>
              <w:rPr>
                <w:rFonts w:hint="eastAsia" w:ascii="宋体" w:hAnsi="宋体" w:eastAsia="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5AB25B74">
            <w:pPr>
              <w:spacing w:line="320" w:lineRule="exact"/>
              <w:jc w:val="center"/>
              <w:rPr>
                <w:rFonts w:hint="eastAsia" w:ascii="宋体" w:hAnsi="宋体" w:eastAsia="宋体" w:cs="宋体"/>
                <w:color w:val="auto"/>
                <w:sz w:val="24"/>
                <w:szCs w:val="24"/>
                <w:highlight w:val="none"/>
              </w:rPr>
            </w:pPr>
          </w:p>
        </w:tc>
        <w:tc>
          <w:tcPr>
            <w:tcW w:w="922" w:type="dxa"/>
            <w:tcBorders>
              <w:top w:val="single" w:color="auto" w:sz="4" w:space="0"/>
              <w:left w:val="single" w:color="auto" w:sz="4" w:space="0"/>
              <w:bottom w:val="single" w:color="auto" w:sz="4" w:space="0"/>
              <w:right w:val="single" w:color="auto" w:sz="4" w:space="0"/>
            </w:tcBorders>
            <w:noWrap w:val="0"/>
            <w:vAlign w:val="center"/>
          </w:tcPr>
          <w:p w14:paraId="15A0BCA6">
            <w:pPr>
              <w:spacing w:line="320" w:lineRule="exact"/>
              <w:jc w:val="center"/>
              <w:rPr>
                <w:rFonts w:hint="eastAsia" w:ascii="宋体" w:hAnsi="宋体" w:eastAsia="宋体" w:cs="宋体"/>
                <w:color w:val="auto"/>
                <w:sz w:val="24"/>
                <w:szCs w:val="24"/>
                <w:highlight w:val="none"/>
              </w:rPr>
            </w:pPr>
          </w:p>
        </w:tc>
        <w:tc>
          <w:tcPr>
            <w:tcW w:w="651" w:type="dxa"/>
            <w:tcBorders>
              <w:top w:val="single" w:color="auto" w:sz="4" w:space="0"/>
              <w:left w:val="single" w:color="auto" w:sz="4" w:space="0"/>
              <w:bottom w:val="single" w:color="auto" w:sz="4" w:space="0"/>
              <w:right w:val="single" w:color="auto" w:sz="4" w:space="0"/>
            </w:tcBorders>
            <w:noWrap w:val="0"/>
            <w:vAlign w:val="center"/>
          </w:tcPr>
          <w:p w14:paraId="6E99C03E">
            <w:pPr>
              <w:spacing w:line="320" w:lineRule="exact"/>
              <w:jc w:val="center"/>
              <w:rPr>
                <w:rFonts w:hint="eastAsia" w:ascii="宋体" w:hAnsi="宋体" w:eastAsia="宋体" w:cs="宋体"/>
                <w:color w:val="auto"/>
                <w:sz w:val="24"/>
                <w:szCs w:val="24"/>
                <w:highlight w:val="none"/>
              </w:rPr>
            </w:pPr>
          </w:p>
        </w:tc>
      </w:tr>
      <w:tr w14:paraId="5074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14:paraId="6338F101">
            <w:pPr>
              <w:spacing w:line="320" w:lineRule="exact"/>
              <w:jc w:val="center"/>
              <w:rPr>
                <w:rFonts w:hint="eastAsia" w:ascii="宋体" w:hAnsi="宋体" w:eastAsia="宋体" w:cs="宋体"/>
                <w:color w:val="auto"/>
                <w:sz w:val="24"/>
                <w:szCs w:val="24"/>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01652ECD">
            <w:pPr>
              <w:spacing w:line="320" w:lineRule="exact"/>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C3CB408">
            <w:pPr>
              <w:spacing w:line="320" w:lineRule="exact"/>
              <w:jc w:val="center"/>
              <w:rPr>
                <w:rFonts w:hint="eastAsia" w:ascii="宋体" w:hAnsi="宋体" w:eastAsia="宋体" w:cs="宋体"/>
                <w:color w:val="auto"/>
                <w:sz w:val="24"/>
                <w:szCs w:val="24"/>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06A2D346">
            <w:pPr>
              <w:spacing w:line="320" w:lineRule="exact"/>
              <w:jc w:val="center"/>
              <w:rPr>
                <w:rFonts w:hint="eastAsia" w:ascii="宋体" w:hAnsi="宋体" w:eastAsia="宋体" w:cs="宋体"/>
                <w:color w:val="auto"/>
                <w:sz w:val="24"/>
                <w:szCs w:val="24"/>
                <w:highlight w:val="none"/>
              </w:rPr>
            </w:pPr>
          </w:p>
        </w:tc>
        <w:tc>
          <w:tcPr>
            <w:tcW w:w="607" w:type="dxa"/>
            <w:tcBorders>
              <w:top w:val="single" w:color="auto" w:sz="4" w:space="0"/>
              <w:left w:val="single" w:color="auto" w:sz="4" w:space="0"/>
              <w:bottom w:val="single" w:color="auto" w:sz="4" w:space="0"/>
              <w:right w:val="single" w:color="auto" w:sz="4" w:space="0"/>
            </w:tcBorders>
            <w:noWrap w:val="0"/>
            <w:vAlign w:val="center"/>
          </w:tcPr>
          <w:p w14:paraId="4C81D572">
            <w:pPr>
              <w:spacing w:line="320" w:lineRule="exact"/>
              <w:jc w:val="center"/>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14:paraId="17987F9A">
            <w:pPr>
              <w:spacing w:line="320" w:lineRule="exact"/>
              <w:jc w:val="center"/>
              <w:rPr>
                <w:rFonts w:hint="eastAsia" w:ascii="宋体" w:hAnsi="宋体" w:eastAsia="宋体" w:cs="宋体"/>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7610F777">
            <w:pPr>
              <w:spacing w:line="320" w:lineRule="exact"/>
              <w:jc w:val="center"/>
              <w:rPr>
                <w:rFonts w:hint="eastAsia" w:ascii="宋体" w:hAnsi="宋体" w:eastAsia="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032509A9">
            <w:pPr>
              <w:spacing w:line="320" w:lineRule="exact"/>
              <w:jc w:val="center"/>
              <w:rPr>
                <w:rFonts w:hint="eastAsia" w:ascii="宋体" w:hAnsi="宋体" w:eastAsia="宋体" w:cs="宋体"/>
                <w:color w:val="auto"/>
                <w:sz w:val="24"/>
                <w:szCs w:val="24"/>
                <w:highlight w:val="none"/>
              </w:rPr>
            </w:pPr>
          </w:p>
        </w:tc>
        <w:tc>
          <w:tcPr>
            <w:tcW w:w="922" w:type="dxa"/>
            <w:tcBorders>
              <w:top w:val="single" w:color="auto" w:sz="4" w:space="0"/>
              <w:left w:val="single" w:color="auto" w:sz="4" w:space="0"/>
              <w:bottom w:val="single" w:color="auto" w:sz="4" w:space="0"/>
              <w:right w:val="single" w:color="auto" w:sz="4" w:space="0"/>
            </w:tcBorders>
            <w:noWrap w:val="0"/>
            <w:vAlign w:val="center"/>
          </w:tcPr>
          <w:p w14:paraId="436129F9">
            <w:pPr>
              <w:spacing w:line="320" w:lineRule="exact"/>
              <w:jc w:val="center"/>
              <w:rPr>
                <w:rFonts w:hint="eastAsia" w:ascii="宋体" w:hAnsi="宋体" w:eastAsia="宋体" w:cs="宋体"/>
                <w:color w:val="auto"/>
                <w:sz w:val="24"/>
                <w:szCs w:val="24"/>
                <w:highlight w:val="none"/>
              </w:rPr>
            </w:pPr>
          </w:p>
        </w:tc>
        <w:tc>
          <w:tcPr>
            <w:tcW w:w="651" w:type="dxa"/>
            <w:tcBorders>
              <w:top w:val="single" w:color="auto" w:sz="4" w:space="0"/>
              <w:left w:val="single" w:color="auto" w:sz="4" w:space="0"/>
              <w:bottom w:val="single" w:color="auto" w:sz="4" w:space="0"/>
              <w:right w:val="single" w:color="auto" w:sz="4" w:space="0"/>
            </w:tcBorders>
            <w:noWrap w:val="0"/>
            <w:vAlign w:val="center"/>
          </w:tcPr>
          <w:p w14:paraId="73A092E8">
            <w:pPr>
              <w:spacing w:line="320" w:lineRule="exact"/>
              <w:jc w:val="center"/>
              <w:rPr>
                <w:rFonts w:hint="eastAsia" w:ascii="宋体" w:hAnsi="宋体" w:eastAsia="宋体" w:cs="宋体"/>
                <w:color w:val="auto"/>
                <w:sz w:val="24"/>
                <w:szCs w:val="24"/>
                <w:highlight w:val="none"/>
              </w:rPr>
            </w:pPr>
          </w:p>
        </w:tc>
      </w:tr>
      <w:tr w14:paraId="0DB7A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14:paraId="001CD35C">
            <w:pPr>
              <w:spacing w:line="320" w:lineRule="exact"/>
              <w:jc w:val="center"/>
              <w:rPr>
                <w:rFonts w:hint="eastAsia" w:ascii="宋体" w:hAnsi="宋体" w:eastAsia="宋体" w:cs="宋体"/>
                <w:color w:val="auto"/>
                <w:sz w:val="24"/>
                <w:szCs w:val="24"/>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08D6904D">
            <w:pPr>
              <w:spacing w:line="320" w:lineRule="exact"/>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FEE2662">
            <w:pPr>
              <w:spacing w:line="320" w:lineRule="exact"/>
              <w:jc w:val="center"/>
              <w:rPr>
                <w:rFonts w:hint="eastAsia" w:ascii="宋体" w:hAnsi="宋体" w:eastAsia="宋体" w:cs="宋体"/>
                <w:color w:val="auto"/>
                <w:sz w:val="24"/>
                <w:szCs w:val="24"/>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2F768A31">
            <w:pPr>
              <w:spacing w:line="320" w:lineRule="exact"/>
              <w:jc w:val="center"/>
              <w:rPr>
                <w:rFonts w:hint="eastAsia" w:ascii="宋体" w:hAnsi="宋体" w:eastAsia="宋体" w:cs="宋体"/>
                <w:color w:val="auto"/>
                <w:sz w:val="24"/>
                <w:szCs w:val="24"/>
                <w:highlight w:val="none"/>
              </w:rPr>
            </w:pPr>
          </w:p>
        </w:tc>
        <w:tc>
          <w:tcPr>
            <w:tcW w:w="607" w:type="dxa"/>
            <w:tcBorders>
              <w:top w:val="single" w:color="auto" w:sz="4" w:space="0"/>
              <w:left w:val="single" w:color="auto" w:sz="4" w:space="0"/>
              <w:bottom w:val="single" w:color="auto" w:sz="4" w:space="0"/>
              <w:right w:val="single" w:color="auto" w:sz="4" w:space="0"/>
            </w:tcBorders>
            <w:noWrap w:val="0"/>
            <w:vAlign w:val="center"/>
          </w:tcPr>
          <w:p w14:paraId="77B3E9D7">
            <w:pPr>
              <w:spacing w:line="320" w:lineRule="exact"/>
              <w:jc w:val="center"/>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14:paraId="448666DD">
            <w:pPr>
              <w:spacing w:line="320" w:lineRule="exact"/>
              <w:jc w:val="center"/>
              <w:rPr>
                <w:rFonts w:hint="eastAsia" w:ascii="宋体" w:hAnsi="宋体" w:eastAsia="宋体" w:cs="宋体"/>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31593D35">
            <w:pPr>
              <w:spacing w:line="320" w:lineRule="exact"/>
              <w:jc w:val="center"/>
              <w:rPr>
                <w:rFonts w:hint="eastAsia" w:ascii="宋体" w:hAnsi="宋体" w:eastAsia="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2709DD43">
            <w:pPr>
              <w:spacing w:line="320" w:lineRule="exact"/>
              <w:jc w:val="center"/>
              <w:rPr>
                <w:rFonts w:hint="eastAsia" w:ascii="宋体" w:hAnsi="宋体" w:eastAsia="宋体" w:cs="宋体"/>
                <w:color w:val="auto"/>
                <w:sz w:val="24"/>
                <w:szCs w:val="24"/>
                <w:highlight w:val="none"/>
              </w:rPr>
            </w:pPr>
          </w:p>
        </w:tc>
        <w:tc>
          <w:tcPr>
            <w:tcW w:w="922" w:type="dxa"/>
            <w:tcBorders>
              <w:top w:val="single" w:color="auto" w:sz="4" w:space="0"/>
              <w:left w:val="single" w:color="auto" w:sz="4" w:space="0"/>
              <w:bottom w:val="single" w:color="auto" w:sz="4" w:space="0"/>
              <w:right w:val="single" w:color="auto" w:sz="4" w:space="0"/>
            </w:tcBorders>
            <w:noWrap w:val="0"/>
            <w:vAlign w:val="center"/>
          </w:tcPr>
          <w:p w14:paraId="594F8F19">
            <w:pPr>
              <w:spacing w:line="320" w:lineRule="exact"/>
              <w:jc w:val="center"/>
              <w:rPr>
                <w:rFonts w:hint="eastAsia" w:ascii="宋体" w:hAnsi="宋体" w:eastAsia="宋体" w:cs="宋体"/>
                <w:color w:val="auto"/>
                <w:sz w:val="24"/>
                <w:szCs w:val="24"/>
                <w:highlight w:val="none"/>
              </w:rPr>
            </w:pPr>
          </w:p>
        </w:tc>
        <w:tc>
          <w:tcPr>
            <w:tcW w:w="651" w:type="dxa"/>
            <w:tcBorders>
              <w:top w:val="single" w:color="auto" w:sz="4" w:space="0"/>
              <w:left w:val="single" w:color="auto" w:sz="4" w:space="0"/>
              <w:bottom w:val="single" w:color="auto" w:sz="4" w:space="0"/>
              <w:right w:val="single" w:color="auto" w:sz="4" w:space="0"/>
            </w:tcBorders>
            <w:noWrap w:val="0"/>
            <w:vAlign w:val="center"/>
          </w:tcPr>
          <w:p w14:paraId="63D107A9">
            <w:pPr>
              <w:spacing w:line="320" w:lineRule="exact"/>
              <w:jc w:val="center"/>
              <w:rPr>
                <w:rFonts w:hint="eastAsia" w:ascii="宋体" w:hAnsi="宋体" w:eastAsia="宋体" w:cs="宋体"/>
                <w:color w:val="auto"/>
                <w:sz w:val="24"/>
                <w:szCs w:val="24"/>
                <w:highlight w:val="none"/>
              </w:rPr>
            </w:pPr>
          </w:p>
        </w:tc>
      </w:tr>
      <w:tr w14:paraId="21DD5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14:paraId="6CC21018">
            <w:pPr>
              <w:spacing w:line="320" w:lineRule="exact"/>
              <w:jc w:val="center"/>
              <w:rPr>
                <w:rFonts w:hint="eastAsia" w:ascii="宋体" w:hAnsi="宋体" w:eastAsia="宋体" w:cs="宋体"/>
                <w:color w:val="auto"/>
                <w:sz w:val="24"/>
                <w:szCs w:val="24"/>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1CC19710">
            <w:pPr>
              <w:spacing w:line="320" w:lineRule="exact"/>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9BC6780">
            <w:pPr>
              <w:spacing w:line="320" w:lineRule="exact"/>
              <w:jc w:val="center"/>
              <w:rPr>
                <w:rFonts w:hint="eastAsia" w:ascii="宋体" w:hAnsi="宋体" w:eastAsia="宋体" w:cs="宋体"/>
                <w:color w:val="auto"/>
                <w:sz w:val="24"/>
                <w:szCs w:val="24"/>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64CAF66C">
            <w:pPr>
              <w:spacing w:line="320" w:lineRule="exact"/>
              <w:jc w:val="center"/>
              <w:rPr>
                <w:rFonts w:hint="eastAsia" w:ascii="宋体" w:hAnsi="宋体" w:eastAsia="宋体" w:cs="宋体"/>
                <w:color w:val="auto"/>
                <w:sz w:val="24"/>
                <w:szCs w:val="24"/>
                <w:highlight w:val="none"/>
              </w:rPr>
            </w:pPr>
          </w:p>
        </w:tc>
        <w:tc>
          <w:tcPr>
            <w:tcW w:w="607" w:type="dxa"/>
            <w:tcBorders>
              <w:top w:val="single" w:color="auto" w:sz="4" w:space="0"/>
              <w:left w:val="single" w:color="auto" w:sz="4" w:space="0"/>
              <w:bottom w:val="single" w:color="auto" w:sz="4" w:space="0"/>
              <w:right w:val="single" w:color="auto" w:sz="4" w:space="0"/>
            </w:tcBorders>
            <w:noWrap w:val="0"/>
            <w:vAlign w:val="center"/>
          </w:tcPr>
          <w:p w14:paraId="7C1DC631">
            <w:pPr>
              <w:spacing w:line="320" w:lineRule="exact"/>
              <w:jc w:val="center"/>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14:paraId="4E361966">
            <w:pPr>
              <w:spacing w:line="320" w:lineRule="exact"/>
              <w:jc w:val="center"/>
              <w:rPr>
                <w:rFonts w:hint="eastAsia" w:ascii="宋体" w:hAnsi="宋体" w:eastAsia="宋体" w:cs="宋体"/>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3034F370">
            <w:pPr>
              <w:spacing w:line="320" w:lineRule="exact"/>
              <w:jc w:val="center"/>
              <w:rPr>
                <w:rFonts w:hint="eastAsia" w:ascii="宋体" w:hAnsi="宋体" w:eastAsia="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0C3F7169">
            <w:pPr>
              <w:spacing w:line="320" w:lineRule="exact"/>
              <w:jc w:val="center"/>
              <w:rPr>
                <w:rFonts w:hint="eastAsia" w:ascii="宋体" w:hAnsi="宋体" w:eastAsia="宋体" w:cs="宋体"/>
                <w:color w:val="auto"/>
                <w:sz w:val="24"/>
                <w:szCs w:val="24"/>
                <w:highlight w:val="none"/>
              </w:rPr>
            </w:pPr>
          </w:p>
        </w:tc>
        <w:tc>
          <w:tcPr>
            <w:tcW w:w="922" w:type="dxa"/>
            <w:tcBorders>
              <w:top w:val="single" w:color="auto" w:sz="4" w:space="0"/>
              <w:left w:val="single" w:color="auto" w:sz="4" w:space="0"/>
              <w:bottom w:val="single" w:color="auto" w:sz="4" w:space="0"/>
              <w:right w:val="single" w:color="auto" w:sz="4" w:space="0"/>
            </w:tcBorders>
            <w:noWrap w:val="0"/>
            <w:vAlign w:val="center"/>
          </w:tcPr>
          <w:p w14:paraId="3756AC27">
            <w:pPr>
              <w:spacing w:line="320" w:lineRule="exact"/>
              <w:jc w:val="center"/>
              <w:rPr>
                <w:rFonts w:hint="eastAsia" w:ascii="宋体" w:hAnsi="宋体" w:eastAsia="宋体" w:cs="宋体"/>
                <w:color w:val="auto"/>
                <w:sz w:val="24"/>
                <w:szCs w:val="24"/>
                <w:highlight w:val="none"/>
              </w:rPr>
            </w:pPr>
          </w:p>
        </w:tc>
        <w:tc>
          <w:tcPr>
            <w:tcW w:w="651" w:type="dxa"/>
            <w:tcBorders>
              <w:top w:val="single" w:color="auto" w:sz="4" w:space="0"/>
              <w:left w:val="single" w:color="auto" w:sz="4" w:space="0"/>
              <w:bottom w:val="single" w:color="auto" w:sz="4" w:space="0"/>
              <w:right w:val="single" w:color="auto" w:sz="4" w:space="0"/>
            </w:tcBorders>
            <w:noWrap w:val="0"/>
            <w:vAlign w:val="center"/>
          </w:tcPr>
          <w:p w14:paraId="2E8FDC60">
            <w:pPr>
              <w:spacing w:line="320" w:lineRule="exact"/>
              <w:jc w:val="center"/>
              <w:rPr>
                <w:rFonts w:hint="eastAsia" w:ascii="宋体" w:hAnsi="宋体" w:eastAsia="宋体" w:cs="宋体"/>
                <w:color w:val="auto"/>
                <w:sz w:val="24"/>
                <w:szCs w:val="24"/>
                <w:highlight w:val="none"/>
              </w:rPr>
            </w:pPr>
          </w:p>
        </w:tc>
      </w:tr>
      <w:tr w14:paraId="2CA19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14:paraId="7DA44CF1">
            <w:pPr>
              <w:spacing w:line="320" w:lineRule="exact"/>
              <w:jc w:val="center"/>
              <w:rPr>
                <w:rFonts w:hint="eastAsia" w:ascii="宋体" w:hAnsi="宋体" w:eastAsia="宋体" w:cs="宋体"/>
                <w:color w:val="auto"/>
                <w:sz w:val="24"/>
                <w:szCs w:val="24"/>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2DB8D163">
            <w:pPr>
              <w:spacing w:line="320" w:lineRule="exact"/>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4833E53">
            <w:pPr>
              <w:spacing w:line="320" w:lineRule="exact"/>
              <w:jc w:val="center"/>
              <w:rPr>
                <w:rFonts w:hint="eastAsia" w:ascii="宋体" w:hAnsi="宋体" w:eastAsia="宋体" w:cs="宋体"/>
                <w:color w:val="auto"/>
                <w:sz w:val="24"/>
                <w:szCs w:val="24"/>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54C8B90F">
            <w:pPr>
              <w:spacing w:line="320" w:lineRule="exact"/>
              <w:jc w:val="center"/>
              <w:rPr>
                <w:rFonts w:hint="eastAsia" w:ascii="宋体" w:hAnsi="宋体" w:eastAsia="宋体" w:cs="宋体"/>
                <w:color w:val="auto"/>
                <w:sz w:val="24"/>
                <w:szCs w:val="24"/>
                <w:highlight w:val="none"/>
              </w:rPr>
            </w:pPr>
          </w:p>
        </w:tc>
        <w:tc>
          <w:tcPr>
            <w:tcW w:w="607" w:type="dxa"/>
            <w:tcBorders>
              <w:top w:val="single" w:color="auto" w:sz="4" w:space="0"/>
              <w:left w:val="single" w:color="auto" w:sz="4" w:space="0"/>
              <w:bottom w:val="single" w:color="auto" w:sz="4" w:space="0"/>
              <w:right w:val="single" w:color="auto" w:sz="4" w:space="0"/>
            </w:tcBorders>
            <w:noWrap w:val="0"/>
            <w:vAlign w:val="center"/>
          </w:tcPr>
          <w:p w14:paraId="6976C49B">
            <w:pPr>
              <w:spacing w:line="320" w:lineRule="exact"/>
              <w:jc w:val="center"/>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14:paraId="74087E5C">
            <w:pPr>
              <w:spacing w:line="320" w:lineRule="exact"/>
              <w:jc w:val="center"/>
              <w:rPr>
                <w:rFonts w:hint="eastAsia" w:ascii="宋体" w:hAnsi="宋体" w:eastAsia="宋体" w:cs="宋体"/>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39CF657E">
            <w:pPr>
              <w:spacing w:line="320" w:lineRule="exact"/>
              <w:jc w:val="center"/>
              <w:rPr>
                <w:rFonts w:hint="eastAsia" w:ascii="宋体" w:hAnsi="宋体" w:eastAsia="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59DB593C">
            <w:pPr>
              <w:spacing w:line="320" w:lineRule="exact"/>
              <w:jc w:val="center"/>
              <w:rPr>
                <w:rFonts w:hint="eastAsia" w:ascii="宋体" w:hAnsi="宋体" w:eastAsia="宋体" w:cs="宋体"/>
                <w:color w:val="auto"/>
                <w:sz w:val="24"/>
                <w:szCs w:val="24"/>
                <w:highlight w:val="none"/>
              </w:rPr>
            </w:pPr>
          </w:p>
        </w:tc>
        <w:tc>
          <w:tcPr>
            <w:tcW w:w="922" w:type="dxa"/>
            <w:tcBorders>
              <w:top w:val="single" w:color="auto" w:sz="4" w:space="0"/>
              <w:left w:val="single" w:color="auto" w:sz="4" w:space="0"/>
              <w:bottom w:val="single" w:color="auto" w:sz="4" w:space="0"/>
              <w:right w:val="single" w:color="auto" w:sz="4" w:space="0"/>
            </w:tcBorders>
            <w:noWrap w:val="0"/>
            <w:vAlign w:val="center"/>
          </w:tcPr>
          <w:p w14:paraId="1AA79D33">
            <w:pPr>
              <w:spacing w:line="320" w:lineRule="exact"/>
              <w:jc w:val="center"/>
              <w:rPr>
                <w:rFonts w:hint="eastAsia" w:ascii="宋体" w:hAnsi="宋体" w:eastAsia="宋体" w:cs="宋体"/>
                <w:color w:val="auto"/>
                <w:sz w:val="24"/>
                <w:szCs w:val="24"/>
                <w:highlight w:val="none"/>
              </w:rPr>
            </w:pPr>
          </w:p>
        </w:tc>
        <w:tc>
          <w:tcPr>
            <w:tcW w:w="651" w:type="dxa"/>
            <w:tcBorders>
              <w:top w:val="single" w:color="auto" w:sz="4" w:space="0"/>
              <w:left w:val="single" w:color="auto" w:sz="4" w:space="0"/>
              <w:bottom w:val="single" w:color="auto" w:sz="4" w:space="0"/>
              <w:right w:val="single" w:color="auto" w:sz="4" w:space="0"/>
            </w:tcBorders>
            <w:noWrap w:val="0"/>
            <w:vAlign w:val="center"/>
          </w:tcPr>
          <w:p w14:paraId="66AD0FDD">
            <w:pPr>
              <w:spacing w:line="320" w:lineRule="exact"/>
              <w:jc w:val="center"/>
              <w:rPr>
                <w:rFonts w:hint="eastAsia" w:ascii="宋体" w:hAnsi="宋体" w:eastAsia="宋体" w:cs="宋体"/>
                <w:color w:val="auto"/>
                <w:sz w:val="24"/>
                <w:szCs w:val="24"/>
                <w:highlight w:val="none"/>
              </w:rPr>
            </w:pPr>
          </w:p>
        </w:tc>
      </w:tr>
      <w:tr w14:paraId="3A37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14:paraId="224CF0BB">
            <w:pPr>
              <w:spacing w:line="320" w:lineRule="exact"/>
              <w:jc w:val="center"/>
              <w:rPr>
                <w:rFonts w:hint="eastAsia" w:ascii="宋体" w:hAnsi="宋体" w:eastAsia="宋体" w:cs="宋体"/>
                <w:color w:val="auto"/>
                <w:sz w:val="24"/>
                <w:szCs w:val="24"/>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6191944B">
            <w:pPr>
              <w:spacing w:line="320" w:lineRule="exact"/>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B165271">
            <w:pPr>
              <w:spacing w:line="320" w:lineRule="exact"/>
              <w:jc w:val="center"/>
              <w:rPr>
                <w:rFonts w:hint="eastAsia" w:ascii="宋体" w:hAnsi="宋体" w:eastAsia="宋体" w:cs="宋体"/>
                <w:color w:val="auto"/>
                <w:sz w:val="24"/>
                <w:szCs w:val="24"/>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62F3E168">
            <w:pPr>
              <w:spacing w:line="320" w:lineRule="exact"/>
              <w:jc w:val="center"/>
              <w:rPr>
                <w:rFonts w:hint="eastAsia" w:ascii="宋体" w:hAnsi="宋体" w:eastAsia="宋体" w:cs="宋体"/>
                <w:color w:val="auto"/>
                <w:sz w:val="24"/>
                <w:szCs w:val="24"/>
                <w:highlight w:val="none"/>
              </w:rPr>
            </w:pPr>
          </w:p>
        </w:tc>
        <w:tc>
          <w:tcPr>
            <w:tcW w:w="607" w:type="dxa"/>
            <w:tcBorders>
              <w:top w:val="single" w:color="auto" w:sz="4" w:space="0"/>
              <w:left w:val="single" w:color="auto" w:sz="4" w:space="0"/>
              <w:bottom w:val="single" w:color="auto" w:sz="4" w:space="0"/>
              <w:right w:val="single" w:color="auto" w:sz="4" w:space="0"/>
            </w:tcBorders>
            <w:noWrap w:val="0"/>
            <w:vAlign w:val="center"/>
          </w:tcPr>
          <w:p w14:paraId="0CF5425F">
            <w:pPr>
              <w:spacing w:line="320" w:lineRule="exact"/>
              <w:jc w:val="center"/>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14:paraId="4C934510">
            <w:pPr>
              <w:spacing w:line="320" w:lineRule="exact"/>
              <w:jc w:val="center"/>
              <w:rPr>
                <w:rFonts w:hint="eastAsia" w:ascii="宋体" w:hAnsi="宋体" w:eastAsia="宋体" w:cs="宋体"/>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49F91F26">
            <w:pPr>
              <w:spacing w:line="320" w:lineRule="exact"/>
              <w:jc w:val="center"/>
              <w:rPr>
                <w:rFonts w:hint="eastAsia" w:ascii="宋体" w:hAnsi="宋体" w:eastAsia="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0A688878">
            <w:pPr>
              <w:spacing w:line="320" w:lineRule="exact"/>
              <w:jc w:val="center"/>
              <w:rPr>
                <w:rFonts w:hint="eastAsia" w:ascii="宋体" w:hAnsi="宋体" w:eastAsia="宋体" w:cs="宋体"/>
                <w:color w:val="auto"/>
                <w:sz w:val="24"/>
                <w:szCs w:val="24"/>
                <w:highlight w:val="none"/>
              </w:rPr>
            </w:pPr>
          </w:p>
        </w:tc>
        <w:tc>
          <w:tcPr>
            <w:tcW w:w="922" w:type="dxa"/>
            <w:tcBorders>
              <w:top w:val="single" w:color="auto" w:sz="4" w:space="0"/>
              <w:left w:val="single" w:color="auto" w:sz="4" w:space="0"/>
              <w:bottom w:val="single" w:color="auto" w:sz="4" w:space="0"/>
              <w:right w:val="single" w:color="auto" w:sz="4" w:space="0"/>
            </w:tcBorders>
            <w:noWrap w:val="0"/>
            <w:vAlign w:val="center"/>
          </w:tcPr>
          <w:p w14:paraId="3E26CE8C">
            <w:pPr>
              <w:spacing w:line="320" w:lineRule="exact"/>
              <w:jc w:val="center"/>
              <w:rPr>
                <w:rFonts w:hint="eastAsia" w:ascii="宋体" w:hAnsi="宋体" w:eastAsia="宋体" w:cs="宋体"/>
                <w:color w:val="auto"/>
                <w:sz w:val="24"/>
                <w:szCs w:val="24"/>
                <w:highlight w:val="none"/>
              </w:rPr>
            </w:pPr>
          </w:p>
        </w:tc>
        <w:tc>
          <w:tcPr>
            <w:tcW w:w="651" w:type="dxa"/>
            <w:tcBorders>
              <w:top w:val="single" w:color="auto" w:sz="4" w:space="0"/>
              <w:left w:val="single" w:color="auto" w:sz="4" w:space="0"/>
              <w:bottom w:val="single" w:color="auto" w:sz="4" w:space="0"/>
              <w:right w:val="single" w:color="auto" w:sz="4" w:space="0"/>
            </w:tcBorders>
            <w:noWrap w:val="0"/>
            <w:vAlign w:val="center"/>
          </w:tcPr>
          <w:p w14:paraId="5D5C260A">
            <w:pPr>
              <w:spacing w:line="320" w:lineRule="exact"/>
              <w:jc w:val="center"/>
              <w:rPr>
                <w:rFonts w:hint="eastAsia" w:ascii="宋体" w:hAnsi="宋体" w:eastAsia="宋体" w:cs="宋体"/>
                <w:color w:val="auto"/>
                <w:sz w:val="24"/>
                <w:szCs w:val="24"/>
                <w:highlight w:val="none"/>
              </w:rPr>
            </w:pPr>
          </w:p>
        </w:tc>
      </w:tr>
      <w:tr w14:paraId="28CDD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14:paraId="17F9F2B3">
            <w:pPr>
              <w:spacing w:line="320" w:lineRule="exact"/>
              <w:jc w:val="center"/>
              <w:rPr>
                <w:rFonts w:hint="eastAsia" w:ascii="宋体" w:hAnsi="宋体" w:eastAsia="宋体" w:cs="宋体"/>
                <w:color w:val="auto"/>
                <w:sz w:val="24"/>
                <w:szCs w:val="24"/>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266228D8">
            <w:pPr>
              <w:spacing w:line="320" w:lineRule="exact"/>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7F01868">
            <w:pPr>
              <w:spacing w:line="320" w:lineRule="exact"/>
              <w:jc w:val="center"/>
              <w:rPr>
                <w:rFonts w:hint="eastAsia" w:ascii="宋体" w:hAnsi="宋体" w:eastAsia="宋体" w:cs="宋体"/>
                <w:color w:val="auto"/>
                <w:sz w:val="24"/>
                <w:szCs w:val="24"/>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36A70F54">
            <w:pPr>
              <w:spacing w:line="320" w:lineRule="exact"/>
              <w:jc w:val="center"/>
              <w:rPr>
                <w:rFonts w:hint="eastAsia" w:ascii="宋体" w:hAnsi="宋体" w:eastAsia="宋体" w:cs="宋体"/>
                <w:color w:val="auto"/>
                <w:sz w:val="24"/>
                <w:szCs w:val="24"/>
                <w:highlight w:val="none"/>
              </w:rPr>
            </w:pPr>
          </w:p>
        </w:tc>
        <w:tc>
          <w:tcPr>
            <w:tcW w:w="607" w:type="dxa"/>
            <w:tcBorders>
              <w:top w:val="single" w:color="auto" w:sz="4" w:space="0"/>
              <w:left w:val="single" w:color="auto" w:sz="4" w:space="0"/>
              <w:bottom w:val="single" w:color="auto" w:sz="4" w:space="0"/>
              <w:right w:val="single" w:color="auto" w:sz="4" w:space="0"/>
            </w:tcBorders>
            <w:noWrap w:val="0"/>
            <w:vAlign w:val="center"/>
          </w:tcPr>
          <w:p w14:paraId="512987FB">
            <w:pPr>
              <w:spacing w:line="320" w:lineRule="exact"/>
              <w:jc w:val="center"/>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14:paraId="30F7E9A5">
            <w:pPr>
              <w:spacing w:line="320" w:lineRule="exact"/>
              <w:jc w:val="center"/>
              <w:rPr>
                <w:rFonts w:hint="eastAsia" w:ascii="宋体" w:hAnsi="宋体" w:eastAsia="宋体" w:cs="宋体"/>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29CB5CB7">
            <w:pPr>
              <w:spacing w:line="320" w:lineRule="exact"/>
              <w:jc w:val="center"/>
              <w:rPr>
                <w:rFonts w:hint="eastAsia" w:ascii="宋体" w:hAnsi="宋体" w:eastAsia="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0B16E0B1">
            <w:pPr>
              <w:spacing w:line="320" w:lineRule="exact"/>
              <w:jc w:val="center"/>
              <w:rPr>
                <w:rFonts w:hint="eastAsia" w:ascii="宋体" w:hAnsi="宋体" w:eastAsia="宋体" w:cs="宋体"/>
                <w:color w:val="auto"/>
                <w:sz w:val="24"/>
                <w:szCs w:val="24"/>
                <w:highlight w:val="none"/>
              </w:rPr>
            </w:pPr>
          </w:p>
        </w:tc>
        <w:tc>
          <w:tcPr>
            <w:tcW w:w="922" w:type="dxa"/>
            <w:tcBorders>
              <w:top w:val="single" w:color="auto" w:sz="4" w:space="0"/>
              <w:left w:val="single" w:color="auto" w:sz="4" w:space="0"/>
              <w:bottom w:val="single" w:color="auto" w:sz="4" w:space="0"/>
              <w:right w:val="single" w:color="auto" w:sz="4" w:space="0"/>
            </w:tcBorders>
            <w:noWrap w:val="0"/>
            <w:vAlign w:val="center"/>
          </w:tcPr>
          <w:p w14:paraId="566FE99E">
            <w:pPr>
              <w:spacing w:line="320" w:lineRule="exact"/>
              <w:jc w:val="center"/>
              <w:rPr>
                <w:rFonts w:hint="eastAsia" w:ascii="宋体" w:hAnsi="宋体" w:eastAsia="宋体" w:cs="宋体"/>
                <w:color w:val="auto"/>
                <w:sz w:val="24"/>
                <w:szCs w:val="24"/>
                <w:highlight w:val="none"/>
              </w:rPr>
            </w:pPr>
          </w:p>
        </w:tc>
        <w:tc>
          <w:tcPr>
            <w:tcW w:w="651" w:type="dxa"/>
            <w:tcBorders>
              <w:top w:val="single" w:color="auto" w:sz="4" w:space="0"/>
              <w:left w:val="single" w:color="auto" w:sz="4" w:space="0"/>
              <w:bottom w:val="single" w:color="auto" w:sz="4" w:space="0"/>
              <w:right w:val="single" w:color="auto" w:sz="4" w:space="0"/>
            </w:tcBorders>
            <w:noWrap w:val="0"/>
            <w:vAlign w:val="center"/>
          </w:tcPr>
          <w:p w14:paraId="0F3114FD">
            <w:pPr>
              <w:spacing w:line="320" w:lineRule="exact"/>
              <w:jc w:val="center"/>
              <w:rPr>
                <w:rFonts w:hint="eastAsia" w:ascii="宋体" w:hAnsi="宋体" w:eastAsia="宋体" w:cs="宋体"/>
                <w:color w:val="auto"/>
                <w:sz w:val="24"/>
                <w:szCs w:val="24"/>
                <w:highlight w:val="none"/>
              </w:rPr>
            </w:pPr>
          </w:p>
        </w:tc>
      </w:tr>
      <w:tr w14:paraId="37D8D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14:paraId="532AE7A8">
            <w:pPr>
              <w:spacing w:line="320" w:lineRule="exact"/>
              <w:jc w:val="center"/>
              <w:rPr>
                <w:rFonts w:hint="eastAsia" w:ascii="宋体" w:hAnsi="宋体" w:eastAsia="宋体" w:cs="宋体"/>
                <w:color w:val="auto"/>
                <w:sz w:val="24"/>
                <w:szCs w:val="24"/>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1CEF1653">
            <w:pPr>
              <w:spacing w:line="320" w:lineRule="exact"/>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ABEEBAD">
            <w:pPr>
              <w:spacing w:line="320" w:lineRule="exact"/>
              <w:jc w:val="center"/>
              <w:rPr>
                <w:rFonts w:hint="eastAsia" w:ascii="宋体" w:hAnsi="宋体" w:eastAsia="宋体" w:cs="宋体"/>
                <w:color w:val="auto"/>
                <w:sz w:val="24"/>
                <w:szCs w:val="24"/>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198DAEF6">
            <w:pPr>
              <w:spacing w:line="320" w:lineRule="exact"/>
              <w:jc w:val="center"/>
              <w:rPr>
                <w:rFonts w:hint="eastAsia" w:ascii="宋体" w:hAnsi="宋体" w:eastAsia="宋体" w:cs="宋体"/>
                <w:color w:val="auto"/>
                <w:sz w:val="24"/>
                <w:szCs w:val="24"/>
                <w:highlight w:val="none"/>
              </w:rPr>
            </w:pPr>
          </w:p>
        </w:tc>
        <w:tc>
          <w:tcPr>
            <w:tcW w:w="607" w:type="dxa"/>
            <w:tcBorders>
              <w:top w:val="single" w:color="auto" w:sz="4" w:space="0"/>
              <w:left w:val="single" w:color="auto" w:sz="4" w:space="0"/>
              <w:bottom w:val="single" w:color="auto" w:sz="4" w:space="0"/>
              <w:right w:val="single" w:color="auto" w:sz="4" w:space="0"/>
            </w:tcBorders>
            <w:noWrap w:val="0"/>
            <w:vAlign w:val="center"/>
          </w:tcPr>
          <w:p w14:paraId="580D7AC1">
            <w:pPr>
              <w:spacing w:line="320" w:lineRule="exact"/>
              <w:jc w:val="center"/>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14:paraId="1816673E">
            <w:pPr>
              <w:spacing w:line="320" w:lineRule="exact"/>
              <w:jc w:val="center"/>
              <w:rPr>
                <w:rFonts w:hint="eastAsia" w:ascii="宋体" w:hAnsi="宋体" w:eastAsia="宋体" w:cs="宋体"/>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0F2D4311">
            <w:pPr>
              <w:spacing w:line="320" w:lineRule="exact"/>
              <w:jc w:val="center"/>
              <w:rPr>
                <w:rFonts w:hint="eastAsia" w:ascii="宋体" w:hAnsi="宋体" w:eastAsia="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147CA8F5">
            <w:pPr>
              <w:spacing w:line="320" w:lineRule="exact"/>
              <w:jc w:val="center"/>
              <w:rPr>
                <w:rFonts w:hint="eastAsia" w:ascii="宋体" w:hAnsi="宋体" w:eastAsia="宋体" w:cs="宋体"/>
                <w:color w:val="auto"/>
                <w:sz w:val="24"/>
                <w:szCs w:val="24"/>
                <w:highlight w:val="none"/>
              </w:rPr>
            </w:pPr>
          </w:p>
        </w:tc>
        <w:tc>
          <w:tcPr>
            <w:tcW w:w="922" w:type="dxa"/>
            <w:tcBorders>
              <w:top w:val="single" w:color="auto" w:sz="4" w:space="0"/>
              <w:left w:val="single" w:color="auto" w:sz="4" w:space="0"/>
              <w:bottom w:val="single" w:color="auto" w:sz="4" w:space="0"/>
              <w:right w:val="single" w:color="auto" w:sz="4" w:space="0"/>
            </w:tcBorders>
            <w:noWrap w:val="0"/>
            <w:vAlign w:val="center"/>
          </w:tcPr>
          <w:p w14:paraId="3B96E801">
            <w:pPr>
              <w:spacing w:line="320" w:lineRule="exact"/>
              <w:jc w:val="center"/>
              <w:rPr>
                <w:rFonts w:hint="eastAsia" w:ascii="宋体" w:hAnsi="宋体" w:eastAsia="宋体" w:cs="宋体"/>
                <w:color w:val="auto"/>
                <w:sz w:val="24"/>
                <w:szCs w:val="24"/>
                <w:highlight w:val="none"/>
              </w:rPr>
            </w:pPr>
          </w:p>
        </w:tc>
        <w:tc>
          <w:tcPr>
            <w:tcW w:w="651" w:type="dxa"/>
            <w:tcBorders>
              <w:top w:val="single" w:color="auto" w:sz="4" w:space="0"/>
              <w:left w:val="single" w:color="auto" w:sz="4" w:space="0"/>
              <w:bottom w:val="single" w:color="auto" w:sz="4" w:space="0"/>
              <w:right w:val="single" w:color="auto" w:sz="4" w:space="0"/>
            </w:tcBorders>
            <w:noWrap w:val="0"/>
            <w:vAlign w:val="center"/>
          </w:tcPr>
          <w:p w14:paraId="4F66B8F6">
            <w:pPr>
              <w:spacing w:line="320" w:lineRule="exact"/>
              <w:jc w:val="center"/>
              <w:rPr>
                <w:rFonts w:hint="eastAsia" w:ascii="宋体" w:hAnsi="宋体" w:eastAsia="宋体" w:cs="宋体"/>
                <w:color w:val="auto"/>
                <w:sz w:val="24"/>
                <w:szCs w:val="24"/>
                <w:highlight w:val="none"/>
              </w:rPr>
            </w:pPr>
          </w:p>
        </w:tc>
      </w:tr>
    </w:tbl>
    <w:p w14:paraId="5BD41E45">
      <w:pPr>
        <w:rPr>
          <w:rFonts w:ascii="黑体" w:hAnsi="黑体" w:eastAsia="黑体"/>
          <w:color w:val="auto"/>
          <w:sz w:val="32"/>
          <w:highlight w:val="none"/>
        </w:rPr>
      </w:pPr>
    </w:p>
    <w:p w14:paraId="6A82757D">
      <w:pPr>
        <w:spacing w:line="360" w:lineRule="auto"/>
        <w:rPr>
          <w:rFonts w:hint="eastAsia" w:ascii="宋体" w:hAnsi="宋体" w:eastAsia="宋体" w:cs="宋体"/>
          <w:color w:val="auto"/>
          <w:sz w:val="24"/>
          <w:szCs w:val="24"/>
          <w:highlight w:val="none"/>
        </w:rPr>
      </w:pPr>
      <w:r>
        <w:rPr>
          <w:color w:val="auto"/>
          <w:highlight w:val="none"/>
        </w:rPr>
        <w:br w:type="page"/>
      </w:r>
      <w:r>
        <w:rPr>
          <w:rFonts w:hint="eastAsia" w:ascii="宋体" w:hAnsi="宋体" w:eastAsia="宋体" w:cs="宋体"/>
          <w:color w:val="auto"/>
          <w:sz w:val="24"/>
          <w:szCs w:val="24"/>
          <w:highlight w:val="none"/>
        </w:rPr>
        <w:t>附件：3</w:t>
      </w:r>
    </w:p>
    <w:p w14:paraId="402497A0">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工程质量保修书</w:t>
      </w:r>
    </w:p>
    <w:p w14:paraId="37121DAE">
      <w:pPr>
        <w:spacing w:line="360" w:lineRule="auto"/>
        <w:rPr>
          <w:rFonts w:hint="eastAsia" w:ascii="宋体" w:hAnsi="宋体" w:eastAsia="宋体" w:cs="宋体"/>
          <w:color w:val="auto"/>
          <w:sz w:val="24"/>
          <w:szCs w:val="24"/>
          <w:highlight w:val="none"/>
        </w:rPr>
      </w:pPr>
    </w:p>
    <w:p w14:paraId="63D89C9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发包人（全称）：</w:t>
      </w:r>
      <w:r>
        <w:rPr>
          <w:rFonts w:hint="eastAsia" w:ascii="宋体" w:hAnsi="宋体" w:eastAsia="宋体" w:cs="宋体"/>
          <w:b/>
          <w:bCs/>
          <w:color w:val="auto"/>
          <w:sz w:val="24"/>
          <w:szCs w:val="24"/>
          <w:highlight w:val="none"/>
          <w:u w:val="single"/>
        </w:rPr>
        <w:t>浙江省杭州第四中学</w:t>
      </w:r>
    </w:p>
    <w:p w14:paraId="5A3038A8">
      <w:pPr>
        <w:spacing w:line="360" w:lineRule="auto"/>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承包人（全称）：</w:t>
      </w:r>
      <w:r>
        <w:rPr>
          <w:rFonts w:hint="eastAsia" w:ascii="宋体" w:hAnsi="宋体" w:eastAsia="宋体" w:cs="宋体"/>
          <w:b/>
          <w:color w:val="auto"/>
          <w:sz w:val="24"/>
          <w:szCs w:val="24"/>
          <w:highlight w:val="none"/>
          <w:u w:val="single"/>
        </w:rPr>
        <w:t xml:space="preserve">                   </w:t>
      </w:r>
    </w:p>
    <w:p w14:paraId="47D2613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18471AB">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一、工程质量保修范围和内容</w:t>
      </w:r>
    </w:p>
    <w:p w14:paraId="73B8683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承包人在质量保修期内，按照有关法律规定和合同约定，承担工程质量保修责任。</w:t>
      </w:r>
    </w:p>
    <w:p w14:paraId="21846F4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b/>
          <w:color w:val="auto"/>
          <w:sz w:val="24"/>
          <w:szCs w:val="24"/>
          <w:highlight w:val="none"/>
          <w:u w:val="single"/>
        </w:rPr>
        <w:t>工程量清单及图纸范围内的全部内容</w:t>
      </w:r>
      <w:r>
        <w:rPr>
          <w:rFonts w:hint="eastAsia" w:ascii="宋体" w:hAnsi="宋体" w:eastAsia="宋体" w:cs="宋体"/>
          <w:color w:val="auto"/>
          <w:sz w:val="24"/>
          <w:szCs w:val="24"/>
          <w:highlight w:val="none"/>
        </w:rPr>
        <w:t>。</w:t>
      </w:r>
    </w:p>
    <w:p w14:paraId="5B3E9998">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w:t>
      </w:r>
    </w:p>
    <w:p w14:paraId="655EC930">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二、质量保修期</w:t>
      </w:r>
    </w:p>
    <w:p w14:paraId="6FA09AE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根据《建设工程质量管理条例》及有关规定，工程的质量保修期如下：</w:t>
      </w:r>
    </w:p>
    <w:p w14:paraId="1CDF335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1．地基基础工程和主体结构工程为设计文件规定的工程合理使用年限；</w:t>
      </w:r>
    </w:p>
    <w:p w14:paraId="69657A0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2．屋面防水工程、有防水要求的卫生间、房间和外墙面的防渗为</w:t>
      </w:r>
      <w:r>
        <w:rPr>
          <w:rFonts w:hint="eastAsia" w:ascii="宋体" w:hAnsi="宋体" w:eastAsia="宋体" w:cs="宋体"/>
          <w:b/>
          <w:color w:val="auto"/>
          <w:sz w:val="24"/>
          <w:szCs w:val="24"/>
          <w:highlight w:val="none"/>
          <w:u w:val="single"/>
        </w:rPr>
        <w:t xml:space="preserve"> 5</w:t>
      </w:r>
      <w:r>
        <w:rPr>
          <w:rFonts w:hint="eastAsia" w:ascii="宋体" w:hAnsi="宋体" w:eastAsia="宋体" w:cs="宋体"/>
          <w:color w:val="auto"/>
          <w:sz w:val="24"/>
          <w:szCs w:val="24"/>
          <w:highlight w:val="none"/>
        </w:rPr>
        <w:t>年；</w:t>
      </w:r>
    </w:p>
    <w:p w14:paraId="32D13AA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3．装修工程为</w:t>
      </w:r>
      <w:r>
        <w:rPr>
          <w:rFonts w:hint="eastAsia" w:ascii="宋体" w:hAnsi="宋体" w:eastAsia="宋体" w:cs="宋体"/>
          <w:b/>
          <w:color w:val="auto"/>
          <w:sz w:val="24"/>
          <w:szCs w:val="24"/>
          <w:highlight w:val="none"/>
          <w:u w:val="single"/>
        </w:rPr>
        <w:t xml:space="preserve"> 2  </w:t>
      </w:r>
      <w:r>
        <w:rPr>
          <w:rFonts w:hint="eastAsia" w:ascii="宋体" w:hAnsi="宋体" w:eastAsia="宋体" w:cs="宋体"/>
          <w:color w:val="auto"/>
          <w:sz w:val="24"/>
          <w:szCs w:val="24"/>
          <w:highlight w:val="none"/>
        </w:rPr>
        <w:t>年；</w:t>
      </w:r>
    </w:p>
    <w:p w14:paraId="77762A6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4．电气管线、给排水管道、设备安装工程为</w:t>
      </w:r>
      <w:r>
        <w:rPr>
          <w:rFonts w:hint="eastAsia" w:ascii="宋体" w:hAnsi="宋体" w:eastAsia="宋体" w:cs="宋体"/>
          <w:b/>
          <w:color w:val="auto"/>
          <w:sz w:val="24"/>
          <w:szCs w:val="24"/>
          <w:highlight w:val="none"/>
          <w:u w:val="single"/>
        </w:rPr>
        <w:t xml:space="preserve"> 2 </w:t>
      </w:r>
      <w:r>
        <w:rPr>
          <w:rFonts w:hint="eastAsia" w:ascii="宋体" w:hAnsi="宋体" w:eastAsia="宋体" w:cs="宋体"/>
          <w:color w:val="auto"/>
          <w:sz w:val="24"/>
          <w:szCs w:val="24"/>
          <w:highlight w:val="none"/>
        </w:rPr>
        <w:t>年；</w:t>
      </w:r>
    </w:p>
    <w:p w14:paraId="6332CA7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5．供热与供冷系统为</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rPr>
        <w:t>个采暖期、供冷期；</w:t>
      </w:r>
    </w:p>
    <w:p w14:paraId="1506B16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6．住宅小区内的给排水设施、道路等配套工程为</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rPr>
        <w:t>年；</w:t>
      </w:r>
    </w:p>
    <w:p w14:paraId="79886BF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7．其他项目保修期限约定如下：</w:t>
      </w:r>
      <w:r>
        <w:rPr>
          <w:rFonts w:hint="eastAsia" w:ascii="宋体" w:hAnsi="宋体" w:eastAsia="宋体" w:cs="宋体"/>
          <w:b/>
          <w:color w:val="auto"/>
          <w:sz w:val="24"/>
          <w:szCs w:val="24"/>
          <w:highlight w:val="none"/>
          <w:u w:val="single"/>
        </w:rPr>
        <w:t>本工程其他项目质保期均为2年</w:t>
      </w:r>
      <w:r>
        <w:rPr>
          <w:rFonts w:hint="eastAsia" w:ascii="宋体" w:hAnsi="宋体" w:eastAsia="宋体" w:cs="宋体"/>
          <w:color w:val="auto"/>
          <w:sz w:val="24"/>
          <w:szCs w:val="24"/>
          <w:highlight w:val="none"/>
        </w:rPr>
        <w:t>。</w:t>
      </w:r>
    </w:p>
    <w:p w14:paraId="2AE74C3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质量保修期自工程竣工验收合格之日起计算。</w:t>
      </w:r>
    </w:p>
    <w:p w14:paraId="29C10EFB">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三、缺陷责任期</w:t>
      </w:r>
    </w:p>
    <w:p w14:paraId="69EE9DD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工程缺陷责任期为</w:t>
      </w:r>
      <w:r>
        <w:rPr>
          <w:rFonts w:hint="eastAsia" w:ascii="宋体" w:hAnsi="宋体" w:eastAsia="宋体" w:cs="宋体"/>
          <w:b/>
          <w:color w:val="auto"/>
          <w:sz w:val="24"/>
          <w:szCs w:val="24"/>
          <w:highlight w:val="none"/>
          <w:u w:val="single"/>
        </w:rPr>
        <w:t>24</w:t>
      </w:r>
      <w:r>
        <w:rPr>
          <w:rFonts w:hint="eastAsia" w:ascii="宋体" w:hAnsi="宋体" w:eastAsia="宋体" w:cs="宋体"/>
          <w:color w:val="auto"/>
          <w:sz w:val="24"/>
          <w:szCs w:val="24"/>
          <w:highlight w:val="none"/>
        </w:rPr>
        <w:t>个月，缺陷责任期自工程竣工验收合格之日起计算。单位工程先于全部工程进行验收，单位工程缺陷责任期自单位工程验收合格之日期起算。</w:t>
      </w:r>
    </w:p>
    <w:p w14:paraId="109AB04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缺陷责任期终止后，发包人应退还剩余的质量保证金。</w:t>
      </w:r>
    </w:p>
    <w:p w14:paraId="071A3A6B">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四、质量保修责任</w:t>
      </w:r>
    </w:p>
    <w:p w14:paraId="0D48BEA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1．属于保修范围、内容的项目，承包人应当在接到保修通知之日起7天内派人保修。承包人不在约定期限内派人保修的，发包人可以委托他人修理。</w:t>
      </w:r>
    </w:p>
    <w:p w14:paraId="656C1C2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2．发生紧急事故需抢修的，承包人在接到事故通知后，应当立即到达事故现场抢修。</w:t>
      </w:r>
    </w:p>
    <w:p w14:paraId="4A426F0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164EEB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4．质量保修完成后，由发包人组织验收。</w:t>
      </w:r>
    </w:p>
    <w:p w14:paraId="4D3BDB02">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w:t>
      </w:r>
    </w:p>
    <w:p w14:paraId="262D3103">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五、保修费用</w:t>
      </w:r>
    </w:p>
    <w:p w14:paraId="5C9C079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保修费用由造成质量缺陷的责任方承担。</w:t>
      </w:r>
    </w:p>
    <w:p w14:paraId="4D07E04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工程质量保修书由发包人、承包人在工程竣工验收前共同签署，作为施工合同附件，其有效期限至保修期满。</w:t>
      </w:r>
    </w:p>
    <w:p w14:paraId="5D77CE21">
      <w:pPr>
        <w:spacing w:line="360" w:lineRule="auto"/>
        <w:rPr>
          <w:rFonts w:hint="eastAsia" w:ascii="宋体" w:hAnsi="宋体" w:eastAsia="宋体" w:cs="宋体"/>
          <w:color w:val="auto"/>
          <w:sz w:val="24"/>
          <w:szCs w:val="24"/>
          <w:highlight w:val="none"/>
        </w:rPr>
      </w:pPr>
    </w:p>
    <w:p w14:paraId="79031308">
      <w:pPr>
        <w:spacing w:line="360" w:lineRule="auto"/>
        <w:ind w:firstLine="420"/>
        <w:rPr>
          <w:rFonts w:hint="eastAsia" w:ascii="宋体" w:hAnsi="宋体" w:eastAsia="宋体" w:cs="宋体"/>
          <w:color w:val="auto"/>
          <w:sz w:val="24"/>
          <w:szCs w:val="24"/>
          <w:highlight w:val="none"/>
        </w:rPr>
      </w:pPr>
    </w:p>
    <w:p w14:paraId="7FC61441">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承包人（公章）：</w:t>
      </w:r>
      <w:r>
        <w:rPr>
          <w:rFonts w:hint="eastAsia" w:ascii="宋体" w:hAnsi="宋体" w:eastAsia="宋体" w:cs="宋体"/>
          <w:color w:val="auto"/>
          <w:sz w:val="24"/>
          <w:szCs w:val="24"/>
          <w:highlight w:val="none"/>
          <w:u w:val="single"/>
        </w:rPr>
        <w:t xml:space="preserve">                </w:t>
      </w:r>
    </w:p>
    <w:p w14:paraId="031CF8E6">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地址：</w:t>
      </w:r>
      <w:r>
        <w:rPr>
          <w:rFonts w:hint="eastAsia" w:ascii="宋体" w:hAnsi="宋体" w:eastAsia="宋体" w:cs="宋体"/>
          <w:color w:val="auto"/>
          <w:sz w:val="24"/>
          <w:szCs w:val="24"/>
          <w:highlight w:val="none"/>
          <w:u w:val="single"/>
        </w:rPr>
        <w:t xml:space="preserve">                 </w:t>
      </w:r>
    </w:p>
    <w:p w14:paraId="6A268F9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法定代表人（签字）：</w:t>
      </w:r>
      <w:r>
        <w:rPr>
          <w:rFonts w:hint="eastAsia" w:ascii="宋体" w:hAnsi="宋体" w:eastAsia="宋体" w:cs="宋体"/>
          <w:color w:val="auto"/>
          <w:sz w:val="24"/>
          <w:szCs w:val="24"/>
          <w:highlight w:val="none"/>
          <w:u w:val="single"/>
        </w:rPr>
        <w:t xml:space="preserve">            </w:t>
      </w:r>
    </w:p>
    <w:p w14:paraId="016004C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委托代理人（签字）：</w:t>
      </w:r>
      <w:r>
        <w:rPr>
          <w:rFonts w:hint="eastAsia" w:ascii="宋体" w:hAnsi="宋体" w:eastAsia="宋体" w:cs="宋体"/>
          <w:color w:val="auto"/>
          <w:sz w:val="24"/>
          <w:szCs w:val="24"/>
          <w:highlight w:val="none"/>
          <w:u w:val="single"/>
        </w:rPr>
        <w:t xml:space="preserve">            </w:t>
      </w:r>
    </w:p>
    <w:p w14:paraId="1FDAE11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电话：</w:t>
      </w:r>
      <w:r>
        <w:rPr>
          <w:rFonts w:hint="eastAsia" w:ascii="宋体" w:hAnsi="宋体" w:eastAsia="宋体" w:cs="宋体"/>
          <w:color w:val="auto"/>
          <w:sz w:val="24"/>
          <w:szCs w:val="24"/>
          <w:highlight w:val="none"/>
          <w:u w:val="single"/>
        </w:rPr>
        <w:t xml:space="preserve">                         </w:t>
      </w:r>
    </w:p>
    <w:p w14:paraId="35DAC04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u w:val="single"/>
        </w:rPr>
        <w:t xml:space="preserve">                         </w:t>
      </w:r>
    </w:p>
    <w:p w14:paraId="7DCB68E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2AD0142">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账号：</w:t>
      </w:r>
      <w:r>
        <w:rPr>
          <w:rFonts w:hint="eastAsia" w:ascii="宋体" w:hAnsi="宋体" w:eastAsia="宋体" w:cs="宋体"/>
          <w:color w:val="auto"/>
          <w:sz w:val="24"/>
          <w:szCs w:val="24"/>
          <w:highlight w:val="none"/>
          <w:u w:val="single"/>
        </w:rPr>
        <w:t xml:space="preserve">               </w:t>
      </w:r>
    </w:p>
    <w:p w14:paraId="2851B05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 xml:space="preserve">           </w:t>
      </w:r>
    </w:p>
    <w:p w14:paraId="14BDFB77">
      <w:pPr>
        <w:spacing w:line="360" w:lineRule="auto"/>
        <w:jc w:val="center"/>
        <w:rPr>
          <w:rFonts w:cs="宋体"/>
          <w:b/>
          <w:bCs/>
          <w:color w:val="auto"/>
          <w:sz w:val="10"/>
          <w:szCs w:val="10"/>
          <w:highlight w:val="none"/>
        </w:rPr>
      </w:pPr>
    </w:p>
    <w:p w14:paraId="3CB2E0C4">
      <w:pPr>
        <w:spacing w:line="360" w:lineRule="auto"/>
        <w:jc w:val="center"/>
        <w:rPr>
          <w:rFonts w:ascii="仿宋" w:hAnsi="仿宋" w:eastAsia="仿宋" w:cs="仿宋"/>
          <w:b/>
          <w:bCs/>
          <w:color w:val="auto"/>
          <w:sz w:val="24"/>
          <w:highlight w:val="none"/>
        </w:rPr>
      </w:pPr>
      <w:r>
        <w:rPr>
          <w:rFonts w:ascii="仿宋" w:hAnsi="仿宋" w:eastAsia="仿宋" w:cs="仿宋"/>
          <w:b/>
          <w:bCs/>
          <w:color w:val="auto"/>
          <w:sz w:val="24"/>
          <w:highlight w:val="none"/>
        </w:rPr>
        <w:br w:type="page"/>
      </w:r>
      <w:r>
        <w:rPr>
          <w:rFonts w:hint="eastAsia" w:ascii="宋体" w:hAnsi="宋体" w:eastAsia="宋体" w:cs="宋体"/>
          <w:b/>
          <w:bCs/>
          <w:color w:val="auto"/>
          <w:sz w:val="32"/>
          <w:szCs w:val="32"/>
          <w:highlight w:val="none"/>
        </w:rPr>
        <w:t>安全生产责任协议书</w:t>
      </w:r>
    </w:p>
    <w:p w14:paraId="6442F5A7">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w:t>
      </w:r>
      <w:r>
        <w:rPr>
          <w:rFonts w:hint="eastAsia" w:ascii="宋体" w:hAnsi="宋体" w:eastAsia="宋体" w:cs="宋体"/>
          <w:b/>
          <w:color w:val="auto"/>
          <w:sz w:val="24"/>
          <w:szCs w:val="24"/>
          <w:highlight w:val="none"/>
          <w:u w:val="single"/>
        </w:rPr>
        <w:t xml:space="preserve"> 浙江省杭州第四中学  </w:t>
      </w: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28449D9C">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A1B98B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为落实安全生产的管理要求，确保工程建设的顺利进行，经承、发包双方共同协商，一致同意如下：</w:t>
      </w:r>
    </w:p>
    <w:p w14:paraId="067DA2C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一、发包人在施工开始前向承包人提交必要的施工场地，明确承包人安全生产管理的责任区域和要求，承包人负责施工现场的安全管理工作，是施工现场安全管理的责任单位。承包人必须建立健全安全生产保证体系，建立健全应急救援体系并将相关文件报发包人备案。</w:t>
      </w:r>
    </w:p>
    <w:p w14:paraId="5347C22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二、发包人应积极组织和督促承包人开展安全达标活动，及时传达和部署上级的有关安全生产精神和要求，加强安全生产的指导和协调。</w:t>
      </w:r>
    </w:p>
    <w:p w14:paraId="3A0EFB5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三、发包人负责组织对承包人安全规范作业、文明施工情况的检查，定期组织考核；对承包人及有关人员在安全生产工作中有突出贡献或成绩显著的集体、个人应给予表彰和奖励。对承包人及有关人员发出的违章、违法行为和存在的问题以及在安全生产、文明等创优达标活动中不积极配合的，发包人有权制止、责成其限期整改。</w:t>
      </w:r>
    </w:p>
    <w:p w14:paraId="7B2DE68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四、凡工地内发生重大安全生产或人员伤亡事故的，由建设、安监等行政部门、司法机关调查处理。事故造成的经济损失及因承包人责任给发包人造成的连带经济损失全部由承包人承担。</w:t>
      </w:r>
    </w:p>
    <w:p w14:paraId="10567A5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五、承包人必须建立健全安全生产保证体系，落实各级安全生产责任制，建立健全各项安全生产制度，按照“谁施工谁负责”的原则，负责单位内部和施工责任区域的安全生产管理工作。扎实做好隐患排查工作，发现重大隐患要及时处置并及时报告，严禁隐瞒。所有下基坑和进出隧道的人员必须实行挂牌登记，做好统计和点名。</w:t>
      </w:r>
    </w:p>
    <w:p w14:paraId="25DF227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六、承包人必须严格贯彻执行国家和本市颁布的有关安全生产的法律、法规，严格按照住建部《建筑施工安全检查标准》(编号JGJ59-2011)的要求加强内部安全管理，落实各项安全防护措施，确保工程建设中不发生伤亡事故。</w:t>
      </w:r>
    </w:p>
    <w:p w14:paraId="3356386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七、承包人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危险性较大分部分项工程必须按专家会议审查批准的方案实施。</w:t>
      </w:r>
    </w:p>
    <w:p w14:paraId="2AEB84A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八、承包人必须对工程项目及周边环境进行施工监测、安全巡视和综合分析，及时向建设、设计、监理、第三方监测单位反馈监测数据和巡查信息。发现异常时，及时通知建设、设计、监理、第三方监测单位等单位，并采取应对措施。</w:t>
      </w:r>
    </w:p>
    <w:p w14:paraId="54518F4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九、承包人必须建立成型地铁隧道保护工作机制，制定保护办法、落实保护措施，设置警示标志，落实专人，加强巡查。</w:t>
      </w:r>
    </w:p>
    <w:p w14:paraId="3E65534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十、承包人进入工地后应明确项目经理为安全生产第一责任人。根据建设部办公厅2008年91号文件要求配置专职安全管理人员。即劳务分包时施工人员50人以下的工地必须配置1名专职安全管理人员；50-200人应配备2名专职安全管理人员；200人以上应配备不少于3名专职安全管理人员；专业分包队伍配备不少于1人的专职安全管理人员。建筑工程、土木工程、管线工程、设备安装工程参照文件规定依据工程面积、造价配备专职安全管理人员，组成安全管理组负责工地的安全生产管理工作。并将名单报发包人备案。</w:t>
      </w:r>
    </w:p>
    <w:p w14:paraId="5948E83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十一、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禁止未经培训、未持证人员上岗作业。严格执行各种安全操作规程，确保施工安全。</w:t>
      </w:r>
    </w:p>
    <w:p w14:paraId="70A590E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十二、承包人应主动接受发包人在安全生产工作上的业务指导，检查和督促，服从管理；对发包人的工作布置和组织的活动要积极贯彻实施和参加。对发包人给予因责任违约的经济处理如有异议可要求复核。对发包人工作人员利用职权营私舞弊、有意刁难的违法行为，有权检举揭发，要求处理。</w:t>
      </w:r>
    </w:p>
    <w:p w14:paraId="6CE5342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十三、承包人必须切实建立应急预案和救援体系，每年组织应急演练不少于一次。</w:t>
      </w:r>
    </w:p>
    <w:p w14:paraId="69C6A83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十四、承包人因疏于管理违章违法作业发生安全事故或造成人员伤亡的，应在积极抢救受伤人员、保护现场的同时，严格按安全事故上报的规定时限向发包人和当地建设、安监等行政部门汇报，不得迟报瞒报。</w:t>
      </w:r>
    </w:p>
    <w:p w14:paraId="42B7A39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十五、本协议中未涉及的有关条款，承、发包双方可根据需要协商补充修改。如遇有国家和本市的有关法规不符的，应按国家和本市的有关法规执行。</w:t>
      </w:r>
    </w:p>
    <w:p w14:paraId="5E32F9F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十六、本协议作为承、发包双方工程合同的附件，在工程合同签约后生效，与工程合同具有同等法律效力。工程合同期满，本协议终止。</w:t>
      </w:r>
    </w:p>
    <w:p w14:paraId="75391BD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发包人(公章)：                          承包人(公章)：</w:t>
      </w:r>
    </w:p>
    <w:p w14:paraId="7BFAA34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                            法定代表人：</w:t>
      </w:r>
    </w:p>
    <w:p w14:paraId="29C6836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或委托代表人：                          或委托代表人：</w:t>
      </w:r>
    </w:p>
    <w:p w14:paraId="1A107040">
      <w:pPr>
        <w:tabs>
          <w:tab w:val="left" w:pos="0"/>
        </w:tabs>
        <w:spacing w:line="360" w:lineRule="auto"/>
        <w:jc w:val="center"/>
        <w:rPr>
          <w:rFonts w:ascii="仿宋" w:hAnsi="仿宋" w:eastAsia="仿宋" w:cs="仿宋"/>
          <w:b/>
          <w:bCs/>
          <w:color w:val="auto"/>
          <w:sz w:val="24"/>
          <w:highlight w:val="none"/>
        </w:rPr>
      </w:pPr>
      <w:r>
        <w:rPr>
          <w:rFonts w:hint="eastAsia" w:ascii="宋体" w:hAnsi="宋体" w:eastAsia="宋体" w:cs="宋体"/>
          <w:color w:val="auto"/>
          <w:sz w:val="24"/>
          <w:szCs w:val="24"/>
          <w:highlight w:val="none"/>
        </w:rPr>
        <w:t>年  月  日                              年  月  日</w:t>
      </w:r>
      <w:r>
        <w:rPr>
          <w:rFonts w:hint="eastAsia" w:ascii="仿宋" w:hAnsi="仿宋" w:eastAsia="仿宋" w:cs="仿宋"/>
          <w:b/>
          <w:bCs/>
          <w:color w:val="auto"/>
          <w:highlight w:val="none"/>
        </w:rPr>
        <w:br w:type="page"/>
      </w:r>
      <w:r>
        <w:rPr>
          <w:rFonts w:hint="eastAsia" w:ascii="宋体" w:hAnsi="宋体" w:eastAsia="宋体" w:cs="宋体"/>
          <w:b/>
          <w:bCs/>
          <w:color w:val="auto"/>
          <w:sz w:val="32"/>
          <w:szCs w:val="32"/>
          <w:highlight w:val="none"/>
        </w:rPr>
        <w:t>工程建设施工廉政协议书</w:t>
      </w:r>
    </w:p>
    <w:p w14:paraId="38B24C37">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w:t>
      </w:r>
      <w:r>
        <w:rPr>
          <w:rFonts w:hint="eastAsia" w:ascii="宋体" w:hAnsi="宋体" w:eastAsia="宋体" w:cs="宋体"/>
          <w:b/>
          <w:color w:val="auto"/>
          <w:sz w:val="24"/>
          <w:szCs w:val="24"/>
          <w:highlight w:val="none"/>
          <w:u w:val="single"/>
        </w:rPr>
        <w:t xml:space="preserve">浙江省杭州第四中学  </w:t>
      </w:r>
    </w:p>
    <w:p w14:paraId="01D81942">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w:t>
      </w:r>
      <w:r>
        <w:rPr>
          <w:rFonts w:hint="eastAsia" w:ascii="宋体" w:hAnsi="宋体" w:eastAsia="宋体" w:cs="宋体"/>
          <w:color w:val="auto"/>
          <w:sz w:val="24"/>
          <w:szCs w:val="24"/>
          <w:highlight w:val="none"/>
          <w:u w:val="single"/>
        </w:rPr>
        <w:t>：</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p>
    <w:p w14:paraId="7ABA948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为做好基本建设项目的党风廉政建设，实现该基本建设项目高效优质、廉洁安全，根据国家有关法律法规，发包人、承包人双方签署《廉政共建协议书》，承诺共同遵守。</w:t>
      </w:r>
    </w:p>
    <w:p w14:paraId="445877F4">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一、双方承诺</w:t>
      </w:r>
    </w:p>
    <w:p w14:paraId="5F9A41EA">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（一）发包人承诺</w:t>
      </w:r>
    </w:p>
    <w:p w14:paraId="0BF26E3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1.不向承包人索要或接受承包人的财物或者各种名义的回扣、手续费。</w:t>
      </w:r>
    </w:p>
    <w:p w14:paraId="1F248EC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2.不在承包人报销或由承包人支付任何应由个人负担的费用。</w:t>
      </w:r>
    </w:p>
    <w:p w14:paraId="0768779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3.发包人工作人员不接受承包人的可能影响公正执行公务的礼品馈赠、宴请以及高消费活动安排。</w:t>
      </w:r>
    </w:p>
    <w:p w14:paraId="4BE7133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4.不得要求或接受承包人为发包人个人及亲友提供有可能违反公平竞争的利益。</w:t>
      </w:r>
    </w:p>
    <w:p w14:paraId="5D6E5AA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5.发包人工作人员的配偶、子女及其配偶不得从事与发包人基本建设项目有关的经商办企业、社会中介服务等活动。</w:t>
      </w:r>
    </w:p>
    <w:p w14:paraId="4CEA204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发包人及其工作人员不得违规干预和插手基本建设项目的招投标、材料设备采购活动；不得违规干预与基本建设项目有关的设计、资金拨付、验收等重大事项；不得以任何理由向承包人推荐分包单位；不得要求承包人购买协议规定外的材料和设备。</w:t>
      </w:r>
    </w:p>
    <w:p w14:paraId="00B059D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7.发包人及其工作人员不得泄露与项目有关的应当保密的信息、资料等机密事项。</w:t>
      </w:r>
    </w:p>
    <w:p w14:paraId="0EF3740B">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（二）承包人承诺</w:t>
      </w:r>
    </w:p>
    <w:p w14:paraId="0218C13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1.诚实守信、依法办事，不从事损害国家利益、公共利益和发包人合法权益的活动，不以非法手段参与发包人基本建设项目。</w:t>
      </w:r>
    </w:p>
    <w:p w14:paraId="2B1A785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2.不向发包人及其工作人员给予财物或者各种名义的回扣、手续费。</w:t>
      </w:r>
    </w:p>
    <w:p w14:paraId="44EDCA3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3.不为发包人及其工作人员报销或支付应由个人负担的费用。</w:t>
      </w:r>
    </w:p>
    <w:p w14:paraId="2699A38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4.不向发包人工作人员提供礼品馈赠、宴请以及高消费活动安排。</w:t>
      </w:r>
    </w:p>
    <w:p w14:paraId="613A733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5.发包人工作人员有违反发包人承诺的，承包人拒绝无果，应当向发包人职能主管部门举报。</w:t>
      </w:r>
    </w:p>
    <w:p w14:paraId="45009CB1">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二、违约责任</w:t>
      </w:r>
    </w:p>
    <w:p w14:paraId="0BA5951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（一）发包人违反承诺的，依照违规情节轻重，给予相关人员党纪、政纪或组织处理；涉嫌犯罪的移交司法机关追究刑事责任；给承包人造成经济损失的，应予以赔偿。</w:t>
      </w:r>
    </w:p>
    <w:p w14:paraId="27C9091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（二）承包人违反承诺，给发包人造成经济损失的，承包人以合同金额的30%为标准向发包人支付廉政违约金，同时，发包人建议工程建设主管部门给予承包人三年内不得进入其主管的工程建设市场的处罚。</w:t>
      </w:r>
    </w:p>
    <w:p w14:paraId="35AE3529">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三、双方约定</w:t>
      </w:r>
    </w:p>
    <w:p w14:paraId="13928F7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（一）本协议的履行情况由发包人、承包人双方上级主管部门负责监督检查，提出本协议规定范围内裁定意见。</w:t>
      </w:r>
    </w:p>
    <w:p w14:paraId="42EB289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（二）本协议一式   份，发包人执   份，承包人执   份，经双方法定代表人或授权代表签订并盖公章后生效。</w:t>
      </w:r>
    </w:p>
    <w:p w14:paraId="394E09B9">
      <w:pPr>
        <w:spacing w:line="360" w:lineRule="auto"/>
        <w:ind w:firstLine="480" w:firstLineChars="200"/>
        <w:rPr>
          <w:rFonts w:hint="eastAsia" w:ascii="宋体" w:hAnsi="宋体" w:eastAsia="宋体" w:cs="宋体"/>
          <w:color w:val="auto"/>
          <w:sz w:val="24"/>
          <w:szCs w:val="24"/>
          <w:highlight w:val="none"/>
        </w:rPr>
      </w:pPr>
    </w:p>
    <w:p w14:paraId="3689577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 （公章）               承包人： （公章）</w:t>
      </w:r>
    </w:p>
    <w:p w14:paraId="034394D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                      授权代表：</w:t>
      </w:r>
    </w:p>
    <w:p w14:paraId="331A6E6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电话：</w:t>
      </w:r>
    </w:p>
    <w:p w14:paraId="7CC40A71">
      <w:pPr>
        <w:tabs>
          <w:tab w:val="left" w:pos="432"/>
        </w:tabs>
        <w:spacing w:line="360" w:lineRule="auto"/>
        <w:ind w:firstLine="1262" w:firstLineChars="526"/>
        <w:rPr>
          <w:rFonts w:ascii="仿宋" w:hAnsi="仿宋" w:eastAsia="仿宋" w:cs="仿宋"/>
          <w:bCs/>
          <w:color w:val="auto"/>
          <w:highlight w:val="none"/>
        </w:rPr>
      </w:pPr>
      <w:r>
        <w:rPr>
          <w:rFonts w:hint="eastAsia" w:ascii="宋体" w:hAnsi="宋体" w:eastAsia="宋体" w:cs="宋体"/>
          <w:color w:val="auto"/>
          <w:sz w:val="24"/>
          <w:szCs w:val="24"/>
          <w:highlight w:val="none"/>
        </w:rPr>
        <w:t>年   月   日                       年   月   日</w:t>
      </w:r>
    </w:p>
    <w:p w14:paraId="453263E5">
      <w:pPr>
        <w:ind w:firstLine="480"/>
        <w:rPr>
          <w:color w:val="auto"/>
          <w:highlight w:val="none"/>
        </w:rPr>
      </w:pPr>
    </w:p>
    <w:p w14:paraId="77B089FF">
      <w:pPr>
        <w:ind w:firstLine="415" w:firstLineChars="198"/>
        <w:rPr>
          <w:rFonts w:hint="eastAsia"/>
          <w:color w:val="auto"/>
          <w:highlight w:val="none"/>
        </w:rPr>
      </w:pPr>
      <w:r>
        <w:rPr>
          <w:color w:val="auto"/>
          <w:highlight w:val="none"/>
        </w:rPr>
        <w:br w:type="page"/>
      </w:r>
    </w:p>
    <w:p w14:paraId="6AF8428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附件：4</w:t>
      </w:r>
    </w:p>
    <w:p w14:paraId="4A88328D">
      <w:pPr>
        <w:spacing w:line="360" w:lineRule="auto"/>
        <w:rPr>
          <w:rFonts w:hint="eastAsia" w:ascii="宋体" w:hAnsi="宋体" w:eastAsia="宋体" w:cs="宋体"/>
          <w:color w:val="auto"/>
          <w:sz w:val="24"/>
          <w:szCs w:val="24"/>
          <w:highlight w:val="none"/>
        </w:rPr>
      </w:pPr>
    </w:p>
    <w:p w14:paraId="57D7B37D">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主要建设工程文件目录</w:t>
      </w:r>
    </w:p>
    <w:p w14:paraId="60DF0082">
      <w:pPr>
        <w:spacing w:line="360" w:lineRule="auto"/>
        <w:rPr>
          <w:rFonts w:hint="eastAsia" w:ascii="宋体" w:hAnsi="宋体" w:eastAsia="宋体" w:cs="宋体"/>
          <w:color w:val="auto"/>
          <w:sz w:val="24"/>
          <w:szCs w:val="24"/>
          <w:highlight w:val="none"/>
        </w:rPr>
      </w:pPr>
    </w:p>
    <w:tbl>
      <w:tblPr>
        <w:tblStyle w:val="62"/>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3"/>
        <w:gridCol w:w="989"/>
        <w:gridCol w:w="1450"/>
        <w:gridCol w:w="1243"/>
        <w:gridCol w:w="1498"/>
        <w:gridCol w:w="1667"/>
      </w:tblGrid>
      <w:tr w14:paraId="7CEC5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953" w:type="dxa"/>
            <w:tcBorders>
              <w:top w:val="single" w:color="auto" w:sz="4" w:space="0"/>
              <w:left w:val="single" w:color="auto" w:sz="4" w:space="0"/>
              <w:bottom w:val="single" w:color="auto" w:sz="4" w:space="0"/>
              <w:right w:val="single" w:color="auto" w:sz="4" w:space="0"/>
            </w:tcBorders>
            <w:noWrap w:val="0"/>
            <w:vAlign w:val="center"/>
          </w:tcPr>
          <w:p w14:paraId="74C46898">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文件名称</w:t>
            </w:r>
          </w:p>
        </w:tc>
        <w:tc>
          <w:tcPr>
            <w:tcW w:w="989" w:type="dxa"/>
            <w:tcBorders>
              <w:top w:val="single" w:color="auto" w:sz="4" w:space="0"/>
              <w:left w:val="single" w:color="auto" w:sz="4" w:space="0"/>
              <w:bottom w:val="single" w:color="auto" w:sz="4" w:space="0"/>
              <w:right w:val="single" w:color="auto" w:sz="4" w:space="0"/>
            </w:tcBorders>
            <w:noWrap w:val="0"/>
            <w:vAlign w:val="center"/>
          </w:tcPr>
          <w:p w14:paraId="7D45419D">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套数</w:t>
            </w:r>
          </w:p>
        </w:tc>
        <w:tc>
          <w:tcPr>
            <w:tcW w:w="1450" w:type="dxa"/>
            <w:tcBorders>
              <w:top w:val="single" w:color="auto" w:sz="4" w:space="0"/>
              <w:left w:val="single" w:color="auto" w:sz="4" w:space="0"/>
              <w:bottom w:val="single" w:color="auto" w:sz="4" w:space="0"/>
              <w:right w:val="single" w:color="auto" w:sz="4" w:space="0"/>
            </w:tcBorders>
            <w:noWrap w:val="0"/>
            <w:vAlign w:val="center"/>
          </w:tcPr>
          <w:p w14:paraId="28D4DD6B">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费用（元）</w:t>
            </w:r>
          </w:p>
        </w:tc>
        <w:tc>
          <w:tcPr>
            <w:tcW w:w="1243" w:type="dxa"/>
            <w:tcBorders>
              <w:top w:val="single" w:color="auto" w:sz="4" w:space="0"/>
              <w:left w:val="single" w:color="auto" w:sz="4" w:space="0"/>
              <w:bottom w:val="single" w:color="auto" w:sz="4" w:space="0"/>
              <w:right w:val="single" w:color="auto" w:sz="4" w:space="0"/>
            </w:tcBorders>
            <w:noWrap w:val="0"/>
            <w:vAlign w:val="center"/>
          </w:tcPr>
          <w:p w14:paraId="4873BDD4">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质量</w:t>
            </w:r>
          </w:p>
        </w:tc>
        <w:tc>
          <w:tcPr>
            <w:tcW w:w="1498" w:type="dxa"/>
            <w:tcBorders>
              <w:top w:val="single" w:color="auto" w:sz="4" w:space="0"/>
              <w:left w:val="single" w:color="auto" w:sz="4" w:space="0"/>
              <w:bottom w:val="single" w:color="auto" w:sz="4" w:space="0"/>
              <w:right w:val="single" w:color="auto" w:sz="4" w:space="0"/>
            </w:tcBorders>
            <w:noWrap w:val="0"/>
            <w:vAlign w:val="center"/>
          </w:tcPr>
          <w:p w14:paraId="5224EEA5">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移交时间</w:t>
            </w:r>
          </w:p>
        </w:tc>
        <w:tc>
          <w:tcPr>
            <w:tcW w:w="1667" w:type="dxa"/>
            <w:tcBorders>
              <w:top w:val="single" w:color="auto" w:sz="4" w:space="0"/>
              <w:left w:val="single" w:color="auto" w:sz="4" w:space="0"/>
              <w:bottom w:val="single" w:color="auto" w:sz="4" w:space="0"/>
              <w:right w:val="single" w:color="auto" w:sz="4" w:space="0"/>
            </w:tcBorders>
            <w:noWrap w:val="0"/>
            <w:vAlign w:val="center"/>
          </w:tcPr>
          <w:p w14:paraId="643D6B53">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责任人</w:t>
            </w:r>
          </w:p>
        </w:tc>
      </w:tr>
      <w:tr w14:paraId="7114B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953" w:type="dxa"/>
            <w:tcBorders>
              <w:top w:val="single" w:color="auto" w:sz="4" w:space="0"/>
              <w:left w:val="single" w:color="auto" w:sz="4" w:space="0"/>
              <w:bottom w:val="single" w:color="auto" w:sz="4" w:space="0"/>
              <w:right w:val="single" w:color="auto" w:sz="4" w:space="0"/>
            </w:tcBorders>
            <w:noWrap w:val="0"/>
            <w:vAlign w:val="center"/>
          </w:tcPr>
          <w:p w14:paraId="37F0AFB0">
            <w:pPr>
              <w:spacing w:line="360" w:lineRule="auto"/>
              <w:jc w:val="center"/>
              <w:rPr>
                <w:rFonts w:hint="eastAsia" w:ascii="宋体" w:hAnsi="宋体" w:eastAsia="宋体" w:cs="宋体"/>
                <w:color w:val="auto"/>
                <w:sz w:val="24"/>
                <w:szCs w:val="24"/>
                <w:highlight w:val="none"/>
              </w:rPr>
            </w:pPr>
          </w:p>
        </w:tc>
        <w:tc>
          <w:tcPr>
            <w:tcW w:w="989" w:type="dxa"/>
            <w:tcBorders>
              <w:top w:val="single" w:color="auto" w:sz="4" w:space="0"/>
              <w:left w:val="single" w:color="auto" w:sz="4" w:space="0"/>
              <w:bottom w:val="single" w:color="auto" w:sz="4" w:space="0"/>
              <w:right w:val="single" w:color="auto" w:sz="4" w:space="0"/>
            </w:tcBorders>
            <w:noWrap w:val="0"/>
            <w:vAlign w:val="center"/>
          </w:tcPr>
          <w:p w14:paraId="74918B05">
            <w:pPr>
              <w:spacing w:line="360" w:lineRule="auto"/>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51C83373">
            <w:pPr>
              <w:spacing w:line="360" w:lineRule="auto"/>
              <w:jc w:val="center"/>
              <w:rPr>
                <w:rFonts w:hint="eastAsia" w:ascii="宋体" w:hAnsi="宋体" w:eastAsia="宋体" w:cs="宋体"/>
                <w:color w:val="auto"/>
                <w:sz w:val="24"/>
                <w:szCs w:val="24"/>
                <w:highlight w:val="none"/>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14:paraId="2E5E35D5">
            <w:pPr>
              <w:spacing w:line="360" w:lineRule="auto"/>
              <w:jc w:val="center"/>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14:paraId="407EA974">
            <w:pPr>
              <w:spacing w:line="360" w:lineRule="auto"/>
              <w:jc w:val="center"/>
              <w:rPr>
                <w:rFonts w:hint="eastAsia" w:ascii="宋体" w:hAnsi="宋体" w:eastAsia="宋体" w:cs="宋体"/>
                <w:color w:val="auto"/>
                <w:sz w:val="24"/>
                <w:szCs w:val="24"/>
                <w:highlight w:val="none"/>
              </w:rPr>
            </w:pPr>
          </w:p>
        </w:tc>
        <w:tc>
          <w:tcPr>
            <w:tcW w:w="1667" w:type="dxa"/>
            <w:tcBorders>
              <w:top w:val="single" w:color="auto" w:sz="4" w:space="0"/>
              <w:left w:val="single" w:color="auto" w:sz="4" w:space="0"/>
              <w:bottom w:val="single" w:color="auto" w:sz="4" w:space="0"/>
              <w:right w:val="single" w:color="auto" w:sz="4" w:space="0"/>
            </w:tcBorders>
            <w:noWrap w:val="0"/>
            <w:vAlign w:val="center"/>
          </w:tcPr>
          <w:p w14:paraId="477B2007">
            <w:pPr>
              <w:spacing w:line="360" w:lineRule="auto"/>
              <w:jc w:val="center"/>
              <w:rPr>
                <w:rFonts w:hint="eastAsia" w:ascii="宋体" w:hAnsi="宋体" w:eastAsia="宋体" w:cs="宋体"/>
                <w:color w:val="auto"/>
                <w:sz w:val="24"/>
                <w:szCs w:val="24"/>
                <w:highlight w:val="none"/>
              </w:rPr>
            </w:pPr>
          </w:p>
        </w:tc>
      </w:tr>
      <w:tr w14:paraId="6D4AF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953" w:type="dxa"/>
            <w:tcBorders>
              <w:top w:val="single" w:color="auto" w:sz="4" w:space="0"/>
              <w:left w:val="single" w:color="auto" w:sz="4" w:space="0"/>
              <w:bottom w:val="single" w:color="auto" w:sz="4" w:space="0"/>
              <w:right w:val="single" w:color="auto" w:sz="4" w:space="0"/>
            </w:tcBorders>
            <w:noWrap w:val="0"/>
            <w:vAlign w:val="center"/>
          </w:tcPr>
          <w:p w14:paraId="70D6797D">
            <w:pPr>
              <w:spacing w:line="360" w:lineRule="auto"/>
              <w:jc w:val="center"/>
              <w:rPr>
                <w:rFonts w:hint="eastAsia" w:ascii="宋体" w:hAnsi="宋体" w:eastAsia="宋体" w:cs="宋体"/>
                <w:color w:val="auto"/>
                <w:sz w:val="24"/>
                <w:szCs w:val="24"/>
                <w:highlight w:val="none"/>
              </w:rPr>
            </w:pPr>
          </w:p>
        </w:tc>
        <w:tc>
          <w:tcPr>
            <w:tcW w:w="989" w:type="dxa"/>
            <w:tcBorders>
              <w:top w:val="single" w:color="auto" w:sz="4" w:space="0"/>
              <w:left w:val="single" w:color="auto" w:sz="4" w:space="0"/>
              <w:bottom w:val="single" w:color="auto" w:sz="4" w:space="0"/>
              <w:right w:val="single" w:color="auto" w:sz="4" w:space="0"/>
            </w:tcBorders>
            <w:noWrap w:val="0"/>
            <w:vAlign w:val="center"/>
          </w:tcPr>
          <w:p w14:paraId="35A09316">
            <w:pPr>
              <w:spacing w:line="360" w:lineRule="auto"/>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047BADF3">
            <w:pPr>
              <w:spacing w:line="360" w:lineRule="auto"/>
              <w:jc w:val="center"/>
              <w:rPr>
                <w:rFonts w:hint="eastAsia" w:ascii="宋体" w:hAnsi="宋体" w:eastAsia="宋体" w:cs="宋体"/>
                <w:color w:val="auto"/>
                <w:sz w:val="24"/>
                <w:szCs w:val="24"/>
                <w:highlight w:val="none"/>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14:paraId="08AD225E">
            <w:pPr>
              <w:spacing w:line="360" w:lineRule="auto"/>
              <w:jc w:val="center"/>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14:paraId="51103AF7">
            <w:pPr>
              <w:spacing w:line="360" w:lineRule="auto"/>
              <w:jc w:val="center"/>
              <w:rPr>
                <w:rFonts w:hint="eastAsia" w:ascii="宋体" w:hAnsi="宋体" w:eastAsia="宋体" w:cs="宋体"/>
                <w:color w:val="auto"/>
                <w:sz w:val="24"/>
                <w:szCs w:val="24"/>
                <w:highlight w:val="none"/>
              </w:rPr>
            </w:pPr>
          </w:p>
        </w:tc>
        <w:tc>
          <w:tcPr>
            <w:tcW w:w="1667" w:type="dxa"/>
            <w:tcBorders>
              <w:top w:val="single" w:color="auto" w:sz="4" w:space="0"/>
              <w:left w:val="single" w:color="auto" w:sz="4" w:space="0"/>
              <w:bottom w:val="single" w:color="auto" w:sz="4" w:space="0"/>
              <w:right w:val="single" w:color="auto" w:sz="4" w:space="0"/>
            </w:tcBorders>
            <w:noWrap w:val="0"/>
            <w:vAlign w:val="center"/>
          </w:tcPr>
          <w:p w14:paraId="3A4BB727">
            <w:pPr>
              <w:spacing w:line="360" w:lineRule="auto"/>
              <w:jc w:val="center"/>
              <w:rPr>
                <w:rFonts w:hint="eastAsia" w:ascii="宋体" w:hAnsi="宋体" w:eastAsia="宋体" w:cs="宋体"/>
                <w:color w:val="auto"/>
                <w:sz w:val="24"/>
                <w:szCs w:val="24"/>
                <w:highlight w:val="none"/>
              </w:rPr>
            </w:pPr>
          </w:p>
        </w:tc>
      </w:tr>
      <w:tr w14:paraId="70A31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953" w:type="dxa"/>
            <w:tcBorders>
              <w:top w:val="single" w:color="auto" w:sz="4" w:space="0"/>
              <w:left w:val="single" w:color="auto" w:sz="4" w:space="0"/>
              <w:bottom w:val="single" w:color="auto" w:sz="4" w:space="0"/>
              <w:right w:val="single" w:color="auto" w:sz="4" w:space="0"/>
            </w:tcBorders>
            <w:noWrap w:val="0"/>
            <w:vAlign w:val="center"/>
          </w:tcPr>
          <w:p w14:paraId="6DEB3B64">
            <w:pPr>
              <w:spacing w:line="360" w:lineRule="auto"/>
              <w:jc w:val="center"/>
              <w:rPr>
                <w:rFonts w:hint="eastAsia" w:ascii="宋体" w:hAnsi="宋体" w:eastAsia="宋体" w:cs="宋体"/>
                <w:color w:val="auto"/>
                <w:sz w:val="24"/>
                <w:szCs w:val="24"/>
                <w:highlight w:val="none"/>
              </w:rPr>
            </w:pPr>
          </w:p>
        </w:tc>
        <w:tc>
          <w:tcPr>
            <w:tcW w:w="989" w:type="dxa"/>
            <w:tcBorders>
              <w:top w:val="single" w:color="auto" w:sz="4" w:space="0"/>
              <w:left w:val="single" w:color="auto" w:sz="4" w:space="0"/>
              <w:bottom w:val="single" w:color="auto" w:sz="4" w:space="0"/>
              <w:right w:val="single" w:color="auto" w:sz="4" w:space="0"/>
            </w:tcBorders>
            <w:noWrap w:val="0"/>
            <w:vAlign w:val="center"/>
          </w:tcPr>
          <w:p w14:paraId="41E01417">
            <w:pPr>
              <w:spacing w:line="360" w:lineRule="auto"/>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74608F83">
            <w:pPr>
              <w:spacing w:line="360" w:lineRule="auto"/>
              <w:jc w:val="center"/>
              <w:rPr>
                <w:rFonts w:hint="eastAsia" w:ascii="宋体" w:hAnsi="宋体" w:eastAsia="宋体" w:cs="宋体"/>
                <w:color w:val="auto"/>
                <w:sz w:val="24"/>
                <w:szCs w:val="24"/>
                <w:highlight w:val="none"/>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14:paraId="54CBB88A">
            <w:pPr>
              <w:spacing w:line="360" w:lineRule="auto"/>
              <w:jc w:val="center"/>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14:paraId="1DD47710">
            <w:pPr>
              <w:spacing w:line="360" w:lineRule="auto"/>
              <w:jc w:val="center"/>
              <w:rPr>
                <w:rFonts w:hint="eastAsia" w:ascii="宋体" w:hAnsi="宋体" w:eastAsia="宋体" w:cs="宋体"/>
                <w:color w:val="auto"/>
                <w:sz w:val="24"/>
                <w:szCs w:val="24"/>
                <w:highlight w:val="none"/>
              </w:rPr>
            </w:pPr>
          </w:p>
        </w:tc>
        <w:tc>
          <w:tcPr>
            <w:tcW w:w="1667" w:type="dxa"/>
            <w:tcBorders>
              <w:top w:val="single" w:color="auto" w:sz="4" w:space="0"/>
              <w:left w:val="single" w:color="auto" w:sz="4" w:space="0"/>
              <w:bottom w:val="single" w:color="auto" w:sz="4" w:space="0"/>
              <w:right w:val="single" w:color="auto" w:sz="4" w:space="0"/>
            </w:tcBorders>
            <w:noWrap w:val="0"/>
            <w:vAlign w:val="center"/>
          </w:tcPr>
          <w:p w14:paraId="50F4DDAB">
            <w:pPr>
              <w:spacing w:line="360" w:lineRule="auto"/>
              <w:jc w:val="center"/>
              <w:rPr>
                <w:rFonts w:hint="eastAsia" w:ascii="宋体" w:hAnsi="宋体" w:eastAsia="宋体" w:cs="宋体"/>
                <w:color w:val="auto"/>
                <w:sz w:val="24"/>
                <w:szCs w:val="24"/>
                <w:highlight w:val="none"/>
              </w:rPr>
            </w:pPr>
          </w:p>
        </w:tc>
      </w:tr>
      <w:tr w14:paraId="53B0C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953" w:type="dxa"/>
            <w:tcBorders>
              <w:top w:val="single" w:color="auto" w:sz="4" w:space="0"/>
              <w:left w:val="single" w:color="auto" w:sz="4" w:space="0"/>
              <w:bottom w:val="single" w:color="auto" w:sz="4" w:space="0"/>
              <w:right w:val="single" w:color="auto" w:sz="4" w:space="0"/>
            </w:tcBorders>
            <w:noWrap w:val="0"/>
            <w:vAlign w:val="center"/>
          </w:tcPr>
          <w:p w14:paraId="61E0708C">
            <w:pPr>
              <w:spacing w:line="360" w:lineRule="auto"/>
              <w:jc w:val="center"/>
              <w:rPr>
                <w:rFonts w:hint="eastAsia" w:ascii="宋体" w:hAnsi="宋体" w:eastAsia="宋体" w:cs="宋体"/>
                <w:color w:val="auto"/>
                <w:sz w:val="24"/>
                <w:szCs w:val="24"/>
                <w:highlight w:val="none"/>
              </w:rPr>
            </w:pPr>
          </w:p>
        </w:tc>
        <w:tc>
          <w:tcPr>
            <w:tcW w:w="989" w:type="dxa"/>
            <w:tcBorders>
              <w:top w:val="single" w:color="auto" w:sz="4" w:space="0"/>
              <w:left w:val="single" w:color="auto" w:sz="4" w:space="0"/>
              <w:bottom w:val="single" w:color="auto" w:sz="4" w:space="0"/>
              <w:right w:val="single" w:color="auto" w:sz="4" w:space="0"/>
            </w:tcBorders>
            <w:noWrap w:val="0"/>
            <w:vAlign w:val="center"/>
          </w:tcPr>
          <w:p w14:paraId="0548B2C0">
            <w:pPr>
              <w:spacing w:line="360" w:lineRule="auto"/>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13C29706">
            <w:pPr>
              <w:spacing w:line="360" w:lineRule="auto"/>
              <w:jc w:val="center"/>
              <w:rPr>
                <w:rFonts w:hint="eastAsia" w:ascii="宋体" w:hAnsi="宋体" w:eastAsia="宋体" w:cs="宋体"/>
                <w:color w:val="auto"/>
                <w:sz w:val="24"/>
                <w:szCs w:val="24"/>
                <w:highlight w:val="none"/>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14:paraId="7DF53216">
            <w:pPr>
              <w:spacing w:line="360" w:lineRule="auto"/>
              <w:jc w:val="center"/>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14:paraId="5B907019">
            <w:pPr>
              <w:spacing w:line="360" w:lineRule="auto"/>
              <w:jc w:val="center"/>
              <w:rPr>
                <w:rFonts w:hint="eastAsia" w:ascii="宋体" w:hAnsi="宋体" w:eastAsia="宋体" w:cs="宋体"/>
                <w:color w:val="auto"/>
                <w:sz w:val="24"/>
                <w:szCs w:val="24"/>
                <w:highlight w:val="none"/>
              </w:rPr>
            </w:pPr>
          </w:p>
        </w:tc>
        <w:tc>
          <w:tcPr>
            <w:tcW w:w="1667" w:type="dxa"/>
            <w:tcBorders>
              <w:top w:val="single" w:color="auto" w:sz="4" w:space="0"/>
              <w:left w:val="single" w:color="auto" w:sz="4" w:space="0"/>
              <w:bottom w:val="single" w:color="auto" w:sz="4" w:space="0"/>
              <w:right w:val="single" w:color="auto" w:sz="4" w:space="0"/>
            </w:tcBorders>
            <w:noWrap w:val="0"/>
            <w:vAlign w:val="center"/>
          </w:tcPr>
          <w:p w14:paraId="736A509F">
            <w:pPr>
              <w:spacing w:line="360" w:lineRule="auto"/>
              <w:jc w:val="center"/>
              <w:rPr>
                <w:rFonts w:hint="eastAsia" w:ascii="宋体" w:hAnsi="宋体" w:eastAsia="宋体" w:cs="宋体"/>
                <w:color w:val="auto"/>
                <w:sz w:val="24"/>
                <w:szCs w:val="24"/>
                <w:highlight w:val="none"/>
              </w:rPr>
            </w:pPr>
          </w:p>
        </w:tc>
      </w:tr>
      <w:tr w14:paraId="5761E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953" w:type="dxa"/>
            <w:tcBorders>
              <w:top w:val="single" w:color="auto" w:sz="4" w:space="0"/>
              <w:left w:val="single" w:color="auto" w:sz="4" w:space="0"/>
              <w:bottom w:val="single" w:color="auto" w:sz="4" w:space="0"/>
              <w:right w:val="single" w:color="auto" w:sz="4" w:space="0"/>
            </w:tcBorders>
            <w:noWrap w:val="0"/>
            <w:vAlign w:val="center"/>
          </w:tcPr>
          <w:p w14:paraId="1D36C444">
            <w:pPr>
              <w:spacing w:line="360" w:lineRule="auto"/>
              <w:jc w:val="center"/>
              <w:rPr>
                <w:rFonts w:hint="eastAsia" w:ascii="宋体" w:hAnsi="宋体" w:eastAsia="宋体" w:cs="宋体"/>
                <w:color w:val="auto"/>
                <w:sz w:val="24"/>
                <w:szCs w:val="24"/>
                <w:highlight w:val="none"/>
              </w:rPr>
            </w:pPr>
          </w:p>
        </w:tc>
        <w:tc>
          <w:tcPr>
            <w:tcW w:w="989" w:type="dxa"/>
            <w:tcBorders>
              <w:top w:val="single" w:color="auto" w:sz="4" w:space="0"/>
              <w:left w:val="single" w:color="auto" w:sz="4" w:space="0"/>
              <w:bottom w:val="single" w:color="auto" w:sz="4" w:space="0"/>
              <w:right w:val="single" w:color="auto" w:sz="4" w:space="0"/>
            </w:tcBorders>
            <w:noWrap w:val="0"/>
            <w:vAlign w:val="center"/>
          </w:tcPr>
          <w:p w14:paraId="00362983">
            <w:pPr>
              <w:spacing w:line="360" w:lineRule="auto"/>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09D4A067">
            <w:pPr>
              <w:spacing w:line="360" w:lineRule="auto"/>
              <w:jc w:val="center"/>
              <w:rPr>
                <w:rFonts w:hint="eastAsia" w:ascii="宋体" w:hAnsi="宋体" w:eastAsia="宋体" w:cs="宋体"/>
                <w:color w:val="auto"/>
                <w:sz w:val="24"/>
                <w:szCs w:val="24"/>
                <w:highlight w:val="none"/>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14:paraId="332634CC">
            <w:pPr>
              <w:spacing w:line="360" w:lineRule="auto"/>
              <w:jc w:val="center"/>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14:paraId="1E35F7AB">
            <w:pPr>
              <w:spacing w:line="360" w:lineRule="auto"/>
              <w:jc w:val="center"/>
              <w:rPr>
                <w:rFonts w:hint="eastAsia" w:ascii="宋体" w:hAnsi="宋体" w:eastAsia="宋体" w:cs="宋体"/>
                <w:color w:val="auto"/>
                <w:sz w:val="24"/>
                <w:szCs w:val="24"/>
                <w:highlight w:val="none"/>
              </w:rPr>
            </w:pPr>
          </w:p>
        </w:tc>
        <w:tc>
          <w:tcPr>
            <w:tcW w:w="1667" w:type="dxa"/>
            <w:tcBorders>
              <w:top w:val="single" w:color="auto" w:sz="4" w:space="0"/>
              <w:left w:val="single" w:color="auto" w:sz="4" w:space="0"/>
              <w:bottom w:val="single" w:color="auto" w:sz="4" w:space="0"/>
              <w:right w:val="single" w:color="auto" w:sz="4" w:space="0"/>
            </w:tcBorders>
            <w:noWrap w:val="0"/>
            <w:vAlign w:val="center"/>
          </w:tcPr>
          <w:p w14:paraId="0AF0F348">
            <w:pPr>
              <w:spacing w:line="360" w:lineRule="auto"/>
              <w:jc w:val="center"/>
              <w:rPr>
                <w:rFonts w:hint="eastAsia" w:ascii="宋体" w:hAnsi="宋体" w:eastAsia="宋体" w:cs="宋体"/>
                <w:color w:val="auto"/>
                <w:sz w:val="24"/>
                <w:szCs w:val="24"/>
                <w:highlight w:val="none"/>
              </w:rPr>
            </w:pPr>
          </w:p>
        </w:tc>
      </w:tr>
      <w:tr w14:paraId="05981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953" w:type="dxa"/>
            <w:tcBorders>
              <w:top w:val="single" w:color="auto" w:sz="4" w:space="0"/>
              <w:left w:val="single" w:color="auto" w:sz="4" w:space="0"/>
              <w:bottom w:val="single" w:color="auto" w:sz="4" w:space="0"/>
              <w:right w:val="single" w:color="auto" w:sz="4" w:space="0"/>
            </w:tcBorders>
            <w:noWrap w:val="0"/>
            <w:vAlign w:val="center"/>
          </w:tcPr>
          <w:p w14:paraId="5F09B40E">
            <w:pPr>
              <w:spacing w:line="360" w:lineRule="auto"/>
              <w:jc w:val="center"/>
              <w:rPr>
                <w:rFonts w:hint="eastAsia" w:ascii="宋体" w:hAnsi="宋体" w:eastAsia="宋体" w:cs="宋体"/>
                <w:color w:val="auto"/>
                <w:sz w:val="24"/>
                <w:szCs w:val="24"/>
                <w:highlight w:val="none"/>
              </w:rPr>
            </w:pPr>
          </w:p>
        </w:tc>
        <w:tc>
          <w:tcPr>
            <w:tcW w:w="989" w:type="dxa"/>
            <w:tcBorders>
              <w:top w:val="single" w:color="auto" w:sz="4" w:space="0"/>
              <w:left w:val="single" w:color="auto" w:sz="4" w:space="0"/>
              <w:bottom w:val="single" w:color="auto" w:sz="4" w:space="0"/>
              <w:right w:val="single" w:color="auto" w:sz="4" w:space="0"/>
            </w:tcBorders>
            <w:noWrap w:val="0"/>
            <w:vAlign w:val="center"/>
          </w:tcPr>
          <w:p w14:paraId="4B3B2EFC">
            <w:pPr>
              <w:spacing w:line="360" w:lineRule="auto"/>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6861FE22">
            <w:pPr>
              <w:spacing w:line="360" w:lineRule="auto"/>
              <w:jc w:val="center"/>
              <w:rPr>
                <w:rFonts w:hint="eastAsia" w:ascii="宋体" w:hAnsi="宋体" w:eastAsia="宋体" w:cs="宋体"/>
                <w:color w:val="auto"/>
                <w:sz w:val="24"/>
                <w:szCs w:val="24"/>
                <w:highlight w:val="none"/>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14:paraId="47939400">
            <w:pPr>
              <w:spacing w:line="360" w:lineRule="auto"/>
              <w:jc w:val="center"/>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14:paraId="3F2085BA">
            <w:pPr>
              <w:spacing w:line="360" w:lineRule="auto"/>
              <w:jc w:val="center"/>
              <w:rPr>
                <w:rFonts w:hint="eastAsia" w:ascii="宋体" w:hAnsi="宋体" w:eastAsia="宋体" w:cs="宋体"/>
                <w:color w:val="auto"/>
                <w:sz w:val="24"/>
                <w:szCs w:val="24"/>
                <w:highlight w:val="none"/>
              </w:rPr>
            </w:pPr>
          </w:p>
        </w:tc>
        <w:tc>
          <w:tcPr>
            <w:tcW w:w="1667" w:type="dxa"/>
            <w:tcBorders>
              <w:top w:val="single" w:color="auto" w:sz="4" w:space="0"/>
              <w:left w:val="single" w:color="auto" w:sz="4" w:space="0"/>
              <w:bottom w:val="single" w:color="auto" w:sz="4" w:space="0"/>
              <w:right w:val="single" w:color="auto" w:sz="4" w:space="0"/>
            </w:tcBorders>
            <w:noWrap w:val="0"/>
            <w:vAlign w:val="center"/>
          </w:tcPr>
          <w:p w14:paraId="608B3DA8">
            <w:pPr>
              <w:spacing w:line="360" w:lineRule="auto"/>
              <w:jc w:val="center"/>
              <w:rPr>
                <w:rFonts w:hint="eastAsia" w:ascii="宋体" w:hAnsi="宋体" w:eastAsia="宋体" w:cs="宋体"/>
                <w:color w:val="auto"/>
                <w:sz w:val="24"/>
                <w:szCs w:val="24"/>
                <w:highlight w:val="none"/>
              </w:rPr>
            </w:pPr>
          </w:p>
        </w:tc>
      </w:tr>
      <w:tr w14:paraId="18844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953" w:type="dxa"/>
            <w:tcBorders>
              <w:top w:val="single" w:color="auto" w:sz="4" w:space="0"/>
              <w:left w:val="single" w:color="auto" w:sz="4" w:space="0"/>
              <w:bottom w:val="single" w:color="auto" w:sz="4" w:space="0"/>
              <w:right w:val="single" w:color="auto" w:sz="4" w:space="0"/>
            </w:tcBorders>
            <w:noWrap w:val="0"/>
            <w:vAlign w:val="center"/>
          </w:tcPr>
          <w:p w14:paraId="306B322B">
            <w:pPr>
              <w:spacing w:line="360" w:lineRule="auto"/>
              <w:jc w:val="center"/>
              <w:rPr>
                <w:rFonts w:hint="eastAsia" w:ascii="宋体" w:hAnsi="宋体" w:eastAsia="宋体" w:cs="宋体"/>
                <w:color w:val="auto"/>
                <w:sz w:val="24"/>
                <w:szCs w:val="24"/>
                <w:highlight w:val="none"/>
              </w:rPr>
            </w:pPr>
          </w:p>
        </w:tc>
        <w:tc>
          <w:tcPr>
            <w:tcW w:w="989" w:type="dxa"/>
            <w:tcBorders>
              <w:top w:val="single" w:color="auto" w:sz="4" w:space="0"/>
              <w:left w:val="single" w:color="auto" w:sz="4" w:space="0"/>
              <w:bottom w:val="single" w:color="auto" w:sz="4" w:space="0"/>
              <w:right w:val="single" w:color="auto" w:sz="4" w:space="0"/>
            </w:tcBorders>
            <w:noWrap w:val="0"/>
            <w:vAlign w:val="center"/>
          </w:tcPr>
          <w:p w14:paraId="139B5788">
            <w:pPr>
              <w:spacing w:line="360" w:lineRule="auto"/>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3D62DC9F">
            <w:pPr>
              <w:spacing w:line="360" w:lineRule="auto"/>
              <w:jc w:val="center"/>
              <w:rPr>
                <w:rFonts w:hint="eastAsia" w:ascii="宋体" w:hAnsi="宋体" w:eastAsia="宋体" w:cs="宋体"/>
                <w:color w:val="auto"/>
                <w:sz w:val="24"/>
                <w:szCs w:val="24"/>
                <w:highlight w:val="none"/>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14:paraId="6B5F7884">
            <w:pPr>
              <w:spacing w:line="360" w:lineRule="auto"/>
              <w:jc w:val="center"/>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14:paraId="57D85451">
            <w:pPr>
              <w:spacing w:line="360" w:lineRule="auto"/>
              <w:jc w:val="center"/>
              <w:rPr>
                <w:rFonts w:hint="eastAsia" w:ascii="宋体" w:hAnsi="宋体" w:eastAsia="宋体" w:cs="宋体"/>
                <w:color w:val="auto"/>
                <w:sz w:val="24"/>
                <w:szCs w:val="24"/>
                <w:highlight w:val="none"/>
              </w:rPr>
            </w:pPr>
          </w:p>
        </w:tc>
        <w:tc>
          <w:tcPr>
            <w:tcW w:w="1667" w:type="dxa"/>
            <w:tcBorders>
              <w:top w:val="single" w:color="auto" w:sz="4" w:space="0"/>
              <w:left w:val="single" w:color="auto" w:sz="4" w:space="0"/>
              <w:bottom w:val="single" w:color="auto" w:sz="4" w:space="0"/>
              <w:right w:val="single" w:color="auto" w:sz="4" w:space="0"/>
            </w:tcBorders>
            <w:noWrap w:val="0"/>
            <w:vAlign w:val="center"/>
          </w:tcPr>
          <w:p w14:paraId="261C6251">
            <w:pPr>
              <w:spacing w:line="360" w:lineRule="auto"/>
              <w:jc w:val="center"/>
              <w:rPr>
                <w:rFonts w:hint="eastAsia" w:ascii="宋体" w:hAnsi="宋体" w:eastAsia="宋体" w:cs="宋体"/>
                <w:color w:val="auto"/>
                <w:sz w:val="24"/>
                <w:szCs w:val="24"/>
                <w:highlight w:val="none"/>
              </w:rPr>
            </w:pPr>
          </w:p>
        </w:tc>
      </w:tr>
    </w:tbl>
    <w:p w14:paraId="39DD5DC5">
      <w:pPr>
        <w:spacing w:line="360" w:lineRule="auto"/>
        <w:rPr>
          <w:rFonts w:hint="eastAsia" w:ascii="宋体" w:hAnsi="宋体" w:eastAsia="宋体" w:cs="宋体"/>
          <w:color w:val="auto"/>
          <w:sz w:val="24"/>
          <w:szCs w:val="24"/>
          <w:highlight w:val="none"/>
        </w:rPr>
      </w:pPr>
    </w:p>
    <w:p w14:paraId="7C1F998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附件：5</w:t>
      </w:r>
    </w:p>
    <w:p w14:paraId="74086A0A">
      <w:pPr>
        <w:spacing w:line="360" w:lineRule="auto"/>
        <w:rPr>
          <w:rFonts w:hint="eastAsia" w:ascii="宋体" w:hAnsi="宋体" w:eastAsia="宋体" w:cs="宋体"/>
          <w:color w:val="auto"/>
          <w:sz w:val="24"/>
          <w:szCs w:val="24"/>
          <w:highlight w:val="none"/>
        </w:rPr>
      </w:pPr>
    </w:p>
    <w:p w14:paraId="18107260">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承包人用于本工程施工的机械设备表</w:t>
      </w:r>
    </w:p>
    <w:p w14:paraId="5D73B683">
      <w:pPr>
        <w:spacing w:line="360" w:lineRule="auto"/>
        <w:rPr>
          <w:rFonts w:hint="eastAsia" w:ascii="宋体" w:hAnsi="宋体" w:eastAsia="宋体" w:cs="宋体"/>
          <w:color w:val="auto"/>
          <w:sz w:val="24"/>
          <w:szCs w:val="24"/>
          <w:highlight w:val="none"/>
        </w:rPr>
      </w:pPr>
    </w:p>
    <w:tbl>
      <w:tblPr>
        <w:tblStyle w:val="62"/>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99"/>
        <w:gridCol w:w="1300"/>
        <w:gridCol w:w="897"/>
        <w:gridCol w:w="641"/>
        <w:gridCol w:w="740"/>
        <w:gridCol w:w="1020"/>
        <w:gridCol w:w="1480"/>
        <w:gridCol w:w="1020"/>
        <w:gridCol w:w="921"/>
      </w:tblGrid>
      <w:tr w14:paraId="0B565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170E2A9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序号</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295AE5F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机械或设备名称</w:t>
            </w:r>
          </w:p>
        </w:tc>
        <w:tc>
          <w:tcPr>
            <w:tcW w:w="897" w:type="dxa"/>
            <w:tcBorders>
              <w:top w:val="single" w:color="auto" w:sz="4" w:space="0"/>
              <w:left w:val="single" w:color="auto" w:sz="4" w:space="0"/>
              <w:bottom w:val="single" w:color="auto" w:sz="4" w:space="0"/>
              <w:right w:val="single" w:color="auto" w:sz="4" w:space="0"/>
            </w:tcBorders>
            <w:noWrap w:val="0"/>
            <w:vAlign w:val="center"/>
          </w:tcPr>
          <w:p w14:paraId="107D9BA8">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规格</w:t>
            </w:r>
          </w:p>
          <w:p w14:paraId="7A489D8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型号</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6E4825D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数量</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1BFC0A7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产地</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0E56711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制造年份</w:t>
            </w:r>
          </w:p>
        </w:tc>
        <w:tc>
          <w:tcPr>
            <w:tcW w:w="1480" w:type="dxa"/>
            <w:tcBorders>
              <w:top w:val="single" w:color="auto" w:sz="4" w:space="0"/>
              <w:left w:val="single" w:color="auto" w:sz="4" w:space="0"/>
              <w:bottom w:val="single" w:color="auto" w:sz="4" w:space="0"/>
              <w:right w:val="single" w:color="auto" w:sz="4" w:space="0"/>
            </w:tcBorders>
            <w:noWrap w:val="0"/>
            <w:vAlign w:val="center"/>
          </w:tcPr>
          <w:p w14:paraId="2BA4A978">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额定功率</w:t>
            </w:r>
          </w:p>
          <w:p w14:paraId="6679BB4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(kW)</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434953B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生产能力</w:t>
            </w:r>
          </w:p>
        </w:tc>
        <w:tc>
          <w:tcPr>
            <w:tcW w:w="921" w:type="dxa"/>
            <w:tcBorders>
              <w:top w:val="single" w:color="auto" w:sz="4" w:space="0"/>
              <w:left w:val="single" w:color="auto" w:sz="4" w:space="0"/>
              <w:bottom w:val="single" w:color="auto" w:sz="4" w:space="0"/>
              <w:right w:val="single" w:color="auto" w:sz="4" w:space="0"/>
            </w:tcBorders>
            <w:noWrap w:val="0"/>
            <w:vAlign w:val="center"/>
          </w:tcPr>
          <w:p w14:paraId="1957016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备注</w:t>
            </w:r>
          </w:p>
        </w:tc>
      </w:tr>
      <w:tr w14:paraId="4724E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2434D975">
            <w:pPr>
              <w:widowControl/>
              <w:spacing w:line="360" w:lineRule="auto"/>
              <w:jc w:val="center"/>
              <w:textAlignment w:val="center"/>
              <w:rPr>
                <w:rFonts w:hint="eastAsia" w:ascii="宋体" w:hAnsi="宋体" w:eastAsia="宋体" w:cs="宋体"/>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65645173">
            <w:pPr>
              <w:widowControl/>
              <w:spacing w:line="360" w:lineRule="auto"/>
              <w:jc w:val="center"/>
              <w:textAlignment w:val="center"/>
              <w:rPr>
                <w:rFonts w:hint="eastAsia" w:ascii="宋体" w:hAnsi="宋体" w:eastAsia="宋体" w:cs="宋体"/>
                <w:color w:val="auto"/>
                <w:sz w:val="24"/>
                <w:szCs w:val="24"/>
                <w:highlight w:val="none"/>
              </w:rPr>
            </w:pPr>
          </w:p>
        </w:tc>
        <w:tc>
          <w:tcPr>
            <w:tcW w:w="897" w:type="dxa"/>
            <w:tcBorders>
              <w:top w:val="single" w:color="auto" w:sz="4" w:space="0"/>
              <w:left w:val="single" w:color="auto" w:sz="4" w:space="0"/>
              <w:bottom w:val="single" w:color="auto" w:sz="4" w:space="0"/>
              <w:right w:val="single" w:color="auto" w:sz="4" w:space="0"/>
            </w:tcBorders>
            <w:noWrap w:val="0"/>
            <w:vAlign w:val="center"/>
          </w:tcPr>
          <w:p w14:paraId="6782B0C8">
            <w:pPr>
              <w:spacing w:line="360" w:lineRule="auto"/>
              <w:jc w:val="center"/>
              <w:rPr>
                <w:rFonts w:hint="eastAsia" w:ascii="宋体" w:hAnsi="宋体" w:eastAsia="宋体" w:cs="宋体"/>
                <w:color w:val="auto"/>
                <w:sz w:val="24"/>
                <w:szCs w:val="24"/>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14:paraId="6E70BED0">
            <w:pPr>
              <w:spacing w:line="360" w:lineRule="auto"/>
              <w:jc w:val="center"/>
              <w:rPr>
                <w:rFonts w:hint="eastAsia" w:ascii="宋体" w:hAnsi="宋体" w:eastAsia="宋体" w:cs="宋体"/>
                <w:color w:val="auto"/>
                <w:sz w:val="24"/>
                <w:szCs w:val="24"/>
                <w:highlight w:val="none"/>
              </w:rPr>
            </w:pPr>
          </w:p>
        </w:tc>
        <w:tc>
          <w:tcPr>
            <w:tcW w:w="740" w:type="dxa"/>
            <w:tcBorders>
              <w:top w:val="single" w:color="auto" w:sz="4" w:space="0"/>
              <w:left w:val="single" w:color="auto" w:sz="4" w:space="0"/>
              <w:bottom w:val="single" w:color="auto" w:sz="4" w:space="0"/>
              <w:right w:val="single" w:color="auto" w:sz="4" w:space="0"/>
            </w:tcBorders>
            <w:noWrap w:val="0"/>
            <w:vAlign w:val="center"/>
          </w:tcPr>
          <w:p w14:paraId="63E3784D">
            <w:pPr>
              <w:spacing w:line="360" w:lineRule="auto"/>
              <w:jc w:val="center"/>
              <w:rPr>
                <w:rFonts w:hint="eastAsia" w:ascii="宋体" w:hAnsi="宋体" w:eastAsia="宋体" w:cs="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40A16FF7">
            <w:pPr>
              <w:spacing w:line="360" w:lineRule="auto"/>
              <w:jc w:val="center"/>
              <w:rPr>
                <w:rFonts w:hint="eastAsia" w:ascii="宋体" w:hAnsi="宋体" w:eastAsia="宋体" w:cs="宋体"/>
                <w:color w:val="auto"/>
                <w:sz w:val="24"/>
                <w:szCs w:val="24"/>
                <w:highlight w:val="none"/>
              </w:rPr>
            </w:pPr>
          </w:p>
        </w:tc>
        <w:tc>
          <w:tcPr>
            <w:tcW w:w="1480" w:type="dxa"/>
            <w:tcBorders>
              <w:top w:val="single" w:color="auto" w:sz="4" w:space="0"/>
              <w:left w:val="single" w:color="auto" w:sz="4" w:space="0"/>
              <w:bottom w:val="single" w:color="auto" w:sz="4" w:space="0"/>
              <w:right w:val="single" w:color="auto" w:sz="4" w:space="0"/>
            </w:tcBorders>
            <w:noWrap w:val="0"/>
            <w:vAlign w:val="center"/>
          </w:tcPr>
          <w:p w14:paraId="39C49286">
            <w:pPr>
              <w:spacing w:line="360" w:lineRule="auto"/>
              <w:jc w:val="center"/>
              <w:rPr>
                <w:rFonts w:hint="eastAsia" w:ascii="宋体" w:hAnsi="宋体" w:eastAsia="宋体" w:cs="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E2E8ADC">
            <w:pPr>
              <w:spacing w:line="360" w:lineRule="auto"/>
              <w:jc w:val="center"/>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center"/>
          </w:tcPr>
          <w:p w14:paraId="09EE2537">
            <w:pPr>
              <w:spacing w:line="360" w:lineRule="auto"/>
              <w:jc w:val="center"/>
              <w:rPr>
                <w:rFonts w:hint="eastAsia" w:ascii="宋体" w:hAnsi="宋体" w:eastAsia="宋体" w:cs="宋体"/>
                <w:color w:val="auto"/>
                <w:sz w:val="24"/>
                <w:szCs w:val="24"/>
                <w:highlight w:val="none"/>
              </w:rPr>
            </w:pPr>
          </w:p>
        </w:tc>
      </w:tr>
      <w:tr w14:paraId="7D782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6C5EB53C">
            <w:pPr>
              <w:widowControl/>
              <w:spacing w:line="360" w:lineRule="auto"/>
              <w:jc w:val="center"/>
              <w:textAlignment w:val="center"/>
              <w:rPr>
                <w:rFonts w:hint="eastAsia" w:ascii="宋体" w:hAnsi="宋体" w:eastAsia="宋体" w:cs="宋体"/>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1DFA1E4A">
            <w:pPr>
              <w:widowControl/>
              <w:spacing w:line="360" w:lineRule="auto"/>
              <w:jc w:val="center"/>
              <w:textAlignment w:val="center"/>
              <w:rPr>
                <w:rFonts w:hint="eastAsia" w:ascii="宋体" w:hAnsi="宋体" w:eastAsia="宋体" w:cs="宋体"/>
                <w:color w:val="auto"/>
                <w:sz w:val="24"/>
                <w:szCs w:val="24"/>
                <w:highlight w:val="none"/>
              </w:rPr>
            </w:pPr>
          </w:p>
        </w:tc>
        <w:tc>
          <w:tcPr>
            <w:tcW w:w="897" w:type="dxa"/>
            <w:tcBorders>
              <w:top w:val="single" w:color="auto" w:sz="4" w:space="0"/>
              <w:left w:val="single" w:color="auto" w:sz="4" w:space="0"/>
              <w:bottom w:val="single" w:color="auto" w:sz="4" w:space="0"/>
              <w:right w:val="single" w:color="auto" w:sz="4" w:space="0"/>
            </w:tcBorders>
            <w:noWrap w:val="0"/>
            <w:vAlign w:val="center"/>
          </w:tcPr>
          <w:p w14:paraId="3900546D">
            <w:pPr>
              <w:spacing w:line="360" w:lineRule="auto"/>
              <w:jc w:val="center"/>
              <w:rPr>
                <w:rFonts w:hint="eastAsia" w:ascii="宋体" w:hAnsi="宋体" w:eastAsia="宋体" w:cs="宋体"/>
                <w:color w:val="auto"/>
                <w:sz w:val="24"/>
                <w:szCs w:val="24"/>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14:paraId="1F74FACA">
            <w:pPr>
              <w:spacing w:line="360" w:lineRule="auto"/>
              <w:jc w:val="center"/>
              <w:rPr>
                <w:rFonts w:hint="eastAsia" w:ascii="宋体" w:hAnsi="宋体" w:eastAsia="宋体" w:cs="宋体"/>
                <w:color w:val="auto"/>
                <w:sz w:val="24"/>
                <w:szCs w:val="24"/>
                <w:highlight w:val="none"/>
              </w:rPr>
            </w:pPr>
          </w:p>
        </w:tc>
        <w:tc>
          <w:tcPr>
            <w:tcW w:w="740" w:type="dxa"/>
            <w:tcBorders>
              <w:top w:val="single" w:color="auto" w:sz="4" w:space="0"/>
              <w:left w:val="single" w:color="auto" w:sz="4" w:space="0"/>
              <w:bottom w:val="single" w:color="auto" w:sz="4" w:space="0"/>
              <w:right w:val="single" w:color="auto" w:sz="4" w:space="0"/>
            </w:tcBorders>
            <w:noWrap w:val="0"/>
            <w:vAlign w:val="center"/>
          </w:tcPr>
          <w:p w14:paraId="7CED7F2D">
            <w:pPr>
              <w:spacing w:line="360" w:lineRule="auto"/>
              <w:jc w:val="center"/>
              <w:rPr>
                <w:rFonts w:hint="eastAsia" w:ascii="宋体" w:hAnsi="宋体" w:eastAsia="宋体" w:cs="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E76658A">
            <w:pPr>
              <w:spacing w:line="360" w:lineRule="auto"/>
              <w:jc w:val="center"/>
              <w:rPr>
                <w:rFonts w:hint="eastAsia" w:ascii="宋体" w:hAnsi="宋体" w:eastAsia="宋体" w:cs="宋体"/>
                <w:color w:val="auto"/>
                <w:sz w:val="24"/>
                <w:szCs w:val="24"/>
                <w:highlight w:val="none"/>
              </w:rPr>
            </w:pPr>
          </w:p>
        </w:tc>
        <w:tc>
          <w:tcPr>
            <w:tcW w:w="1480" w:type="dxa"/>
            <w:tcBorders>
              <w:top w:val="single" w:color="auto" w:sz="4" w:space="0"/>
              <w:left w:val="single" w:color="auto" w:sz="4" w:space="0"/>
              <w:bottom w:val="single" w:color="auto" w:sz="4" w:space="0"/>
              <w:right w:val="single" w:color="auto" w:sz="4" w:space="0"/>
            </w:tcBorders>
            <w:noWrap w:val="0"/>
            <w:vAlign w:val="center"/>
          </w:tcPr>
          <w:p w14:paraId="62221F3B">
            <w:pPr>
              <w:spacing w:line="360" w:lineRule="auto"/>
              <w:jc w:val="center"/>
              <w:rPr>
                <w:rFonts w:hint="eastAsia" w:ascii="宋体" w:hAnsi="宋体" w:eastAsia="宋体" w:cs="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C0C485B">
            <w:pPr>
              <w:spacing w:line="360" w:lineRule="auto"/>
              <w:jc w:val="center"/>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center"/>
          </w:tcPr>
          <w:p w14:paraId="6205C9D0">
            <w:pPr>
              <w:spacing w:line="360" w:lineRule="auto"/>
              <w:jc w:val="center"/>
              <w:rPr>
                <w:rFonts w:hint="eastAsia" w:ascii="宋体" w:hAnsi="宋体" w:eastAsia="宋体" w:cs="宋体"/>
                <w:color w:val="auto"/>
                <w:sz w:val="24"/>
                <w:szCs w:val="24"/>
                <w:highlight w:val="none"/>
              </w:rPr>
            </w:pPr>
          </w:p>
        </w:tc>
      </w:tr>
      <w:tr w14:paraId="2AE8A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25DE1869">
            <w:pPr>
              <w:widowControl/>
              <w:spacing w:line="360" w:lineRule="auto"/>
              <w:jc w:val="center"/>
              <w:textAlignment w:val="center"/>
              <w:rPr>
                <w:rFonts w:hint="eastAsia" w:ascii="宋体" w:hAnsi="宋体" w:eastAsia="宋体" w:cs="宋体"/>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63918271">
            <w:pPr>
              <w:widowControl/>
              <w:spacing w:line="360" w:lineRule="auto"/>
              <w:jc w:val="center"/>
              <w:textAlignment w:val="center"/>
              <w:rPr>
                <w:rFonts w:hint="eastAsia" w:ascii="宋体" w:hAnsi="宋体" w:eastAsia="宋体" w:cs="宋体"/>
                <w:color w:val="auto"/>
                <w:sz w:val="24"/>
                <w:szCs w:val="24"/>
                <w:highlight w:val="none"/>
              </w:rPr>
            </w:pPr>
          </w:p>
        </w:tc>
        <w:tc>
          <w:tcPr>
            <w:tcW w:w="897" w:type="dxa"/>
            <w:tcBorders>
              <w:top w:val="single" w:color="auto" w:sz="4" w:space="0"/>
              <w:left w:val="single" w:color="auto" w:sz="4" w:space="0"/>
              <w:bottom w:val="single" w:color="auto" w:sz="4" w:space="0"/>
              <w:right w:val="single" w:color="auto" w:sz="4" w:space="0"/>
            </w:tcBorders>
            <w:noWrap w:val="0"/>
            <w:vAlign w:val="center"/>
          </w:tcPr>
          <w:p w14:paraId="12F60648">
            <w:pPr>
              <w:spacing w:line="360" w:lineRule="auto"/>
              <w:jc w:val="center"/>
              <w:rPr>
                <w:rFonts w:hint="eastAsia" w:ascii="宋体" w:hAnsi="宋体" w:eastAsia="宋体" w:cs="宋体"/>
                <w:color w:val="auto"/>
                <w:sz w:val="24"/>
                <w:szCs w:val="24"/>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14:paraId="53EFE61A">
            <w:pPr>
              <w:spacing w:line="360" w:lineRule="auto"/>
              <w:jc w:val="center"/>
              <w:rPr>
                <w:rFonts w:hint="eastAsia" w:ascii="宋体" w:hAnsi="宋体" w:eastAsia="宋体" w:cs="宋体"/>
                <w:color w:val="auto"/>
                <w:sz w:val="24"/>
                <w:szCs w:val="24"/>
                <w:highlight w:val="none"/>
              </w:rPr>
            </w:pPr>
          </w:p>
        </w:tc>
        <w:tc>
          <w:tcPr>
            <w:tcW w:w="740" w:type="dxa"/>
            <w:tcBorders>
              <w:top w:val="single" w:color="auto" w:sz="4" w:space="0"/>
              <w:left w:val="single" w:color="auto" w:sz="4" w:space="0"/>
              <w:bottom w:val="single" w:color="auto" w:sz="4" w:space="0"/>
              <w:right w:val="single" w:color="auto" w:sz="4" w:space="0"/>
            </w:tcBorders>
            <w:noWrap w:val="0"/>
            <w:vAlign w:val="center"/>
          </w:tcPr>
          <w:p w14:paraId="0AB6C5BD">
            <w:pPr>
              <w:spacing w:line="360" w:lineRule="auto"/>
              <w:jc w:val="center"/>
              <w:rPr>
                <w:rFonts w:hint="eastAsia" w:ascii="宋体" w:hAnsi="宋体" w:eastAsia="宋体" w:cs="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81C9431">
            <w:pPr>
              <w:spacing w:line="360" w:lineRule="auto"/>
              <w:jc w:val="center"/>
              <w:rPr>
                <w:rFonts w:hint="eastAsia" w:ascii="宋体" w:hAnsi="宋体" w:eastAsia="宋体" w:cs="宋体"/>
                <w:color w:val="auto"/>
                <w:sz w:val="24"/>
                <w:szCs w:val="24"/>
                <w:highlight w:val="none"/>
              </w:rPr>
            </w:pPr>
          </w:p>
        </w:tc>
        <w:tc>
          <w:tcPr>
            <w:tcW w:w="1480" w:type="dxa"/>
            <w:tcBorders>
              <w:top w:val="single" w:color="auto" w:sz="4" w:space="0"/>
              <w:left w:val="single" w:color="auto" w:sz="4" w:space="0"/>
              <w:bottom w:val="single" w:color="auto" w:sz="4" w:space="0"/>
              <w:right w:val="single" w:color="auto" w:sz="4" w:space="0"/>
            </w:tcBorders>
            <w:noWrap w:val="0"/>
            <w:vAlign w:val="center"/>
          </w:tcPr>
          <w:p w14:paraId="41A886F5">
            <w:pPr>
              <w:spacing w:line="360" w:lineRule="auto"/>
              <w:jc w:val="center"/>
              <w:rPr>
                <w:rFonts w:hint="eastAsia" w:ascii="宋体" w:hAnsi="宋体" w:eastAsia="宋体" w:cs="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15C4EEA5">
            <w:pPr>
              <w:spacing w:line="360" w:lineRule="auto"/>
              <w:jc w:val="center"/>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center"/>
          </w:tcPr>
          <w:p w14:paraId="1D30BA3F">
            <w:pPr>
              <w:spacing w:line="360" w:lineRule="auto"/>
              <w:jc w:val="center"/>
              <w:rPr>
                <w:rFonts w:hint="eastAsia" w:ascii="宋体" w:hAnsi="宋体" w:eastAsia="宋体" w:cs="宋体"/>
                <w:color w:val="auto"/>
                <w:sz w:val="24"/>
                <w:szCs w:val="24"/>
                <w:highlight w:val="none"/>
              </w:rPr>
            </w:pPr>
          </w:p>
        </w:tc>
      </w:tr>
      <w:tr w14:paraId="33AF1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20A4C01C">
            <w:pPr>
              <w:widowControl/>
              <w:spacing w:line="360" w:lineRule="auto"/>
              <w:jc w:val="center"/>
              <w:textAlignment w:val="center"/>
              <w:rPr>
                <w:rFonts w:hint="eastAsia" w:ascii="宋体" w:hAnsi="宋体" w:eastAsia="宋体" w:cs="宋体"/>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69D5A2BE">
            <w:pPr>
              <w:widowControl/>
              <w:spacing w:line="360" w:lineRule="auto"/>
              <w:jc w:val="center"/>
              <w:textAlignment w:val="center"/>
              <w:rPr>
                <w:rFonts w:hint="eastAsia" w:ascii="宋体" w:hAnsi="宋体" w:eastAsia="宋体" w:cs="宋体"/>
                <w:color w:val="auto"/>
                <w:sz w:val="24"/>
                <w:szCs w:val="24"/>
                <w:highlight w:val="none"/>
              </w:rPr>
            </w:pPr>
          </w:p>
        </w:tc>
        <w:tc>
          <w:tcPr>
            <w:tcW w:w="897" w:type="dxa"/>
            <w:tcBorders>
              <w:top w:val="single" w:color="auto" w:sz="4" w:space="0"/>
              <w:left w:val="single" w:color="auto" w:sz="4" w:space="0"/>
              <w:bottom w:val="single" w:color="auto" w:sz="4" w:space="0"/>
              <w:right w:val="single" w:color="auto" w:sz="4" w:space="0"/>
            </w:tcBorders>
            <w:noWrap w:val="0"/>
            <w:vAlign w:val="center"/>
          </w:tcPr>
          <w:p w14:paraId="426A4A11">
            <w:pPr>
              <w:spacing w:line="360" w:lineRule="auto"/>
              <w:jc w:val="center"/>
              <w:rPr>
                <w:rFonts w:hint="eastAsia" w:ascii="宋体" w:hAnsi="宋体" w:eastAsia="宋体" w:cs="宋体"/>
                <w:color w:val="auto"/>
                <w:sz w:val="24"/>
                <w:szCs w:val="24"/>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14:paraId="598B39D1">
            <w:pPr>
              <w:spacing w:line="360" w:lineRule="auto"/>
              <w:jc w:val="center"/>
              <w:rPr>
                <w:rFonts w:hint="eastAsia" w:ascii="宋体" w:hAnsi="宋体" w:eastAsia="宋体" w:cs="宋体"/>
                <w:color w:val="auto"/>
                <w:sz w:val="24"/>
                <w:szCs w:val="24"/>
                <w:highlight w:val="none"/>
              </w:rPr>
            </w:pPr>
          </w:p>
        </w:tc>
        <w:tc>
          <w:tcPr>
            <w:tcW w:w="740" w:type="dxa"/>
            <w:tcBorders>
              <w:top w:val="single" w:color="auto" w:sz="4" w:space="0"/>
              <w:left w:val="single" w:color="auto" w:sz="4" w:space="0"/>
              <w:bottom w:val="single" w:color="auto" w:sz="4" w:space="0"/>
              <w:right w:val="single" w:color="auto" w:sz="4" w:space="0"/>
            </w:tcBorders>
            <w:noWrap w:val="0"/>
            <w:vAlign w:val="center"/>
          </w:tcPr>
          <w:p w14:paraId="0227240C">
            <w:pPr>
              <w:spacing w:line="360" w:lineRule="auto"/>
              <w:jc w:val="center"/>
              <w:rPr>
                <w:rFonts w:hint="eastAsia" w:ascii="宋体" w:hAnsi="宋体" w:eastAsia="宋体" w:cs="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2EAE41F">
            <w:pPr>
              <w:spacing w:line="360" w:lineRule="auto"/>
              <w:jc w:val="center"/>
              <w:rPr>
                <w:rFonts w:hint="eastAsia" w:ascii="宋体" w:hAnsi="宋体" w:eastAsia="宋体" w:cs="宋体"/>
                <w:color w:val="auto"/>
                <w:sz w:val="24"/>
                <w:szCs w:val="24"/>
                <w:highlight w:val="none"/>
              </w:rPr>
            </w:pPr>
          </w:p>
        </w:tc>
        <w:tc>
          <w:tcPr>
            <w:tcW w:w="1480" w:type="dxa"/>
            <w:tcBorders>
              <w:top w:val="single" w:color="auto" w:sz="4" w:space="0"/>
              <w:left w:val="single" w:color="auto" w:sz="4" w:space="0"/>
              <w:bottom w:val="single" w:color="auto" w:sz="4" w:space="0"/>
              <w:right w:val="single" w:color="auto" w:sz="4" w:space="0"/>
            </w:tcBorders>
            <w:noWrap w:val="0"/>
            <w:vAlign w:val="center"/>
          </w:tcPr>
          <w:p w14:paraId="41B4A0DC">
            <w:pPr>
              <w:spacing w:line="360" w:lineRule="auto"/>
              <w:jc w:val="center"/>
              <w:rPr>
                <w:rFonts w:hint="eastAsia" w:ascii="宋体" w:hAnsi="宋体" w:eastAsia="宋体" w:cs="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1533228">
            <w:pPr>
              <w:spacing w:line="360" w:lineRule="auto"/>
              <w:jc w:val="center"/>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center"/>
          </w:tcPr>
          <w:p w14:paraId="29A34373">
            <w:pPr>
              <w:spacing w:line="360" w:lineRule="auto"/>
              <w:jc w:val="center"/>
              <w:rPr>
                <w:rFonts w:hint="eastAsia" w:ascii="宋体" w:hAnsi="宋体" w:eastAsia="宋体" w:cs="宋体"/>
                <w:color w:val="auto"/>
                <w:sz w:val="24"/>
                <w:szCs w:val="24"/>
                <w:highlight w:val="none"/>
              </w:rPr>
            </w:pPr>
          </w:p>
        </w:tc>
      </w:tr>
      <w:tr w14:paraId="4395A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689B86D2">
            <w:pPr>
              <w:widowControl/>
              <w:spacing w:line="360" w:lineRule="auto"/>
              <w:jc w:val="center"/>
              <w:textAlignment w:val="center"/>
              <w:rPr>
                <w:rFonts w:hint="eastAsia" w:ascii="宋体" w:hAnsi="宋体" w:eastAsia="宋体" w:cs="宋体"/>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3A1CF406">
            <w:pPr>
              <w:widowControl/>
              <w:spacing w:line="360" w:lineRule="auto"/>
              <w:jc w:val="center"/>
              <w:textAlignment w:val="center"/>
              <w:rPr>
                <w:rFonts w:hint="eastAsia" w:ascii="宋体" w:hAnsi="宋体" w:eastAsia="宋体" w:cs="宋体"/>
                <w:color w:val="auto"/>
                <w:sz w:val="24"/>
                <w:szCs w:val="24"/>
                <w:highlight w:val="none"/>
              </w:rPr>
            </w:pPr>
          </w:p>
        </w:tc>
        <w:tc>
          <w:tcPr>
            <w:tcW w:w="897" w:type="dxa"/>
            <w:tcBorders>
              <w:top w:val="single" w:color="auto" w:sz="4" w:space="0"/>
              <w:left w:val="single" w:color="auto" w:sz="4" w:space="0"/>
              <w:bottom w:val="single" w:color="auto" w:sz="4" w:space="0"/>
              <w:right w:val="single" w:color="auto" w:sz="4" w:space="0"/>
            </w:tcBorders>
            <w:noWrap w:val="0"/>
            <w:vAlign w:val="center"/>
          </w:tcPr>
          <w:p w14:paraId="19CD4D24">
            <w:pPr>
              <w:spacing w:line="360" w:lineRule="auto"/>
              <w:jc w:val="center"/>
              <w:rPr>
                <w:rFonts w:hint="eastAsia" w:ascii="宋体" w:hAnsi="宋体" w:eastAsia="宋体" w:cs="宋体"/>
                <w:color w:val="auto"/>
                <w:sz w:val="24"/>
                <w:szCs w:val="24"/>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14:paraId="132E2280">
            <w:pPr>
              <w:spacing w:line="360" w:lineRule="auto"/>
              <w:jc w:val="center"/>
              <w:rPr>
                <w:rFonts w:hint="eastAsia" w:ascii="宋体" w:hAnsi="宋体" w:eastAsia="宋体" w:cs="宋体"/>
                <w:color w:val="auto"/>
                <w:sz w:val="24"/>
                <w:szCs w:val="24"/>
                <w:highlight w:val="none"/>
              </w:rPr>
            </w:pPr>
          </w:p>
        </w:tc>
        <w:tc>
          <w:tcPr>
            <w:tcW w:w="740" w:type="dxa"/>
            <w:tcBorders>
              <w:top w:val="single" w:color="auto" w:sz="4" w:space="0"/>
              <w:left w:val="single" w:color="auto" w:sz="4" w:space="0"/>
              <w:bottom w:val="single" w:color="auto" w:sz="4" w:space="0"/>
              <w:right w:val="single" w:color="auto" w:sz="4" w:space="0"/>
            </w:tcBorders>
            <w:noWrap w:val="0"/>
            <w:vAlign w:val="center"/>
          </w:tcPr>
          <w:p w14:paraId="73054C8D">
            <w:pPr>
              <w:spacing w:line="360" w:lineRule="auto"/>
              <w:jc w:val="center"/>
              <w:rPr>
                <w:rFonts w:hint="eastAsia" w:ascii="宋体" w:hAnsi="宋体" w:eastAsia="宋体" w:cs="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C893120">
            <w:pPr>
              <w:spacing w:line="360" w:lineRule="auto"/>
              <w:jc w:val="center"/>
              <w:rPr>
                <w:rFonts w:hint="eastAsia" w:ascii="宋体" w:hAnsi="宋体" w:eastAsia="宋体" w:cs="宋体"/>
                <w:color w:val="auto"/>
                <w:sz w:val="24"/>
                <w:szCs w:val="24"/>
                <w:highlight w:val="none"/>
              </w:rPr>
            </w:pPr>
          </w:p>
        </w:tc>
        <w:tc>
          <w:tcPr>
            <w:tcW w:w="1480" w:type="dxa"/>
            <w:tcBorders>
              <w:top w:val="single" w:color="auto" w:sz="4" w:space="0"/>
              <w:left w:val="single" w:color="auto" w:sz="4" w:space="0"/>
              <w:bottom w:val="single" w:color="auto" w:sz="4" w:space="0"/>
              <w:right w:val="single" w:color="auto" w:sz="4" w:space="0"/>
            </w:tcBorders>
            <w:noWrap w:val="0"/>
            <w:vAlign w:val="center"/>
          </w:tcPr>
          <w:p w14:paraId="66603422">
            <w:pPr>
              <w:spacing w:line="360" w:lineRule="auto"/>
              <w:jc w:val="center"/>
              <w:rPr>
                <w:rFonts w:hint="eastAsia" w:ascii="宋体" w:hAnsi="宋体" w:eastAsia="宋体" w:cs="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653DB2A5">
            <w:pPr>
              <w:spacing w:line="360" w:lineRule="auto"/>
              <w:jc w:val="center"/>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center"/>
          </w:tcPr>
          <w:p w14:paraId="4CCA37CF">
            <w:pPr>
              <w:spacing w:line="360" w:lineRule="auto"/>
              <w:jc w:val="center"/>
              <w:rPr>
                <w:rFonts w:hint="eastAsia" w:ascii="宋体" w:hAnsi="宋体" w:eastAsia="宋体" w:cs="宋体"/>
                <w:color w:val="auto"/>
                <w:sz w:val="24"/>
                <w:szCs w:val="24"/>
                <w:highlight w:val="none"/>
              </w:rPr>
            </w:pPr>
          </w:p>
        </w:tc>
      </w:tr>
      <w:tr w14:paraId="65DE0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50CB6AE0">
            <w:pPr>
              <w:widowControl/>
              <w:spacing w:line="360" w:lineRule="auto"/>
              <w:jc w:val="center"/>
              <w:textAlignment w:val="center"/>
              <w:rPr>
                <w:rFonts w:hint="eastAsia" w:ascii="宋体" w:hAnsi="宋体" w:eastAsia="宋体" w:cs="宋体"/>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29AA422B">
            <w:pPr>
              <w:widowControl/>
              <w:spacing w:line="360" w:lineRule="auto"/>
              <w:jc w:val="center"/>
              <w:textAlignment w:val="center"/>
              <w:rPr>
                <w:rFonts w:hint="eastAsia" w:ascii="宋体" w:hAnsi="宋体" w:eastAsia="宋体" w:cs="宋体"/>
                <w:color w:val="auto"/>
                <w:sz w:val="24"/>
                <w:szCs w:val="24"/>
                <w:highlight w:val="none"/>
              </w:rPr>
            </w:pPr>
          </w:p>
        </w:tc>
        <w:tc>
          <w:tcPr>
            <w:tcW w:w="897" w:type="dxa"/>
            <w:tcBorders>
              <w:top w:val="single" w:color="auto" w:sz="4" w:space="0"/>
              <w:left w:val="single" w:color="auto" w:sz="4" w:space="0"/>
              <w:bottom w:val="single" w:color="auto" w:sz="4" w:space="0"/>
              <w:right w:val="single" w:color="auto" w:sz="4" w:space="0"/>
            </w:tcBorders>
            <w:noWrap w:val="0"/>
            <w:vAlign w:val="center"/>
          </w:tcPr>
          <w:p w14:paraId="6857A33F">
            <w:pPr>
              <w:spacing w:line="360" w:lineRule="auto"/>
              <w:jc w:val="center"/>
              <w:rPr>
                <w:rFonts w:hint="eastAsia" w:ascii="宋体" w:hAnsi="宋体" w:eastAsia="宋体" w:cs="宋体"/>
                <w:color w:val="auto"/>
                <w:sz w:val="24"/>
                <w:szCs w:val="24"/>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14:paraId="7BE04D6E">
            <w:pPr>
              <w:spacing w:line="360" w:lineRule="auto"/>
              <w:jc w:val="center"/>
              <w:rPr>
                <w:rFonts w:hint="eastAsia" w:ascii="宋体" w:hAnsi="宋体" w:eastAsia="宋体" w:cs="宋体"/>
                <w:color w:val="auto"/>
                <w:sz w:val="24"/>
                <w:szCs w:val="24"/>
                <w:highlight w:val="none"/>
              </w:rPr>
            </w:pPr>
          </w:p>
        </w:tc>
        <w:tc>
          <w:tcPr>
            <w:tcW w:w="740" w:type="dxa"/>
            <w:tcBorders>
              <w:top w:val="single" w:color="auto" w:sz="4" w:space="0"/>
              <w:left w:val="single" w:color="auto" w:sz="4" w:space="0"/>
              <w:bottom w:val="single" w:color="auto" w:sz="4" w:space="0"/>
              <w:right w:val="single" w:color="auto" w:sz="4" w:space="0"/>
            </w:tcBorders>
            <w:noWrap w:val="0"/>
            <w:vAlign w:val="center"/>
          </w:tcPr>
          <w:p w14:paraId="44A099C3">
            <w:pPr>
              <w:spacing w:line="360" w:lineRule="auto"/>
              <w:jc w:val="center"/>
              <w:rPr>
                <w:rFonts w:hint="eastAsia" w:ascii="宋体" w:hAnsi="宋体" w:eastAsia="宋体" w:cs="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0B8EFC6B">
            <w:pPr>
              <w:spacing w:line="360" w:lineRule="auto"/>
              <w:jc w:val="center"/>
              <w:rPr>
                <w:rFonts w:hint="eastAsia" w:ascii="宋体" w:hAnsi="宋体" w:eastAsia="宋体" w:cs="宋体"/>
                <w:color w:val="auto"/>
                <w:sz w:val="24"/>
                <w:szCs w:val="24"/>
                <w:highlight w:val="none"/>
              </w:rPr>
            </w:pPr>
          </w:p>
        </w:tc>
        <w:tc>
          <w:tcPr>
            <w:tcW w:w="1480" w:type="dxa"/>
            <w:tcBorders>
              <w:top w:val="single" w:color="auto" w:sz="4" w:space="0"/>
              <w:left w:val="single" w:color="auto" w:sz="4" w:space="0"/>
              <w:bottom w:val="single" w:color="auto" w:sz="4" w:space="0"/>
              <w:right w:val="single" w:color="auto" w:sz="4" w:space="0"/>
            </w:tcBorders>
            <w:noWrap w:val="0"/>
            <w:vAlign w:val="center"/>
          </w:tcPr>
          <w:p w14:paraId="54049214">
            <w:pPr>
              <w:spacing w:line="360" w:lineRule="auto"/>
              <w:jc w:val="center"/>
              <w:rPr>
                <w:rFonts w:hint="eastAsia" w:ascii="宋体" w:hAnsi="宋体" w:eastAsia="宋体" w:cs="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0A410DAF">
            <w:pPr>
              <w:spacing w:line="360" w:lineRule="auto"/>
              <w:jc w:val="center"/>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center"/>
          </w:tcPr>
          <w:p w14:paraId="27B0C00C">
            <w:pPr>
              <w:spacing w:line="360" w:lineRule="auto"/>
              <w:jc w:val="center"/>
              <w:rPr>
                <w:rFonts w:hint="eastAsia" w:ascii="宋体" w:hAnsi="宋体" w:eastAsia="宋体" w:cs="宋体"/>
                <w:color w:val="auto"/>
                <w:sz w:val="24"/>
                <w:szCs w:val="24"/>
                <w:highlight w:val="none"/>
              </w:rPr>
            </w:pPr>
          </w:p>
        </w:tc>
      </w:tr>
      <w:tr w14:paraId="33162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2403BD02">
            <w:pPr>
              <w:widowControl/>
              <w:spacing w:line="360" w:lineRule="auto"/>
              <w:jc w:val="center"/>
              <w:textAlignment w:val="center"/>
              <w:rPr>
                <w:rFonts w:hint="eastAsia" w:ascii="宋体" w:hAnsi="宋体" w:eastAsia="宋体" w:cs="宋体"/>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34C42DD7">
            <w:pPr>
              <w:widowControl/>
              <w:spacing w:line="360" w:lineRule="auto"/>
              <w:jc w:val="center"/>
              <w:textAlignment w:val="center"/>
              <w:rPr>
                <w:rFonts w:hint="eastAsia" w:ascii="宋体" w:hAnsi="宋体" w:eastAsia="宋体" w:cs="宋体"/>
                <w:color w:val="auto"/>
                <w:sz w:val="24"/>
                <w:szCs w:val="24"/>
                <w:highlight w:val="none"/>
              </w:rPr>
            </w:pPr>
          </w:p>
        </w:tc>
        <w:tc>
          <w:tcPr>
            <w:tcW w:w="897" w:type="dxa"/>
            <w:tcBorders>
              <w:top w:val="single" w:color="auto" w:sz="4" w:space="0"/>
              <w:left w:val="single" w:color="auto" w:sz="4" w:space="0"/>
              <w:bottom w:val="single" w:color="auto" w:sz="4" w:space="0"/>
              <w:right w:val="single" w:color="auto" w:sz="4" w:space="0"/>
            </w:tcBorders>
            <w:noWrap w:val="0"/>
            <w:vAlign w:val="center"/>
          </w:tcPr>
          <w:p w14:paraId="3A7DC10E">
            <w:pPr>
              <w:spacing w:line="360" w:lineRule="auto"/>
              <w:jc w:val="center"/>
              <w:rPr>
                <w:rFonts w:hint="eastAsia" w:ascii="宋体" w:hAnsi="宋体" w:eastAsia="宋体" w:cs="宋体"/>
                <w:color w:val="auto"/>
                <w:sz w:val="24"/>
                <w:szCs w:val="24"/>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14:paraId="5938FB89">
            <w:pPr>
              <w:spacing w:line="360" w:lineRule="auto"/>
              <w:jc w:val="center"/>
              <w:rPr>
                <w:rFonts w:hint="eastAsia" w:ascii="宋体" w:hAnsi="宋体" w:eastAsia="宋体" w:cs="宋体"/>
                <w:color w:val="auto"/>
                <w:sz w:val="24"/>
                <w:szCs w:val="24"/>
                <w:highlight w:val="none"/>
              </w:rPr>
            </w:pPr>
          </w:p>
        </w:tc>
        <w:tc>
          <w:tcPr>
            <w:tcW w:w="740" w:type="dxa"/>
            <w:tcBorders>
              <w:top w:val="single" w:color="auto" w:sz="4" w:space="0"/>
              <w:left w:val="single" w:color="auto" w:sz="4" w:space="0"/>
              <w:bottom w:val="single" w:color="auto" w:sz="4" w:space="0"/>
              <w:right w:val="single" w:color="auto" w:sz="4" w:space="0"/>
            </w:tcBorders>
            <w:noWrap w:val="0"/>
            <w:vAlign w:val="center"/>
          </w:tcPr>
          <w:p w14:paraId="35D4D588">
            <w:pPr>
              <w:spacing w:line="360" w:lineRule="auto"/>
              <w:jc w:val="center"/>
              <w:rPr>
                <w:rFonts w:hint="eastAsia" w:ascii="宋体" w:hAnsi="宋体" w:eastAsia="宋体" w:cs="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69D52498">
            <w:pPr>
              <w:spacing w:line="360" w:lineRule="auto"/>
              <w:jc w:val="center"/>
              <w:rPr>
                <w:rFonts w:hint="eastAsia" w:ascii="宋体" w:hAnsi="宋体" w:eastAsia="宋体" w:cs="宋体"/>
                <w:color w:val="auto"/>
                <w:sz w:val="24"/>
                <w:szCs w:val="24"/>
                <w:highlight w:val="none"/>
              </w:rPr>
            </w:pPr>
          </w:p>
        </w:tc>
        <w:tc>
          <w:tcPr>
            <w:tcW w:w="1480" w:type="dxa"/>
            <w:tcBorders>
              <w:top w:val="single" w:color="auto" w:sz="4" w:space="0"/>
              <w:left w:val="single" w:color="auto" w:sz="4" w:space="0"/>
              <w:bottom w:val="single" w:color="auto" w:sz="4" w:space="0"/>
              <w:right w:val="single" w:color="auto" w:sz="4" w:space="0"/>
            </w:tcBorders>
            <w:noWrap w:val="0"/>
            <w:vAlign w:val="center"/>
          </w:tcPr>
          <w:p w14:paraId="07DF5635">
            <w:pPr>
              <w:spacing w:line="360" w:lineRule="auto"/>
              <w:jc w:val="center"/>
              <w:rPr>
                <w:rFonts w:hint="eastAsia" w:ascii="宋体" w:hAnsi="宋体" w:eastAsia="宋体" w:cs="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62AE8A8D">
            <w:pPr>
              <w:spacing w:line="360" w:lineRule="auto"/>
              <w:jc w:val="center"/>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center"/>
          </w:tcPr>
          <w:p w14:paraId="371D16E5">
            <w:pPr>
              <w:spacing w:line="360" w:lineRule="auto"/>
              <w:jc w:val="center"/>
              <w:rPr>
                <w:rFonts w:hint="eastAsia" w:ascii="宋体" w:hAnsi="宋体" w:eastAsia="宋体" w:cs="宋体"/>
                <w:color w:val="auto"/>
                <w:sz w:val="24"/>
                <w:szCs w:val="24"/>
                <w:highlight w:val="none"/>
              </w:rPr>
            </w:pPr>
          </w:p>
        </w:tc>
      </w:tr>
    </w:tbl>
    <w:p w14:paraId="002F0BBA">
      <w:pPr>
        <w:spacing w:line="360" w:lineRule="auto"/>
        <w:rPr>
          <w:rFonts w:hint="eastAsia" w:ascii="宋体" w:hAnsi="宋体" w:eastAsia="宋体" w:cs="宋体"/>
          <w:color w:val="auto"/>
          <w:sz w:val="24"/>
          <w:szCs w:val="24"/>
          <w:highlight w:val="none"/>
        </w:rPr>
      </w:pPr>
    </w:p>
    <w:p w14:paraId="6F84141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附件：6</w:t>
      </w:r>
    </w:p>
    <w:p w14:paraId="0CC13976">
      <w:pPr>
        <w:spacing w:line="360" w:lineRule="auto"/>
        <w:rPr>
          <w:rFonts w:hint="eastAsia" w:ascii="宋体" w:hAnsi="宋体" w:eastAsia="宋体" w:cs="宋体"/>
          <w:color w:val="auto"/>
          <w:sz w:val="24"/>
          <w:szCs w:val="24"/>
          <w:highlight w:val="none"/>
        </w:rPr>
      </w:pPr>
    </w:p>
    <w:p w14:paraId="318662BB">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承包人主要施工管理人员表</w:t>
      </w:r>
    </w:p>
    <w:p w14:paraId="0D16CD40">
      <w:pPr>
        <w:spacing w:line="360" w:lineRule="auto"/>
        <w:rPr>
          <w:rFonts w:hint="eastAsia" w:ascii="宋体" w:hAnsi="宋体" w:eastAsia="宋体" w:cs="宋体"/>
          <w:color w:val="auto"/>
          <w:sz w:val="24"/>
          <w:szCs w:val="24"/>
          <w:highlight w:val="none"/>
        </w:rPr>
      </w:pPr>
    </w:p>
    <w:tbl>
      <w:tblPr>
        <w:tblStyle w:val="62"/>
        <w:tblW w:w="8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106"/>
        <w:gridCol w:w="1134"/>
        <w:gridCol w:w="1134"/>
        <w:gridCol w:w="4102"/>
      </w:tblGrid>
      <w:tr w14:paraId="06C59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tcBorders>
              <w:top w:val="single" w:color="auto" w:sz="4" w:space="0"/>
              <w:left w:val="single" w:color="auto" w:sz="4" w:space="0"/>
              <w:bottom w:val="single" w:color="auto" w:sz="4" w:space="0"/>
              <w:right w:val="single" w:color="auto" w:sz="4" w:space="0"/>
            </w:tcBorders>
            <w:noWrap w:val="0"/>
            <w:vAlign w:val="center"/>
          </w:tcPr>
          <w:p w14:paraId="2AC64173">
            <w:pPr>
              <w:spacing w:line="360" w:lineRule="auto"/>
              <w:ind w:left="-53" w:leftChars="-25" w:right="-53" w:rightChars="-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名称</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4F24F65E">
            <w:pPr>
              <w:spacing w:line="360" w:lineRule="auto"/>
              <w:ind w:left="-53" w:leftChars="-25" w:right="-53" w:rightChars="-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姓名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B35B8D1">
            <w:pPr>
              <w:spacing w:line="360" w:lineRule="auto"/>
              <w:ind w:left="-53" w:leftChars="-25" w:right="-53" w:rightChars="-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职务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065B680">
            <w:pPr>
              <w:spacing w:line="360" w:lineRule="auto"/>
              <w:ind w:left="-53" w:leftChars="-25" w:right="-53" w:rightChars="-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职称</w:t>
            </w:r>
          </w:p>
        </w:tc>
        <w:tc>
          <w:tcPr>
            <w:tcW w:w="4102" w:type="dxa"/>
            <w:tcBorders>
              <w:top w:val="single" w:color="auto" w:sz="4" w:space="0"/>
              <w:left w:val="single" w:color="auto" w:sz="4" w:space="0"/>
              <w:bottom w:val="single" w:color="auto" w:sz="4" w:space="0"/>
              <w:right w:val="single" w:color="auto" w:sz="4" w:space="0"/>
            </w:tcBorders>
            <w:noWrap w:val="0"/>
            <w:vAlign w:val="center"/>
          </w:tcPr>
          <w:p w14:paraId="3A615812">
            <w:pPr>
              <w:spacing w:line="360" w:lineRule="auto"/>
              <w:ind w:left="-53" w:leftChars="-25" w:right="-53" w:rightChars="-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主要资历、经验及承担过的项目</w:t>
            </w:r>
          </w:p>
        </w:tc>
      </w:tr>
      <w:tr w14:paraId="22201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848" w:type="dxa"/>
            <w:gridSpan w:val="5"/>
            <w:tcBorders>
              <w:top w:val="single" w:color="auto" w:sz="4" w:space="0"/>
              <w:left w:val="single" w:color="auto" w:sz="4" w:space="0"/>
              <w:bottom w:val="single" w:color="auto" w:sz="4" w:space="0"/>
              <w:right w:val="single" w:color="auto" w:sz="4" w:space="0"/>
            </w:tcBorders>
            <w:noWrap w:val="0"/>
            <w:vAlign w:val="center"/>
          </w:tcPr>
          <w:p w14:paraId="3257CE32">
            <w:pPr>
              <w:spacing w:line="360" w:lineRule="auto"/>
              <w:ind w:left="-53" w:leftChars="-25" w:right="-53" w:rightChars="-2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一、总部人员</w:t>
            </w:r>
          </w:p>
        </w:tc>
      </w:tr>
      <w:tr w14:paraId="7A781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tcBorders>
              <w:top w:val="single" w:color="auto" w:sz="4" w:space="0"/>
              <w:left w:val="single" w:color="auto" w:sz="4" w:space="0"/>
              <w:bottom w:val="single" w:color="auto" w:sz="4" w:space="0"/>
              <w:right w:val="single" w:color="auto" w:sz="4" w:space="0"/>
            </w:tcBorders>
            <w:noWrap w:val="0"/>
            <w:vAlign w:val="center"/>
          </w:tcPr>
          <w:p w14:paraId="7CB4E476">
            <w:pPr>
              <w:spacing w:line="360" w:lineRule="auto"/>
              <w:ind w:left="-53" w:leftChars="-25" w:right="-53" w:rightChars="-2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项目主管</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4C59346A">
            <w:pPr>
              <w:spacing w:line="360" w:lineRule="auto"/>
              <w:ind w:left="-53" w:leftChars="-25" w:right="-53" w:rightChars="-25"/>
              <w:jc w:val="center"/>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9F10E3C">
            <w:pPr>
              <w:spacing w:line="360" w:lineRule="auto"/>
              <w:ind w:left="-53" w:leftChars="-25" w:right="-53" w:rightChars="-25"/>
              <w:jc w:val="center"/>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83C60C3">
            <w:pPr>
              <w:spacing w:line="360" w:lineRule="auto"/>
              <w:ind w:left="-53" w:leftChars="-25" w:right="-53" w:rightChars="-25"/>
              <w:jc w:val="center"/>
              <w:rPr>
                <w:rFonts w:hint="eastAsia" w:ascii="宋体" w:hAnsi="宋体" w:eastAsia="宋体" w:cs="宋体"/>
                <w:color w:val="auto"/>
                <w:sz w:val="24"/>
                <w:szCs w:val="24"/>
                <w:highlight w:val="none"/>
              </w:rPr>
            </w:pPr>
          </w:p>
        </w:tc>
        <w:tc>
          <w:tcPr>
            <w:tcW w:w="4102" w:type="dxa"/>
            <w:tcBorders>
              <w:top w:val="single" w:color="auto" w:sz="4" w:space="0"/>
              <w:left w:val="single" w:color="auto" w:sz="4" w:space="0"/>
              <w:bottom w:val="single" w:color="auto" w:sz="4" w:space="0"/>
              <w:right w:val="single" w:color="auto" w:sz="4" w:space="0"/>
            </w:tcBorders>
            <w:noWrap w:val="0"/>
            <w:vAlign w:val="center"/>
          </w:tcPr>
          <w:p w14:paraId="7EECD8C7">
            <w:pPr>
              <w:spacing w:line="360" w:lineRule="auto"/>
              <w:ind w:left="-53" w:leftChars="-25" w:right="-53" w:rightChars="-25"/>
              <w:jc w:val="center"/>
              <w:rPr>
                <w:rFonts w:hint="eastAsia" w:ascii="宋体" w:hAnsi="宋体" w:eastAsia="宋体" w:cs="宋体"/>
                <w:color w:val="auto"/>
                <w:sz w:val="24"/>
                <w:szCs w:val="24"/>
                <w:highlight w:val="none"/>
              </w:rPr>
            </w:pPr>
          </w:p>
        </w:tc>
      </w:tr>
      <w:tr w14:paraId="78DB6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vMerge w:val="restart"/>
            <w:tcBorders>
              <w:top w:val="single" w:color="auto" w:sz="4" w:space="0"/>
              <w:left w:val="single" w:color="auto" w:sz="4" w:space="0"/>
              <w:right w:val="single" w:color="auto" w:sz="4" w:space="0"/>
            </w:tcBorders>
            <w:noWrap w:val="0"/>
            <w:vAlign w:val="center"/>
          </w:tcPr>
          <w:p w14:paraId="2B7137B5">
            <w:pPr>
              <w:spacing w:line="360" w:lineRule="auto"/>
              <w:ind w:left="-53" w:leftChars="-25" w:right="-53" w:rightChars="-2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其他人员</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36329074">
            <w:pPr>
              <w:spacing w:line="360" w:lineRule="auto"/>
              <w:ind w:left="-53" w:leftChars="-25" w:right="-53" w:rightChars="-25"/>
              <w:jc w:val="center"/>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AFA5312">
            <w:pPr>
              <w:spacing w:line="360" w:lineRule="auto"/>
              <w:ind w:left="-53" w:leftChars="-25" w:right="-53" w:rightChars="-25"/>
              <w:jc w:val="center"/>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5FAADBA">
            <w:pPr>
              <w:spacing w:line="360" w:lineRule="auto"/>
              <w:ind w:left="-53" w:leftChars="-25" w:right="-53" w:rightChars="-25"/>
              <w:jc w:val="center"/>
              <w:rPr>
                <w:rFonts w:hint="eastAsia" w:ascii="宋体" w:hAnsi="宋体" w:eastAsia="宋体" w:cs="宋体"/>
                <w:color w:val="auto"/>
                <w:sz w:val="24"/>
                <w:szCs w:val="24"/>
                <w:highlight w:val="none"/>
              </w:rPr>
            </w:pPr>
          </w:p>
        </w:tc>
        <w:tc>
          <w:tcPr>
            <w:tcW w:w="4102" w:type="dxa"/>
            <w:tcBorders>
              <w:top w:val="single" w:color="auto" w:sz="4" w:space="0"/>
              <w:left w:val="single" w:color="auto" w:sz="4" w:space="0"/>
              <w:bottom w:val="single" w:color="auto" w:sz="4" w:space="0"/>
              <w:right w:val="single" w:color="auto" w:sz="4" w:space="0"/>
            </w:tcBorders>
            <w:noWrap w:val="0"/>
            <w:vAlign w:val="center"/>
          </w:tcPr>
          <w:p w14:paraId="58B54A37">
            <w:pPr>
              <w:spacing w:line="360" w:lineRule="auto"/>
              <w:ind w:left="-53" w:leftChars="-25" w:right="-53" w:rightChars="-25"/>
              <w:jc w:val="center"/>
              <w:rPr>
                <w:rFonts w:hint="eastAsia" w:ascii="宋体" w:hAnsi="宋体" w:eastAsia="宋体" w:cs="宋体"/>
                <w:color w:val="auto"/>
                <w:sz w:val="24"/>
                <w:szCs w:val="24"/>
                <w:highlight w:val="none"/>
              </w:rPr>
            </w:pPr>
          </w:p>
        </w:tc>
      </w:tr>
      <w:tr w14:paraId="5C681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vMerge w:val="continue"/>
            <w:tcBorders>
              <w:left w:val="single" w:color="auto" w:sz="4" w:space="0"/>
              <w:right w:val="single" w:color="auto" w:sz="4" w:space="0"/>
            </w:tcBorders>
            <w:noWrap w:val="0"/>
            <w:vAlign w:val="center"/>
          </w:tcPr>
          <w:p w14:paraId="00D0E54B">
            <w:pPr>
              <w:spacing w:line="360" w:lineRule="auto"/>
              <w:ind w:left="-53" w:leftChars="-25" w:right="-53" w:rightChars="-25"/>
              <w:jc w:val="center"/>
              <w:rPr>
                <w:rFonts w:hint="eastAsia" w:ascii="宋体" w:hAnsi="宋体" w:eastAsia="宋体" w:cs="宋体"/>
                <w:color w:val="auto"/>
                <w:sz w:val="24"/>
                <w:szCs w:val="24"/>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2AAA9E3E">
            <w:pPr>
              <w:spacing w:line="360" w:lineRule="auto"/>
              <w:ind w:left="-53" w:leftChars="-25" w:right="-53" w:rightChars="-25"/>
              <w:jc w:val="center"/>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64D4705">
            <w:pPr>
              <w:spacing w:line="360" w:lineRule="auto"/>
              <w:ind w:left="-53" w:leftChars="-25" w:right="-53" w:rightChars="-25"/>
              <w:jc w:val="center"/>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91FC4CC">
            <w:pPr>
              <w:spacing w:line="360" w:lineRule="auto"/>
              <w:ind w:left="-53" w:leftChars="-25" w:right="-53" w:rightChars="-25"/>
              <w:jc w:val="center"/>
              <w:rPr>
                <w:rFonts w:hint="eastAsia" w:ascii="宋体" w:hAnsi="宋体" w:eastAsia="宋体" w:cs="宋体"/>
                <w:color w:val="auto"/>
                <w:sz w:val="24"/>
                <w:szCs w:val="24"/>
                <w:highlight w:val="none"/>
              </w:rPr>
            </w:pPr>
          </w:p>
        </w:tc>
        <w:tc>
          <w:tcPr>
            <w:tcW w:w="4102" w:type="dxa"/>
            <w:tcBorders>
              <w:top w:val="single" w:color="auto" w:sz="4" w:space="0"/>
              <w:left w:val="single" w:color="auto" w:sz="4" w:space="0"/>
              <w:bottom w:val="single" w:color="auto" w:sz="4" w:space="0"/>
              <w:right w:val="single" w:color="auto" w:sz="4" w:space="0"/>
            </w:tcBorders>
            <w:noWrap w:val="0"/>
            <w:vAlign w:val="center"/>
          </w:tcPr>
          <w:p w14:paraId="6839DDEB">
            <w:pPr>
              <w:spacing w:line="360" w:lineRule="auto"/>
              <w:ind w:left="-53" w:leftChars="-25" w:right="-53" w:rightChars="-25"/>
              <w:jc w:val="center"/>
              <w:rPr>
                <w:rFonts w:hint="eastAsia" w:ascii="宋体" w:hAnsi="宋体" w:eastAsia="宋体" w:cs="宋体"/>
                <w:color w:val="auto"/>
                <w:sz w:val="24"/>
                <w:szCs w:val="24"/>
                <w:highlight w:val="none"/>
              </w:rPr>
            </w:pPr>
          </w:p>
        </w:tc>
      </w:tr>
      <w:tr w14:paraId="10BE1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vMerge w:val="continue"/>
            <w:tcBorders>
              <w:left w:val="single" w:color="auto" w:sz="4" w:space="0"/>
              <w:bottom w:val="single" w:color="auto" w:sz="4" w:space="0"/>
              <w:right w:val="single" w:color="auto" w:sz="4" w:space="0"/>
            </w:tcBorders>
            <w:noWrap w:val="0"/>
            <w:vAlign w:val="center"/>
          </w:tcPr>
          <w:p w14:paraId="54363304">
            <w:pPr>
              <w:spacing w:line="360" w:lineRule="auto"/>
              <w:ind w:left="-53" w:leftChars="-25" w:right="-53" w:rightChars="-25"/>
              <w:jc w:val="center"/>
              <w:rPr>
                <w:rFonts w:hint="eastAsia" w:ascii="宋体" w:hAnsi="宋体" w:eastAsia="宋体" w:cs="宋体"/>
                <w:color w:val="auto"/>
                <w:sz w:val="24"/>
                <w:szCs w:val="24"/>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5188BA89">
            <w:pPr>
              <w:spacing w:line="360" w:lineRule="auto"/>
              <w:ind w:left="-53" w:leftChars="-25" w:right="-53" w:rightChars="-25"/>
              <w:jc w:val="center"/>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1A54102">
            <w:pPr>
              <w:spacing w:line="360" w:lineRule="auto"/>
              <w:ind w:left="-53" w:leftChars="-25" w:right="-53" w:rightChars="-25"/>
              <w:jc w:val="center"/>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239849D">
            <w:pPr>
              <w:spacing w:line="360" w:lineRule="auto"/>
              <w:ind w:left="-53" w:leftChars="-25" w:right="-53" w:rightChars="-25"/>
              <w:jc w:val="center"/>
              <w:rPr>
                <w:rFonts w:hint="eastAsia" w:ascii="宋体" w:hAnsi="宋体" w:eastAsia="宋体" w:cs="宋体"/>
                <w:color w:val="auto"/>
                <w:sz w:val="24"/>
                <w:szCs w:val="24"/>
                <w:highlight w:val="none"/>
              </w:rPr>
            </w:pPr>
          </w:p>
        </w:tc>
        <w:tc>
          <w:tcPr>
            <w:tcW w:w="4102" w:type="dxa"/>
            <w:tcBorders>
              <w:top w:val="single" w:color="auto" w:sz="4" w:space="0"/>
              <w:left w:val="single" w:color="auto" w:sz="4" w:space="0"/>
              <w:bottom w:val="single" w:color="auto" w:sz="4" w:space="0"/>
              <w:right w:val="single" w:color="auto" w:sz="4" w:space="0"/>
            </w:tcBorders>
            <w:noWrap w:val="0"/>
            <w:vAlign w:val="center"/>
          </w:tcPr>
          <w:p w14:paraId="10E076E1">
            <w:pPr>
              <w:spacing w:line="360" w:lineRule="auto"/>
              <w:ind w:left="-53" w:leftChars="-25" w:right="-53" w:rightChars="-25"/>
              <w:jc w:val="center"/>
              <w:rPr>
                <w:rFonts w:hint="eastAsia" w:ascii="宋体" w:hAnsi="宋体" w:eastAsia="宋体" w:cs="宋体"/>
                <w:color w:val="auto"/>
                <w:sz w:val="24"/>
                <w:szCs w:val="24"/>
                <w:highlight w:val="none"/>
              </w:rPr>
            </w:pPr>
          </w:p>
        </w:tc>
      </w:tr>
      <w:tr w14:paraId="5DC94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848" w:type="dxa"/>
            <w:gridSpan w:val="5"/>
            <w:tcBorders>
              <w:top w:val="single" w:color="auto" w:sz="4" w:space="0"/>
              <w:left w:val="single" w:color="auto" w:sz="4" w:space="0"/>
              <w:bottom w:val="single" w:color="auto" w:sz="4" w:space="0"/>
              <w:right w:val="single" w:color="auto" w:sz="4" w:space="0"/>
            </w:tcBorders>
            <w:noWrap w:val="0"/>
            <w:vAlign w:val="center"/>
          </w:tcPr>
          <w:p w14:paraId="5B2891A8">
            <w:pPr>
              <w:spacing w:line="360" w:lineRule="auto"/>
              <w:ind w:left="-53" w:leftChars="-25" w:right="-53" w:rightChars="-2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二、现场人员</w:t>
            </w:r>
          </w:p>
        </w:tc>
      </w:tr>
      <w:tr w14:paraId="1E882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tcBorders>
              <w:top w:val="single" w:color="auto" w:sz="4" w:space="0"/>
              <w:left w:val="single" w:color="auto" w:sz="4" w:space="0"/>
              <w:bottom w:val="single" w:color="auto" w:sz="4" w:space="0"/>
              <w:right w:val="single" w:color="auto" w:sz="4" w:space="0"/>
            </w:tcBorders>
            <w:noWrap w:val="0"/>
            <w:vAlign w:val="center"/>
          </w:tcPr>
          <w:p w14:paraId="1E6041B7">
            <w:pPr>
              <w:spacing w:line="360" w:lineRule="auto"/>
              <w:ind w:left="-53" w:leftChars="-25" w:right="-53" w:rightChars="-2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2F7B3EC5">
            <w:pPr>
              <w:spacing w:line="360" w:lineRule="auto"/>
              <w:ind w:left="-53" w:leftChars="-25" w:right="-53" w:rightChars="-25"/>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05ADEBA">
            <w:pPr>
              <w:spacing w:line="360" w:lineRule="auto"/>
              <w:ind w:left="-53" w:leftChars="-25" w:right="-53" w:rightChars="-25"/>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CCF1267">
            <w:pPr>
              <w:spacing w:line="360" w:lineRule="auto"/>
              <w:ind w:left="-53" w:leftChars="-25" w:right="-53" w:rightChars="-25"/>
              <w:rPr>
                <w:rFonts w:hint="eastAsia" w:ascii="宋体" w:hAnsi="宋体" w:eastAsia="宋体" w:cs="宋体"/>
                <w:color w:val="auto"/>
                <w:sz w:val="24"/>
                <w:szCs w:val="24"/>
                <w:highlight w:val="none"/>
              </w:rPr>
            </w:pPr>
          </w:p>
        </w:tc>
        <w:tc>
          <w:tcPr>
            <w:tcW w:w="4102" w:type="dxa"/>
            <w:tcBorders>
              <w:top w:val="single" w:color="auto" w:sz="4" w:space="0"/>
              <w:left w:val="single" w:color="auto" w:sz="4" w:space="0"/>
              <w:bottom w:val="single" w:color="auto" w:sz="4" w:space="0"/>
              <w:right w:val="single" w:color="auto" w:sz="4" w:space="0"/>
            </w:tcBorders>
            <w:noWrap w:val="0"/>
            <w:vAlign w:val="center"/>
          </w:tcPr>
          <w:p w14:paraId="4ADD5E70">
            <w:pPr>
              <w:spacing w:line="360" w:lineRule="auto"/>
              <w:ind w:left="-53" w:leftChars="-25" w:right="-53" w:rightChars="-25"/>
              <w:jc w:val="center"/>
              <w:rPr>
                <w:rFonts w:hint="eastAsia" w:ascii="宋体" w:hAnsi="宋体" w:eastAsia="宋体" w:cs="宋体"/>
                <w:color w:val="auto"/>
                <w:sz w:val="24"/>
                <w:szCs w:val="24"/>
                <w:highlight w:val="none"/>
              </w:rPr>
            </w:pPr>
          </w:p>
        </w:tc>
      </w:tr>
      <w:tr w14:paraId="5B783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tcBorders>
              <w:top w:val="single" w:color="auto" w:sz="4" w:space="0"/>
              <w:left w:val="single" w:color="auto" w:sz="4" w:space="0"/>
              <w:bottom w:val="single" w:color="auto" w:sz="4" w:space="0"/>
              <w:right w:val="single" w:color="auto" w:sz="4" w:space="0"/>
            </w:tcBorders>
            <w:noWrap w:val="0"/>
            <w:vAlign w:val="center"/>
          </w:tcPr>
          <w:p w14:paraId="6D51AA7C">
            <w:pPr>
              <w:spacing w:line="360" w:lineRule="auto"/>
              <w:ind w:left="-53" w:leftChars="-25" w:right="-53" w:rightChars="-2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项目副经理</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0BED8BDC">
            <w:pPr>
              <w:spacing w:line="360" w:lineRule="auto"/>
              <w:ind w:left="-53" w:leftChars="-25" w:right="-53" w:rightChars="-25"/>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7039943">
            <w:pPr>
              <w:spacing w:line="360" w:lineRule="auto"/>
              <w:ind w:left="-53" w:leftChars="-25" w:right="-53" w:rightChars="-25"/>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4390FCE">
            <w:pPr>
              <w:spacing w:line="360" w:lineRule="auto"/>
              <w:ind w:left="-53" w:leftChars="-25" w:right="-53" w:rightChars="-25"/>
              <w:rPr>
                <w:rFonts w:hint="eastAsia" w:ascii="宋体" w:hAnsi="宋体" w:eastAsia="宋体" w:cs="宋体"/>
                <w:color w:val="auto"/>
                <w:sz w:val="24"/>
                <w:szCs w:val="24"/>
                <w:highlight w:val="none"/>
              </w:rPr>
            </w:pPr>
          </w:p>
        </w:tc>
        <w:tc>
          <w:tcPr>
            <w:tcW w:w="4102" w:type="dxa"/>
            <w:tcBorders>
              <w:top w:val="single" w:color="auto" w:sz="4" w:space="0"/>
              <w:left w:val="single" w:color="auto" w:sz="4" w:space="0"/>
              <w:bottom w:val="single" w:color="auto" w:sz="4" w:space="0"/>
              <w:right w:val="single" w:color="auto" w:sz="4" w:space="0"/>
            </w:tcBorders>
            <w:noWrap w:val="0"/>
            <w:vAlign w:val="center"/>
          </w:tcPr>
          <w:p w14:paraId="05FAA297">
            <w:pPr>
              <w:spacing w:line="360" w:lineRule="auto"/>
              <w:ind w:left="-53" w:leftChars="-25" w:right="-53" w:rightChars="-25"/>
              <w:jc w:val="center"/>
              <w:rPr>
                <w:rFonts w:hint="eastAsia" w:ascii="宋体" w:hAnsi="宋体" w:eastAsia="宋体" w:cs="宋体"/>
                <w:color w:val="auto"/>
                <w:sz w:val="24"/>
                <w:szCs w:val="24"/>
                <w:highlight w:val="none"/>
              </w:rPr>
            </w:pPr>
          </w:p>
        </w:tc>
      </w:tr>
      <w:tr w14:paraId="43A46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tcBorders>
              <w:top w:val="single" w:color="auto" w:sz="4" w:space="0"/>
              <w:left w:val="single" w:color="auto" w:sz="4" w:space="0"/>
              <w:bottom w:val="single" w:color="auto" w:sz="4" w:space="0"/>
              <w:right w:val="single" w:color="auto" w:sz="4" w:space="0"/>
            </w:tcBorders>
            <w:noWrap w:val="0"/>
            <w:vAlign w:val="center"/>
          </w:tcPr>
          <w:p w14:paraId="39562AAC">
            <w:pPr>
              <w:spacing w:line="360" w:lineRule="auto"/>
              <w:ind w:left="-53" w:leftChars="-25" w:right="-53" w:rightChars="-2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114E9168">
            <w:pPr>
              <w:spacing w:line="360" w:lineRule="auto"/>
              <w:ind w:left="-53" w:leftChars="-25" w:right="-53" w:rightChars="-25"/>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37B8409">
            <w:pPr>
              <w:spacing w:line="360" w:lineRule="auto"/>
              <w:ind w:left="-53" w:leftChars="-25" w:right="-53" w:rightChars="-25"/>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FAEB2BB">
            <w:pPr>
              <w:spacing w:line="360" w:lineRule="auto"/>
              <w:ind w:left="-53" w:leftChars="-25" w:right="-53" w:rightChars="-25"/>
              <w:rPr>
                <w:rFonts w:hint="eastAsia" w:ascii="宋体" w:hAnsi="宋体" w:eastAsia="宋体" w:cs="宋体"/>
                <w:color w:val="auto"/>
                <w:sz w:val="24"/>
                <w:szCs w:val="24"/>
                <w:highlight w:val="none"/>
              </w:rPr>
            </w:pPr>
          </w:p>
        </w:tc>
        <w:tc>
          <w:tcPr>
            <w:tcW w:w="4102" w:type="dxa"/>
            <w:tcBorders>
              <w:top w:val="single" w:color="auto" w:sz="4" w:space="0"/>
              <w:left w:val="single" w:color="auto" w:sz="4" w:space="0"/>
              <w:bottom w:val="single" w:color="auto" w:sz="4" w:space="0"/>
              <w:right w:val="single" w:color="auto" w:sz="4" w:space="0"/>
            </w:tcBorders>
            <w:noWrap w:val="0"/>
            <w:vAlign w:val="center"/>
          </w:tcPr>
          <w:p w14:paraId="3650D14A">
            <w:pPr>
              <w:spacing w:line="360" w:lineRule="auto"/>
              <w:ind w:left="-53" w:leftChars="-25" w:right="-53" w:rightChars="-25"/>
              <w:jc w:val="center"/>
              <w:rPr>
                <w:rFonts w:hint="eastAsia" w:ascii="宋体" w:hAnsi="宋体" w:eastAsia="宋体" w:cs="宋体"/>
                <w:color w:val="auto"/>
                <w:sz w:val="24"/>
                <w:szCs w:val="24"/>
                <w:highlight w:val="none"/>
              </w:rPr>
            </w:pPr>
          </w:p>
        </w:tc>
      </w:tr>
      <w:tr w14:paraId="7CFCA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tcBorders>
              <w:top w:val="single" w:color="auto" w:sz="4" w:space="0"/>
              <w:left w:val="single" w:color="auto" w:sz="4" w:space="0"/>
              <w:bottom w:val="single" w:color="auto" w:sz="4" w:space="0"/>
              <w:right w:val="single" w:color="auto" w:sz="4" w:space="0"/>
            </w:tcBorders>
            <w:noWrap w:val="0"/>
            <w:vAlign w:val="center"/>
          </w:tcPr>
          <w:p w14:paraId="44353657">
            <w:pPr>
              <w:spacing w:line="360" w:lineRule="auto"/>
              <w:ind w:left="-53" w:leftChars="-25" w:right="-53" w:rightChars="-2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造价管理</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6F65C9F7">
            <w:pPr>
              <w:spacing w:line="360" w:lineRule="auto"/>
              <w:ind w:left="-53" w:leftChars="-25" w:right="-53" w:rightChars="-25"/>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330BB6A">
            <w:pPr>
              <w:spacing w:line="360" w:lineRule="auto"/>
              <w:ind w:left="-53" w:leftChars="-25" w:right="-53" w:rightChars="-25"/>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A78FB25">
            <w:pPr>
              <w:spacing w:line="360" w:lineRule="auto"/>
              <w:ind w:left="-53" w:leftChars="-25" w:right="-53" w:rightChars="-25"/>
              <w:rPr>
                <w:rFonts w:hint="eastAsia" w:ascii="宋体" w:hAnsi="宋体" w:eastAsia="宋体" w:cs="宋体"/>
                <w:color w:val="auto"/>
                <w:sz w:val="24"/>
                <w:szCs w:val="24"/>
                <w:highlight w:val="none"/>
              </w:rPr>
            </w:pPr>
          </w:p>
        </w:tc>
        <w:tc>
          <w:tcPr>
            <w:tcW w:w="4102" w:type="dxa"/>
            <w:tcBorders>
              <w:top w:val="single" w:color="auto" w:sz="4" w:space="0"/>
              <w:left w:val="single" w:color="auto" w:sz="4" w:space="0"/>
              <w:bottom w:val="single" w:color="auto" w:sz="4" w:space="0"/>
              <w:right w:val="single" w:color="auto" w:sz="4" w:space="0"/>
            </w:tcBorders>
            <w:noWrap w:val="0"/>
            <w:vAlign w:val="center"/>
          </w:tcPr>
          <w:p w14:paraId="2B32B958">
            <w:pPr>
              <w:spacing w:line="360" w:lineRule="auto"/>
              <w:ind w:left="-53" w:leftChars="-25" w:right="-53" w:rightChars="-25"/>
              <w:jc w:val="center"/>
              <w:rPr>
                <w:rFonts w:hint="eastAsia" w:ascii="宋体" w:hAnsi="宋体" w:eastAsia="宋体" w:cs="宋体"/>
                <w:color w:val="auto"/>
                <w:sz w:val="24"/>
                <w:szCs w:val="24"/>
                <w:highlight w:val="none"/>
              </w:rPr>
            </w:pPr>
          </w:p>
        </w:tc>
      </w:tr>
      <w:tr w14:paraId="259BA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tcBorders>
              <w:top w:val="single" w:color="auto" w:sz="4" w:space="0"/>
              <w:left w:val="single" w:color="auto" w:sz="4" w:space="0"/>
              <w:bottom w:val="single" w:color="auto" w:sz="4" w:space="0"/>
              <w:right w:val="single" w:color="auto" w:sz="4" w:space="0"/>
            </w:tcBorders>
            <w:noWrap w:val="0"/>
            <w:vAlign w:val="center"/>
          </w:tcPr>
          <w:p w14:paraId="1C378A41">
            <w:pPr>
              <w:spacing w:line="360" w:lineRule="auto"/>
              <w:ind w:left="-53" w:leftChars="-25" w:right="-53" w:rightChars="-2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526617CF">
            <w:pPr>
              <w:spacing w:line="360" w:lineRule="auto"/>
              <w:ind w:left="-53" w:leftChars="-25" w:right="-53" w:rightChars="-25"/>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C271B30">
            <w:pPr>
              <w:spacing w:line="360" w:lineRule="auto"/>
              <w:ind w:left="-53" w:leftChars="-25" w:right="-53" w:rightChars="-25"/>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057E4DB">
            <w:pPr>
              <w:spacing w:line="360" w:lineRule="auto"/>
              <w:ind w:left="-53" w:leftChars="-25" w:right="-53" w:rightChars="-25"/>
              <w:rPr>
                <w:rFonts w:hint="eastAsia" w:ascii="宋体" w:hAnsi="宋体" w:eastAsia="宋体" w:cs="宋体"/>
                <w:color w:val="auto"/>
                <w:sz w:val="24"/>
                <w:szCs w:val="24"/>
                <w:highlight w:val="none"/>
              </w:rPr>
            </w:pPr>
          </w:p>
        </w:tc>
        <w:tc>
          <w:tcPr>
            <w:tcW w:w="4102" w:type="dxa"/>
            <w:tcBorders>
              <w:top w:val="single" w:color="auto" w:sz="4" w:space="0"/>
              <w:left w:val="single" w:color="auto" w:sz="4" w:space="0"/>
              <w:bottom w:val="single" w:color="auto" w:sz="4" w:space="0"/>
              <w:right w:val="single" w:color="auto" w:sz="4" w:space="0"/>
            </w:tcBorders>
            <w:noWrap w:val="0"/>
            <w:vAlign w:val="center"/>
          </w:tcPr>
          <w:p w14:paraId="7FA7C387">
            <w:pPr>
              <w:spacing w:line="360" w:lineRule="auto"/>
              <w:ind w:left="-53" w:leftChars="-25" w:right="-53" w:rightChars="-25"/>
              <w:jc w:val="center"/>
              <w:rPr>
                <w:rFonts w:hint="eastAsia" w:ascii="宋体" w:hAnsi="宋体" w:eastAsia="宋体" w:cs="宋体"/>
                <w:color w:val="auto"/>
                <w:sz w:val="24"/>
                <w:szCs w:val="24"/>
                <w:highlight w:val="none"/>
              </w:rPr>
            </w:pPr>
          </w:p>
        </w:tc>
      </w:tr>
      <w:tr w14:paraId="2CEA2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tcBorders>
              <w:top w:val="single" w:color="auto" w:sz="4" w:space="0"/>
              <w:left w:val="single" w:color="auto" w:sz="4" w:space="0"/>
              <w:bottom w:val="single" w:color="auto" w:sz="4" w:space="0"/>
              <w:right w:val="single" w:color="auto" w:sz="4" w:space="0"/>
            </w:tcBorders>
            <w:noWrap w:val="0"/>
            <w:vAlign w:val="center"/>
          </w:tcPr>
          <w:p w14:paraId="54D2D1C6">
            <w:pPr>
              <w:spacing w:line="360" w:lineRule="auto"/>
              <w:ind w:left="-53" w:leftChars="-25" w:right="-53" w:rightChars="-2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材料管理</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1CF2617F">
            <w:pPr>
              <w:spacing w:line="360" w:lineRule="auto"/>
              <w:ind w:left="-53" w:leftChars="-25" w:right="-53" w:rightChars="-25"/>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F8549EF">
            <w:pPr>
              <w:spacing w:line="360" w:lineRule="auto"/>
              <w:ind w:left="-53" w:leftChars="-25" w:right="-53" w:rightChars="-25"/>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40B4442">
            <w:pPr>
              <w:spacing w:line="360" w:lineRule="auto"/>
              <w:ind w:left="-53" w:leftChars="-25" w:right="-53" w:rightChars="-25"/>
              <w:jc w:val="center"/>
              <w:rPr>
                <w:rFonts w:hint="eastAsia" w:ascii="宋体" w:hAnsi="宋体" w:eastAsia="宋体" w:cs="宋体"/>
                <w:color w:val="auto"/>
                <w:sz w:val="24"/>
                <w:szCs w:val="24"/>
                <w:highlight w:val="none"/>
              </w:rPr>
            </w:pPr>
          </w:p>
        </w:tc>
        <w:tc>
          <w:tcPr>
            <w:tcW w:w="4102" w:type="dxa"/>
            <w:tcBorders>
              <w:top w:val="single" w:color="auto" w:sz="4" w:space="0"/>
              <w:left w:val="single" w:color="auto" w:sz="4" w:space="0"/>
              <w:bottom w:val="single" w:color="auto" w:sz="4" w:space="0"/>
              <w:right w:val="single" w:color="auto" w:sz="4" w:space="0"/>
            </w:tcBorders>
            <w:noWrap w:val="0"/>
            <w:vAlign w:val="center"/>
          </w:tcPr>
          <w:p w14:paraId="154229DC">
            <w:pPr>
              <w:spacing w:line="360" w:lineRule="auto"/>
              <w:ind w:left="-53" w:leftChars="-25" w:right="-53" w:rightChars="-25"/>
              <w:jc w:val="center"/>
              <w:rPr>
                <w:rFonts w:hint="eastAsia" w:ascii="宋体" w:hAnsi="宋体" w:eastAsia="宋体" w:cs="宋体"/>
                <w:color w:val="auto"/>
                <w:sz w:val="24"/>
                <w:szCs w:val="24"/>
                <w:highlight w:val="none"/>
              </w:rPr>
            </w:pPr>
          </w:p>
        </w:tc>
      </w:tr>
      <w:tr w14:paraId="28AE4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tcBorders>
              <w:top w:val="single" w:color="auto" w:sz="4" w:space="0"/>
              <w:left w:val="single" w:color="auto" w:sz="4" w:space="0"/>
              <w:bottom w:val="single" w:color="auto" w:sz="4" w:space="0"/>
              <w:right w:val="single" w:color="auto" w:sz="4" w:space="0"/>
            </w:tcBorders>
            <w:noWrap w:val="0"/>
            <w:vAlign w:val="center"/>
          </w:tcPr>
          <w:p w14:paraId="6426A05D">
            <w:pPr>
              <w:spacing w:line="360" w:lineRule="auto"/>
              <w:ind w:left="-53" w:leftChars="-25" w:right="-53" w:rightChars="-2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计划管理</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4D8F8805">
            <w:pPr>
              <w:spacing w:line="360" w:lineRule="auto"/>
              <w:ind w:left="-53" w:leftChars="-25" w:right="-53" w:rightChars="-25"/>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1C0EAEA">
            <w:pPr>
              <w:spacing w:line="360" w:lineRule="auto"/>
              <w:ind w:left="-53" w:leftChars="-25" w:right="-53" w:rightChars="-25"/>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BC79FFA">
            <w:pPr>
              <w:spacing w:line="360" w:lineRule="auto"/>
              <w:ind w:left="-53" w:leftChars="-25" w:right="-53" w:rightChars="-25"/>
              <w:jc w:val="center"/>
              <w:rPr>
                <w:rFonts w:hint="eastAsia" w:ascii="宋体" w:hAnsi="宋体" w:eastAsia="宋体" w:cs="宋体"/>
                <w:color w:val="auto"/>
                <w:sz w:val="24"/>
                <w:szCs w:val="24"/>
                <w:highlight w:val="none"/>
              </w:rPr>
            </w:pPr>
          </w:p>
        </w:tc>
        <w:tc>
          <w:tcPr>
            <w:tcW w:w="4102" w:type="dxa"/>
            <w:tcBorders>
              <w:top w:val="single" w:color="auto" w:sz="4" w:space="0"/>
              <w:left w:val="single" w:color="auto" w:sz="4" w:space="0"/>
              <w:bottom w:val="single" w:color="auto" w:sz="4" w:space="0"/>
              <w:right w:val="single" w:color="auto" w:sz="4" w:space="0"/>
            </w:tcBorders>
            <w:noWrap w:val="0"/>
            <w:vAlign w:val="center"/>
          </w:tcPr>
          <w:p w14:paraId="44600F55">
            <w:pPr>
              <w:spacing w:line="360" w:lineRule="auto"/>
              <w:ind w:left="-53" w:leftChars="-25" w:right="-53" w:rightChars="-25"/>
              <w:jc w:val="center"/>
              <w:rPr>
                <w:rFonts w:hint="eastAsia" w:ascii="宋体" w:hAnsi="宋体" w:eastAsia="宋体" w:cs="宋体"/>
                <w:color w:val="auto"/>
                <w:sz w:val="24"/>
                <w:szCs w:val="24"/>
                <w:highlight w:val="none"/>
              </w:rPr>
            </w:pPr>
          </w:p>
        </w:tc>
      </w:tr>
      <w:tr w14:paraId="5A49D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tcBorders>
              <w:top w:val="single" w:color="auto" w:sz="4" w:space="0"/>
              <w:left w:val="single" w:color="auto" w:sz="4" w:space="0"/>
              <w:bottom w:val="single" w:color="auto" w:sz="4" w:space="0"/>
              <w:right w:val="single" w:color="auto" w:sz="4" w:space="0"/>
            </w:tcBorders>
            <w:noWrap w:val="0"/>
            <w:vAlign w:val="center"/>
          </w:tcPr>
          <w:p w14:paraId="131433A1">
            <w:pPr>
              <w:spacing w:line="360" w:lineRule="auto"/>
              <w:ind w:left="-53" w:leftChars="-25" w:right="-53" w:rightChars="-2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安全管理</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50F9D48C">
            <w:pPr>
              <w:spacing w:line="360" w:lineRule="auto"/>
              <w:ind w:left="-53" w:leftChars="-25" w:right="-53" w:rightChars="-25"/>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8A76D4D">
            <w:pPr>
              <w:spacing w:line="360" w:lineRule="auto"/>
              <w:ind w:left="-53" w:leftChars="-25" w:right="-53" w:rightChars="-25"/>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CF11280">
            <w:pPr>
              <w:spacing w:line="360" w:lineRule="auto"/>
              <w:ind w:left="-53" w:leftChars="-25" w:right="-53" w:rightChars="-25"/>
              <w:jc w:val="center"/>
              <w:rPr>
                <w:rFonts w:hint="eastAsia" w:ascii="宋体" w:hAnsi="宋体" w:eastAsia="宋体" w:cs="宋体"/>
                <w:color w:val="auto"/>
                <w:sz w:val="24"/>
                <w:szCs w:val="24"/>
                <w:highlight w:val="none"/>
              </w:rPr>
            </w:pPr>
          </w:p>
        </w:tc>
        <w:tc>
          <w:tcPr>
            <w:tcW w:w="4102" w:type="dxa"/>
            <w:tcBorders>
              <w:top w:val="single" w:color="auto" w:sz="4" w:space="0"/>
              <w:left w:val="single" w:color="auto" w:sz="4" w:space="0"/>
              <w:bottom w:val="single" w:color="auto" w:sz="4" w:space="0"/>
              <w:right w:val="single" w:color="auto" w:sz="4" w:space="0"/>
            </w:tcBorders>
            <w:noWrap w:val="0"/>
            <w:vAlign w:val="center"/>
          </w:tcPr>
          <w:p w14:paraId="7DDC1F93">
            <w:pPr>
              <w:spacing w:line="360" w:lineRule="auto"/>
              <w:ind w:left="-53" w:leftChars="-25" w:right="-53" w:rightChars="-25"/>
              <w:jc w:val="center"/>
              <w:rPr>
                <w:rFonts w:hint="eastAsia" w:ascii="宋体" w:hAnsi="宋体" w:eastAsia="宋体" w:cs="宋体"/>
                <w:color w:val="auto"/>
                <w:sz w:val="24"/>
                <w:szCs w:val="24"/>
                <w:highlight w:val="none"/>
              </w:rPr>
            </w:pPr>
          </w:p>
        </w:tc>
      </w:tr>
      <w:tr w14:paraId="2B662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vMerge w:val="restart"/>
            <w:tcBorders>
              <w:top w:val="single" w:color="auto" w:sz="4" w:space="0"/>
              <w:left w:val="single" w:color="auto" w:sz="4" w:space="0"/>
              <w:right w:val="single" w:color="auto" w:sz="4" w:space="0"/>
            </w:tcBorders>
            <w:noWrap w:val="0"/>
            <w:vAlign w:val="center"/>
          </w:tcPr>
          <w:p w14:paraId="3231FDBB">
            <w:pPr>
              <w:spacing w:line="360" w:lineRule="auto"/>
              <w:ind w:left="-53" w:leftChars="-25" w:right="-53" w:rightChars="-2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其他人员</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75F29579">
            <w:pPr>
              <w:spacing w:line="360" w:lineRule="auto"/>
              <w:ind w:left="-53" w:leftChars="-25" w:right="-53" w:rightChars="-25"/>
              <w:jc w:val="center"/>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0802DD9">
            <w:pPr>
              <w:spacing w:line="360" w:lineRule="auto"/>
              <w:ind w:left="-53" w:leftChars="-25" w:right="-53" w:rightChars="-25"/>
              <w:jc w:val="center"/>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0157447">
            <w:pPr>
              <w:spacing w:line="360" w:lineRule="auto"/>
              <w:ind w:left="-53" w:leftChars="-25" w:right="-53" w:rightChars="-25"/>
              <w:jc w:val="center"/>
              <w:rPr>
                <w:rFonts w:hint="eastAsia" w:ascii="宋体" w:hAnsi="宋体" w:eastAsia="宋体" w:cs="宋体"/>
                <w:color w:val="auto"/>
                <w:sz w:val="24"/>
                <w:szCs w:val="24"/>
                <w:highlight w:val="none"/>
              </w:rPr>
            </w:pPr>
          </w:p>
        </w:tc>
        <w:tc>
          <w:tcPr>
            <w:tcW w:w="4102" w:type="dxa"/>
            <w:tcBorders>
              <w:top w:val="single" w:color="auto" w:sz="4" w:space="0"/>
              <w:left w:val="single" w:color="auto" w:sz="4" w:space="0"/>
              <w:bottom w:val="single" w:color="auto" w:sz="4" w:space="0"/>
              <w:right w:val="single" w:color="auto" w:sz="4" w:space="0"/>
            </w:tcBorders>
            <w:noWrap w:val="0"/>
            <w:vAlign w:val="center"/>
          </w:tcPr>
          <w:p w14:paraId="56037D35">
            <w:pPr>
              <w:spacing w:line="360" w:lineRule="auto"/>
              <w:ind w:left="-53" w:leftChars="-25" w:right="-53" w:rightChars="-25"/>
              <w:jc w:val="center"/>
              <w:rPr>
                <w:rFonts w:hint="eastAsia" w:ascii="宋体" w:hAnsi="宋体" w:eastAsia="宋体" w:cs="宋体"/>
                <w:color w:val="auto"/>
                <w:sz w:val="24"/>
                <w:szCs w:val="24"/>
                <w:highlight w:val="none"/>
              </w:rPr>
            </w:pPr>
          </w:p>
        </w:tc>
      </w:tr>
      <w:tr w14:paraId="1C587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vMerge w:val="continue"/>
            <w:tcBorders>
              <w:left w:val="single" w:color="auto" w:sz="4" w:space="0"/>
              <w:bottom w:val="single" w:color="auto" w:sz="4" w:space="0"/>
              <w:right w:val="single" w:color="auto" w:sz="4" w:space="0"/>
            </w:tcBorders>
            <w:noWrap w:val="0"/>
            <w:vAlign w:val="center"/>
          </w:tcPr>
          <w:p w14:paraId="662AFFCD">
            <w:pPr>
              <w:spacing w:line="360" w:lineRule="auto"/>
              <w:ind w:left="-53" w:leftChars="-25" w:right="-53" w:rightChars="-25"/>
              <w:jc w:val="center"/>
              <w:rPr>
                <w:rFonts w:hint="eastAsia" w:ascii="宋体" w:hAnsi="宋体" w:eastAsia="宋体" w:cs="宋体"/>
                <w:color w:val="auto"/>
                <w:sz w:val="24"/>
                <w:szCs w:val="24"/>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20CEDAB1">
            <w:pPr>
              <w:spacing w:line="360" w:lineRule="auto"/>
              <w:ind w:left="-53" w:leftChars="-25" w:right="-53" w:rightChars="-25"/>
              <w:jc w:val="center"/>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1AE10AA">
            <w:pPr>
              <w:spacing w:line="360" w:lineRule="auto"/>
              <w:ind w:left="-53" w:leftChars="-25" w:right="-53" w:rightChars="-25"/>
              <w:jc w:val="center"/>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F953C75">
            <w:pPr>
              <w:spacing w:line="360" w:lineRule="auto"/>
              <w:ind w:left="-53" w:leftChars="-25" w:right="-53" w:rightChars="-25"/>
              <w:jc w:val="center"/>
              <w:rPr>
                <w:rFonts w:hint="eastAsia" w:ascii="宋体" w:hAnsi="宋体" w:eastAsia="宋体" w:cs="宋体"/>
                <w:color w:val="auto"/>
                <w:sz w:val="24"/>
                <w:szCs w:val="24"/>
                <w:highlight w:val="none"/>
              </w:rPr>
            </w:pPr>
          </w:p>
        </w:tc>
        <w:tc>
          <w:tcPr>
            <w:tcW w:w="4102" w:type="dxa"/>
            <w:tcBorders>
              <w:top w:val="single" w:color="auto" w:sz="4" w:space="0"/>
              <w:left w:val="single" w:color="auto" w:sz="4" w:space="0"/>
              <w:bottom w:val="single" w:color="auto" w:sz="4" w:space="0"/>
              <w:right w:val="single" w:color="auto" w:sz="4" w:space="0"/>
            </w:tcBorders>
            <w:noWrap w:val="0"/>
            <w:vAlign w:val="center"/>
          </w:tcPr>
          <w:p w14:paraId="566C28C5">
            <w:pPr>
              <w:spacing w:line="360" w:lineRule="auto"/>
              <w:ind w:left="-53" w:leftChars="-25" w:right="-53" w:rightChars="-25"/>
              <w:jc w:val="center"/>
              <w:rPr>
                <w:rFonts w:hint="eastAsia" w:ascii="宋体" w:hAnsi="宋体" w:eastAsia="宋体" w:cs="宋体"/>
                <w:color w:val="auto"/>
                <w:sz w:val="24"/>
                <w:szCs w:val="24"/>
                <w:highlight w:val="none"/>
              </w:rPr>
            </w:pPr>
          </w:p>
        </w:tc>
      </w:tr>
    </w:tbl>
    <w:p w14:paraId="646B16AA">
      <w:pPr>
        <w:spacing w:line="360" w:lineRule="auto"/>
        <w:rPr>
          <w:rFonts w:hint="eastAsia" w:ascii="宋体" w:hAnsi="宋体" w:eastAsia="宋体" w:cs="宋体"/>
          <w:color w:val="auto"/>
          <w:sz w:val="24"/>
          <w:szCs w:val="24"/>
          <w:highlight w:val="none"/>
        </w:rPr>
      </w:pPr>
    </w:p>
    <w:p w14:paraId="46941FC3">
      <w:pPr>
        <w:spacing w:line="360" w:lineRule="auto"/>
        <w:rPr>
          <w:rFonts w:hint="eastAsia" w:ascii="宋体" w:hAnsi="宋体" w:eastAsia="宋体" w:cs="宋体"/>
          <w:color w:val="auto"/>
          <w:sz w:val="24"/>
          <w:szCs w:val="24"/>
          <w:highlight w:val="none"/>
        </w:rPr>
      </w:pPr>
    </w:p>
    <w:p w14:paraId="3DC35AB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附件：7</w:t>
      </w:r>
    </w:p>
    <w:p w14:paraId="16A4352C">
      <w:pPr>
        <w:spacing w:line="360" w:lineRule="auto"/>
        <w:rPr>
          <w:rFonts w:hint="eastAsia" w:ascii="宋体" w:hAnsi="宋体" w:eastAsia="宋体" w:cs="宋体"/>
          <w:color w:val="auto"/>
          <w:sz w:val="24"/>
          <w:szCs w:val="24"/>
          <w:highlight w:val="none"/>
        </w:rPr>
      </w:pPr>
    </w:p>
    <w:p w14:paraId="6FC12B18">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分包人主要施工管理人员表</w:t>
      </w:r>
    </w:p>
    <w:p w14:paraId="09F5BD21">
      <w:pPr>
        <w:spacing w:line="360" w:lineRule="auto"/>
        <w:rPr>
          <w:rFonts w:hint="eastAsia" w:ascii="宋体" w:hAnsi="宋体" w:eastAsia="宋体" w:cs="宋体"/>
          <w:color w:val="auto"/>
          <w:sz w:val="24"/>
          <w:szCs w:val="24"/>
          <w:highlight w:val="none"/>
        </w:rPr>
      </w:pPr>
    </w:p>
    <w:tbl>
      <w:tblPr>
        <w:tblStyle w:val="62"/>
        <w:tblW w:w="8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31"/>
        <w:gridCol w:w="1231"/>
        <w:gridCol w:w="1134"/>
        <w:gridCol w:w="1134"/>
        <w:gridCol w:w="3892"/>
      </w:tblGrid>
      <w:tr w14:paraId="32880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431" w:type="dxa"/>
            <w:tcBorders>
              <w:top w:val="single" w:color="auto" w:sz="4" w:space="0"/>
              <w:left w:val="single" w:color="auto" w:sz="4" w:space="0"/>
              <w:bottom w:val="single" w:color="auto" w:sz="4" w:space="0"/>
              <w:right w:val="single" w:color="auto" w:sz="4" w:space="0"/>
            </w:tcBorders>
            <w:noWrap w:val="0"/>
            <w:vAlign w:val="center"/>
          </w:tcPr>
          <w:p w14:paraId="06D213E1">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名称</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4EF266F0">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姓名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68BA070">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职务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F5CEED6">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职称</w:t>
            </w:r>
          </w:p>
        </w:tc>
        <w:tc>
          <w:tcPr>
            <w:tcW w:w="3892" w:type="dxa"/>
            <w:tcBorders>
              <w:top w:val="single" w:color="auto" w:sz="4" w:space="0"/>
              <w:left w:val="single" w:color="auto" w:sz="4" w:space="0"/>
              <w:bottom w:val="single" w:color="auto" w:sz="4" w:space="0"/>
              <w:right w:val="single" w:color="auto" w:sz="4" w:space="0"/>
            </w:tcBorders>
            <w:noWrap w:val="0"/>
            <w:vAlign w:val="center"/>
          </w:tcPr>
          <w:p w14:paraId="2BCCAC78">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主要资历、经验及承担过的项目</w:t>
            </w:r>
          </w:p>
        </w:tc>
      </w:tr>
      <w:tr w14:paraId="3C6B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8822" w:type="dxa"/>
            <w:gridSpan w:val="5"/>
            <w:tcBorders>
              <w:top w:val="single" w:color="auto" w:sz="4" w:space="0"/>
              <w:left w:val="single" w:color="auto" w:sz="4" w:space="0"/>
              <w:bottom w:val="single" w:color="auto" w:sz="4" w:space="0"/>
              <w:right w:val="single" w:color="auto" w:sz="4" w:space="0"/>
            </w:tcBorders>
            <w:noWrap w:val="0"/>
            <w:vAlign w:val="center"/>
          </w:tcPr>
          <w:p w14:paraId="1A22C03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一、总部人员</w:t>
            </w:r>
          </w:p>
        </w:tc>
      </w:tr>
      <w:tr w14:paraId="55C54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431" w:type="dxa"/>
            <w:tcBorders>
              <w:top w:val="single" w:color="auto" w:sz="4" w:space="0"/>
              <w:left w:val="single" w:color="auto" w:sz="4" w:space="0"/>
              <w:bottom w:val="single" w:color="auto" w:sz="4" w:space="0"/>
              <w:right w:val="single" w:color="auto" w:sz="4" w:space="0"/>
            </w:tcBorders>
            <w:noWrap w:val="0"/>
            <w:vAlign w:val="center"/>
          </w:tcPr>
          <w:p w14:paraId="071BD2C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项目主管</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6C7CB9F3">
            <w:pPr>
              <w:spacing w:line="360" w:lineRule="auto"/>
              <w:jc w:val="center"/>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8830BDB">
            <w:pPr>
              <w:spacing w:line="360" w:lineRule="auto"/>
              <w:jc w:val="center"/>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655709F">
            <w:pPr>
              <w:spacing w:line="360" w:lineRule="auto"/>
              <w:jc w:val="center"/>
              <w:rPr>
                <w:rFonts w:hint="eastAsia" w:ascii="宋体" w:hAnsi="宋体" w:eastAsia="宋体" w:cs="宋体"/>
                <w:color w:val="auto"/>
                <w:sz w:val="24"/>
                <w:szCs w:val="24"/>
                <w:highlight w:val="none"/>
              </w:rPr>
            </w:pPr>
          </w:p>
        </w:tc>
        <w:tc>
          <w:tcPr>
            <w:tcW w:w="3892" w:type="dxa"/>
            <w:tcBorders>
              <w:top w:val="single" w:color="auto" w:sz="4" w:space="0"/>
              <w:left w:val="single" w:color="auto" w:sz="4" w:space="0"/>
              <w:bottom w:val="single" w:color="auto" w:sz="4" w:space="0"/>
              <w:right w:val="single" w:color="auto" w:sz="4" w:space="0"/>
            </w:tcBorders>
            <w:noWrap w:val="0"/>
            <w:vAlign w:val="center"/>
          </w:tcPr>
          <w:p w14:paraId="268A6E99">
            <w:pPr>
              <w:spacing w:line="360" w:lineRule="auto"/>
              <w:jc w:val="center"/>
              <w:rPr>
                <w:rFonts w:hint="eastAsia" w:ascii="宋体" w:hAnsi="宋体" w:eastAsia="宋体" w:cs="宋体"/>
                <w:color w:val="auto"/>
                <w:sz w:val="24"/>
                <w:szCs w:val="24"/>
                <w:highlight w:val="none"/>
              </w:rPr>
            </w:pPr>
          </w:p>
        </w:tc>
      </w:tr>
      <w:tr w14:paraId="37E1A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431" w:type="dxa"/>
            <w:vMerge w:val="restart"/>
            <w:tcBorders>
              <w:top w:val="single" w:color="auto" w:sz="4" w:space="0"/>
              <w:left w:val="single" w:color="auto" w:sz="4" w:space="0"/>
              <w:right w:val="single" w:color="auto" w:sz="4" w:space="0"/>
            </w:tcBorders>
            <w:noWrap w:val="0"/>
            <w:vAlign w:val="center"/>
          </w:tcPr>
          <w:p w14:paraId="48A79E1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其他人员</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1A258660">
            <w:pPr>
              <w:spacing w:line="360" w:lineRule="auto"/>
              <w:jc w:val="center"/>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EBDAF73">
            <w:pPr>
              <w:spacing w:line="360" w:lineRule="auto"/>
              <w:jc w:val="center"/>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CEEFCA2">
            <w:pPr>
              <w:spacing w:line="360" w:lineRule="auto"/>
              <w:jc w:val="center"/>
              <w:rPr>
                <w:rFonts w:hint="eastAsia" w:ascii="宋体" w:hAnsi="宋体" w:eastAsia="宋体" w:cs="宋体"/>
                <w:color w:val="auto"/>
                <w:sz w:val="24"/>
                <w:szCs w:val="24"/>
                <w:highlight w:val="none"/>
              </w:rPr>
            </w:pPr>
          </w:p>
        </w:tc>
        <w:tc>
          <w:tcPr>
            <w:tcW w:w="3892" w:type="dxa"/>
            <w:tcBorders>
              <w:top w:val="single" w:color="auto" w:sz="4" w:space="0"/>
              <w:left w:val="single" w:color="auto" w:sz="4" w:space="0"/>
              <w:bottom w:val="single" w:color="auto" w:sz="4" w:space="0"/>
              <w:right w:val="single" w:color="auto" w:sz="4" w:space="0"/>
            </w:tcBorders>
            <w:noWrap w:val="0"/>
            <w:vAlign w:val="center"/>
          </w:tcPr>
          <w:p w14:paraId="64CA1EE6">
            <w:pPr>
              <w:spacing w:line="360" w:lineRule="auto"/>
              <w:jc w:val="center"/>
              <w:rPr>
                <w:rFonts w:hint="eastAsia" w:ascii="宋体" w:hAnsi="宋体" w:eastAsia="宋体" w:cs="宋体"/>
                <w:color w:val="auto"/>
                <w:sz w:val="24"/>
                <w:szCs w:val="24"/>
                <w:highlight w:val="none"/>
              </w:rPr>
            </w:pPr>
          </w:p>
        </w:tc>
      </w:tr>
      <w:tr w14:paraId="2D2EC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431" w:type="dxa"/>
            <w:vMerge w:val="continue"/>
            <w:tcBorders>
              <w:left w:val="single" w:color="auto" w:sz="4" w:space="0"/>
              <w:right w:val="single" w:color="auto" w:sz="4" w:space="0"/>
            </w:tcBorders>
            <w:noWrap w:val="0"/>
            <w:vAlign w:val="center"/>
          </w:tcPr>
          <w:p w14:paraId="4A6B378E">
            <w:pPr>
              <w:spacing w:line="360" w:lineRule="auto"/>
              <w:jc w:val="center"/>
              <w:rPr>
                <w:rFonts w:hint="eastAsia" w:ascii="宋体" w:hAnsi="宋体" w:eastAsia="宋体" w:cs="宋体"/>
                <w:color w:val="auto"/>
                <w:sz w:val="24"/>
                <w:szCs w:val="24"/>
                <w:highlight w:val="none"/>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26F6A334">
            <w:pPr>
              <w:spacing w:line="360" w:lineRule="auto"/>
              <w:jc w:val="center"/>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07113D4">
            <w:pPr>
              <w:spacing w:line="360" w:lineRule="auto"/>
              <w:jc w:val="center"/>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C2B6548">
            <w:pPr>
              <w:spacing w:line="360" w:lineRule="auto"/>
              <w:jc w:val="center"/>
              <w:rPr>
                <w:rFonts w:hint="eastAsia" w:ascii="宋体" w:hAnsi="宋体" w:eastAsia="宋体" w:cs="宋体"/>
                <w:color w:val="auto"/>
                <w:sz w:val="24"/>
                <w:szCs w:val="24"/>
                <w:highlight w:val="none"/>
              </w:rPr>
            </w:pPr>
          </w:p>
        </w:tc>
        <w:tc>
          <w:tcPr>
            <w:tcW w:w="3892" w:type="dxa"/>
            <w:tcBorders>
              <w:top w:val="single" w:color="auto" w:sz="4" w:space="0"/>
              <w:left w:val="single" w:color="auto" w:sz="4" w:space="0"/>
              <w:bottom w:val="single" w:color="auto" w:sz="4" w:space="0"/>
              <w:right w:val="single" w:color="auto" w:sz="4" w:space="0"/>
            </w:tcBorders>
            <w:noWrap w:val="0"/>
            <w:vAlign w:val="center"/>
          </w:tcPr>
          <w:p w14:paraId="3A911644">
            <w:pPr>
              <w:spacing w:line="360" w:lineRule="auto"/>
              <w:jc w:val="center"/>
              <w:rPr>
                <w:rFonts w:hint="eastAsia" w:ascii="宋体" w:hAnsi="宋体" w:eastAsia="宋体" w:cs="宋体"/>
                <w:color w:val="auto"/>
                <w:sz w:val="24"/>
                <w:szCs w:val="24"/>
                <w:highlight w:val="none"/>
              </w:rPr>
            </w:pPr>
          </w:p>
        </w:tc>
      </w:tr>
      <w:tr w14:paraId="720C3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431" w:type="dxa"/>
            <w:vMerge w:val="continue"/>
            <w:tcBorders>
              <w:left w:val="single" w:color="auto" w:sz="4" w:space="0"/>
              <w:bottom w:val="single" w:color="auto" w:sz="4" w:space="0"/>
              <w:right w:val="single" w:color="auto" w:sz="4" w:space="0"/>
            </w:tcBorders>
            <w:noWrap w:val="0"/>
            <w:vAlign w:val="center"/>
          </w:tcPr>
          <w:p w14:paraId="3B259967">
            <w:pPr>
              <w:spacing w:line="360" w:lineRule="auto"/>
              <w:jc w:val="center"/>
              <w:rPr>
                <w:rFonts w:hint="eastAsia" w:ascii="宋体" w:hAnsi="宋体" w:eastAsia="宋体" w:cs="宋体"/>
                <w:color w:val="auto"/>
                <w:sz w:val="24"/>
                <w:szCs w:val="24"/>
                <w:highlight w:val="none"/>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0A6497AD">
            <w:pPr>
              <w:spacing w:line="360" w:lineRule="auto"/>
              <w:jc w:val="center"/>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D0DD993">
            <w:pPr>
              <w:spacing w:line="360" w:lineRule="auto"/>
              <w:jc w:val="center"/>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70C05AF">
            <w:pPr>
              <w:spacing w:line="360" w:lineRule="auto"/>
              <w:jc w:val="center"/>
              <w:rPr>
                <w:rFonts w:hint="eastAsia" w:ascii="宋体" w:hAnsi="宋体" w:eastAsia="宋体" w:cs="宋体"/>
                <w:color w:val="auto"/>
                <w:sz w:val="24"/>
                <w:szCs w:val="24"/>
                <w:highlight w:val="none"/>
              </w:rPr>
            </w:pPr>
          </w:p>
        </w:tc>
        <w:tc>
          <w:tcPr>
            <w:tcW w:w="3892" w:type="dxa"/>
            <w:tcBorders>
              <w:top w:val="single" w:color="auto" w:sz="4" w:space="0"/>
              <w:left w:val="single" w:color="auto" w:sz="4" w:space="0"/>
              <w:bottom w:val="single" w:color="auto" w:sz="4" w:space="0"/>
              <w:right w:val="single" w:color="auto" w:sz="4" w:space="0"/>
            </w:tcBorders>
            <w:noWrap w:val="0"/>
            <w:vAlign w:val="center"/>
          </w:tcPr>
          <w:p w14:paraId="43A3362C">
            <w:pPr>
              <w:spacing w:line="360" w:lineRule="auto"/>
              <w:jc w:val="center"/>
              <w:rPr>
                <w:rFonts w:hint="eastAsia" w:ascii="宋体" w:hAnsi="宋体" w:eastAsia="宋体" w:cs="宋体"/>
                <w:color w:val="auto"/>
                <w:sz w:val="24"/>
                <w:szCs w:val="24"/>
                <w:highlight w:val="none"/>
              </w:rPr>
            </w:pPr>
          </w:p>
        </w:tc>
      </w:tr>
      <w:tr w14:paraId="7DD6E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8822" w:type="dxa"/>
            <w:gridSpan w:val="5"/>
            <w:tcBorders>
              <w:top w:val="single" w:color="auto" w:sz="4" w:space="0"/>
              <w:left w:val="single" w:color="auto" w:sz="4" w:space="0"/>
              <w:bottom w:val="single" w:color="auto" w:sz="4" w:space="0"/>
              <w:right w:val="single" w:color="auto" w:sz="4" w:space="0"/>
            </w:tcBorders>
            <w:noWrap w:val="0"/>
            <w:vAlign w:val="center"/>
          </w:tcPr>
          <w:p w14:paraId="4AA3B9F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二、现场人员</w:t>
            </w:r>
          </w:p>
        </w:tc>
      </w:tr>
      <w:tr w14:paraId="58394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431" w:type="dxa"/>
            <w:tcBorders>
              <w:top w:val="single" w:color="auto" w:sz="4" w:space="0"/>
              <w:left w:val="single" w:color="auto" w:sz="4" w:space="0"/>
              <w:bottom w:val="single" w:color="auto" w:sz="4" w:space="0"/>
              <w:right w:val="single" w:color="auto" w:sz="4" w:space="0"/>
            </w:tcBorders>
            <w:noWrap w:val="0"/>
            <w:vAlign w:val="center"/>
          </w:tcPr>
          <w:p w14:paraId="6909803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34AF021F">
            <w:pPr>
              <w:spacing w:line="360" w:lineRule="auto"/>
              <w:jc w:val="center"/>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D61AD83">
            <w:pPr>
              <w:spacing w:line="360" w:lineRule="auto"/>
              <w:jc w:val="center"/>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B925882">
            <w:pPr>
              <w:spacing w:line="360" w:lineRule="auto"/>
              <w:jc w:val="center"/>
              <w:rPr>
                <w:rFonts w:hint="eastAsia" w:ascii="宋体" w:hAnsi="宋体" w:eastAsia="宋体" w:cs="宋体"/>
                <w:color w:val="auto"/>
                <w:sz w:val="24"/>
                <w:szCs w:val="24"/>
                <w:highlight w:val="none"/>
              </w:rPr>
            </w:pPr>
          </w:p>
        </w:tc>
        <w:tc>
          <w:tcPr>
            <w:tcW w:w="3892" w:type="dxa"/>
            <w:tcBorders>
              <w:top w:val="single" w:color="auto" w:sz="4" w:space="0"/>
              <w:left w:val="single" w:color="auto" w:sz="4" w:space="0"/>
              <w:bottom w:val="single" w:color="auto" w:sz="4" w:space="0"/>
              <w:right w:val="single" w:color="auto" w:sz="4" w:space="0"/>
            </w:tcBorders>
            <w:noWrap w:val="0"/>
            <w:vAlign w:val="center"/>
          </w:tcPr>
          <w:p w14:paraId="134FB719">
            <w:pPr>
              <w:spacing w:line="360" w:lineRule="auto"/>
              <w:jc w:val="center"/>
              <w:rPr>
                <w:rFonts w:hint="eastAsia" w:ascii="宋体" w:hAnsi="宋体" w:eastAsia="宋体" w:cs="宋体"/>
                <w:color w:val="auto"/>
                <w:sz w:val="24"/>
                <w:szCs w:val="24"/>
                <w:highlight w:val="none"/>
              </w:rPr>
            </w:pPr>
          </w:p>
        </w:tc>
      </w:tr>
      <w:tr w14:paraId="2324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431" w:type="dxa"/>
            <w:tcBorders>
              <w:top w:val="single" w:color="auto" w:sz="4" w:space="0"/>
              <w:left w:val="single" w:color="auto" w:sz="4" w:space="0"/>
              <w:bottom w:val="single" w:color="auto" w:sz="4" w:space="0"/>
              <w:right w:val="single" w:color="auto" w:sz="4" w:space="0"/>
            </w:tcBorders>
            <w:noWrap w:val="0"/>
            <w:vAlign w:val="center"/>
          </w:tcPr>
          <w:p w14:paraId="57306B0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项目副经理</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07A5FCE0">
            <w:pPr>
              <w:spacing w:line="360" w:lineRule="auto"/>
              <w:jc w:val="center"/>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AA21A84">
            <w:pPr>
              <w:spacing w:line="360" w:lineRule="auto"/>
              <w:jc w:val="center"/>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83E8979">
            <w:pPr>
              <w:spacing w:line="360" w:lineRule="auto"/>
              <w:jc w:val="center"/>
              <w:rPr>
                <w:rFonts w:hint="eastAsia" w:ascii="宋体" w:hAnsi="宋体" w:eastAsia="宋体" w:cs="宋体"/>
                <w:color w:val="auto"/>
                <w:sz w:val="24"/>
                <w:szCs w:val="24"/>
                <w:highlight w:val="none"/>
              </w:rPr>
            </w:pPr>
          </w:p>
        </w:tc>
        <w:tc>
          <w:tcPr>
            <w:tcW w:w="3892" w:type="dxa"/>
            <w:tcBorders>
              <w:top w:val="single" w:color="auto" w:sz="4" w:space="0"/>
              <w:left w:val="single" w:color="auto" w:sz="4" w:space="0"/>
              <w:bottom w:val="single" w:color="auto" w:sz="4" w:space="0"/>
              <w:right w:val="single" w:color="auto" w:sz="4" w:space="0"/>
            </w:tcBorders>
            <w:noWrap w:val="0"/>
            <w:vAlign w:val="center"/>
          </w:tcPr>
          <w:p w14:paraId="32D7F89E">
            <w:pPr>
              <w:spacing w:line="360" w:lineRule="auto"/>
              <w:jc w:val="center"/>
              <w:rPr>
                <w:rFonts w:hint="eastAsia" w:ascii="宋体" w:hAnsi="宋体" w:eastAsia="宋体" w:cs="宋体"/>
                <w:color w:val="auto"/>
                <w:sz w:val="24"/>
                <w:szCs w:val="24"/>
                <w:highlight w:val="none"/>
              </w:rPr>
            </w:pPr>
          </w:p>
        </w:tc>
      </w:tr>
      <w:tr w14:paraId="2BAE5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431" w:type="dxa"/>
            <w:tcBorders>
              <w:top w:val="single" w:color="auto" w:sz="4" w:space="0"/>
              <w:left w:val="single" w:color="auto" w:sz="4" w:space="0"/>
              <w:bottom w:val="single" w:color="auto" w:sz="4" w:space="0"/>
              <w:right w:val="single" w:color="auto" w:sz="4" w:space="0"/>
            </w:tcBorders>
            <w:noWrap w:val="0"/>
            <w:vAlign w:val="center"/>
          </w:tcPr>
          <w:p w14:paraId="15ED70C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59AC5560">
            <w:pPr>
              <w:spacing w:line="360" w:lineRule="auto"/>
              <w:jc w:val="center"/>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923FF54">
            <w:pPr>
              <w:spacing w:line="360" w:lineRule="auto"/>
              <w:jc w:val="center"/>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750D960">
            <w:pPr>
              <w:spacing w:line="360" w:lineRule="auto"/>
              <w:jc w:val="center"/>
              <w:rPr>
                <w:rFonts w:hint="eastAsia" w:ascii="宋体" w:hAnsi="宋体" w:eastAsia="宋体" w:cs="宋体"/>
                <w:color w:val="auto"/>
                <w:sz w:val="24"/>
                <w:szCs w:val="24"/>
                <w:highlight w:val="none"/>
              </w:rPr>
            </w:pPr>
          </w:p>
        </w:tc>
        <w:tc>
          <w:tcPr>
            <w:tcW w:w="3892" w:type="dxa"/>
            <w:tcBorders>
              <w:top w:val="single" w:color="auto" w:sz="4" w:space="0"/>
              <w:left w:val="single" w:color="auto" w:sz="4" w:space="0"/>
              <w:bottom w:val="single" w:color="auto" w:sz="4" w:space="0"/>
              <w:right w:val="single" w:color="auto" w:sz="4" w:space="0"/>
            </w:tcBorders>
            <w:noWrap w:val="0"/>
            <w:vAlign w:val="center"/>
          </w:tcPr>
          <w:p w14:paraId="36F986FC">
            <w:pPr>
              <w:spacing w:line="360" w:lineRule="auto"/>
              <w:jc w:val="center"/>
              <w:rPr>
                <w:rFonts w:hint="eastAsia" w:ascii="宋体" w:hAnsi="宋体" w:eastAsia="宋体" w:cs="宋体"/>
                <w:color w:val="auto"/>
                <w:sz w:val="24"/>
                <w:szCs w:val="24"/>
                <w:highlight w:val="none"/>
              </w:rPr>
            </w:pPr>
          </w:p>
        </w:tc>
      </w:tr>
      <w:tr w14:paraId="6C75B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431" w:type="dxa"/>
            <w:tcBorders>
              <w:top w:val="single" w:color="auto" w:sz="4" w:space="0"/>
              <w:left w:val="single" w:color="auto" w:sz="4" w:space="0"/>
              <w:bottom w:val="single" w:color="auto" w:sz="4" w:space="0"/>
              <w:right w:val="single" w:color="auto" w:sz="4" w:space="0"/>
            </w:tcBorders>
            <w:noWrap w:val="0"/>
            <w:vAlign w:val="center"/>
          </w:tcPr>
          <w:p w14:paraId="7FB68B2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造价管理</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0376FEB3">
            <w:pPr>
              <w:spacing w:line="360" w:lineRule="auto"/>
              <w:jc w:val="center"/>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6716CA2">
            <w:pPr>
              <w:spacing w:line="360" w:lineRule="auto"/>
              <w:jc w:val="center"/>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434CB81">
            <w:pPr>
              <w:spacing w:line="360" w:lineRule="auto"/>
              <w:jc w:val="center"/>
              <w:rPr>
                <w:rFonts w:hint="eastAsia" w:ascii="宋体" w:hAnsi="宋体" w:eastAsia="宋体" w:cs="宋体"/>
                <w:color w:val="auto"/>
                <w:sz w:val="24"/>
                <w:szCs w:val="24"/>
                <w:highlight w:val="none"/>
              </w:rPr>
            </w:pPr>
          </w:p>
        </w:tc>
        <w:tc>
          <w:tcPr>
            <w:tcW w:w="3892" w:type="dxa"/>
            <w:tcBorders>
              <w:top w:val="single" w:color="auto" w:sz="4" w:space="0"/>
              <w:left w:val="single" w:color="auto" w:sz="4" w:space="0"/>
              <w:bottom w:val="single" w:color="auto" w:sz="4" w:space="0"/>
              <w:right w:val="single" w:color="auto" w:sz="4" w:space="0"/>
            </w:tcBorders>
            <w:noWrap w:val="0"/>
            <w:vAlign w:val="center"/>
          </w:tcPr>
          <w:p w14:paraId="4CCEBE0A">
            <w:pPr>
              <w:spacing w:line="360" w:lineRule="auto"/>
              <w:jc w:val="center"/>
              <w:rPr>
                <w:rFonts w:hint="eastAsia" w:ascii="宋体" w:hAnsi="宋体" w:eastAsia="宋体" w:cs="宋体"/>
                <w:color w:val="auto"/>
                <w:sz w:val="24"/>
                <w:szCs w:val="24"/>
                <w:highlight w:val="none"/>
              </w:rPr>
            </w:pPr>
          </w:p>
        </w:tc>
      </w:tr>
      <w:tr w14:paraId="37621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431" w:type="dxa"/>
            <w:tcBorders>
              <w:top w:val="single" w:color="auto" w:sz="4" w:space="0"/>
              <w:left w:val="single" w:color="auto" w:sz="4" w:space="0"/>
              <w:bottom w:val="single" w:color="auto" w:sz="4" w:space="0"/>
              <w:right w:val="single" w:color="auto" w:sz="4" w:space="0"/>
            </w:tcBorders>
            <w:noWrap w:val="0"/>
            <w:vAlign w:val="center"/>
          </w:tcPr>
          <w:p w14:paraId="007821B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7EB06799">
            <w:pPr>
              <w:spacing w:line="360" w:lineRule="auto"/>
              <w:jc w:val="center"/>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743F9A5">
            <w:pPr>
              <w:spacing w:line="360" w:lineRule="auto"/>
              <w:jc w:val="center"/>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A7E283B">
            <w:pPr>
              <w:spacing w:line="360" w:lineRule="auto"/>
              <w:jc w:val="center"/>
              <w:rPr>
                <w:rFonts w:hint="eastAsia" w:ascii="宋体" w:hAnsi="宋体" w:eastAsia="宋体" w:cs="宋体"/>
                <w:color w:val="auto"/>
                <w:sz w:val="24"/>
                <w:szCs w:val="24"/>
                <w:highlight w:val="none"/>
              </w:rPr>
            </w:pPr>
          </w:p>
        </w:tc>
        <w:tc>
          <w:tcPr>
            <w:tcW w:w="3892" w:type="dxa"/>
            <w:tcBorders>
              <w:top w:val="single" w:color="auto" w:sz="4" w:space="0"/>
              <w:left w:val="single" w:color="auto" w:sz="4" w:space="0"/>
              <w:bottom w:val="single" w:color="auto" w:sz="4" w:space="0"/>
              <w:right w:val="single" w:color="auto" w:sz="4" w:space="0"/>
            </w:tcBorders>
            <w:noWrap w:val="0"/>
            <w:vAlign w:val="center"/>
          </w:tcPr>
          <w:p w14:paraId="2330E94B">
            <w:pPr>
              <w:spacing w:line="360" w:lineRule="auto"/>
              <w:jc w:val="center"/>
              <w:rPr>
                <w:rFonts w:hint="eastAsia" w:ascii="宋体" w:hAnsi="宋体" w:eastAsia="宋体" w:cs="宋体"/>
                <w:color w:val="auto"/>
                <w:sz w:val="24"/>
                <w:szCs w:val="24"/>
                <w:highlight w:val="none"/>
              </w:rPr>
            </w:pPr>
          </w:p>
        </w:tc>
      </w:tr>
      <w:tr w14:paraId="301EF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431" w:type="dxa"/>
            <w:tcBorders>
              <w:top w:val="single" w:color="auto" w:sz="4" w:space="0"/>
              <w:left w:val="single" w:color="auto" w:sz="4" w:space="0"/>
              <w:bottom w:val="single" w:color="auto" w:sz="4" w:space="0"/>
              <w:right w:val="single" w:color="auto" w:sz="4" w:space="0"/>
            </w:tcBorders>
            <w:noWrap w:val="0"/>
            <w:vAlign w:val="center"/>
          </w:tcPr>
          <w:p w14:paraId="38F3F91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材料管理</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1AEF6ADA">
            <w:pPr>
              <w:spacing w:line="360" w:lineRule="auto"/>
              <w:jc w:val="center"/>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67AD875">
            <w:pPr>
              <w:spacing w:line="360" w:lineRule="auto"/>
              <w:jc w:val="center"/>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4A81F43">
            <w:pPr>
              <w:spacing w:line="360" w:lineRule="auto"/>
              <w:jc w:val="center"/>
              <w:rPr>
                <w:rFonts w:hint="eastAsia" w:ascii="宋体" w:hAnsi="宋体" w:eastAsia="宋体" w:cs="宋体"/>
                <w:color w:val="auto"/>
                <w:sz w:val="24"/>
                <w:szCs w:val="24"/>
                <w:highlight w:val="none"/>
              </w:rPr>
            </w:pPr>
          </w:p>
        </w:tc>
        <w:tc>
          <w:tcPr>
            <w:tcW w:w="3892" w:type="dxa"/>
            <w:tcBorders>
              <w:top w:val="single" w:color="auto" w:sz="4" w:space="0"/>
              <w:left w:val="single" w:color="auto" w:sz="4" w:space="0"/>
              <w:bottom w:val="single" w:color="auto" w:sz="4" w:space="0"/>
              <w:right w:val="single" w:color="auto" w:sz="4" w:space="0"/>
            </w:tcBorders>
            <w:noWrap w:val="0"/>
            <w:vAlign w:val="center"/>
          </w:tcPr>
          <w:p w14:paraId="0C7C0112">
            <w:pPr>
              <w:spacing w:line="360" w:lineRule="auto"/>
              <w:jc w:val="center"/>
              <w:rPr>
                <w:rFonts w:hint="eastAsia" w:ascii="宋体" w:hAnsi="宋体" w:eastAsia="宋体" w:cs="宋体"/>
                <w:color w:val="auto"/>
                <w:sz w:val="24"/>
                <w:szCs w:val="24"/>
                <w:highlight w:val="none"/>
              </w:rPr>
            </w:pPr>
          </w:p>
        </w:tc>
      </w:tr>
      <w:tr w14:paraId="32DE7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431" w:type="dxa"/>
            <w:tcBorders>
              <w:top w:val="single" w:color="auto" w:sz="4" w:space="0"/>
              <w:left w:val="single" w:color="auto" w:sz="4" w:space="0"/>
              <w:bottom w:val="single" w:color="auto" w:sz="4" w:space="0"/>
              <w:right w:val="single" w:color="auto" w:sz="4" w:space="0"/>
            </w:tcBorders>
            <w:noWrap w:val="0"/>
            <w:vAlign w:val="center"/>
          </w:tcPr>
          <w:p w14:paraId="7086854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计划管理</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6F7996B0">
            <w:pPr>
              <w:spacing w:line="360" w:lineRule="auto"/>
              <w:jc w:val="center"/>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4D57E5B">
            <w:pPr>
              <w:spacing w:line="360" w:lineRule="auto"/>
              <w:jc w:val="center"/>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2C226CC">
            <w:pPr>
              <w:spacing w:line="360" w:lineRule="auto"/>
              <w:jc w:val="center"/>
              <w:rPr>
                <w:rFonts w:hint="eastAsia" w:ascii="宋体" w:hAnsi="宋体" w:eastAsia="宋体" w:cs="宋体"/>
                <w:color w:val="auto"/>
                <w:sz w:val="24"/>
                <w:szCs w:val="24"/>
                <w:highlight w:val="none"/>
              </w:rPr>
            </w:pPr>
          </w:p>
        </w:tc>
        <w:tc>
          <w:tcPr>
            <w:tcW w:w="3892" w:type="dxa"/>
            <w:tcBorders>
              <w:top w:val="single" w:color="auto" w:sz="4" w:space="0"/>
              <w:left w:val="single" w:color="auto" w:sz="4" w:space="0"/>
              <w:bottom w:val="single" w:color="auto" w:sz="4" w:space="0"/>
              <w:right w:val="single" w:color="auto" w:sz="4" w:space="0"/>
            </w:tcBorders>
            <w:noWrap w:val="0"/>
            <w:vAlign w:val="center"/>
          </w:tcPr>
          <w:p w14:paraId="3A4F70C0">
            <w:pPr>
              <w:spacing w:line="360" w:lineRule="auto"/>
              <w:jc w:val="center"/>
              <w:rPr>
                <w:rFonts w:hint="eastAsia" w:ascii="宋体" w:hAnsi="宋体" w:eastAsia="宋体" w:cs="宋体"/>
                <w:color w:val="auto"/>
                <w:sz w:val="24"/>
                <w:szCs w:val="24"/>
                <w:highlight w:val="none"/>
              </w:rPr>
            </w:pPr>
          </w:p>
        </w:tc>
      </w:tr>
      <w:tr w14:paraId="3AC50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431" w:type="dxa"/>
            <w:tcBorders>
              <w:top w:val="single" w:color="auto" w:sz="4" w:space="0"/>
              <w:left w:val="single" w:color="auto" w:sz="4" w:space="0"/>
              <w:bottom w:val="single" w:color="auto" w:sz="4" w:space="0"/>
              <w:right w:val="single" w:color="auto" w:sz="4" w:space="0"/>
            </w:tcBorders>
            <w:noWrap w:val="0"/>
            <w:vAlign w:val="center"/>
          </w:tcPr>
          <w:p w14:paraId="5F7DA80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安全管理</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2C9F5A76">
            <w:pPr>
              <w:spacing w:line="360" w:lineRule="auto"/>
              <w:jc w:val="center"/>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D9FA809">
            <w:pPr>
              <w:spacing w:line="360" w:lineRule="auto"/>
              <w:jc w:val="center"/>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31D5CE6">
            <w:pPr>
              <w:spacing w:line="360" w:lineRule="auto"/>
              <w:jc w:val="center"/>
              <w:rPr>
                <w:rFonts w:hint="eastAsia" w:ascii="宋体" w:hAnsi="宋体" w:eastAsia="宋体" w:cs="宋体"/>
                <w:color w:val="auto"/>
                <w:sz w:val="24"/>
                <w:szCs w:val="24"/>
                <w:highlight w:val="none"/>
              </w:rPr>
            </w:pPr>
          </w:p>
        </w:tc>
        <w:tc>
          <w:tcPr>
            <w:tcW w:w="3892" w:type="dxa"/>
            <w:tcBorders>
              <w:top w:val="single" w:color="auto" w:sz="4" w:space="0"/>
              <w:left w:val="single" w:color="auto" w:sz="4" w:space="0"/>
              <w:bottom w:val="single" w:color="auto" w:sz="4" w:space="0"/>
              <w:right w:val="single" w:color="auto" w:sz="4" w:space="0"/>
            </w:tcBorders>
            <w:noWrap w:val="0"/>
            <w:vAlign w:val="center"/>
          </w:tcPr>
          <w:p w14:paraId="5C38C4E1">
            <w:pPr>
              <w:spacing w:line="360" w:lineRule="auto"/>
              <w:jc w:val="center"/>
              <w:rPr>
                <w:rFonts w:hint="eastAsia" w:ascii="宋体" w:hAnsi="宋体" w:eastAsia="宋体" w:cs="宋体"/>
                <w:color w:val="auto"/>
                <w:sz w:val="24"/>
                <w:szCs w:val="24"/>
                <w:highlight w:val="none"/>
              </w:rPr>
            </w:pPr>
          </w:p>
        </w:tc>
      </w:tr>
      <w:tr w14:paraId="413AB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431" w:type="dxa"/>
            <w:vMerge w:val="restart"/>
            <w:tcBorders>
              <w:top w:val="single" w:color="auto" w:sz="4" w:space="0"/>
              <w:left w:val="single" w:color="auto" w:sz="4" w:space="0"/>
              <w:right w:val="single" w:color="auto" w:sz="4" w:space="0"/>
            </w:tcBorders>
            <w:noWrap w:val="0"/>
            <w:vAlign w:val="center"/>
          </w:tcPr>
          <w:p w14:paraId="657BE64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其他人员</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4549F8F0">
            <w:pPr>
              <w:spacing w:line="360" w:lineRule="auto"/>
              <w:jc w:val="center"/>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8167796">
            <w:pPr>
              <w:spacing w:line="360" w:lineRule="auto"/>
              <w:jc w:val="center"/>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B8F70E2">
            <w:pPr>
              <w:spacing w:line="360" w:lineRule="auto"/>
              <w:jc w:val="center"/>
              <w:rPr>
                <w:rFonts w:hint="eastAsia" w:ascii="宋体" w:hAnsi="宋体" w:eastAsia="宋体" w:cs="宋体"/>
                <w:color w:val="auto"/>
                <w:sz w:val="24"/>
                <w:szCs w:val="24"/>
                <w:highlight w:val="none"/>
              </w:rPr>
            </w:pPr>
          </w:p>
        </w:tc>
        <w:tc>
          <w:tcPr>
            <w:tcW w:w="3892" w:type="dxa"/>
            <w:tcBorders>
              <w:top w:val="single" w:color="auto" w:sz="4" w:space="0"/>
              <w:left w:val="single" w:color="auto" w:sz="4" w:space="0"/>
              <w:bottom w:val="single" w:color="auto" w:sz="4" w:space="0"/>
              <w:right w:val="single" w:color="auto" w:sz="4" w:space="0"/>
            </w:tcBorders>
            <w:noWrap w:val="0"/>
            <w:vAlign w:val="center"/>
          </w:tcPr>
          <w:p w14:paraId="2F28BA93">
            <w:pPr>
              <w:spacing w:line="360" w:lineRule="auto"/>
              <w:jc w:val="center"/>
              <w:rPr>
                <w:rFonts w:hint="eastAsia" w:ascii="宋体" w:hAnsi="宋体" w:eastAsia="宋体" w:cs="宋体"/>
                <w:color w:val="auto"/>
                <w:sz w:val="24"/>
                <w:szCs w:val="24"/>
                <w:highlight w:val="none"/>
              </w:rPr>
            </w:pPr>
          </w:p>
        </w:tc>
      </w:tr>
      <w:tr w14:paraId="51FE8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431" w:type="dxa"/>
            <w:vMerge w:val="continue"/>
            <w:tcBorders>
              <w:left w:val="single" w:color="auto" w:sz="4" w:space="0"/>
              <w:bottom w:val="single" w:color="auto" w:sz="4" w:space="0"/>
              <w:right w:val="single" w:color="auto" w:sz="4" w:space="0"/>
            </w:tcBorders>
            <w:noWrap w:val="0"/>
            <w:vAlign w:val="center"/>
          </w:tcPr>
          <w:p w14:paraId="27B5FEF3">
            <w:pPr>
              <w:spacing w:line="360" w:lineRule="auto"/>
              <w:jc w:val="center"/>
              <w:rPr>
                <w:rFonts w:hint="eastAsia" w:ascii="宋体" w:hAnsi="宋体" w:eastAsia="宋体" w:cs="宋体"/>
                <w:color w:val="auto"/>
                <w:sz w:val="24"/>
                <w:szCs w:val="24"/>
                <w:highlight w:val="none"/>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680470E5">
            <w:pPr>
              <w:spacing w:line="360" w:lineRule="auto"/>
              <w:jc w:val="center"/>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0D25853">
            <w:pPr>
              <w:spacing w:line="360" w:lineRule="auto"/>
              <w:jc w:val="center"/>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D190433">
            <w:pPr>
              <w:spacing w:line="360" w:lineRule="auto"/>
              <w:jc w:val="center"/>
              <w:rPr>
                <w:rFonts w:hint="eastAsia" w:ascii="宋体" w:hAnsi="宋体" w:eastAsia="宋体" w:cs="宋体"/>
                <w:color w:val="auto"/>
                <w:sz w:val="24"/>
                <w:szCs w:val="24"/>
                <w:highlight w:val="none"/>
              </w:rPr>
            </w:pPr>
          </w:p>
        </w:tc>
        <w:tc>
          <w:tcPr>
            <w:tcW w:w="3892" w:type="dxa"/>
            <w:tcBorders>
              <w:top w:val="single" w:color="auto" w:sz="4" w:space="0"/>
              <w:left w:val="single" w:color="auto" w:sz="4" w:space="0"/>
              <w:bottom w:val="single" w:color="auto" w:sz="4" w:space="0"/>
              <w:right w:val="single" w:color="auto" w:sz="4" w:space="0"/>
            </w:tcBorders>
            <w:noWrap w:val="0"/>
            <w:vAlign w:val="center"/>
          </w:tcPr>
          <w:p w14:paraId="7264E4CC">
            <w:pPr>
              <w:spacing w:line="360" w:lineRule="auto"/>
              <w:jc w:val="center"/>
              <w:rPr>
                <w:rFonts w:hint="eastAsia" w:ascii="宋体" w:hAnsi="宋体" w:eastAsia="宋体" w:cs="宋体"/>
                <w:color w:val="auto"/>
                <w:sz w:val="24"/>
                <w:szCs w:val="24"/>
                <w:highlight w:val="none"/>
              </w:rPr>
            </w:pPr>
          </w:p>
        </w:tc>
      </w:tr>
    </w:tbl>
    <w:p w14:paraId="69639C2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附件：8</w:t>
      </w:r>
    </w:p>
    <w:p w14:paraId="27BAE02E">
      <w:pPr>
        <w:spacing w:line="360" w:lineRule="auto"/>
        <w:rPr>
          <w:rFonts w:hint="eastAsia" w:ascii="宋体" w:hAnsi="宋体" w:eastAsia="宋体" w:cs="宋体"/>
          <w:b/>
          <w:bCs/>
          <w:color w:val="auto"/>
          <w:sz w:val="32"/>
          <w:szCs w:val="32"/>
          <w:highlight w:val="none"/>
        </w:rPr>
      </w:pPr>
    </w:p>
    <w:p w14:paraId="4EA1048A">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履约担保格式</w:t>
      </w:r>
    </w:p>
    <w:p w14:paraId="597C0D1C">
      <w:pPr>
        <w:spacing w:line="360" w:lineRule="auto"/>
        <w:rPr>
          <w:rFonts w:hint="eastAsia" w:ascii="宋体" w:hAnsi="宋体" w:eastAsia="宋体" w:cs="宋体"/>
          <w:color w:val="auto"/>
          <w:sz w:val="24"/>
          <w:szCs w:val="24"/>
          <w:highlight w:val="none"/>
        </w:rPr>
      </w:pPr>
    </w:p>
    <w:p w14:paraId="3CE5CAE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（发包人名称）：</w:t>
      </w:r>
    </w:p>
    <w:p w14:paraId="0323C4C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鉴于（发包人名称，以下简称“发包人”）与</w:t>
      </w:r>
    </w:p>
    <w:p w14:paraId="08A4CC66">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（承包人名称，以下称“承包人”）于年</w:t>
      </w:r>
    </w:p>
    <w:p w14:paraId="385651E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月日就（工程名称）施工及有关事项协商一致共同签订《建设工程施工合同》。我方愿意无条件地、不可撤销地就承包人履行与你方签订的合同，向你方提供连带责任担保。</w:t>
      </w:r>
    </w:p>
    <w:p w14:paraId="2AB3E38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1.担保金额人民币（大写）元（¥）。</w:t>
      </w:r>
    </w:p>
    <w:p w14:paraId="04F3D30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2.担保有效期自你方与承包人签订的合同生效之日起至你方签发或应签发工程接收证书之日止。</w:t>
      </w:r>
    </w:p>
    <w:p w14:paraId="0559574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3.在本担保有效期内，因承包人违反合同约定的义务给你方造成经济损失时，我方在收到你方以书面形式提出的在担保金额内的赔偿要求后，在7天内无条件支付。</w:t>
      </w:r>
    </w:p>
    <w:p w14:paraId="6D401B3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4.你方和承包人按合同约定变更合同时，我方承担本担保规定的义务不变。</w:t>
      </w:r>
    </w:p>
    <w:p w14:paraId="166577A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5.因本保函发生的纠纷，可由双方协商解决，协商不成的，任何一方均可提请仲裁委员会仲裁。</w:t>
      </w:r>
    </w:p>
    <w:p w14:paraId="27FE070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6.本保函自我方法定代表人（或其授权代理人）签字并加盖公章之日起生效。</w:t>
      </w:r>
    </w:p>
    <w:p w14:paraId="76E401CC">
      <w:pPr>
        <w:spacing w:line="360" w:lineRule="auto"/>
        <w:rPr>
          <w:rFonts w:hint="eastAsia" w:ascii="宋体" w:hAnsi="宋体" w:eastAsia="宋体" w:cs="宋体"/>
          <w:color w:val="auto"/>
          <w:sz w:val="24"/>
          <w:szCs w:val="24"/>
          <w:highlight w:val="none"/>
        </w:rPr>
      </w:pPr>
    </w:p>
    <w:p w14:paraId="74575A2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 保 人：（盖单位章）</w:t>
      </w:r>
    </w:p>
    <w:p w14:paraId="33F0B22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w:t>
      </w:r>
    </w:p>
    <w:p w14:paraId="3C91887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p>
    <w:p w14:paraId="13E495A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p w14:paraId="4E6034C3">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    话：</w:t>
      </w:r>
    </w:p>
    <w:p w14:paraId="3121E16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p>
    <w:p w14:paraId="0023B226">
      <w:pPr>
        <w:spacing w:line="360" w:lineRule="auto"/>
        <w:ind w:right="840" w:rightChars="400" w:firstLine="7200" w:firstLineChars="30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00FDFB7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附件：9</w:t>
      </w:r>
    </w:p>
    <w:p w14:paraId="083430CF">
      <w:pPr>
        <w:spacing w:line="360" w:lineRule="auto"/>
        <w:rPr>
          <w:rFonts w:hint="eastAsia" w:ascii="宋体" w:hAnsi="宋体" w:eastAsia="宋体" w:cs="宋体"/>
          <w:color w:val="auto"/>
          <w:sz w:val="32"/>
          <w:szCs w:val="32"/>
          <w:highlight w:val="none"/>
        </w:rPr>
      </w:pPr>
    </w:p>
    <w:p w14:paraId="6C09ECB3">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预付款担保格式</w:t>
      </w:r>
    </w:p>
    <w:p w14:paraId="0A69BF1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（发包人名称）：</w:t>
      </w:r>
    </w:p>
    <w:p w14:paraId="368B270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根据（承包人名称，以下简称“承包人”）与</w:t>
      </w:r>
    </w:p>
    <w:p w14:paraId="494111CD">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（发包人名称，以下称“承包人”）于年</w:t>
      </w:r>
    </w:p>
    <w:p w14:paraId="45883AF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月日签订的（工程名称）《建设工程施工合同》，承包人按约定的金额向你方提交一份预付款担保，即有权得到你方支付相等金额的预付款。我方愿意就你方提供给承包人的预付款为承包人提供连带责任担保。</w:t>
      </w:r>
    </w:p>
    <w:p w14:paraId="065CA02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1.担保金额人民币（大写）元（¥）。</w:t>
      </w:r>
    </w:p>
    <w:p w14:paraId="6918142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2.担保有效期自预付款支付给承包人起生效，至你方签发的进度款支付证书说明已完全扣清止。</w:t>
      </w:r>
    </w:p>
    <w:p w14:paraId="15F6E04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70A7AAD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4.你方和承包人按合同约定变更合同时，我方承担本保函规定的义务不变。</w:t>
      </w:r>
    </w:p>
    <w:p w14:paraId="4B0DCCC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5.因本保函发生的纠纷，可由双方协商解决，协商不成的，任何一方均可提请仲裁委员会仲裁。</w:t>
      </w:r>
    </w:p>
    <w:p w14:paraId="324B88B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6.本保函自我方法定代表人（或其授权代理人）签字并加盖公章之日起生效。</w:t>
      </w:r>
    </w:p>
    <w:p w14:paraId="09D22B08">
      <w:pPr>
        <w:spacing w:line="360" w:lineRule="auto"/>
        <w:rPr>
          <w:rFonts w:hint="eastAsia" w:ascii="宋体" w:hAnsi="宋体" w:eastAsia="宋体" w:cs="宋体"/>
          <w:color w:val="auto"/>
          <w:sz w:val="24"/>
          <w:szCs w:val="24"/>
          <w:highlight w:val="none"/>
        </w:rPr>
      </w:pPr>
    </w:p>
    <w:p w14:paraId="1EB9F9A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 保 人：（盖单位章）</w:t>
      </w:r>
    </w:p>
    <w:p w14:paraId="25F45C6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w:t>
      </w:r>
    </w:p>
    <w:p w14:paraId="26DF1FD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p>
    <w:p w14:paraId="18565D8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p w14:paraId="39390A65">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    话：</w:t>
      </w:r>
    </w:p>
    <w:p w14:paraId="2038959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p>
    <w:p w14:paraId="44583A1C">
      <w:pPr>
        <w:spacing w:line="360" w:lineRule="auto"/>
        <w:rPr>
          <w:rFonts w:hint="eastAsia" w:ascii="宋体" w:hAnsi="宋体" w:eastAsia="宋体" w:cs="宋体"/>
          <w:color w:val="auto"/>
          <w:sz w:val="24"/>
          <w:szCs w:val="24"/>
          <w:highlight w:val="none"/>
          <w:u w:val="single"/>
        </w:rPr>
      </w:pPr>
    </w:p>
    <w:p w14:paraId="029A6A7E">
      <w:pPr>
        <w:spacing w:line="360" w:lineRule="auto"/>
        <w:ind w:right="840" w:rightChars="40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70051484">
      <w:pPr>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附件：10</w:t>
      </w:r>
    </w:p>
    <w:p w14:paraId="19515F85">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支付担保格式</w:t>
      </w:r>
    </w:p>
    <w:p w14:paraId="1781E82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32"/>
          <w:szCs w:val="32"/>
          <w:highlight w:val="none"/>
        </w:rPr>
        <w:t>（财政性投资项目按相关规定执行）</w:t>
      </w:r>
    </w:p>
    <w:p w14:paraId="05237B1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（承包人名称）：</w:t>
      </w:r>
    </w:p>
    <w:p w14:paraId="605FDDE1">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鉴于你方作为承包人已经与（发包人名称，以下简称“发包人”）与于年月日签订了</w:t>
      </w:r>
    </w:p>
    <w:p w14:paraId="010AB72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（工程名称）《建设工程施工合同》（以下称“主合同”），应发包人的申请，我方愿就发包人履行主合同约定的工程款支付义务以保证的方式向你方提供如下担保：</w:t>
      </w:r>
    </w:p>
    <w:p w14:paraId="4A1EE70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一、保证的范围及保证金额</w:t>
      </w:r>
    </w:p>
    <w:p w14:paraId="7FB0E0B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1.我方的保证范围是主合同约定的工程款。</w:t>
      </w:r>
    </w:p>
    <w:p w14:paraId="671D153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2.本保函所称主合同约定的工程款是指主合同约定的除工程质量保证金以外的合同价款。</w:t>
      </w:r>
    </w:p>
    <w:p w14:paraId="7F6A0CA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3.我方保证的金额是主合同约定的工程款的%，数额最高不超过人民币元（大写：）。</w:t>
      </w:r>
    </w:p>
    <w:p w14:paraId="2D58E19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二、保证的方式及保证期间</w:t>
      </w:r>
    </w:p>
    <w:p w14:paraId="57B7213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1.我方保证的方式为：连带责任保证。</w:t>
      </w:r>
    </w:p>
    <w:p w14:paraId="376DDD6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2.我方保证的期间为：自本合同生效之日起至主合同约定的工程款支付完毕之日后日内。</w:t>
      </w:r>
    </w:p>
    <w:p w14:paraId="474B93B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3.你方与发包人协议变更工程款支付日期的，经我方书面同意后，保证期间按照变更后的支付日期做相应调整。</w:t>
      </w:r>
    </w:p>
    <w:p w14:paraId="0DA1B56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三、承担保证责任的形式</w:t>
      </w:r>
    </w:p>
    <w:p w14:paraId="57EC33E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我方承担保证责任的形式是代为支付。发包人未按主合同约定向你方支付工程款的，由我方在保证金额内代为支付。</w:t>
      </w:r>
    </w:p>
    <w:p w14:paraId="2C85FC3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四、代偿的安排</w:t>
      </w:r>
    </w:p>
    <w:p w14:paraId="0402FE9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1.你方要求我方承担保证责任的，应向我方发出书面索赔通知及发包人未支付主合同约定工程款的证明材料。索赔通知应写明要求索赔的金额，支付款项应到达的账号。</w:t>
      </w:r>
    </w:p>
    <w:p w14:paraId="2251975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2.在出现你方与发包人因工程质量发生争议，发包人拒绝向你方支付工程款的情形时，你方要求我方履行保证责任代为支付的，需提供符合相应条件要求的工程质量检测机构出具的质量说明材料。</w:t>
      </w:r>
    </w:p>
    <w:p w14:paraId="777535F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3.我方收到你方的书面索赔通知及相应的证明材料后７天内无条件支付。</w:t>
      </w:r>
    </w:p>
    <w:p w14:paraId="0F35A95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五、保证责任的解除</w:t>
      </w:r>
    </w:p>
    <w:p w14:paraId="6868895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1.在本保函承诺的保证期间内，你方未书面向我方主张保证责任的，自保证期间届满次日起，我方保证责任解除。</w:t>
      </w:r>
    </w:p>
    <w:p w14:paraId="3B1BD1E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2.发包人按主合同约定履行了工程款的全部支付义务的，自本保函承诺的保证期间届满次日起，我方保证责任解除。</w:t>
      </w:r>
    </w:p>
    <w:p w14:paraId="76162A7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3.我方按照本保函向你方履行保证责任所支付金额达到本保函保证金额时，自我方向你方支付（支付款项从我方账户划出）之日起，保证责任即解除。</w:t>
      </w:r>
    </w:p>
    <w:p w14:paraId="6D92E3A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4.按照法律法规的规定或出现应解除我方保证责任的其他情形的，我方在本保函项下的保证责任亦解除。</w:t>
      </w:r>
    </w:p>
    <w:p w14:paraId="2EBA981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5.我方解除保证责任后，你方应自我方保证责任解除之日起个工作日内，将本保函原件返还我方。</w:t>
      </w:r>
    </w:p>
    <w:p w14:paraId="3EDACE6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六、免责条款</w:t>
      </w:r>
    </w:p>
    <w:p w14:paraId="5BA9B7B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1.因你方违约致使发包人不能履行义务的，我方不承担保证责任。</w:t>
      </w:r>
    </w:p>
    <w:p w14:paraId="7DD46DE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2.依照法律法规的规定或你方与发包人的另行约定，免除发包人部分或全部义务的，我方亦免除其相应的保证责任。</w:t>
      </w:r>
    </w:p>
    <w:p w14:paraId="5922290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3.你方与发包人协议变更主合同的，如加重发包人责任致使我方保证责任加重的，需征得我方书面同意，否则我方不再承担因此而加重部分的保证责任，但主合同第10条〔变更〕约定的变更不受本款限制。</w:t>
      </w:r>
    </w:p>
    <w:p w14:paraId="50DFC88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4.因不可抗力造成发包人不能履行义务的，我方不承担保证责任。</w:t>
      </w:r>
    </w:p>
    <w:p w14:paraId="7CD0B233">
      <w:pPr>
        <w:tabs>
          <w:tab w:val="left" w:pos="4243"/>
        </w:tabs>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七、争议解决</w:t>
      </w:r>
      <w:r>
        <w:rPr>
          <w:rFonts w:hint="eastAsia" w:ascii="宋体" w:hAnsi="宋体" w:eastAsia="宋体" w:cs="宋体"/>
          <w:color w:val="auto"/>
          <w:sz w:val="24"/>
          <w:szCs w:val="24"/>
          <w:highlight w:val="none"/>
          <w:lang w:eastAsia="zh-CN"/>
        </w:rPr>
        <w:tab/>
      </w:r>
    </w:p>
    <w:p w14:paraId="5286365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因本保函或本保函相关事项发生的纠纷，可由双方协商解决，协商不成的，按下列第种方式解决：</w:t>
      </w:r>
    </w:p>
    <w:p w14:paraId="3CA8A65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1.向仲裁委员会申请仲裁；</w:t>
      </w:r>
    </w:p>
    <w:p w14:paraId="51981EB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2.向人民法院起诉。</w:t>
      </w:r>
    </w:p>
    <w:p w14:paraId="52E8DB2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八、保函的生效</w:t>
      </w:r>
    </w:p>
    <w:p w14:paraId="2D19FEF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本保函自我方法定代表人（或其授权代理人）签字并加盖公章之日起生效。</w:t>
      </w:r>
    </w:p>
    <w:p w14:paraId="57C3D9B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担保人：（盖章）               法定代表人或委托代理人：（签字）</w:t>
      </w:r>
    </w:p>
    <w:p w14:paraId="4FE9B32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                     邮政编码：</w:t>
      </w:r>
    </w:p>
    <w:p w14:paraId="193C2BD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传    真：</w:t>
      </w:r>
    </w:p>
    <w:p w14:paraId="74EC05DF">
      <w:pPr>
        <w:spacing w:line="360" w:lineRule="auto"/>
        <w:ind w:right="840" w:rightChars="400" w:firstLine="480" w:firstLineChars="200"/>
        <w:jc w:val="right"/>
        <w:rPr>
          <w:rFonts w:hint="eastAsia" w:ascii="宋体" w:hAnsi="宋体" w:eastAsia="宋体" w:cs="宋体"/>
          <w:color w:val="auto"/>
          <w:sz w:val="24"/>
          <w:szCs w:val="24"/>
          <w:highlight w:val="none"/>
        </w:rPr>
        <w:sectPr>
          <w:headerReference r:id="rId10" w:type="first"/>
          <w:footerReference r:id="rId12" w:type="first"/>
          <w:footerReference r:id="rId11" w:type="default"/>
          <w:pgSz w:w="11905" w:h="16838"/>
          <w:pgMar w:top="1417" w:right="1417" w:bottom="1417" w:left="1417" w:header="850" w:footer="992" w:gutter="0"/>
          <w:pgNumType w:fmt="decimal"/>
          <w:cols w:space="0" w:num="1"/>
          <w:titlePg/>
          <w:rtlGutter w:val="0"/>
          <w:docGrid w:linePitch="312" w:charSpace="0"/>
        </w:sectPr>
      </w:pPr>
      <w:r>
        <w:rPr>
          <w:rFonts w:hint="eastAsia" w:ascii="宋体" w:hAnsi="宋体" w:eastAsia="宋体" w:cs="宋体"/>
          <w:color w:val="auto"/>
          <w:sz w:val="24"/>
          <w:szCs w:val="24"/>
          <w:highlight w:val="none"/>
        </w:rPr>
        <w:t xml:space="preserve"> 年  月  日</w:t>
      </w:r>
    </w:p>
    <w:p w14:paraId="3A15A987">
      <w:pPr>
        <w:spacing w:line="360" w:lineRule="auto"/>
        <w:ind w:right="840" w:rightChars="40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附件：11</w:t>
      </w:r>
    </w:p>
    <w:p w14:paraId="67A25CE6">
      <w:pPr>
        <w:spacing w:line="360" w:lineRule="auto"/>
        <w:rPr>
          <w:rFonts w:hint="eastAsia" w:ascii="宋体" w:hAnsi="宋体" w:eastAsia="宋体" w:cs="宋体"/>
          <w:color w:val="auto"/>
          <w:sz w:val="24"/>
          <w:szCs w:val="24"/>
          <w:highlight w:val="none"/>
        </w:rPr>
      </w:pPr>
    </w:p>
    <w:p w14:paraId="4DF87616">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暂估价一览表</w:t>
      </w:r>
    </w:p>
    <w:p w14:paraId="7B3628D5">
      <w:pPr>
        <w:spacing w:line="360" w:lineRule="auto"/>
        <w:ind w:firstLine="643" w:firstLineChars="2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一、材料暂估价表</w:t>
      </w:r>
    </w:p>
    <w:tbl>
      <w:tblPr>
        <w:tblStyle w:val="62"/>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47"/>
        <w:gridCol w:w="2242"/>
        <w:gridCol w:w="851"/>
        <w:gridCol w:w="774"/>
        <w:gridCol w:w="1646"/>
        <w:gridCol w:w="1418"/>
        <w:gridCol w:w="1082"/>
      </w:tblGrid>
      <w:tr w14:paraId="7DF4D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4C4A65EC">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242" w:type="dxa"/>
            <w:tcBorders>
              <w:top w:val="single" w:color="auto" w:sz="4" w:space="0"/>
              <w:left w:val="single" w:color="auto" w:sz="4" w:space="0"/>
              <w:bottom w:val="single" w:color="auto" w:sz="4" w:space="0"/>
              <w:right w:val="single" w:color="auto" w:sz="4" w:space="0"/>
            </w:tcBorders>
            <w:noWrap w:val="0"/>
            <w:vAlign w:val="center"/>
          </w:tcPr>
          <w:p w14:paraId="4DA40955">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41CE4B0C">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单位</w:t>
            </w:r>
          </w:p>
        </w:tc>
        <w:tc>
          <w:tcPr>
            <w:tcW w:w="774" w:type="dxa"/>
            <w:tcBorders>
              <w:top w:val="single" w:color="auto" w:sz="4" w:space="0"/>
              <w:left w:val="single" w:color="auto" w:sz="4" w:space="0"/>
              <w:bottom w:val="single" w:color="auto" w:sz="4" w:space="0"/>
              <w:right w:val="single" w:color="auto" w:sz="4" w:space="0"/>
            </w:tcBorders>
            <w:noWrap w:val="0"/>
            <w:vAlign w:val="center"/>
          </w:tcPr>
          <w:p w14:paraId="419A80F5">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1646" w:type="dxa"/>
            <w:tcBorders>
              <w:top w:val="single" w:color="auto" w:sz="4" w:space="0"/>
              <w:left w:val="single" w:color="auto" w:sz="4" w:space="0"/>
              <w:bottom w:val="single" w:color="auto" w:sz="4" w:space="0"/>
              <w:right w:val="single" w:color="auto" w:sz="4" w:space="0"/>
            </w:tcBorders>
            <w:noWrap w:val="0"/>
            <w:vAlign w:val="center"/>
          </w:tcPr>
          <w:p w14:paraId="65DBA590">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单价（元）</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5DA9E9B">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合价（元）</w:t>
            </w:r>
          </w:p>
        </w:tc>
        <w:tc>
          <w:tcPr>
            <w:tcW w:w="1082" w:type="dxa"/>
            <w:tcBorders>
              <w:top w:val="single" w:color="auto" w:sz="4" w:space="0"/>
              <w:left w:val="single" w:color="auto" w:sz="4" w:space="0"/>
              <w:bottom w:val="single" w:color="auto" w:sz="4" w:space="0"/>
              <w:right w:val="single" w:color="auto" w:sz="4" w:space="0"/>
            </w:tcBorders>
            <w:noWrap w:val="0"/>
            <w:vAlign w:val="center"/>
          </w:tcPr>
          <w:p w14:paraId="628CD98E">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r>
      <w:tr w14:paraId="2B849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28AFF2DF">
            <w:pPr>
              <w:spacing w:line="360" w:lineRule="auto"/>
              <w:jc w:val="center"/>
              <w:rPr>
                <w:rFonts w:hint="eastAsia" w:ascii="宋体" w:hAnsi="宋体" w:eastAsia="宋体" w:cs="宋体"/>
                <w:color w:val="auto"/>
                <w:sz w:val="24"/>
                <w:szCs w:val="24"/>
                <w:highlight w:val="none"/>
              </w:rPr>
            </w:pPr>
          </w:p>
        </w:tc>
        <w:tc>
          <w:tcPr>
            <w:tcW w:w="2242" w:type="dxa"/>
            <w:tcBorders>
              <w:top w:val="single" w:color="auto" w:sz="4" w:space="0"/>
              <w:left w:val="single" w:color="auto" w:sz="4" w:space="0"/>
              <w:bottom w:val="single" w:color="auto" w:sz="4" w:space="0"/>
              <w:right w:val="single" w:color="auto" w:sz="4" w:space="0"/>
            </w:tcBorders>
            <w:noWrap w:val="0"/>
            <w:vAlign w:val="center"/>
          </w:tcPr>
          <w:p w14:paraId="56C599E3">
            <w:pPr>
              <w:spacing w:line="360" w:lineRule="auto"/>
              <w:jc w:val="center"/>
              <w:rPr>
                <w:rFonts w:hint="eastAsia" w:ascii="宋体" w:hAnsi="宋体" w:eastAsia="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1E8CB95C">
            <w:pPr>
              <w:spacing w:line="360" w:lineRule="auto"/>
              <w:jc w:val="center"/>
              <w:rPr>
                <w:rFonts w:hint="eastAsia" w:ascii="宋体" w:hAnsi="宋体" w:eastAsia="宋体" w:cs="宋体"/>
                <w:color w:val="auto"/>
                <w:sz w:val="24"/>
                <w:szCs w:val="24"/>
                <w:highlight w:val="none"/>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011C3FA6">
            <w:pPr>
              <w:spacing w:line="360" w:lineRule="auto"/>
              <w:jc w:val="center"/>
              <w:rPr>
                <w:rFonts w:hint="eastAsia" w:ascii="宋体" w:hAnsi="宋体" w:eastAsia="宋体" w:cs="宋体"/>
                <w:color w:val="auto"/>
                <w:sz w:val="24"/>
                <w:szCs w:val="24"/>
                <w:highlight w:val="none"/>
              </w:rPr>
            </w:pPr>
          </w:p>
        </w:tc>
        <w:tc>
          <w:tcPr>
            <w:tcW w:w="1646" w:type="dxa"/>
            <w:tcBorders>
              <w:top w:val="single" w:color="auto" w:sz="4" w:space="0"/>
              <w:left w:val="single" w:color="auto" w:sz="4" w:space="0"/>
              <w:bottom w:val="single" w:color="auto" w:sz="4" w:space="0"/>
              <w:right w:val="single" w:color="auto" w:sz="4" w:space="0"/>
            </w:tcBorders>
            <w:noWrap w:val="0"/>
            <w:vAlign w:val="center"/>
          </w:tcPr>
          <w:p w14:paraId="7634E2D8">
            <w:pPr>
              <w:spacing w:line="360" w:lineRule="auto"/>
              <w:jc w:val="center"/>
              <w:rPr>
                <w:rFonts w:hint="eastAsia" w:ascii="宋体" w:hAnsi="宋体" w:eastAsia="宋体" w:cs="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B3B035F">
            <w:pPr>
              <w:spacing w:line="360" w:lineRule="auto"/>
              <w:jc w:val="center"/>
              <w:rPr>
                <w:rFonts w:hint="eastAsia" w:ascii="宋体" w:hAnsi="宋体" w:eastAsia="宋体" w:cs="宋体"/>
                <w:color w:val="auto"/>
                <w:sz w:val="24"/>
                <w:szCs w:val="24"/>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6DE0A072">
            <w:pPr>
              <w:spacing w:line="360" w:lineRule="auto"/>
              <w:jc w:val="center"/>
              <w:rPr>
                <w:rFonts w:hint="eastAsia" w:ascii="宋体" w:hAnsi="宋体" w:eastAsia="宋体" w:cs="宋体"/>
                <w:color w:val="auto"/>
                <w:sz w:val="24"/>
                <w:szCs w:val="24"/>
                <w:highlight w:val="none"/>
              </w:rPr>
            </w:pPr>
          </w:p>
        </w:tc>
      </w:tr>
      <w:tr w14:paraId="178AD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2CAF2887">
            <w:pPr>
              <w:spacing w:line="360" w:lineRule="auto"/>
              <w:jc w:val="center"/>
              <w:rPr>
                <w:rFonts w:hint="eastAsia" w:ascii="宋体" w:hAnsi="宋体" w:eastAsia="宋体" w:cs="宋体"/>
                <w:color w:val="auto"/>
                <w:sz w:val="24"/>
                <w:szCs w:val="24"/>
                <w:highlight w:val="none"/>
              </w:rPr>
            </w:pPr>
          </w:p>
        </w:tc>
        <w:tc>
          <w:tcPr>
            <w:tcW w:w="2242" w:type="dxa"/>
            <w:tcBorders>
              <w:top w:val="single" w:color="auto" w:sz="4" w:space="0"/>
              <w:left w:val="single" w:color="auto" w:sz="4" w:space="0"/>
              <w:bottom w:val="single" w:color="auto" w:sz="4" w:space="0"/>
              <w:right w:val="single" w:color="auto" w:sz="4" w:space="0"/>
            </w:tcBorders>
            <w:noWrap w:val="0"/>
            <w:vAlign w:val="center"/>
          </w:tcPr>
          <w:p w14:paraId="4D458F5D">
            <w:pPr>
              <w:spacing w:line="360" w:lineRule="auto"/>
              <w:jc w:val="center"/>
              <w:rPr>
                <w:rFonts w:hint="eastAsia" w:ascii="宋体" w:hAnsi="宋体" w:eastAsia="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5CB3B926">
            <w:pPr>
              <w:spacing w:line="360" w:lineRule="auto"/>
              <w:jc w:val="center"/>
              <w:rPr>
                <w:rFonts w:hint="eastAsia" w:ascii="宋体" w:hAnsi="宋体" w:eastAsia="宋体" w:cs="宋体"/>
                <w:color w:val="auto"/>
                <w:sz w:val="24"/>
                <w:szCs w:val="24"/>
                <w:highlight w:val="none"/>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616E691A">
            <w:pPr>
              <w:spacing w:line="360" w:lineRule="auto"/>
              <w:jc w:val="center"/>
              <w:rPr>
                <w:rFonts w:hint="eastAsia" w:ascii="宋体" w:hAnsi="宋体" w:eastAsia="宋体" w:cs="宋体"/>
                <w:color w:val="auto"/>
                <w:sz w:val="24"/>
                <w:szCs w:val="24"/>
                <w:highlight w:val="none"/>
              </w:rPr>
            </w:pPr>
          </w:p>
        </w:tc>
        <w:tc>
          <w:tcPr>
            <w:tcW w:w="1646" w:type="dxa"/>
            <w:tcBorders>
              <w:top w:val="single" w:color="auto" w:sz="4" w:space="0"/>
              <w:left w:val="single" w:color="auto" w:sz="4" w:space="0"/>
              <w:bottom w:val="single" w:color="auto" w:sz="4" w:space="0"/>
              <w:right w:val="single" w:color="auto" w:sz="4" w:space="0"/>
            </w:tcBorders>
            <w:noWrap w:val="0"/>
            <w:vAlign w:val="center"/>
          </w:tcPr>
          <w:p w14:paraId="4947851B">
            <w:pPr>
              <w:spacing w:line="360" w:lineRule="auto"/>
              <w:jc w:val="center"/>
              <w:rPr>
                <w:rFonts w:hint="eastAsia" w:ascii="宋体" w:hAnsi="宋体" w:eastAsia="宋体" w:cs="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868DC54">
            <w:pPr>
              <w:spacing w:line="360" w:lineRule="auto"/>
              <w:jc w:val="center"/>
              <w:rPr>
                <w:rFonts w:hint="eastAsia" w:ascii="宋体" w:hAnsi="宋体" w:eastAsia="宋体" w:cs="宋体"/>
                <w:color w:val="auto"/>
                <w:sz w:val="24"/>
                <w:szCs w:val="24"/>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76C7E867">
            <w:pPr>
              <w:spacing w:line="360" w:lineRule="auto"/>
              <w:jc w:val="center"/>
              <w:rPr>
                <w:rFonts w:hint="eastAsia" w:ascii="宋体" w:hAnsi="宋体" w:eastAsia="宋体" w:cs="宋体"/>
                <w:color w:val="auto"/>
                <w:sz w:val="24"/>
                <w:szCs w:val="24"/>
                <w:highlight w:val="none"/>
              </w:rPr>
            </w:pPr>
          </w:p>
        </w:tc>
      </w:tr>
      <w:tr w14:paraId="17B8D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04A062D5">
            <w:pPr>
              <w:spacing w:line="360" w:lineRule="auto"/>
              <w:jc w:val="center"/>
              <w:rPr>
                <w:rFonts w:hint="eastAsia" w:ascii="宋体" w:hAnsi="宋体" w:eastAsia="宋体" w:cs="宋体"/>
                <w:color w:val="auto"/>
                <w:sz w:val="24"/>
                <w:szCs w:val="24"/>
                <w:highlight w:val="none"/>
              </w:rPr>
            </w:pPr>
          </w:p>
        </w:tc>
        <w:tc>
          <w:tcPr>
            <w:tcW w:w="2242" w:type="dxa"/>
            <w:tcBorders>
              <w:top w:val="single" w:color="auto" w:sz="4" w:space="0"/>
              <w:left w:val="single" w:color="auto" w:sz="4" w:space="0"/>
              <w:bottom w:val="single" w:color="auto" w:sz="4" w:space="0"/>
              <w:right w:val="single" w:color="auto" w:sz="4" w:space="0"/>
            </w:tcBorders>
            <w:noWrap w:val="0"/>
            <w:vAlign w:val="center"/>
          </w:tcPr>
          <w:p w14:paraId="1EC67152">
            <w:pPr>
              <w:spacing w:line="360" w:lineRule="auto"/>
              <w:jc w:val="center"/>
              <w:rPr>
                <w:rFonts w:hint="eastAsia" w:ascii="宋体" w:hAnsi="宋体" w:eastAsia="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69C4A770">
            <w:pPr>
              <w:spacing w:line="360" w:lineRule="auto"/>
              <w:jc w:val="center"/>
              <w:rPr>
                <w:rFonts w:hint="eastAsia" w:ascii="宋体" w:hAnsi="宋体" w:eastAsia="宋体" w:cs="宋体"/>
                <w:color w:val="auto"/>
                <w:sz w:val="24"/>
                <w:szCs w:val="24"/>
                <w:highlight w:val="none"/>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180E2B74">
            <w:pPr>
              <w:spacing w:line="360" w:lineRule="auto"/>
              <w:jc w:val="center"/>
              <w:rPr>
                <w:rFonts w:hint="eastAsia" w:ascii="宋体" w:hAnsi="宋体" w:eastAsia="宋体" w:cs="宋体"/>
                <w:color w:val="auto"/>
                <w:sz w:val="24"/>
                <w:szCs w:val="24"/>
                <w:highlight w:val="none"/>
              </w:rPr>
            </w:pPr>
          </w:p>
        </w:tc>
        <w:tc>
          <w:tcPr>
            <w:tcW w:w="1646" w:type="dxa"/>
            <w:tcBorders>
              <w:top w:val="single" w:color="auto" w:sz="4" w:space="0"/>
              <w:left w:val="single" w:color="auto" w:sz="4" w:space="0"/>
              <w:bottom w:val="single" w:color="auto" w:sz="4" w:space="0"/>
              <w:right w:val="single" w:color="auto" w:sz="4" w:space="0"/>
            </w:tcBorders>
            <w:noWrap w:val="0"/>
            <w:vAlign w:val="center"/>
          </w:tcPr>
          <w:p w14:paraId="072AFB05">
            <w:pPr>
              <w:spacing w:line="360" w:lineRule="auto"/>
              <w:jc w:val="center"/>
              <w:rPr>
                <w:rFonts w:hint="eastAsia" w:ascii="宋体" w:hAnsi="宋体" w:eastAsia="宋体" w:cs="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3B3418A">
            <w:pPr>
              <w:spacing w:line="360" w:lineRule="auto"/>
              <w:jc w:val="center"/>
              <w:rPr>
                <w:rFonts w:hint="eastAsia" w:ascii="宋体" w:hAnsi="宋体" w:eastAsia="宋体" w:cs="宋体"/>
                <w:color w:val="auto"/>
                <w:sz w:val="24"/>
                <w:szCs w:val="24"/>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18FF5AC5">
            <w:pPr>
              <w:spacing w:line="360" w:lineRule="auto"/>
              <w:jc w:val="center"/>
              <w:rPr>
                <w:rFonts w:hint="eastAsia" w:ascii="宋体" w:hAnsi="宋体" w:eastAsia="宋体" w:cs="宋体"/>
                <w:color w:val="auto"/>
                <w:sz w:val="24"/>
                <w:szCs w:val="24"/>
                <w:highlight w:val="none"/>
              </w:rPr>
            </w:pPr>
          </w:p>
        </w:tc>
      </w:tr>
      <w:tr w14:paraId="5C0BA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4941B634">
            <w:pPr>
              <w:spacing w:line="360" w:lineRule="auto"/>
              <w:jc w:val="center"/>
              <w:rPr>
                <w:rFonts w:hint="eastAsia" w:ascii="宋体" w:hAnsi="宋体" w:eastAsia="宋体" w:cs="宋体"/>
                <w:color w:val="auto"/>
                <w:sz w:val="24"/>
                <w:szCs w:val="24"/>
                <w:highlight w:val="none"/>
              </w:rPr>
            </w:pPr>
          </w:p>
        </w:tc>
        <w:tc>
          <w:tcPr>
            <w:tcW w:w="2242" w:type="dxa"/>
            <w:tcBorders>
              <w:top w:val="single" w:color="auto" w:sz="4" w:space="0"/>
              <w:left w:val="single" w:color="auto" w:sz="4" w:space="0"/>
              <w:bottom w:val="single" w:color="auto" w:sz="4" w:space="0"/>
              <w:right w:val="single" w:color="auto" w:sz="4" w:space="0"/>
            </w:tcBorders>
            <w:noWrap w:val="0"/>
            <w:vAlign w:val="center"/>
          </w:tcPr>
          <w:p w14:paraId="3AA8D4CE">
            <w:pPr>
              <w:spacing w:line="360" w:lineRule="auto"/>
              <w:jc w:val="center"/>
              <w:rPr>
                <w:rFonts w:hint="eastAsia" w:ascii="宋体" w:hAnsi="宋体" w:eastAsia="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6287FE6B">
            <w:pPr>
              <w:spacing w:line="360" w:lineRule="auto"/>
              <w:jc w:val="center"/>
              <w:rPr>
                <w:rFonts w:hint="eastAsia" w:ascii="宋体" w:hAnsi="宋体" w:eastAsia="宋体" w:cs="宋体"/>
                <w:color w:val="auto"/>
                <w:sz w:val="24"/>
                <w:szCs w:val="24"/>
                <w:highlight w:val="none"/>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418791AC">
            <w:pPr>
              <w:spacing w:line="360" w:lineRule="auto"/>
              <w:jc w:val="center"/>
              <w:rPr>
                <w:rFonts w:hint="eastAsia" w:ascii="宋体" w:hAnsi="宋体" w:eastAsia="宋体" w:cs="宋体"/>
                <w:color w:val="auto"/>
                <w:sz w:val="24"/>
                <w:szCs w:val="24"/>
                <w:highlight w:val="none"/>
              </w:rPr>
            </w:pPr>
          </w:p>
        </w:tc>
        <w:tc>
          <w:tcPr>
            <w:tcW w:w="1646" w:type="dxa"/>
            <w:tcBorders>
              <w:top w:val="single" w:color="auto" w:sz="4" w:space="0"/>
              <w:left w:val="single" w:color="auto" w:sz="4" w:space="0"/>
              <w:bottom w:val="single" w:color="auto" w:sz="4" w:space="0"/>
              <w:right w:val="single" w:color="auto" w:sz="4" w:space="0"/>
            </w:tcBorders>
            <w:noWrap w:val="0"/>
            <w:vAlign w:val="center"/>
          </w:tcPr>
          <w:p w14:paraId="2836C82C">
            <w:pPr>
              <w:spacing w:line="360" w:lineRule="auto"/>
              <w:jc w:val="center"/>
              <w:rPr>
                <w:rFonts w:hint="eastAsia" w:ascii="宋体" w:hAnsi="宋体" w:eastAsia="宋体" w:cs="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D304FCC">
            <w:pPr>
              <w:spacing w:line="360" w:lineRule="auto"/>
              <w:jc w:val="center"/>
              <w:rPr>
                <w:rFonts w:hint="eastAsia" w:ascii="宋体" w:hAnsi="宋体" w:eastAsia="宋体" w:cs="宋体"/>
                <w:color w:val="auto"/>
                <w:sz w:val="24"/>
                <w:szCs w:val="24"/>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4C992239">
            <w:pPr>
              <w:spacing w:line="360" w:lineRule="auto"/>
              <w:jc w:val="center"/>
              <w:rPr>
                <w:rFonts w:hint="eastAsia" w:ascii="宋体" w:hAnsi="宋体" w:eastAsia="宋体" w:cs="宋体"/>
                <w:color w:val="auto"/>
                <w:sz w:val="24"/>
                <w:szCs w:val="24"/>
                <w:highlight w:val="none"/>
              </w:rPr>
            </w:pPr>
          </w:p>
        </w:tc>
      </w:tr>
      <w:tr w14:paraId="6ED8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6CE59BB7">
            <w:pPr>
              <w:spacing w:line="360" w:lineRule="auto"/>
              <w:jc w:val="center"/>
              <w:rPr>
                <w:rFonts w:hint="eastAsia" w:ascii="宋体" w:hAnsi="宋体" w:eastAsia="宋体" w:cs="宋体"/>
                <w:color w:val="auto"/>
                <w:sz w:val="24"/>
                <w:szCs w:val="24"/>
                <w:highlight w:val="none"/>
              </w:rPr>
            </w:pPr>
          </w:p>
        </w:tc>
        <w:tc>
          <w:tcPr>
            <w:tcW w:w="2242" w:type="dxa"/>
            <w:tcBorders>
              <w:top w:val="single" w:color="auto" w:sz="4" w:space="0"/>
              <w:left w:val="single" w:color="auto" w:sz="4" w:space="0"/>
              <w:bottom w:val="single" w:color="auto" w:sz="4" w:space="0"/>
              <w:right w:val="single" w:color="auto" w:sz="4" w:space="0"/>
            </w:tcBorders>
            <w:noWrap w:val="0"/>
            <w:vAlign w:val="center"/>
          </w:tcPr>
          <w:p w14:paraId="1E0E7953">
            <w:pPr>
              <w:spacing w:line="360" w:lineRule="auto"/>
              <w:jc w:val="center"/>
              <w:rPr>
                <w:rFonts w:hint="eastAsia" w:ascii="宋体" w:hAnsi="宋体" w:eastAsia="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752DF412">
            <w:pPr>
              <w:spacing w:line="360" w:lineRule="auto"/>
              <w:jc w:val="center"/>
              <w:rPr>
                <w:rFonts w:hint="eastAsia" w:ascii="宋体" w:hAnsi="宋体" w:eastAsia="宋体" w:cs="宋体"/>
                <w:color w:val="auto"/>
                <w:sz w:val="24"/>
                <w:szCs w:val="24"/>
                <w:highlight w:val="none"/>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3ACB6EBC">
            <w:pPr>
              <w:spacing w:line="360" w:lineRule="auto"/>
              <w:jc w:val="center"/>
              <w:rPr>
                <w:rFonts w:hint="eastAsia" w:ascii="宋体" w:hAnsi="宋体" w:eastAsia="宋体" w:cs="宋体"/>
                <w:color w:val="auto"/>
                <w:sz w:val="24"/>
                <w:szCs w:val="24"/>
                <w:highlight w:val="none"/>
              </w:rPr>
            </w:pPr>
          </w:p>
        </w:tc>
        <w:tc>
          <w:tcPr>
            <w:tcW w:w="1646" w:type="dxa"/>
            <w:tcBorders>
              <w:top w:val="single" w:color="auto" w:sz="4" w:space="0"/>
              <w:left w:val="single" w:color="auto" w:sz="4" w:space="0"/>
              <w:bottom w:val="single" w:color="auto" w:sz="4" w:space="0"/>
              <w:right w:val="single" w:color="auto" w:sz="4" w:space="0"/>
            </w:tcBorders>
            <w:noWrap w:val="0"/>
            <w:vAlign w:val="center"/>
          </w:tcPr>
          <w:p w14:paraId="76EC580A">
            <w:pPr>
              <w:spacing w:line="360" w:lineRule="auto"/>
              <w:jc w:val="center"/>
              <w:rPr>
                <w:rFonts w:hint="eastAsia" w:ascii="宋体" w:hAnsi="宋体" w:eastAsia="宋体" w:cs="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82BDBE3">
            <w:pPr>
              <w:spacing w:line="360" w:lineRule="auto"/>
              <w:jc w:val="center"/>
              <w:rPr>
                <w:rFonts w:hint="eastAsia" w:ascii="宋体" w:hAnsi="宋体" w:eastAsia="宋体" w:cs="宋体"/>
                <w:color w:val="auto"/>
                <w:sz w:val="24"/>
                <w:szCs w:val="24"/>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403D4177">
            <w:pPr>
              <w:spacing w:line="360" w:lineRule="auto"/>
              <w:jc w:val="center"/>
              <w:rPr>
                <w:rFonts w:hint="eastAsia" w:ascii="宋体" w:hAnsi="宋体" w:eastAsia="宋体" w:cs="宋体"/>
                <w:color w:val="auto"/>
                <w:sz w:val="24"/>
                <w:szCs w:val="24"/>
                <w:highlight w:val="none"/>
              </w:rPr>
            </w:pPr>
          </w:p>
        </w:tc>
      </w:tr>
      <w:tr w14:paraId="587D3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7CBCCACC">
            <w:pPr>
              <w:spacing w:line="360" w:lineRule="auto"/>
              <w:jc w:val="center"/>
              <w:rPr>
                <w:rFonts w:hint="eastAsia" w:ascii="宋体" w:hAnsi="宋体" w:eastAsia="宋体" w:cs="宋体"/>
                <w:color w:val="auto"/>
                <w:sz w:val="24"/>
                <w:szCs w:val="24"/>
                <w:highlight w:val="none"/>
              </w:rPr>
            </w:pPr>
          </w:p>
        </w:tc>
        <w:tc>
          <w:tcPr>
            <w:tcW w:w="2242" w:type="dxa"/>
            <w:tcBorders>
              <w:top w:val="single" w:color="auto" w:sz="4" w:space="0"/>
              <w:left w:val="single" w:color="auto" w:sz="4" w:space="0"/>
              <w:bottom w:val="single" w:color="auto" w:sz="4" w:space="0"/>
              <w:right w:val="single" w:color="auto" w:sz="4" w:space="0"/>
            </w:tcBorders>
            <w:noWrap w:val="0"/>
            <w:vAlign w:val="center"/>
          </w:tcPr>
          <w:p w14:paraId="6CD3A314">
            <w:pPr>
              <w:spacing w:line="360" w:lineRule="auto"/>
              <w:jc w:val="center"/>
              <w:rPr>
                <w:rFonts w:hint="eastAsia" w:ascii="宋体" w:hAnsi="宋体" w:eastAsia="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6E197380">
            <w:pPr>
              <w:spacing w:line="360" w:lineRule="auto"/>
              <w:jc w:val="center"/>
              <w:rPr>
                <w:rFonts w:hint="eastAsia" w:ascii="宋体" w:hAnsi="宋体" w:eastAsia="宋体" w:cs="宋体"/>
                <w:color w:val="auto"/>
                <w:sz w:val="24"/>
                <w:szCs w:val="24"/>
                <w:highlight w:val="none"/>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2AE2C888">
            <w:pPr>
              <w:spacing w:line="360" w:lineRule="auto"/>
              <w:jc w:val="center"/>
              <w:rPr>
                <w:rFonts w:hint="eastAsia" w:ascii="宋体" w:hAnsi="宋体" w:eastAsia="宋体" w:cs="宋体"/>
                <w:color w:val="auto"/>
                <w:sz w:val="24"/>
                <w:szCs w:val="24"/>
                <w:highlight w:val="none"/>
              </w:rPr>
            </w:pPr>
          </w:p>
        </w:tc>
        <w:tc>
          <w:tcPr>
            <w:tcW w:w="1646" w:type="dxa"/>
            <w:tcBorders>
              <w:top w:val="single" w:color="auto" w:sz="4" w:space="0"/>
              <w:left w:val="single" w:color="auto" w:sz="4" w:space="0"/>
              <w:bottom w:val="single" w:color="auto" w:sz="4" w:space="0"/>
              <w:right w:val="single" w:color="auto" w:sz="4" w:space="0"/>
            </w:tcBorders>
            <w:noWrap w:val="0"/>
            <w:vAlign w:val="center"/>
          </w:tcPr>
          <w:p w14:paraId="5FA5E778">
            <w:pPr>
              <w:spacing w:line="360" w:lineRule="auto"/>
              <w:jc w:val="center"/>
              <w:rPr>
                <w:rFonts w:hint="eastAsia" w:ascii="宋体" w:hAnsi="宋体" w:eastAsia="宋体" w:cs="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AFCF22E">
            <w:pPr>
              <w:spacing w:line="360" w:lineRule="auto"/>
              <w:jc w:val="center"/>
              <w:rPr>
                <w:rFonts w:hint="eastAsia" w:ascii="宋体" w:hAnsi="宋体" w:eastAsia="宋体" w:cs="宋体"/>
                <w:color w:val="auto"/>
                <w:sz w:val="24"/>
                <w:szCs w:val="24"/>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6E9F62FD">
            <w:pPr>
              <w:spacing w:line="360" w:lineRule="auto"/>
              <w:jc w:val="center"/>
              <w:rPr>
                <w:rFonts w:hint="eastAsia" w:ascii="宋体" w:hAnsi="宋体" w:eastAsia="宋体" w:cs="宋体"/>
                <w:color w:val="auto"/>
                <w:sz w:val="24"/>
                <w:szCs w:val="24"/>
                <w:highlight w:val="none"/>
              </w:rPr>
            </w:pPr>
          </w:p>
        </w:tc>
      </w:tr>
      <w:tr w14:paraId="150EA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6CC6A8F5">
            <w:pPr>
              <w:spacing w:line="360" w:lineRule="auto"/>
              <w:jc w:val="center"/>
              <w:rPr>
                <w:rFonts w:hint="eastAsia" w:ascii="宋体" w:hAnsi="宋体" w:eastAsia="宋体" w:cs="宋体"/>
                <w:color w:val="auto"/>
                <w:sz w:val="24"/>
                <w:szCs w:val="24"/>
                <w:highlight w:val="none"/>
              </w:rPr>
            </w:pPr>
          </w:p>
        </w:tc>
        <w:tc>
          <w:tcPr>
            <w:tcW w:w="2242" w:type="dxa"/>
            <w:tcBorders>
              <w:top w:val="single" w:color="auto" w:sz="4" w:space="0"/>
              <w:left w:val="single" w:color="auto" w:sz="4" w:space="0"/>
              <w:bottom w:val="single" w:color="auto" w:sz="4" w:space="0"/>
              <w:right w:val="single" w:color="auto" w:sz="4" w:space="0"/>
            </w:tcBorders>
            <w:noWrap w:val="0"/>
            <w:vAlign w:val="center"/>
          </w:tcPr>
          <w:p w14:paraId="2AC66864">
            <w:pPr>
              <w:spacing w:line="360" w:lineRule="auto"/>
              <w:jc w:val="center"/>
              <w:rPr>
                <w:rFonts w:hint="eastAsia" w:ascii="宋体" w:hAnsi="宋体" w:eastAsia="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14DEAFAB">
            <w:pPr>
              <w:spacing w:line="360" w:lineRule="auto"/>
              <w:jc w:val="center"/>
              <w:rPr>
                <w:rFonts w:hint="eastAsia" w:ascii="宋体" w:hAnsi="宋体" w:eastAsia="宋体" w:cs="宋体"/>
                <w:color w:val="auto"/>
                <w:sz w:val="24"/>
                <w:szCs w:val="24"/>
                <w:highlight w:val="none"/>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6172E130">
            <w:pPr>
              <w:spacing w:line="360" w:lineRule="auto"/>
              <w:jc w:val="center"/>
              <w:rPr>
                <w:rFonts w:hint="eastAsia" w:ascii="宋体" w:hAnsi="宋体" w:eastAsia="宋体" w:cs="宋体"/>
                <w:color w:val="auto"/>
                <w:sz w:val="24"/>
                <w:szCs w:val="24"/>
                <w:highlight w:val="none"/>
              </w:rPr>
            </w:pPr>
          </w:p>
        </w:tc>
        <w:tc>
          <w:tcPr>
            <w:tcW w:w="1646" w:type="dxa"/>
            <w:tcBorders>
              <w:top w:val="single" w:color="auto" w:sz="4" w:space="0"/>
              <w:left w:val="single" w:color="auto" w:sz="4" w:space="0"/>
              <w:bottom w:val="single" w:color="auto" w:sz="4" w:space="0"/>
              <w:right w:val="single" w:color="auto" w:sz="4" w:space="0"/>
            </w:tcBorders>
            <w:noWrap w:val="0"/>
            <w:vAlign w:val="center"/>
          </w:tcPr>
          <w:p w14:paraId="50DA82D8">
            <w:pPr>
              <w:spacing w:line="360" w:lineRule="auto"/>
              <w:jc w:val="center"/>
              <w:rPr>
                <w:rFonts w:hint="eastAsia" w:ascii="宋体" w:hAnsi="宋体" w:eastAsia="宋体" w:cs="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638D332">
            <w:pPr>
              <w:spacing w:line="360" w:lineRule="auto"/>
              <w:jc w:val="center"/>
              <w:rPr>
                <w:rFonts w:hint="eastAsia" w:ascii="宋体" w:hAnsi="宋体" w:eastAsia="宋体" w:cs="宋体"/>
                <w:color w:val="auto"/>
                <w:sz w:val="24"/>
                <w:szCs w:val="24"/>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72D01997">
            <w:pPr>
              <w:spacing w:line="360" w:lineRule="auto"/>
              <w:jc w:val="center"/>
              <w:rPr>
                <w:rFonts w:hint="eastAsia" w:ascii="宋体" w:hAnsi="宋体" w:eastAsia="宋体" w:cs="宋体"/>
                <w:color w:val="auto"/>
                <w:sz w:val="24"/>
                <w:szCs w:val="24"/>
                <w:highlight w:val="none"/>
              </w:rPr>
            </w:pPr>
          </w:p>
        </w:tc>
      </w:tr>
      <w:tr w14:paraId="3B5B1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12197523">
            <w:pPr>
              <w:spacing w:line="360" w:lineRule="auto"/>
              <w:jc w:val="center"/>
              <w:rPr>
                <w:rFonts w:hint="eastAsia" w:ascii="宋体" w:hAnsi="宋体" w:eastAsia="宋体" w:cs="宋体"/>
                <w:color w:val="auto"/>
                <w:sz w:val="24"/>
                <w:szCs w:val="24"/>
                <w:highlight w:val="none"/>
              </w:rPr>
            </w:pPr>
          </w:p>
        </w:tc>
        <w:tc>
          <w:tcPr>
            <w:tcW w:w="2242" w:type="dxa"/>
            <w:tcBorders>
              <w:top w:val="single" w:color="auto" w:sz="4" w:space="0"/>
              <w:left w:val="single" w:color="auto" w:sz="4" w:space="0"/>
              <w:bottom w:val="single" w:color="auto" w:sz="4" w:space="0"/>
              <w:right w:val="single" w:color="auto" w:sz="4" w:space="0"/>
            </w:tcBorders>
            <w:noWrap w:val="0"/>
            <w:vAlign w:val="center"/>
          </w:tcPr>
          <w:p w14:paraId="2277753A">
            <w:pPr>
              <w:spacing w:line="360" w:lineRule="auto"/>
              <w:jc w:val="center"/>
              <w:rPr>
                <w:rFonts w:hint="eastAsia" w:ascii="宋体" w:hAnsi="宋体" w:eastAsia="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7F55792E">
            <w:pPr>
              <w:spacing w:line="360" w:lineRule="auto"/>
              <w:jc w:val="center"/>
              <w:rPr>
                <w:rFonts w:hint="eastAsia" w:ascii="宋体" w:hAnsi="宋体" w:eastAsia="宋体" w:cs="宋体"/>
                <w:color w:val="auto"/>
                <w:sz w:val="24"/>
                <w:szCs w:val="24"/>
                <w:highlight w:val="none"/>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6E6997E7">
            <w:pPr>
              <w:spacing w:line="360" w:lineRule="auto"/>
              <w:jc w:val="center"/>
              <w:rPr>
                <w:rFonts w:hint="eastAsia" w:ascii="宋体" w:hAnsi="宋体" w:eastAsia="宋体" w:cs="宋体"/>
                <w:color w:val="auto"/>
                <w:sz w:val="24"/>
                <w:szCs w:val="24"/>
                <w:highlight w:val="none"/>
              </w:rPr>
            </w:pPr>
          </w:p>
        </w:tc>
        <w:tc>
          <w:tcPr>
            <w:tcW w:w="1646" w:type="dxa"/>
            <w:tcBorders>
              <w:top w:val="single" w:color="auto" w:sz="4" w:space="0"/>
              <w:left w:val="single" w:color="auto" w:sz="4" w:space="0"/>
              <w:bottom w:val="single" w:color="auto" w:sz="4" w:space="0"/>
              <w:right w:val="single" w:color="auto" w:sz="4" w:space="0"/>
            </w:tcBorders>
            <w:noWrap w:val="0"/>
            <w:vAlign w:val="center"/>
          </w:tcPr>
          <w:p w14:paraId="2D8BFB88">
            <w:pPr>
              <w:spacing w:line="360" w:lineRule="auto"/>
              <w:jc w:val="center"/>
              <w:rPr>
                <w:rFonts w:hint="eastAsia" w:ascii="宋体" w:hAnsi="宋体" w:eastAsia="宋体" w:cs="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F6BB3ED">
            <w:pPr>
              <w:spacing w:line="360" w:lineRule="auto"/>
              <w:jc w:val="center"/>
              <w:rPr>
                <w:rFonts w:hint="eastAsia" w:ascii="宋体" w:hAnsi="宋体" w:eastAsia="宋体" w:cs="宋体"/>
                <w:color w:val="auto"/>
                <w:sz w:val="24"/>
                <w:szCs w:val="24"/>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09220594">
            <w:pPr>
              <w:spacing w:line="360" w:lineRule="auto"/>
              <w:jc w:val="center"/>
              <w:rPr>
                <w:rFonts w:hint="eastAsia" w:ascii="宋体" w:hAnsi="宋体" w:eastAsia="宋体" w:cs="宋体"/>
                <w:color w:val="auto"/>
                <w:sz w:val="24"/>
                <w:szCs w:val="24"/>
                <w:highlight w:val="none"/>
              </w:rPr>
            </w:pPr>
          </w:p>
        </w:tc>
      </w:tr>
    </w:tbl>
    <w:p w14:paraId="0AC67D37">
      <w:pPr>
        <w:spacing w:line="360" w:lineRule="auto"/>
        <w:ind w:firstLine="480" w:firstLineChars="200"/>
        <w:rPr>
          <w:rFonts w:hint="eastAsia" w:ascii="宋体" w:hAnsi="宋体" w:eastAsia="宋体" w:cs="宋体"/>
          <w:color w:val="auto"/>
          <w:sz w:val="24"/>
          <w:szCs w:val="24"/>
          <w:highlight w:val="none"/>
        </w:rPr>
      </w:pPr>
    </w:p>
    <w:p w14:paraId="5DBAB615">
      <w:pPr>
        <w:pStyle w:val="970"/>
        <w:spacing w:line="360" w:lineRule="auto"/>
        <w:ind w:left="480" w:firstLine="420"/>
        <w:rPr>
          <w:rFonts w:hint="eastAsia" w:ascii="宋体" w:hAnsi="宋体" w:eastAsia="宋体" w:cs="宋体"/>
          <w:color w:val="auto"/>
          <w:sz w:val="24"/>
          <w:szCs w:val="24"/>
          <w:highlight w:val="none"/>
        </w:rPr>
      </w:pPr>
    </w:p>
    <w:p w14:paraId="45A6AF05">
      <w:pPr>
        <w:spacing w:line="360" w:lineRule="auto"/>
        <w:ind w:firstLine="643" w:firstLineChars="2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二、工程设备暂估价表</w:t>
      </w:r>
    </w:p>
    <w:tbl>
      <w:tblPr>
        <w:tblStyle w:val="62"/>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984"/>
        <w:gridCol w:w="851"/>
        <w:gridCol w:w="774"/>
        <w:gridCol w:w="1352"/>
        <w:gridCol w:w="1418"/>
        <w:gridCol w:w="1701"/>
      </w:tblGrid>
      <w:tr w14:paraId="108C6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78081B94">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252D77B6">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3BAA8614">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单位</w:t>
            </w:r>
          </w:p>
        </w:tc>
        <w:tc>
          <w:tcPr>
            <w:tcW w:w="774" w:type="dxa"/>
            <w:tcBorders>
              <w:top w:val="single" w:color="auto" w:sz="4" w:space="0"/>
              <w:left w:val="single" w:color="auto" w:sz="4" w:space="0"/>
              <w:bottom w:val="single" w:color="auto" w:sz="4" w:space="0"/>
              <w:right w:val="single" w:color="auto" w:sz="4" w:space="0"/>
            </w:tcBorders>
            <w:noWrap w:val="0"/>
            <w:vAlign w:val="center"/>
          </w:tcPr>
          <w:p w14:paraId="44426A4E">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1352" w:type="dxa"/>
            <w:tcBorders>
              <w:top w:val="single" w:color="auto" w:sz="4" w:space="0"/>
              <w:left w:val="single" w:color="auto" w:sz="4" w:space="0"/>
              <w:bottom w:val="single" w:color="auto" w:sz="4" w:space="0"/>
              <w:right w:val="single" w:color="auto" w:sz="4" w:space="0"/>
            </w:tcBorders>
            <w:noWrap w:val="0"/>
            <w:vAlign w:val="center"/>
          </w:tcPr>
          <w:p w14:paraId="55BDD848">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单价（元）</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B410170">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合价（元）</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9C59110">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r>
      <w:tr w14:paraId="3446E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63B4F1BA">
            <w:pPr>
              <w:spacing w:line="360" w:lineRule="auto"/>
              <w:jc w:val="center"/>
              <w:rPr>
                <w:rFonts w:hint="eastAsia" w:ascii="宋体" w:hAnsi="宋体" w:eastAsia="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0448FD5E">
            <w:pPr>
              <w:spacing w:line="360" w:lineRule="auto"/>
              <w:jc w:val="center"/>
              <w:rPr>
                <w:rFonts w:hint="eastAsia" w:ascii="宋体" w:hAnsi="宋体" w:eastAsia="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2922F0FD">
            <w:pPr>
              <w:spacing w:line="360" w:lineRule="auto"/>
              <w:jc w:val="center"/>
              <w:rPr>
                <w:rFonts w:hint="eastAsia" w:ascii="宋体" w:hAnsi="宋体" w:eastAsia="宋体" w:cs="宋体"/>
                <w:color w:val="auto"/>
                <w:sz w:val="24"/>
                <w:szCs w:val="24"/>
                <w:highlight w:val="none"/>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34AD6EC6">
            <w:pPr>
              <w:spacing w:line="360" w:lineRule="auto"/>
              <w:jc w:val="center"/>
              <w:rPr>
                <w:rFonts w:hint="eastAsia" w:ascii="宋体" w:hAnsi="宋体" w:eastAsia="宋体" w:cs="宋体"/>
                <w:color w:val="auto"/>
                <w:sz w:val="24"/>
                <w:szCs w:val="24"/>
                <w:highlight w:val="none"/>
              </w:rPr>
            </w:pPr>
          </w:p>
        </w:tc>
        <w:tc>
          <w:tcPr>
            <w:tcW w:w="1352" w:type="dxa"/>
            <w:tcBorders>
              <w:top w:val="single" w:color="auto" w:sz="4" w:space="0"/>
              <w:left w:val="single" w:color="auto" w:sz="4" w:space="0"/>
              <w:bottom w:val="single" w:color="auto" w:sz="4" w:space="0"/>
              <w:right w:val="single" w:color="auto" w:sz="4" w:space="0"/>
            </w:tcBorders>
            <w:noWrap w:val="0"/>
            <w:vAlign w:val="center"/>
          </w:tcPr>
          <w:p w14:paraId="2E548689">
            <w:pPr>
              <w:spacing w:line="360" w:lineRule="auto"/>
              <w:jc w:val="center"/>
              <w:rPr>
                <w:rFonts w:hint="eastAsia" w:ascii="宋体" w:hAnsi="宋体" w:eastAsia="宋体" w:cs="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AA94350">
            <w:pPr>
              <w:spacing w:line="360" w:lineRule="auto"/>
              <w:jc w:val="center"/>
              <w:rPr>
                <w:rFonts w:hint="eastAsia" w:ascii="宋体" w:hAnsi="宋体" w:eastAsia="宋体" w:cs="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0DB61FF">
            <w:pPr>
              <w:spacing w:line="360" w:lineRule="auto"/>
              <w:jc w:val="center"/>
              <w:rPr>
                <w:rFonts w:hint="eastAsia" w:ascii="宋体" w:hAnsi="宋体" w:eastAsia="宋体" w:cs="宋体"/>
                <w:color w:val="auto"/>
                <w:sz w:val="24"/>
                <w:szCs w:val="24"/>
                <w:highlight w:val="none"/>
              </w:rPr>
            </w:pPr>
          </w:p>
        </w:tc>
      </w:tr>
      <w:tr w14:paraId="5AC49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49D5AE55">
            <w:pPr>
              <w:spacing w:line="360" w:lineRule="auto"/>
              <w:jc w:val="center"/>
              <w:rPr>
                <w:rFonts w:hint="eastAsia" w:ascii="宋体" w:hAnsi="宋体" w:eastAsia="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2674BCB1">
            <w:pPr>
              <w:spacing w:line="360" w:lineRule="auto"/>
              <w:jc w:val="center"/>
              <w:rPr>
                <w:rFonts w:hint="eastAsia" w:ascii="宋体" w:hAnsi="宋体" w:eastAsia="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136AD340">
            <w:pPr>
              <w:spacing w:line="360" w:lineRule="auto"/>
              <w:jc w:val="center"/>
              <w:rPr>
                <w:rFonts w:hint="eastAsia" w:ascii="宋体" w:hAnsi="宋体" w:eastAsia="宋体" w:cs="宋体"/>
                <w:color w:val="auto"/>
                <w:sz w:val="24"/>
                <w:szCs w:val="24"/>
                <w:highlight w:val="none"/>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38C4DD4D">
            <w:pPr>
              <w:spacing w:line="360" w:lineRule="auto"/>
              <w:jc w:val="center"/>
              <w:rPr>
                <w:rFonts w:hint="eastAsia" w:ascii="宋体" w:hAnsi="宋体" w:eastAsia="宋体" w:cs="宋体"/>
                <w:color w:val="auto"/>
                <w:sz w:val="24"/>
                <w:szCs w:val="24"/>
                <w:highlight w:val="none"/>
              </w:rPr>
            </w:pPr>
          </w:p>
        </w:tc>
        <w:tc>
          <w:tcPr>
            <w:tcW w:w="1352" w:type="dxa"/>
            <w:tcBorders>
              <w:top w:val="single" w:color="auto" w:sz="4" w:space="0"/>
              <w:left w:val="single" w:color="auto" w:sz="4" w:space="0"/>
              <w:bottom w:val="single" w:color="auto" w:sz="4" w:space="0"/>
              <w:right w:val="single" w:color="auto" w:sz="4" w:space="0"/>
            </w:tcBorders>
            <w:noWrap w:val="0"/>
            <w:vAlign w:val="center"/>
          </w:tcPr>
          <w:p w14:paraId="0F0C6320">
            <w:pPr>
              <w:spacing w:line="360" w:lineRule="auto"/>
              <w:jc w:val="center"/>
              <w:rPr>
                <w:rFonts w:hint="eastAsia" w:ascii="宋体" w:hAnsi="宋体" w:eastAsia="宋体" w:cs="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C67CE14">
            <w:pPr>
              <w:spacing w:line="360" w:lineRule="auto"/>
              <w:jc w:val="center"/>
              <w:rPr>
                <w:rFonts w:hint="eastAsia" w:ascii="宋体" w:hAnsi="宋体" w:eastAsia="宋体" w:cs="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EF45DF1">
            <w:pPr>
              <w:spacing w:line="360" w:lineRule="auto"/>
              <w:jc w:val="center"/>
              <w:rPr>
                <w:rFonts w:hint="eastAsia" w:ascii="宋体" w:hAnsi="宋体" w:eastAsia="宋体" w:cs="宋体"/>
                <w:color w:val="auto"/>
                <w:sz w:val="24"/>
                <w:szCs w:val="24"/>
                <w:highlight w:val="none"/>
              </w:rPr>
            </w:pPr>
          </w:p>
        </w:tc>
      </w:tr>
      <w:tr w14:paraId="519FE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606CB702">
            <w:pPr>
              <w:spacing w:line="360" w:lineRule="auto"/>
              <w:jc w:val="center"/>
              <w:rPr>
                <w:rFonts w:hint="eastAsia" w:ascii="宋体" w:hAnsi="宋体" w:eastAsia="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38355069">
            <w:pPr>
              <w:spacing w:line="360" w:lineRule="auto"/>
              <w:jc w:val="center"/>
              <w:rPr>
                <w:rFonts w:hint="eastAsia" w:ascii="宋体" w:hAnsi="宋体" w:eastAsia="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094C2706">
            <w:pPr>
              <w:spacing w:line="360" w:lineRule="auto"/>
              <w:jc w:val="center"/>
              <w:rPr>
                <w:rFonts w:hint="eastAsia" w:ascii="宋体" w:hAnsi="宋体" w:eastAsia="宋体" w:cs="宋体"/>
                <w:color w:val="auto"/>
                <w:sz w:val="24"/>
                <w:szCs w:val="24"/>
                <w:highlight w:val="none"/>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79CDB325">
            <w:pPr>
              <w:spacing w:line="360" w:lineRule="auto"/>
              <w:jc w:val="center"/>
              <w:rPr>
                <w:rFonts w:hint="eastAsia" w:ascii="宋体" w:hAnsi="宋体" w:eastAsia="宋体" w:cs="宋体"/>
                <w:color w:val="auto"/>
                <w:sz w:val="24"/>
                <w:szCs w:val="24"/>
                <w:highlight w:val="none"/>
              </w:rPr>
            </w:pPr>
          </w:p>
        </w:tc>
        <w:tc>
          <w:tcPr>
            <w:tcW w:w="1352" w:type="dxa"/>
            <w:tcBorders>
              <w:top w:val="single" w:color="auto" w:sz="4" w:space="0"/>
              <w:left w:val="single" w:color="auto" w:sz="4" w:space="0"/>
              <w:bottom w:val="single" w:color="auto" w:sz="4" w:space="0"/>
              <w:right w:val="single" w:color="auto" w:sz="4" w:space="0"/>
            </w:tcBorders>
            <w:noWrap w:val="0"/>
            <w:vAlign w:val="center"/>
          </w:tcPr>
          <w:p w14:paraId="00D505DE">
            <w:pPr>
              <w:spacing w:line="360" w:lineRule="auto"/>
              <w:jc w:val="center"/>
              <w:rPr>
                <w:rFonts w:hint="eastAsia" w:ascii="宋体" w:hAnsi="宋体" w:eastAsia="宋体" w:cs="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EF002C5">
            <w:pPr>
              <w:spacing w:line="360" w:lineRule="auto"/>
              <w:jc w:val="center"/>
              <w:rPr>
                <w:rFonts w:hint="eastAsia" w:ascii="宋体" w:hAnsi="宋体" w:eastAsia="宋体" w:cs="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A297546">
            <w:pPr>
              <w:spacing w:line="360" w:lineRule="auto"/>
              <w:jc w:val="center"/>
              <w:rPr>
                <w:rFonts w:hint="eastAsia" w:ascii="宋体" w:hAnsi="宋体" w:eastAsia="宋体" w:cs="宋体"/>
                <w:color w:val="auto"/>
                <w:sz w:val="24"/>
                <w:szCs w:val="24"/>
                <w:highlight w:val="none"/>
              </w:rPr>
            </w:pPr>
          </w:p>
        </w:tc>
      </w:tr>
      <w:tr w14:paraId="0B0C0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2A657C25">
            <w:pPr>
              <w:spacing w:line="360" w:lineRule="auto"/>
              <w:jc w:val="center"/>
              <w:rPr>
                <w:rFonts w:hint="eastAsia" w:ascii="宋体" w:hAnsi="宋体" w:eastAsia="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3CC5A999">
            <w:pPr>
              <w:spacing w:line="360" w:lineRule="auto"/>
              <w:jc w:val="center"/>
              <w:rPr>
                <w:rFonts w:hint="eastAsia" w:ascii="宋体" w:hAnsi="宋体" w:eastAsia="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661101D5">
            <w:pPr>
              <w:spacing w:line="360" w:lineRule="auto"/>
              <w:jc w:val="center"/>
              <w:rPr>
                <w:rFonts w:hint="eastAsia" w:ascii="宋体" w:hAnsi="宋体" w:eastAsia="宋体" w:cs="宋体"/>
                <w:color w:val="auto"/>
                <w:sz w:val="24"/>
                <w:szCs w:val="24"/>
                <w:highlight w:val="none"/>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7C02C7D3">
            <w:pPr>
              <w:spacing w:line="360" w:lineRule="auto"/>
              <w:jc w:val="center"/>
              <w:rPr>
                <w:rFonts w:hint="eastAsia" w:ascii="宋体" w:hAnsi="宋体" w:eastAsia="宋体" w:cs="宋体"/>
                <w:color w:val="auto"/>
                <w:sz w:val="24"/>
                <w:szCs w:val="24"/>
                <w:highlight w:val="none"/>
              </w:rPr>
            </w:pPr>
          </w:p>
        </w:tc>
        <w:tc>
          <w:tcPr>
            <w:tcW w:w="1352" w:type="dxa"/>
            <w:tcBorders>
              <w:top w:val="single" w:color="auto" w:sz="4" w:space="0"/>
              <w:left w:val="single" w:color="auto" w:sz="4" w:space="0"/>
              <w:bottom w:val="single" w:color="auto" w:sz="4" w:space="0"/>
              <w:right w:val="single" w:color="auto" w:sz="4" w:space="0"/>
            </w:tcBorders>
            <w:noWrap w:val="0"/>
            <w:vAlign w:val="center"/>
          </w:tcPr>
          <w:p w14:paraId="4BEE8E69">
            <w:pPr>
              <w:spacing w:line="360" w:lineRule="auto"/>
              <w:jc w:val="center"/>
              <w:rPr>
                <w:rFonts w:hint="eastAsia" w:ascii="宋体" w:hAnsi="宋体" w:eastAsia="宋体" w:cs="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327A4B4">
            <w:pPr>
              <w:spacing w:line="360" w:lineRule="auto"/>
              <w:jc w:val="center"/>
              <w:rPr>
                <w:rFonts w:hint="eastAsia" w:ascii="宋体" w:hAnsi="宋体" w:eastAsia="宋体" w:cs="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6827531">
            <w:pPr>
              <w:spacing w:line="360" w:lineRule="auto"/>
              <w:jc w:val="center"/>
              <w:rPr>
                <w:rFonts w:hint="eastAsia" w:ascii="宋体" w:hAnsi="宋体" w:eastAsia="宋体" w:cs="宋体"/>
                <w:color w:val="auto"/>
                <w:sz w:val="24"/>
                <w:szCs w:val="24"/>
                <w:highlight w:val="none"/>
              </w:rPr>
            </w:pPr>
          </w:p>
        </w:tc>
      </w:tr>
      <w:tr w14:paraId="67175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5E35E2D8">
            <w:pPr>
              <w:spacing w:line="360" w:lineRule="auto"/>
              <w:jc w:val="center"/>
              <w:rPr>
                <w:rFonts w:hint="eastAsia" w:ascii="宋体" w:hAnsi="宋体" w:eastAsia="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5BD2938B">
            <w:pPr>
              <w:spacing w:line="360" w:lineRule="auto"/>
              <w:jc w:val="center"/>
              <w:rPr>
                <w:rFonts w:hint="eastAsia" w:ascii="宋体" w:hAnsi="宋体" w:eastAsia="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538AEB8A">
            <w:pPr>
              <w:spacing w:line="360" w:lineRule="auto"/>
              <w:jc w:val="center"/>
              <w:rPr>
                <w:rFonts w:hint="eastAsia" w:ascii="宋体" w:hAnsi="宋体" w:eastAsia="宋体" w:cs="宋体"/>
                <w:color w:val="auto"/>
                <w:sz w:val="24"/>
                <w:szCs w:val="24"/>
                <w:highlight w:val="none"/>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7C60725E">
            <w:pPr>
              <w:spacing w:line="360" w:lineRule="auto"/>
              <w:jc w:val="center"/>
              <w:rPr>
                <w:rFonts w:hint="eastAsia" w:ascii="宋体" w:hAnsi="宋体" w:eastAsia="宋体" w:cs="宋体"/>
                <w:color w:val="auto"/>
                <w:sz w:val="24"/>
                <w:szCs w:val="24"/>
                <w:highlight w:val="none"/>
              </w:rPr>
            </w:pPr>
          </w:p>
        </w:tc>
        <w:tc>
          <w:tcPr>
            <w:tcW w:w="1352" w:type="dxa"/>
            <w:tcBorders>
              <w:top w:val="single" w:color="auto" w:sz="4" w:space="0"/>
              <w:left w:val="single" w:color="auto" w:sz="4" w:space="0"/>
              <w:bottom w:val="single" w:color="auto" w:sz="4" w:space="0"/>
              <w:right w:val="single" w:color="auto" w:sz="4" w:space="0"/>
            </w:tcBorders>
            <w:noWrap w:val="0"/>
            <w:vAlign w:val="center"/>
          </w:tcPr>
          <w:p w14:paraId="5A48FD33">
            <w:pPr>
              <w:spacing w:line="360" w:lineRule="auto"/>
              <w:jc w:val="center"/>
              <w:rPr>
                <w:rFonts w:hint="eastAsia" w:ascii="宋体" w:hAnsi="宋体" w:eastAsia="宋体" w:cs="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84BB517">
            <w:pPr>
              <w:spacing w:line="360" w:lineRule="auto"/>
              <w:jc w:val="center"/>
              <w:rPr>
                <w:rFonts w:hint="eastAsia" w:ascii="宋体" w:hAnsi="宋体" w:eastAsia="宋体" w:cs="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3D2AAB8">
            <w:pPr>
              <w:spacing w:line="360" w:lineRule="auto"/>
              <w:jc w:val="center"/>
              <w:rPr>
                <w:rFonts w:hint="eastAsia" w:ascii="宋体" w:hAnsi="宋体" w:eastAsia="宋体" w:cs="宋体"/>
                <w:color w:val="auto"/>
                <w:sz w:val="24"/>
                <w:szCs w:val="24"/>
                <w:highlight w:val="none"/>
              </w:rPr>
            </w:pPr>
          </w:p>
        </w:tc>
      </w:tr>
      <w:tr w14:paraId="4E573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55DB54F2">
            <w:pPr>
              <w:spacing w:line="360" w:lineRule="auto"/>
              <w:jc w:val="center"/>
              <w:rPr>
                <w:rFonts w:hint="eastAsia" w:ascii="宋体" w:hAnsi="宋体" w:eastAsia="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37B8106E">
            <w:pPr>
              <w:spacing w:line="360" w:lineRule="auto"/>
              <w:jc w:val="center"/>
              <w:rPr>
                <w:rFonts w:hint="eastAsia" w:ascii="宋体" w:hAnsi="宋体" w:eastAsia="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33592B27">
            <w:pPr>
              <w:spacing w:line="360" w:lineRule="auto"/>
              <w:jc w:val="center"/>
              <w:rPr>
                <w:rFonts w:hint="eastAsia" w:ascii="宋体" w:hAnsi="宋体" w:eastAsia="宋体" w:cs="宋体"/>
                <w:color w:val="auto"/>
                <w:sz w:val="24"/>
                <w:szCs w:val="24"/>
                <w:highlight w:val="none"/>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120E21AF">
            <w:pPr>
              <w:spacing w:line="360" w:lineRule="auto"/>
              <w:jc w:val="center"/>
              <w:rPr>
                <w:rFonts w:hint="eastAsia" w:ascii="宋体" w:hAnsi="宋体" w:eastAsia="宋体" w:cs="宋体"/>
                <w:color w:val="auto"/>
                <w:sz w:val="24"/>
                <w:szCs w:val="24"/>
                <w:highlight w:val="none"/>
              </w:rPr>
            </w:pPr>
          </w:p>
        </w:tc>
        <w:tc>
          <w:tcPr>
            <w:tcW w:w="1352" w:type="dxa"/>
            <w:tcBorders>
              <w:top w:val="single" w:color="auto" w:sz="4" w:space="0"/>
              <w:left w:val="single" w:color="auto" w:sz="4" w:space="0"/>
              <w:bottom w:val="single" w:color="auto" w:sz="4" w:space="0"/>
              <w:right w:val="single" w:color="auto" w:sz="4" w:space="0"/>
            </w:tcBorders>
            <w:noWrap w:val="0"/>
            <w:vAlign w:val="center"/>
          </w:tcPr>
          <w:p w14:paraId="5B7AA5D8">
            <w:pPr>
              <w:spacing w:line="360" w:lineRule="auto"/>
              <w:jc w:val="center"/>
              <w:rPr>
                <w:rFonts w:hint="eastAsia" w:ascii="宋体" w:hAnsi="宋体" w:eastAsia="宋体" w:cs="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30EA4D0">
            <w:pPr>
              <w:spacing w:line="360" w:lineRule="auto"/>
              <w:jc w:val="center"/>
              <w:rPr>
                <w:rFonts w:hint="eastAsia" w:ascii="宋体" w:hAnsi="宋体" w:eastAsia="宋体" w:cs="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48BBD9F">
            <w:pPr>
              <w:spacing w:line="360" w:lineRule="auto"/>
              <w:jc w:val="center"/>
              <w:rPr>
                <w:rFonts w:hint="eastAsia" w:ascii="宋体" w:hAnsi="宋体" w:eastAsia="宋体" w:cs="宋体"/>
                <w:color w:val="auto"/>
                <w:sz w:val="24"/>
                <w:szCs w:val="24"/>
                <w:highlight w:val="none"/>
              </w:rPr>
            </w:pPr>
          </w:p>
        </w:tc>
      </w:tr>
      <w:tr w14:paraId="2F7BB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4482598F">
            <w:pPr>
              <w:spacing w:line="360" w:lineRule="auto"/>
              <w:jc w:val="center"/>
              <w:rPr>
                <w:rFonts w:hint="eastAsia" w:ascii="宋体" w:hAnsi="宋体" w:eastAsia="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749D52FF">
            <w:pPr>
              <w:spacing w:line="360" w:lineRule="auto"/>
              <w:jc w:val="center"/>
              <w:rPr>
                <w:rFonts w:hint="eastAsia" w:ascii="宋体" w:hAnsi="宋体" w:eastAsia="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6B80D4F2">
            <w:pPr>
              <w:spacing w:line="360" w:lineRule="auto"/>
              <w:jc w:val="center"/>
              <w:rPr>
                <w:rFonts w:hint="eastAsia" w:ascii="宋体" w:hAnsi="宋体" w:eastAsia="宋体" w:cs="宋体"/>
                <w:color w:val="auto"/>
                <w:sz w:val="24"/>
                <w:szCs w:val="24"/>
                <w:highlight w:val="none"/>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019D8538">
            <w:pPr>
              <w:spacing w:line="360" w:lineRule="auto"/>
              <w:jc w:val="center"/>
              <w:rPr>
                <w:rFonts w:hint="eastAsia" w:ascii="宋体" w:hAnsi="宋体" w:eastAsia="宋体" w:cs="宋体"/>
                <w:color w:val="auto"/>
                <w:sz w:val="24"/>
                <w:szCs w:val="24"/>
                <w:highlight w:val="none"/>
              </w:rPr>
            </w:pPr>
          </w:p>
        </w:tc>
        <w:tc>
          <w:tcPr>
            <w:tcW w:w="1352" w:type="dxa"/>
            <w:tcBorders>
              <w:top w:val="single" w:color="auto" w:sz="4" w:space="0"/>
              <w:left w:val="single" w:color="auto" w:sz="4" w:space="0"/>
              <w:bottom w:val="single" w:color="auto" w:sz="4" w:space="0"/>
              <w:right w:val="single" w:color="auto" w:sz="4" w:space="0"/>
            </w:tcBorders>
            <w:noWrap w:val="0"/>
            <w:vAlign w:val="center"/>
          </w:tcPr>
          <w:p w14:paraId="7300EEB0">
            <w:pPr>
              <w:spacing w:line="360" w:lineRule="auto"/>
              <w:jc w:val="center"/>
              <w:rPr>
                <w:rFonts w:hint="eastAsia" w:ascii="宋体" w:hAnsi="宋体" w:eastAsia="宋体" w:cs="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FE9BBEA">
            <w:pPr>
              <w:spacing w:line="360" w:lineRule="auto"/>
              <w:jc w:val="center"/>
              <w:rPr>
                <w:rFonts w:hint="eastAsia" w:ascii="宋体" w:hAnsi="宋体" w:eastAsia="宋体" w:cs="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AA0717E">
            <w:pPr>
              <w:spacing w:line="360" w:lineRule="auto"/>
              <w:jc w:val="center"/>
              <w:rPr>
                <w:rFonts w:hint="eastAsia" w:ascii="宋体" w:hAnsi="宋体" w:eastAsia="宋体" w:cs="宋体"/>
                <w:color w:val="auto"/>
                <w:sz w:val="24"/>
                <w:szCs w:val="24"/>
                <w:highlight w:val="none"/>
              </w:rPr>
            </w:pPr>
          </w:p>
        </w:tc>
      </w:tr>
      <w:tr w14:paraId="3E06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1501FD55">
            <w:pPr>
              <w:spacing w:line="360" w:lineRule="auto"/>
              <w:jc w:val="center"/>
              <w:rPr>
                <w:rFonts w:hint="eastAsia" w:ascii="宋体" w:hAnsi="宋体" w:eastAsia="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3CA87CDF">
            <w:pPr>
              <w:spacing w:line="360" w:lineRule="auto"/>
              <w:jc w:val="center"/>
              <w:rPr>
                <w:rFonts w:hint="eastAsia" w:ascii="宋体" w:hAnsi="宋体" w:eastAsia="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2D0DBEDF">
            <w:pPr>
              <w:spacing w:line="360" w:lineRule="auto"/>
              <w:jc w:val="center"/>
              <w:rPr>
                <w:rFonts w:hint="eastAsia" w:ascii="宋体" w:hAnsi="宋体" w:eastAsia="宋体" w:cs="宋体"/>
                <w:color w:val="auto"/>
                <w:sz w:val="24"/>
                <w:szCs w:val="24"/>
                <w:highlight w:val="none"/>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6A2649E0">
            <w:pPr>
              <w:spacing w:line="360" w:lineRule="auto"/>
              <w:jc w:val="center"/>
              <w:rPr>
                <w:rFonts w:hint="eastAsia" w:ascii="宋体" w:hAnsi="宋体" w:eastAsia="宋体" w:cs="宋体"/>
                <w:color w:val="auto"/>
                <w:sz w:val="24"/>
                <w:szCs w:val="24"/>
                <w:highlight w:val="none"/>
              </w:rPr>
            </w:pPr>
          </w:p>
        </w:tc>
        <w:tc>
          <w:tcPr>
            <w:tcW w:w="1352" w:type="dxa"/>
            <w:tcBorders>
              <w:top w:val="single" w:color="auto" w:sz="4" w:space="0"/>
              <w:left w:val="single" w:color="auto" w:sz="4" w:space="0"/>
              <w:bottom w:val="single" w:color="auto" w:sz="4" w:space="0"/>
              <w:right w:val="single" w:color="auto" w:sz="4" w:space="0"/>
            </w:tcBorders>
            <w:noWrap w:val="0"/>
            <w:vAlign w:val="center"/>
          </w:tcPr>
          <w:p w14:paraId="23C91157">
            <w:pPr>
              <w:spacing w:line="360" w:lineRule="auto"/>
              <w:jc w:val="center"/>
              <w:rPr>
                <w:rFonts w:hint="eastAsia" w:ascii="宋体" w:hAnsi="宋体" w:eastAsia="宋体" w:cs="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D02E44F">
            <w:pPr>
              <w:spacing w:line="360" w:lineRule="auto"/>
              <w:jc w:val="center"/>
              <w:rPr>
                <w:rFonts w:hint="eastAsia" w:ascii="宋体" w:hAnsi="宋体" w:eastAsia="宋体" w:cs="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B5428F3">
            <w:pPr>
              <w:spacing w:line="360" w:lineRule="auto"/>
              <w:jc w:val="center"/>
              <w:rPr>
                <w:rFonts w:hint="eastAsia" w:ascii="宋体" w:hAnsi="宋体" w:eastAsia="宋体" w:cs="宋体"/>
                <w:color w:val="auto"/>
                <w:sz w:val="24"/>
                <w:szCs w:val="24"/>
                <w:highlight w:val="none"/>
              </w:rPr>
            </w:pPr>
          </w:p>
        </w:tc>
      </w:tr>
      <w:tr w14:paraId="690F6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456DD9BD">
            <w:pPr>
              <w:spacing w:line="360" w:lineRule="auto"/>
              <w:jc w:val="center"/>
              <w:rPr>
                <w:rFonts w:hint="eastAsia" w:ascii="宋体" w:hAnsi="宋体" w:eastAsia="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135724A7">
            <w:pPr>
              <w:spacing w:line="360" w:lineRule="auto"/>
              <w:jc w:val="center"/>
              <w:rPr>
                <w:rFonts w:hint="eastAsia" w:ascii="宋体" w:hAnsi="宋体" w:eastAsia="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39A6C5F4">
            <w:pPr>
              <w:spacing w:line="360" w:lineRule="auto"/>
              <w:jc w:val="center"/>
              <w:rPr>
                <w:rFonts w:hint="eastAsia" w:ascii="宋体" w:hAnsi="宋体" w:eastAsia="宋体" w:cs="宋体"/>
                <w:color w:val="auto"/>
                <w:sz w:val="24"/>
                <w:szCs w:val="24"/>
                <w:highlight w:val="none"/>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1E8C90F6">
            <w:pPr>
              <w:spacing w:line="360" w:lineRule="auto"/>
              <w:jc w:val="center"/>
              <w:rPr>
                <w:rFonts w:hint="eastAsia" w:ascii="宋体" w:hAnsi="宋体" w:eastAsia="宋体" w:cs="宋体"/>
                <w:color w:val="auto"/>
                <w:sz w:val="24"/>
                <w:szCs w:val="24"/>
                <w:highlight w:val="none"/>
              </w:rPr>
            </w:pPr>
          </w:p>
        </w:tc>
        <w:tc>
          <w:tcPr>
            <w:tcW w:w="1352" w:type="dxa"/>
            <w:tcBorders>
              <w:top w:val="single" w:color="auto" w:sz="4" w:space="0"/>
              <w:left w:val="single" w:color="auto" w:sz="4" w:space="0"/>
              <w:bottom w:val="single" w:color="auto" w:sz="4" w:space="0"/>
              <w:right w:val="single" w:color="auto" w:sz="4" w:space="0"/>
            </w:tcBorders>
            <w:noWrap w:val="0"/>
            <w:vAlign w:val="center"/>
          </w:tcPr>
          <w:p w14:paraId="769F0BC4">
            <w:pPr>
              <w:spacing w:line="360" w:lineRule="auto"/>
              <w:jc w:val="center"/>
              <w:rPr>
                <w:rFonts w:hint="eastAsia" w:ascii="宋体" w:hAnsi="宋体" w:eastAsia="宋体" w:cs="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B84B659">
            <w:pPr>
              <w:spacing w:line="360" w:lineRule="auto"/>
              <w:jc w:val="center"/>
              <w:rPr>
                <w:rFonts w:hint="eastAsia" w:ascii="宋体" w:hAnsi="宋体" w:eastAsia="宋体" w:cs="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6730645">
            <w:pPr>
              <w:spacing w:line="360" w:lineRule="auto"/>
              <w:jc w:val="center"/>
              <w:rPr>
                <w:rFonts w:hint="eastAsia" w:ascii="宋体" w:hAnsi="宋体" w:eastAsia="宋体" w:cs="宋体"/>
                <w:color w:val="auto"/>
                <w:sz w:val="24"/>
                <w:szCs w:val="24"/>
                <w:highlight w:val="none"/>
              </w:rPr>
            </w:pPr>
          </w:p>
        </w:tc>
      </w:tr>
      <w:tr w14:paraId="2F474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2FF15EC9">
            <w:pPr>
              <w:spacing w:line="360" w:lineRule="auto"/>
              <w:jc w:val="center"/>
              <w:rPr>
                <w:rFonts w:hint="eastAsia" w:ascii="宋体" w:hAnsi="宋体" w:eastAsia="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44144B62">
            <w:pPr>
              <w:spacing w:line="360" w:lineRule="auto"/>
              <w:jc w:val="center"/>
              <w:rPr>
                <w:rFonts w:hint="eastAsia" w:ascii="宋体" w:hAnsi="宋体" w:eastAsia="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0464C8D3">
            <w:pPr>
              <w:spacing w:line="360" w:lineRule="auto"/>
              <w:jc w:val="center"/>
              <w:rPr>
                <w:rFonts w:hint="eastAsia" w:ascii="宋体" w:hAnsi="宋体" w:eastAsia="宋体" w:cs="宋体"/>
                <w:color w:val="auto"/>
                <w:sz w:val="24"/>
                <w:szCs w:val="24"/>
                <w:highlight w:val="none"/>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02035B12">
            <w:pPr>
              <w:spacing w:line="360" w:lineRule="auto"/>
              <w:jc w:val="center"/>
              <w:rPr>
                <w:rFonts w:hint="eastAsia" w:ascii="宋体" w:hAnsi="宋体" w:eastAsia="宋体" w:cs="宋体"/>
                <w:color w:val="auto"/>
                <w:sz w:val="24"/>
                <w:szCs w:val="24"/>
                <w:highlight w:val="none"/>
              </w:rPr>
            </w:pPr>
          </w:p>
        </w:tc>
        <w:tc>
          <w:tcPr>
            <w:tcW w:w="1352" w:type="dxa"/>
            <w:tcBorders>
              <w:top w:val="single" w:color="auto" w:sz="4" w:space="0"/>
              <w:left w:val="single" w:color="auto" w:sz="4" w:space="0"/>
              <w:bottom w:val="single" w:color="auto" w:sz="4" w:space="0"/>
              <w:right w:val="single" w:color="auto" w:sz="4" w:space="0"/>
            </w:tcBorders>
            <w:noWrap w:val="0"/>
            <w:vAlign w:val="center"/>
          </w:tcPr>
          <w:p w14:paraId="2836064D">
            <w:pPr>
              <w:spacing w:line="360" w:lineRule="auto"/>
              <w:jc w:val="center"/>
              <w:rPr>
                <w:rFonts w:hint="eastAsia" w:ascii="宋体" w:hAnsi="宋体" w:eastAsia="宋体" w:cs="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2B608B3">
            <w:pPr>
              <w:spacing w:line="360" w:lineRule="auto"/>
              <w:jc w:val="center"/>
              <w:rPr>
                <w:rFonts w:hint="eastAsia" w:ascii="宋体" w:hAnsi="宋体" w:eastAsia="宋体" w:cs="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5EE37C9">
            <w:pPr>
              <w:spacing w:line="360" w:lineRule="auto"/>
              <w:jc w:val="center"/>
              <w:rPr>
                <w:rFonts w:hint="eastAsia" w:ascii="宋体" w:hAnsi="宋体" w:eastAsia="宋体" w:cs="宋体"/>
                <w:color w:val="auto"/>
                <w:sz w:val="24"/>
                <w:szCs w:val="24"/>
                <w:highlight w:val="none"/>
              </w:rPr>
            </w:pPr>
          </w:p>
        </w:tc>
      </w:tr>
      <w:tr w14:paraId="14044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64F289ED">
            <w:pPr>
              <w:spacing w:line="360" w:lineRule="auto"/>
              <w:jc w:val="center"/>
              <w:rPr>
                <w:rFonts w:hint="eastAsia" w:ascii="宋体" w:hAnsi="宋体" w:eastAsia="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377FC6F5">
            <w:pPr>
              <w:spacing w:line="360" w:lineRule="auto"/>
              <w:jc w:val="center"/>
              <w:rPr>
                <w:rFonts w:hint="eastAsia" w:ascii="宋体" w:hAnsi="宋体" w:eastAsia="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43A93949">
            <w:pPr>
              <w:spacing w:line="360" w:lineRule="auto"/>
              <w:jc w:val="center"/>
              <w:rPr>
                <w:rFonts w:hint="eastAsia" w:ascii="宋体" w:hAnsi="宋体" w:eastAsia="宋体" w:cs="宋体"/>
                <w:color w:val="auto"/>
                <w:sz w:val="24"/>
                <w:szCs w:val="24"/>
                <w:highlight w:val="none"/>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3ABFDDB3">
            <w:pPr>
              <w:spacing w:line="360" w:lineRule="auto"/>
              <w:jc w:val="center"/>
              <w:rPr>
                <w:rFonts w:hint="eastAsia" w:ascii="宋体" w:hAnsi="宋体" w:eastAsia="宋体" w:cs="宋体"/>
                <w:color w:val="auto"/>
                <w:sz w:val="24"/>
                <w:szCs w:val="24"/>
                <w:highlight w:val="none"/>
              </w:rPr>
            </w:pPr>
          </w:p>
        </w:tc>
        <w:tc>
          <w:tcPr>
            <w:tcW w:w="1352" w:type="dxa"/>
            <w:tcBorders>
              <w:top w:val="single" w:color="auto" w:sz="4" w:space="0"/>
              <w:left w:val="single" w:color="auto" w:sz="4" w:space="0"/>
              <w:bottom w:val="single" w:color="auto" w:sz="4" w:space="0"/>
              <w:right w:val="single" w:color="auto" w:sz="4" w:space="0"/>
            </w:tcBorders>
            <w:noWrap w:val="0"/>
            <w:vAlign w:val="center"/>
          </w:tcPr>
          <w:p w14:paraId="4D8F032F">
            <w:pPr>
              <w:spacing w:line="360" w:lineRule="auto"/>
              <w:jc w:val="center"/>
              <w:rPr>
                <w:rFonts w:hint="eastAsia" w:ascii="宋体" w:hAnsi="宋体" w:eastAsia="宋体" w:cs="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E170CE9">
            <w:pPr>
              <w:spacing w:line="360" w:lineRule="auto"/>
              <w:jc w:val="center"/>
              <w:rPr>
                <w:rFonts w:hint="eastAsia" w:ascii="宋体" w:hAnsi="宋体" w:eastAsia="宋体" w:cs="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1E7EAED">
            <w:pPr>
              <w:spacing w:line="360" w:lineRule="auto"/>
              <w:jc w:val="center"/>
              <w:rPr>
                <w:rFonts w:hint="eastAsia" w:ascii="宋体" w:hAnsi="宋体" w:eastAsia="宋体" w:cs="宋体"/>
                <w:color w:val="auto"/>
                <w:sz w:val="24"/>
                <w:szCs w:val="24"/>
                <w:highlight w:val="none"/>
              </w:rPr>
            </w:pPr>
          </w:p>
        </w:tc>
      </w:tr>
    </w:tbl>
    <w:p w14:paraId="4C428AB6">
      <w:pPr>
        <w:spacing w:line="360" w:lineRule="auto"/>
        <w:ind w:firstLine="480" w:firstLineChars="200"/>
        <w:rPr>
          <w:rFonts w:hint="eastAsia" w:ascii="宋体" w:hAnsi="宋体" w:eastAsia="宋体" w:cs="宋体"/>
          <w:color w:val="auto"/>
          <w:sz w:val="24"/>
          <w:szCs w:val="24"/>
          <w:highlight w:val="none"/>
        </w:rPr>
      </w:pPr>
    </w:p>
    <w:p w14:paraId="0FA1BCFC">
      <w:pPr>
        <w:spacing w:line="360" w:lineRule="auto"/>
        <w:ind w:firstLine="480" w:firstLineChars="200"/>
        <w:rPr>
          <w:rFonts w:hint="eastAsia" w:ascii="宋体" w:hAnsi="宋体" w:eastAsia="宋体" w:cs="宋体"/>
          <w:color w:val="auto"/>
          <w:sz w:val="24"/>
          <w:szCs w:val="24"/>
          <w:highlight w:val="none"/>
        </w:rPr>
      </w:pPr>
    </w:p>
    <w:p w14:paraId="16E48A9A">
      <w:pPr>
        <w:spacing w:line="360" w:lineRule="auto"/>
        <w:ind w:firstLine="643" w:firstLineChars="200"/>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三、工程设备暂估价表</w:t>
      </w:r>
    </w:p>
    <w:tbl>
      <w:tblPr>
        <w:tblStyle w:val="62"/>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
        <w:gridCol w:w="1984"/>
        <w:gridCol w:w="4678"/>
        <w:gridCol w:w="1276"/>
      </w:tblGrid>
      <w:tr w14:paraId="77D79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14:paraId="46FB68DB">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6BEB004B">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专业工程名称</w:t>
            </w:r>
          </w:p>
        </w:tc>
        <w:tc>
          <w:tcPr>
            <w:tcW w:w="4678" w:type="dxa"/>
            <w:tcBorders>
              <w:top w:val="single" w:color="auto" w:sz="4" w:space="0"/>
              <w:left w:val="single" w:color="auto" w:sz="4" w:space="0"/>
              <w:bottom w:val="single" w:color="auto" w:sz="4" w:space="0"/>
              <w:right w:val="single" w:color="auto" w:sz="4" w:space="0"/>
            </w:tcBorders>
            <w:noWrap w:val="0"/>
            <w:vAlign w:val="center"/>
          </w:tcPr>
          <w:p w14:paraId="130F391F">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工程内容</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EAAF431">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金额</w:t>
            </w:r>
          </w:p>
        </w:tc>
      </w:tr>
      <w:tr w14:paraId="1A2BA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14:paraId="57596669">
            <w:pPr>
              <w:spacing w:line="360" w:lineRule="auto"/>
              <w:jc w:val="center"/>
              <w:rPr>
                <w:rFonts w:hint="eastAsia" w:ascii="宋体" w:hAnsi="宋体" w:eastAsia="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7BE5FC9C">
            <w:pPr>
              <w:spacing w:line="360" w:lineRule="auto"/>
              <w:jc w:val="center"/>
              <w:rPr>
                <w:rFonts w:hint="eastAsia" w:ascii="宋体" w:hAnsi="宋体" w:eastAsia="宋体" w:cs="宋体"/>
                <w:color w:val="auto"/>
                <w:sz w:val="24"/>
                <w:szCs w:val="24"/>
                <w:highlight w:val="none"/>
              </w:rPr>
            </w:pPr>
          </w:p>
        </w:tc>
        <w:tc>
          <w:tcPr>
            <w:tcW w:w="4678" w:type="dxa"/>
            <w:tcBorders>
              <w:top w:val="single" w:color="auto" w:sz="4" w:space="0"/>
              <w:left w:val="single" w:color="auto" w:sz="4" w:space="0"/>
              <w:bottom w:val="single" w:color="auto" w:sz="4" w:space="0"/>
              <w:right w:val="single" w:color="auto" w:sz="4" w:space="0"/>
            </w:tcBorders>
            <w:noWrap w:val="0"/>
            <w:vAlign w:val="center"/>
          </w:tcPr>
          <w:p w14:paraId="46B19528">
            <w:pPr>
              <w:spacing w:line="360" w:lineRule="auto"/>
              <w:jc w:val="center"/>
              <w:rPr>
                <w:rFonts w:hint="eastAsia" w:ascii="宋体" w:hAnsi="宋体" w:eastAsia="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4AE4F2C">
            <w:pPr>
              <w:spacing w:line="360" w:lineRule="auto"/>
              <w:jc w:val="center"/>
              <w:rPr>
                <w:rFonts w:hint="eastAsia" w:ascii="宋体" w:hAnsi="宋体" w:eastAsia="宋体" w:cs="宋体"/>
                <w:color w:val="auto"/>
                <w:sz w:val="24"/>
                <w:szCs w:val="24"/>
                <w:highlight w:val="none"/>
              </w:rPr>
            </w:pPr>
          </w:p>
        </w:tc>
      </w:tr>
      <w:tr w14:paraId="4AAD3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14:paraId="2F37C966">
            <w:pPr>
              <w:spacing w:line="360" w:lineRule="auto"/>
              <w:jc w:val="center"/>
              <w:rPr>
                <w:rFonts w:hint="eastAsia" w:ascii="宋体" w:hAnsi="宋体" w:eastAsia="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7C2830DF">
            <w:pPr>
              <w:spacing w:line="360" w:lineRule="auto"/>
              <w:jc w:val="center"/>
              <w:rPr>
                <w:rFonts w:hint="eastAsia" w:ascii="宋体" w:hAnsi="宋体" w:eastAsia="宋体" w:cs="宋体"/>
                <w:color w:val="auto"/>
                <w:sz w:val="24"/>
                <w:szCs w:val="24"/>
                <w:highlight w:val="none"/>
              </w:rPr>
            </w:pPr>
          </w:p>
        </w:tc>
        <w:tc>
          <w:tcPr>
            <w:tcW w:w="4678" w:type="dxa"/>
            <w:tcBorders>
              <w:top w:val="single" w:color="auto" w:sz="4" w:space="0"/>
              <w:left w:val="single" w:color="auto" w:sz="4" w:space="0"/>
              <w:bottom w:val="single" w:color="auto" w:sz="4" w:space="0"/>
              <w:right w:val="single" w:color="auto" w:sz="4" w:space="0"/>
            </w:tcBorders>
            <w:noWrap w:val="0"/>
            <w:vAlign w:val="center"/>
          </w:tcPr>
          <w:p w14:paraId="4CB884E6">
            <w:pPr>
              <w:spacing w:line="360" w:lineRule="auto"/>
              <w:jc w:val="center"/>
              <w:rPr>
                <w:rFonts w:hint="eastAsia" w:ascii="宋体" w:hAnsi="宋体" w:eastAsia="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F79D3E3">
            <w:pPr>
              <w:spacing w:line="360" w:lineRule="auto"/>
              <w:jc w:val="center"/>
              <w:rPr>
                <w:rFonts w:hint="eastAsia" w:ascii="宋体" w:hAnsi="宋体" w:eastAsia="宋体" w:cs="宋体"/>
                <w:color w:val="auto"/>
                <w:sz w:val="24"/>
                <w:szCs w:val="24"/>
                <w:highlight w:val="none"/>
              </w:rPr>
            </w:pPr>
          </w:p>
        </w:tc>
      </w:tr>
      <w:tr w14:paraId="41AD3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14:paraId="0F478F95">
            <w:pPr>
              <w:spacing w:line="360" w:lineRule="auto"/>
              <w:jc w:val="center"/>
              <w:rPr>
                <w:rFonts w:hint="eastAsia" w:ascii="宋体" w:hAnsi="宋体" w:eastAsia="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2D1C51CE">
            <w:pPr>
              <w:spacing w:line="360" w:lineRule="auto"/>
              <w:jc w:val="center"/>
              <w:rPr>
                <w:rFonts w:hint="eastAsia" w:ascii="宋体" w:hAnsi="宋体" w:eastAsia="宋体" w:cs="宋体"/>
                <w:color w:val="auto"/>
                <w:sz w:val="24"/>
                <w:szCs w:val="24"/>
                <w:highlight w:val="none"/>
              </w:rPr>
            </w:pPr>
          </w:p>
        </w:tc>
        <w:tc>
          <w:tcPr>
            <w:tcW w:w="4678" w:type="dxa"/>
            <w:tcBorders>
              <w:top w:val="single" w:color="auto" w:sz="4" w:space="0"/>
              <w:left w:val="single" w:color="auto" w:sz="4" w:space="0"/>
              <w:bottom w:val="single" w:color="auto" w:sz="4" w:space="0"/>
              <w:right w:val="single" w:color="auto" w:sz="4" w:space="0"/>
            </w:tcBorders>
            <w:noWrap w:val="0"/>
            <w:vAlign w:val="center"/>
          </w:tcPr>
          <w:p w14:paraId="4A7E3700">
            <w:pPr>
              <w:spacing w:line="360" w:lineRule="auto"/>
              <w:jc w:val="center"/>
              <w:rPr>
                <w:rFonts w:hint="eastAsia" w:ascii="宋体" w:hAnsi="宋体" w:eastAsia="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CBE1DF3">
            <w:pPr>
              <w:spacing w:line="360" w:lineRule="auto"/>
              <w:jc w:val="center"/>
              <w:rPr>
                <w:rFonts w:hint="eastAsia" w:ascii="宋体" w:hAnsi="宋体" w:eastAsia="宋体" w:cs="宋体"/>
                <w:color w:val="auto"/>
                <w:sz w:val="24"/>
                <w:szCs w:val="24"/>
                <w:highlight w:val="none"/>
              </w:rPr>
            </w:pPr>
          </w:p>
        </w:tc>
      </w:tr>
      <w:tr w14:paraId="54BE1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14:paraId="510510A6">
            <w:pPr>
              <w:spacing w:line="360" w:lineRule="auto"/>
              <w:jc w:val="center"/>
              <w:rPr>
                <w:rFonts w:hint="eastAsia" w:ascii="宋体" w:hAnsi="宋体" w:eastAsia="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2381EEEB">
            <w:pPr>
              <w:spacing w:line="360" w:lineRule="auto"/>
              <w:jc w:val="center"/>
              <w:rPr>
                <w:rFonts w:hint="eastAsia" w:ascii="宋体" w:hAnsi="宋体" w:eastAsia="宋体" w:cs="宋体"/>
                <w:color w:val="auto"/>
                <w:sz w:val="24"/>
                <w:szCs w:val="24"/>
                <w:highlight w:val="none"/>
              </w:rPr>
            </w:pPr>
          </w:p>
        </w:tc>
        <w:tc>
          <w:tcPr>
            <w:tcW w:w="4678" w:type="dxa"/>
            <w:tcBorders>
              <w:top w:val="single" w:color="auto" w:sz="4" w:space="0"/>
              <w:left w:val="single" w:color="auto" w:sz="4" w:space="0"/>
              <w:bottom w:val="single" w:color="auto" w:sz="4" w:space="0"/>
              <w:right w:val="single" w:color="auto" w:sz="4" w:space="0"/>
            </w:tcBorders>
            <w:noWrap w:val="0"/>
            <w:vAlign w:val="center"/>
          </w:tcPr>
          <w:p w14:paraId="105B3A56">
            <w:pPr>
              <w:spacing w:line="360" w:lineRule="auto"/>
              <w:jc w:val="center"/>
              <w:rPr>
                <w:rFonts w:hint="eastAsia" w:ascii="宋体" w:hAnsi="宋体" w:eastAsia="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C2054D7">
            <w:pPr>
              <w:spacing w:line="360" w:lineRule="auto"/>
              <w:jc w:val="center"/>
              <w:rPr>
                <w:rFonts w:hint="eastAsia" w:ascii="宋体" w:hAnsi="宋体" w:eastAsia="宋体" w:cs="宋体"/>
                <w:color w:val="auto"/>
                <w:sz w:val="24"/>
                <w:szCs w:val="24"/>
                <w:highlight w:val="none"/>
              </w:rPr>
            </w:pPr>
          </w:p>
        </w:tc>
      </w:tr>
      <w:tr w14:paraId="0A687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14:paraId="068C9DC5">
            <w:pPr>
              <w:spacing w:line="360" w:lineRule="auto"/>
              <w:jc w:val="center"/>
              <w:rPr>
                <w:rFonts w:hint="eastAsia" w:ascii="宋体" w:hAnsi="宋体" w:eastAsia="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230C2066">
            <w:pPr>
              <w:spacing w:line="360" w:lineRule="auto"/>
              <w:jc w:val="center"/>
              <w:rPr>
                <w:rFonts w:hint="eastAsia" w:ascii="宋体" w:hAnsi="宋体" w:eastAsia="宋体" w:cs="宋体"/>
                <w:color w:val="auto"/>
                <w:sz w:val="24"/>
                <w:szCs w:val="24"/>
                <w:highlight w:val="none"/>
              </w:rPr>
            </w:pPr>
          </w:p>
        </w:tc>
        <w:tc>
          <w:tcPr>
            <w:tcW w:w="4678" w:type="dxa"/>
            <w:tcBorders>
              <w:top w:val="single" w:color="auto" w:sz="4" w:space="0"/>
              <w:left w:val="single" w:color="auto" w:sz="4" w:space="0"/>
              <w:bottom w:val="single" w:color="auto" w:sz="4" w:space="0"/>
              <w:right w:val="single" w:color="auto" w:sz="4" w:space="0"/>
            </w:tcBorders>
            <w:noWrap w:val="0"/>
            <w:vAlign w:val="center"/>
          </w:tcPr>
          <w:p w14:paraId="39BE0F98">
            <w:pPr>
              <w:spacing w:line="360" w:lineRule="auto"/>
              <w:jc w:val="center"/>
              <w:rPr>
                <w:rFonts w:hint="eastAsia" w:ascii="宋体" w:hAnsi="宋体" w:eastAsia="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491FA1F">
            <w:pPr>
              <w:spacing w:line="360" w:lineRule="auto"/>
              <w:jc w:val="center"/>
              <w:rPr>
                <w:rFonts w:hint="eastAsia" w:ascii="宋体" w:hAnsi="宋体" w:eastAsia="宋体" w:cs="宋体"/>
                <w:color w:val="auto"/>
                <w:sz w:val="24"/>
                <w:szCs w:val="24"/>
                <w:highlight w:val="none"/>
              </w:rPr>
            </w:pPr>
          </w:p>
        </w:tc>
      </w:tr>
      <w:tr w14:paraId="4E1EA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14:paraId="3ECE73FE">
            <w:pPr>
              <w:spacing w:line="360" w:lineRule="auto"/>
              <w:jc w:val="center"/>
              <w:rPr>
                <w:rFonts w:hint="eastAsia" w:ascii="宋体" w:hAnsi="宋体" w:eastAsia="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6AC083A0">
            <w:pPr>
              <w:spacing w:line="360" w:lineRule="auto"/>
              <w:jc w:val="center"/>
              <w:rPr>
                <w:rFonts w:hint="eastAsia" w:ascii="宋体" w:hAnsi="宋体" w:eastAsia="宋体" w:cs="宋体"/>
                <w:color w:val="auto"/>
                <w:sz w:val="24"/>
                <w:szCs w:val="24"/>
                <w:highlight w:val="none"/>
              </w:rPr>
            </w:pPr>
          </w:p>
        </w:tc>
        <w:tc>
          <w:tcPr>
            <w:tcW w:w="4678" w:type="dxa"/>
            <w:tcBorders>
              <w:top w:val="single" w:color="auto" w:sz="4" w:space="0"/>
              <w:left w:val="single" w:color="auto" w:sz="4" w:space="0"/>
              <w:bottom w:val="single" w:color="auto" w:sz="4" w:space="0"/>
              <w:right w:val="single" w:color="auto" w:sz="4" w:space="0"/>
            </w:tcBorders>
            <w:noWrap w:val="0"/>
            <w:vAlign w:val="center"/>
          </w:tcPr>
          <w:p w14:paraId="2AE55452">
            <w:pPr>
              <w:spacing w:line="360" w:lineRule="auto"/>
              <w:jc w:val="center"/>
              <w:rPr>
                <w:rFonts w:hint="eastAsia" w:ascii="宋体" w:hAnsi="宋体" w:eastAsia="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9E5B0DA">
            <w:pPr>
              <w:spacing w:line="360" w:lineRule="auto"/>
              <w:jc w:val="center"/>
              <w:rPr>
                <w:rFonts w:hint="eastAsia" w:ascii="宋体" w:hAnsi="宋体" w:eastAsia="宋体" w:cs="宋体"/>
                <w:color w:val="auto"/>
                <w:sz w:val="24"/>
                <w:szCs w:val="24"/>
                <w:highlight w:val="none"/>
              </w:rPr>
            </w:pPr>
          </w:p>
        </w:tc>
      </w:tr>
      <w:tr w14:paraId="27922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14:paraId="36D535FF">
            <w:pPr>
              <w:spacing w:line="360" w:lineRule="auto"/>
              <w:jc w:val="center"/>
              <w:rPr>
                <w:rFonts w:hint="eastAsia" w:ascii="宋体" w:hAnsi="宋体" w:eastAsia="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7AF4C8D0">
            <w:pPr>
              <w:spacing w:line="360" w:lineRule="auto"/>
              <w:jc w:val="center"/>
              <w:rPr>
                <w:rFonts w:hint="eastAsia" w:ascii="宋体" w:hAnsi="宋体" w:eastAsia="宋体" w:cs="宋体"/>
                <w:color w:val="auto"/>
                <w:sz w:val="24"/>
                <w:szCs w:val="24"/>
                <w:highlight w:val="none"/>
              </w:rPr>
            </w:pPr>
          </w:p>
        </w:tc>
        <w:tc>
          <w:tcPr>
            <w:tcW w:w="4678" w:type="dxa"/>
            <w:tcBorders>
              <w:top w:val="single" w:color="auto" w:sz="4" w:space="0"/>
              <w:left w:val="single" w:color="auto" w:sz="4" w:space="0"/>
              <w:bottom w:val="single" w:color="auto" w:sz="4" w:space="0"/>
              <w:right w:val="single" w:color="auto" w:sz="4" w:space="0"/>
            </w:tcBorders>
            <w:noWrap w:val="0"/>
            <w:vAlign w:val="center"/>
          </w:tcPr>
          <w:p w14:paraId="7EA3DE58">
            <w:pPr>
              <w:spacing w:line="360" w:lineRule="auto"/>
              <w:jc w:val="center"/>
              <w:rPr>
                <w:rFonts w:hint="eastAsia" w:ascii="宋体" w:hAnsi="宋体" w:eastAsia="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51D9A8E">
            <w:pPr>
              <w:spacing w:line="360" w:lineRule="auto"/>
              <w:jc w:val="center"/>
              <w:rPr>
                <w:rFonts w:hint="eastAsia" w:ascii="宋体" w:hAnsi="宋体" w:eastAsia="宋体" w:cs="宋体"/>
                <w:color w:val="auto"/>
                <w:sz w:val="24"/>
                <w:szCs w:val="24"/>
                <w:highlight w:val="none"/>
              </w:rPr>
            </w:pPr>
          </w:p>
        </w:tc>
      </w:tr>
      <w:tr w14:paraId="14220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14:paraId="26FDBA4C">
            <w:pPr>
              <w:spacing w:line="360" w:lineRule="auto"/>
              <w:jc w:val="center"/>
              <w:rPr>
                <w:rFonts w:hint="eastAsia" w:ascii="宋体" w:hAnsi="宋体" w:eastAsia="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5619D54A">
            <w:pPr>
              <w:spacing w:line="360" w:lineRule="auto"/>
              <w:jc w:val="center"/>
              <w:rPr>
                <w:rFonts w:hint="eastAsia" w:ascii="宋体" w:hAnsi="宋体" w:eastAsia="宋体" w:cs="宋体"/>
                <w:color w:val="auto"/>
                <w:sz w:val="24"/>
                <w:szCs w:val="24"/>
                <w:highlight w:val="none"/>
              </w:rPr>
            </w:pPr>
          </w:p>
        </w:tc>
        <w:tc>
          <w:tcPr>
            <w:tcW w:w="4678" w:type="dxa"/>
            <w:tcBorders>
              <w:top w:val="single" w:color="auto" w:sz="4" w:space="0"/>
              <w:left w:val="single" w:color="auto" w:sz="4" w:space="0"/>
              <w:bottom w:val="single" w:color="auto" w:sz="4" w:space="0"/>
              <w:right w:val="single" w:color="auto" w:sz="4" w:space="0"/>
            </w:tcBorders>
            <w:noWrap w:val="0"/>
            <w:vAlign w:val="center"/>
          </w:tcPr>
          <w:p w14:paraId="7F4FC372">
            <w:pPr>
              <w:spacing w:line="360" w:lineRule="auto"/>
              <w:jc w:val="center"/>
              <w:rPr>
                <w:rFonts w:hint="eastAsia" w:ascii="宋体" w:hAnsi="宋体" w:eastAsia="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C7213EE">
            <w:pPr>
              <w:spacing w:line="360" w:lineRule="auto"/>
              <w:jc w:val="center"/>
              <w:rPr>
                <w:rFonts w:hint="eastAsia" w:ascii="宋体" w:hAnsi="宋体" w:eastAsia="宋体" w:cs="宋体"/>
                <w:color w:val="auto"/>
                <w:sz w:val="24"/>
                <w:szCs w:val="24"/>
                <w:highlight w:val="none"/>
              </w:rPr>
            </w:pPr>
          </w:p>
        </w:tc>
      </w:tr>
      <w:tr w14:paraId="07BC3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14:paraId="18F8BFDA">
            <w:pPr>
              <w:spacing w:line="360" w:lineRule="auto"/>
              <w:jc w:val="center"/>
              <w:rPr>
                <w:rFonts w:hint="eastAsia" w:ascii="宋体" w:hAnsi="宋体" w:eastAsia="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1C8170F9">
            <w:pPr>
              <w:spacing w:line="360" w:lineRule="auto"/>
              <w:jc w:val="center"/>
              <w:rPr>
                <w:rFonts w:hint="eastAsia" w:ascii="宋体" w:hAnsi="宋体" w:eastAsia="宋体" w:cs="宋体"/>
                <w:color w:val="auto"/>
                <w:sz w:val="24"/>
                <w:szCs w:val="24"/>
                <w:highlight w:val="none"/>
              </w:rPr>
            </w:pPr>
          </w:p>
        </w:tc>
        <w:tc>
          <w:tcPr>
            <w:tcW w:w="4678" w:type="dxa"/>
            <w:tcBorders>
              <w:top w:val="single" w:color="auto" w:sz="4" w:space="0"/>
              <w:left w:val="single" w:color="auto" w:sz="4" w:space="0"/>
              <w:bottom w:val="single" w:color="auto" w:sz="4" w:space="0"/>
              <w:right w:val="single" w:color="auto" w:sz="4" w:space="0"/>
            </w:tcBorders>
            <w:noWrap w:val="0"/>
            <w:vAlign w:val="center"/>
          </w:tcPr>
          <w:p w14:paraId="0CBB330C">
            <w:pPr>
              <w:spacing w:line="360" w:lineRule="auto"/>
              <w:jc w:val="center"/>
              <w:rPr>
                <w:rFonts w:hint="eastAsia" w:ascii="宋体" w:hAnsi="宋体" w:eastAsia="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3ED8D29">
            <w:pPr>
              <w:spacing w:line="360" w:lineRule="auto"/>
              <w:jc w:val="center"/>
              <w:rPr>
                <w:rFonts w:hint="eastAsia" w:ascii="宋体" w:hAnsi="宋体" w:eastAsia="宋体" w:cs="宋体"/>
                <w:color w:val="auto"/>
                <w:sz w:val="24"/>
                <w:szCs w:val="24"/>
                <w:highlight w:val="none"/>
              </w:rPr>
            </w:pPr>
          </w:p>
        </w:tc>
      </w:tr>
      <w:tr w14:paraId="34BC8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14:paraId="09AB13D3">
            <w:pPr>
              <w:spacing w:line="360" w:lineRule="auto"/>
              <w:jc w:val="center"/>
              <w:rPr>
                <w:rFonts w:hint="eastAsia" w:ascii="宋体" w:hAnsi="宋体" w:eastAsia="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228BCE5D">
            <w:pPr>
              <w:spacing w:line="360" w:lineRule="auto"/>
              <w:jc w:val="center"/>
              <w:rPr>
                <w:rFonts w:hint="eastAsia" w:ascii="宋体" w:hAnsi="宋体" w:eastAsia="宋体" w:cs="宋体"/>
                <w:color w:val="auto"/>
                <w:sz w:val="24"/>
                <w:szCs w:val="24"/>
                <w:highlight w:val="none"/>
              </w:rPr>
            </w:pPr>
          </w:p>
        </w:tc>
        <w:tc>
          <w:tcPr>
            <w:tcW w:w="4678" w:type="dxa"/>
            <w:tcBorders>
              <w:top w:val="single" w:color="auto" w:sz="4" w:space="0"/>
              <w:left w:val="single" w:color="auto" w:sz="4" w:space="0"/>
              <w:bottom w:val="single" w:color="auto" w:sz="4" w:space="0"/>
              <w:right w:val="single" w:color="auto" w:sz="4" w:space="0"/>
            </w:tcBorders>
            <w:noWrap w:val="0"/>
            <w:vAlign w:val="center"/>
          </w:tcPr>
          <w:p w14:paraId="1A5B28BC">
            <w:pPr>
              <w:spacing w:line="360" w:lineRule="auto"/>
              <w:jc w:val="center"/>
              <w:rPr>
                <w:rFonts w:hint="eastAsia" w:ascii="宋体" w:hAnsi="宋体" w:eastAsia="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D6637A5">
            <w:pPr>
              <w:spacing w:line="360" w:lineRule="auto"/>
              <w:jc w:val="center"/>
              <w:rPr>
                <w:rFonts w:hint="eastAsia" w:ascii="宋体" w:hAnsi="宋体" w:eastAsia="宋体" w:cs="宋体"/>
                <w:color w:val="auto"/>
                <w:sz w:val="24"/>
                <w:szCs w:val="24"/>
                <w:highlight w:val="none"/>
              </w:rPr>
            </w:pPr>
          </w:p>
        </w:tc>
      </w:tr>
      <w:tr w14:paraId="49D68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14:paraId="78EEBB20">
            <w:pPr>
              <w:spacing w:line="360" w:lineRule="auto"/>
              <w:jc w:val="center"/>
              <w:rPr>
                <w:rFonts w:hint="eastAsia" w:ascii="宋体" w:hAnsi="宋体" w:eastAsia="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746362C9">
            <w:pPr>
              <w:spacing w:line="360" w:lineRule="auto"/>
              <w:jc w:val="center"/>
              <w:rPr>
                <w:rFonts w:hint="eastAsia" w:ascii="宋体" w:hAnsi="宋体" w:eastAsia="宋体" w:cs="宋体"/>
                <w:color w:val="auto"/>
                <w:sz w:val="24"/>
                <w:szCs w:val="24"/>
                <w:highlight w:val="none"/>
              </w:rPr>
            </w:pPr>
          </w:p>
        </w:tc>
        <w:tc>
          <w:tcPr>
            <w:tcW w:w="4678" w:type="dxa"/>
            <w:tcBorders>
              <w:top w:val="single" w:color="auto" w:sz="4" w:space="0"/>
              <w:left w:val="single" w:color="auto" w:sz="4" w:space="0"/>
              <w:bottom w:val="single" w:color="auto" w:sz="4" w:space="0"/>
              <w:right w:val="single" w:color="auto" w:sz="4" w:space="0"/>
            </w:tcBorders>
            <w:noWrap w:val="0"/>
            <w:vAlign w:val="center"/>
          </w:tcPr>
          <w:p w14:paraId="3CC557D9">
            <w:pPr>
              <w:spacing w:line="360" w:lineRule="auto"/>
              <w:jc w:val="center"/>
              <w:rPr>
                <w:rFonts w:hint="eastAsia" w:ascii="宋体" w:hAnsi="宋体" w:eastAsia="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D7DFE14">
            <w:pPr>
              <w:spacing w:line="360" w:lineRule="auto"/>
              <w:jc w:val="center"/>
              <w:rPr>
                <w:rFonts w:hint="eastAsia" w:ascii="宋体" w:hAnsi="宋体" w:eastAsia="宋体" w:cs="宋体"/>
                <w:color w:val="auto"/>
                <w:sz w:val="24"/>
                <w:szCs w:val="24"/>
                <w:highlight w:val="none"/>
              </w:rPr>
            </w:pPr>
          </w:p>
        </w:tc>
      </w:tr>
      <w:tr w14:paraId="5F7BB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14:paraId="4EBAF9B9">
            <w:pPr>
              <w:spacing w:line="360" w:lineRule="auto"/>
              <w:jc w:val="center"/>
              <w:rPr>
                <w:rFonts w:hint="eastAsia" w:ascii="宋体" w:hAnsi="宋体" w:eastAsia="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4E716560">
            <w:pPr>
              <w:spacing w:line="360" w:lineRule="auto"/>
              <w:jc w:val="center"/>
              <w:rPr>
                <w:rFonts w:hint="eastAsia" w:ascii="宋体" w:hAnsi="宋体" w:eastAsia="宋体" w:cs="宋体"/>
                <w:color w:val="auto"/>
                <w:sz w:val="24"/>
                <w:szCs w:val="24"/>
                <w:highlight w:val="none"/>
              </w:rPr>
            </w:pPr>
          </w:p>
        </w:tc>
        <w:tc>
          <w:tcPr>
            <w:tcW w:w="4678" w:type="dxa"/>
            <w:tcBorders>
              <w:top w:val="single" w:color="auto" w:sz="4" w:space="0"/>
              <w:left w:val="single" w:color="auto" w:sz="4" w:space="0"/>
              <w:bottom w:val="single" w:color="auto" w:sz="4" w:space="0"/>
              <w:right w:val="single" w:color="auto" w:sz="4" w:space="0"/>
            </w:tcBorders>
            <w:noWrap w:val="0"/>
            <w:vAlign w:val="center"/>
          </w:tcPr>
          <w:p w14:paraId="0A22B575">
            <w:pPr>
              <w:spacing w:line="360" w:lineRule="auto"/>
              <w:jc w:val="center"/>
              <w:rPr>
                <w:rFonts w:hint="eastAsia" w:ascii="宋体" w:hAnsi="宋体" w:eastAsia="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CEEBB52">
            <w:pPr>
              <w:spacing w:line="360" w:lineRule="auto"/>
              <w:jc w:val="center"/>
              <w:rPr>
                <w:rFonts w:hint="eastAsia" w:ascii="宋体" w:hAnsi="宋体" w:eastAsia="宋体" w:cs="宋体"/>
                <w:color w:val="auto"/>
                <w:sz w:val="24"/>
                <w:szCs w:val="24"/>
                <w:highlight w:val="none"/>
              </w:rPr>
            </w:pPr>
          </w:p>
        </w:tc>
      </w:tr>
      <w:tr w14:paraId="5888F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14:paraId="21D60E54">
            <w:pPr>
              <w:spacing w:line="360" w:lineRule="auto"/>
              <w:jc w:val="center"/>
              <w:rPr>
                <w:rFonts w:hint="eastAsia" w:ascii="宋体" w:hAnsi="宋体" w:eastAsia="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0A6360AC">
            <w:pPr>
              <w:spacing w:line="360" w:lineRule="auto"/>
              <w:jc w:val="center"/>
              <w:rPr>
                <w:rFonts w:hint="eastAsia" w:ascii="宋体" w:hAnsi="宋体" w:eastAsia="宋体" w:cs="宋体"/>
                <w:color w:val="auto"/>
                <w:sz w:val="24"/>
                <w:szCs w:val="24"/>
                <w:highlight w:val="none"/>
              </w:rPr>
            </w:pPr>
          </w:p>
        </w:tc>
        <w:tc>
          <w:tcPr>
            <w:tcW w:w="4678" w:type="dxa"/>
            <w:tcBorders>
              <w:top w:val="single" w:color="auto" w:sz="4" w:space="0"/>
              <w:left w:val="single" w:color="auto" w:sz="4" w:space="0"/>
              <w:bottom w:val="single" w:color="auto" w:sz="4" w:space="0"/>
              <w:right w:val="single" w:color="auto" w:sz="4" w:space="0"/>
            </w:tcBorders>
            <w:noWrap w:val="0"/>
            <w:vAlign w:val="center"/>
          </w:tcPr>
          <w:p w14:paraId="324A5FD3">
            <w:pPr>
              <w:spacing w:line="360" w:lineRule="auto"/>
              <w:jc w:val="center"/>
              <w:rPr>
                <w:rFonts w:hint="eastAsia" w:ascii="宋体" w:hAnsi="宋体" w:eastAsia="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3D97CFC">
            <w:pPr>
              <w:spacing w:line="360" w:lineRule="auto"/>
              <w:jc w:val="center"/>
              <w:rPr>
                <w:rFonts w:hint="eastAsia" w:ascii="宋体" w:hAnsi="宋体" w:eastAsia="宋体" w:cs="宋体"/>
                <w:color w:val="auto"/>
                <w:sz w:val="24"/>
                <w:szCs w:val="24"/>
                <w:highlight w:val="none"/>
              </w:rPr>
            </w:pPr>
          </w:p>
        </w:tc>
      </w:tr>
      <w:tr w14:paraId="3AB24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14:paraId="11A43E16">
            <w:pPr>
              <w:spacing w:line="360" w:lineRule="auto"/>
              <w:jc w:val="center"/>
              <w:rPr>
                <w:rFonts w:hint="eastAsia" w:ascii="宋体" w:hAnsi="宋体" w:eastAsia="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47D46059">
            <w:pPr>
              <w:spacing w:line="360" w:lineRule="auto"/>
              <w:jc w:val="center"/>
              <w:rPr>
                <w:rFonts w:hint="eastAsia" w:ascii="宋体" w:hAnsi="宋体" w:eastAsia="宋体" w:cs="宋体"/>
                <w:color w:val="auto"/>
                <w:sz w:val="24"/>
                <w:szCs w:val="24"/>
                <w:highlight w:val="none"/>
              </w:rPr>
            </w:pPr>
          </w:p>
        </w:tc>
        <w:tc>
          <w:tcPr>
            <w:tcW w:w="4678" w:type="dxa"/>
            <w:tcBorders>
              <w:top w:val="single" w:color="auto" w:sz="4" w:space="0"/>
              <w:left w:val="single" w:color="auto" w:sz="4" w:space="0"/>
              <w:bottom w:val="single" w:color="auto" w:sz="4" w:space="0"/>
              <w:right w:val="single" w:color="auto" w:sz="4" w:space="0"/>
            </w:tcBorders>
            <w:noWrap w:val="0"/>
            <w:vAlign w:val="center"/>
          </w:tcPr>
          <w:p w14:paraId="5676118E">
            <w:pPr>
              <w:spacing w:line="360" w:lineRule="auto"/>
              <w:jc w:val="center"/>
              <w:rPr>
                <w:rFonts w:hint="eastAsia" w:ascii="宋体" w:hAnsi="宋体" w:eastAsia="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02CE0E4">
            <w:pPr>
              <w:spacing w:line="360" w:lineRule="auto"/>
              <w:jc w:val="center"/>
              <w:rPr>
                <w:rFonts w:hint="eastAsia" w:ascii="宋体" w:hAnsi="宋体" w:eastAsia="宋体" w:cs="宋体"/>
                <w:color w:val="auto"/>
                <w:sz w:val="24"/>
                <w:szCs w:val="24"/>
                <w:highlight w:val="none"/>
              </w:rPr>
            </w:pPr>
          </w:p>
        </w:tc>
      </w:tr>
      <w:tr w14:paraId="5812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14:paraId="017F9F2E">
            <w:pPr>
              <w:spacing w:line="360" w:lineRule="auto"/>
              <w:jc w:val="center"/>
              <w:rPr>
                <w:rFonts w:hint="eastAsia" w:ascii="宋体" w:hAnsi="宋体" w:eastAsia="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01802646">
            <w:pPr>
              <w:spacing w:line="360" w:lineRule="auto"/>
              <w:jc w:val="center"/>
              <w:rPr>
                <w:rFonts w:hint="eastAsia" w:ascii="宋体" w:hAnsi="宋体" w:eastAsia="宋体" w:cs="宋体"/>
                <w:color w:val="auto"/>
                <w:sz w:val="24"/>
                <w:szCs w:val="24"/>
                <w:highlight w:val="none"/>
              </w:rPr>
            </w:pPr>
          </w:p>
        </w:tc>
        <w:tc>
          <w:tcPr>
            <w:tcW w:w="4678" w:type="dxa"/>
            <w:tcBorders>
              <w:top w:val="single" w:color="auto" w:sz="4" w:space="0"/>
              <w:left w:val="single" w:color="auto" w:sz="4" w:space="0"/>
              <w:bottom w:val="single" w:color="auto" w:sz="4" w:space="0"/>
              <w:right w:val="single" w:color="auto" w:sz="4" w:space="0"/>
            </w:tcBorders>
            <w:noWrap w:val="0"/>
            <w:vAlign w:val="center"/>
          </w:tcPr>
          <w:p w14:paraId="4101C05F">
            <w:pPr>
              <w:spacing w:line="360" w:lineRule="auto"/>
              <w:jc w:val="center"/>
              <w:rPr>
                <w:rFonts w:hint="eastAsia" w:ascii="宋体" w:hAnsi="宋体" w:eastAsia="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5CA875C">
            <w:pPr>
              <w:spacing w:line="360" w:lineRule="auto"/>
              <w:jc w:val="center"/>
              <w:rPr>
                <w:rFonts w:hint="eastAsia" w:ascii="宋体" w:hAnsi="宋体" w:eastAsia="宋体" w:cs="宋体"/>
                <w:color w:val="auto"/>
                <w:sz w:val="24"/>
                <w:szCs w:val="24"/>
                <w:highlight w:val="none"/>
              </w:rPr>
            </w:pPr>
          </w:p>
        </w:tc>
      </w:tr>
      <w:tr w14:paraId="40D3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14:paraId="0A732CC6">
            <w:pPr>
              <w:spacing w:line="360" w:lineRule="auto"/>
              <w:jc w:val="center"/>
              <w:rPr>
                <w:rFonts w:hint="eastAsia" w:ascii="宋体" w:hAnsi="宋体" w:eastAsia="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3F65D91E">
            <w:pPr>
              <w:spacing w:line="360" w:lineRule="auto"/>
              <w:jc w:val="center"/>
              <w:rPr>
                <w:rFonts w:hint="eastAsia" w:ascii="宋体" w:hAnsi="宋体" w:eastAsia="宋体" w:cs="宋体"/>
                <w:color w:val="auto"/>
                <w:sz w:val="24"/>
                <w:szCs w:val="24"/>
                <w:highlight w:val="none"/>
              </w:rPr>
            </w:pPr>
          </w:p>
        </w:tc>
        <w:tc>
          <w:tcPr>
            <w:tcW w:w="4678" w:type="dxa"/>
            <w:tcBorders>
              <w:top w:val="single" w:color="auto" w:sz="4" w:space="0"/>
              <w:left w:val="single" w:color="auto" w:sz="4" w:space="0"/>
              <w:bottom w:val="single" w:color="auto" w:sz="4" w:space="0"/>
              <w:right w:val="single" w:color="auto" w:sz="4" w:space="0"/>
            </w:tcBorders>
            <w:noWrap w:val="0"/>
            <w:vAlign w:val="center"/>
          </w:tcPr>
          <w:p w14:paraId="30BC0DDC">
            <w:pPr>
              <w:spacing w:line="360" w:lineRule="auto"/>
              <w:jc w:val="center"/>
              <w:rPr>
                <w:rFonts w:hint="eastAsia" w:ascii="宋体" w:hAnsi="宋体" w:eastAsia="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2EEB422">
            <w:pPr>
              <w:spacing w:line="360" w:lineRule="auto"/>
              <w:jc w:val="center"/>
              <w:rPr>
                <w:rFonts w:hint="eastAsia" w:ascii="宋体" w:hAnsi="宋体" w:eastAsia="宋体" w:cs="宋体"/>
                <w:color w:val="auto"/>
                <w:sz w:val="24"/>
                <w:szCs w:val="24"/>
                <w:highlight w:val="none"/>
              </w:rPr>
            </w:pPr>
          </w:p>
        </w:tc>
      </w:tr>
      <w:tr w14:paraId="27DCA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14:paraId="51E3E5E1">
            <w:pPr>
              <w:spacing w:line="360" w:lineRule="auto"/>
              <w:jc w:val="center"/>
              <w:rPr>
                <w:rFonts w:hint="eastAsia" w:ascii="宋体" w:hAnsi="宋体" w:eastAsia="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5CDF2EFA">
            <w:pPr>
              <w:spacing w:line="360" w:lineRule="auto"/>
              <w:jc w:val="center"/>
              <w:rPr>
                <w:rFonts w:hint="eastAsia" w:ascii="宋体" w:hAnsi="宋体" w:eastAsia="宋体" w:cs="宋体"/>
                <w:color w:val="auto"/>
                <w:sz w:val="24"/>
                <w:szCs w:val="24"/>
                <w:highlight w:val="none"/>
              </w:rPr>
            </w:pPr>
          </w:p>
        </w:tc>
        <w:tc>
          <w:tcPr>
            <w:tcW w:w="4678" w:type="dxa"/>
            <w:tcBorders>
              <w:top w:val="single" w:color="auto" w:sz="4" w:space="0"/>
              <w:left w:val="single" w:color="auto" w:sz="4" w:space="0"/>
              <w:bottom w:val="single" w:color="auto" w:sz="4" w:space="0"/>
              <w:right w:val="single" w:color="auto" w:sz="4" w:space="0"/>
            </w:tcBorders>
            <w:noWrap w:val="0"/>
            <w:vAlign w:val="center"/>
          </w:tcPr>
          <w:p w14:paraId="6331BFEF">
            <w:pPr>
              <w:spacing w:line="360" w:lineRule="auto"/>
              <w:jc w:val="center"/>
              <w:rPr>
                <w:rFonts w:hint="eastAsia" w:ascii="宋体" w:hAnsi="宋体" w:eastAsia="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6D8EE3F">
            <w:pPr>
              <w:spacing w:line="360" w:lineRule="auto"/>
              <w:jc w:val="center"/>
              <w:rPr>
                <w:rFonts w:hint="eastAsia" w:ascii="宋体" w:hAnsi="宋体" w:eastAsia="宋体" w:cs="宋体"/>
                <w:color w:val="auto"/>
                <w:sz w:val="24"/>
                <w:szCs w:val="24"/>
                <w:highlight w:val="none"/>
              </w:rPr>
            </w:pPr>
          </w:p>
        </w:tc>
      </w:tr>
      <w:tr w14:paraId="2C00E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14:paraId="0202419B">
            <w:pPr>
              <w:spacing w:line="360" w:lineRule="auto"/>
              <w:jc w:val="center"/>
              <w:rPr>
                <w:rFonts w:hint="eastAsia" w:ascii="宋体" w:hAnsi="宋体" w:eastAsia="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34235FC7">
            <w:pPr>
              <w:spacing w:line="360" w:lineRule="auto"/>
              <w:jc w:val="center"/>
              <w:rPr>
                <w:rFonts w:hint="eastAsia" w:ascii="宋体" w:hAnsi="宋体" w:eastAsia="宋体" w:cs="宋体"/>
                <w:color w:val="auto"/>
                <w:sz w:val="24"/>
                <w:szCs w:val="24"/>
                <w:highlight w:val="none"/>
              </w:rPr>
            </w:pPr>
          </w:p>
        </w:tc>
        <w:tc>
          <w:tcPr>
            <w:tcW w:w="4678" w:type="dxa"/>
            <w:tcBorders>
              <w:top w:val="single" w:color="auto" w:sz="4" w:space="0"/>
              <w:left w:val="single" w:color="auto" w:sz="4" w:space="0"/>
              <w:bottom w:val="single" w:color="auto" w:sz="4" w:space="0"/>
              <w:right w:val="single" w:color="auto" w:sz="4" w:space="0"/>
            </w:tcBorders>
            <w:noWrap w:val="0"/>
            <w:vAlign w:val="center"/>
          </w:tcPr>
          <w:p w14:paraId="743C49C1">
            <w:pPr>
              <w:spacing w:line="360" w:lineRule="auto"/>
              <w:jc w:val="center"/>
              <w:rPr>
                <w:rFonts w:hint="eastAsia" w:ascii="宋体" w:hAnsi="宋体" w:eastAsia="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0A3EC28">
            <w:pPr>
              <w:spacing w:line="360" w:lineRule="auto"/>
              <w:jc w:val="center"/>
              <w:rPr>
                <w:rFonts w:hint="eastAsia" w:ascii="宋体" w:hAnsi="宋体" w:eastAsia="宋体" w:cs="宋体"/>
                <w:color w:val="auto"/>
                <w:sz w:val="24"/>
                <w:szCs w:val="24"/>
                <w:highlight w:val="none"/>
              </w:rPr>
            </w:pPr>
          </w:p>
        </w:tc>
      </w:tr>
      <w:tr w14:paraId="21F4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14:paraId="254918D2">
            <w:pPr>
              <w:spacing w:line="360" w:lineRule="auto"/>
              <w:jc w:val="center"/>
              <w:rPr>
                <w:rFonts w:hint="eastAsia" w:ascii="宋体" w:hAnsi="宋体" w:eastAsia="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67CD08D7">
            <w:pPr>
              <w:spacing w:line="360" w:lineRule="auto"/>
              <w:jc w:val="center"/>
              <w:rPr>
                <w:rFonts w:hint="eastAsia" w:ascii="宋体" w:hAnsi="宋体" w:eastAsia="宋体" w:cs="宋体"/>
                <w:color w:val="auto"/>
                <w:sz w:val="24"/>
                <w:szCs w:val="24"/>
                <w:highlight w:val="none"/>
              </w:rPr>
            </w:pPr>
          </w:p>
        </w:tc>
        <w:tc>
          <w:tcPr>
            <w:tcW w:w="4678" w:type="dxa"/>
            <w:tcBorders>
              <w:top w:val="single" w:color="auto" w:sz="4" w:space="0"/>
              <w:left w:val="single" w:color="auto" w:sz="4" w:space="0"/>
              <w:bottom w:val="single" w:color="auto" w:sz="4" w:space="0"/>
              <w:right w:val="single" w:color="auto" w:sz="4" w:space="0"/>
            </w:tcBorders>
            <w:noWrap w:val="0"/>
            <w:vAlign w:val="center"/>
          </w:tcPr>
          <w:p w14:paraId="67E9AAB8">
            <w:pPr>
              <w:spacing w:line="360" w:lineRule="auto"/>
              <w:jc w:val="center"/>
              <w:rPr>
                <w:rFonts w:hint="eastAsia" w:ascii="宋体" w:hAnsi="宋体" w:eastAsia="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6F97DDD">
            <w:pPr>
              <w:spacing w:line="360" w:lineRule="auto"/>
              <w:jc w:val="center"/>
              <w:rPr>
                <w:rFonts w:hint="eastAsia" w:ascii="宋体" w:hAnsi="宋体" w:eastAsia="宋体" w:cs="宋体"/>
                <w:color w:val="auto"/>
                <w:sz w:val="24"/>
                <w:szCs w:val="24"/>
                <w:highlight w:val="none"/>
              </w:rPr>
            </w:pPr>
          </w:p>
        </w:tc>
      </w:tr>
      <w:tr w14:paraId="063D3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817" w:type="dxa"/>
            <w:gridSpan w:val="4"/>
            <w:tcBorders>
              <w:top w:val="single" w:color="auto" w:sz="4" w:space="0"/>
              <w:left w:val="single" w:color="auto" w:sz="4" w:space="0"/>
              <w:bottom w:val="single" w:color="auto" w:sz="4" w:space="0"/>
              <w:right w:val="single" w:color="auto" w:sz="4" w:space="0"/>
            </w:tcBorders>
            <w:noWrap w:val="0"/>
            <w:vAlign w:val="center"/>
          </w:tcPr>
          <w:p w14:paraId="1ADFD8D3">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小计：</w:t>
            </w:r>
          </w:p>
        </w:tc>
      </w:tr>
    </w:tbl>
    <w:p w14:paraId="2AD91C9F">
      <w:pPr>
        <w:spacing w:line="360" w:lineRule="auto"/>
        <w:ind w:left="-420" w:leftChars="-200" w:right="-420" w:rightChars="-200" w:firstLine="480" w:firstLineChars="200"/>
        <w:jc w:val="both"/>
        <w:outlineLvl w:val="0"/>
        <w:rPr>
          <w:rFonts w:ascii="宋体" w:hAnsi="宋体" w:cs="宋体"/>
          <w:color w:val="auto"/>
          <w:sz w:val="24"/>
          <w:highlight w:val="none"/>
        </w:rPr>
      </w:pPr>
    </w:p>
    <w:p w14:paraId="30C79E83">
      <w:pPr>
        <w:spacing w:line="360" w:lineRule="auto"/>
        <w:ind w:left="-420" w:leftChars="-200" w:right="-420" w:rightChars="-200" w:firstLine="480" w:firstLineChars="200"/>
        <w:jc w:val="center"/>
        <w:outlineLvl w:val="0"/>
        <w:rPr>
          <w:rFonts w:ascii="宋体" w:hAnsi="宋体" w:cs="宋体"/>
          <w:color w:val="auto"/>
          <w:sz w:val="24"/>
          <w:highlight w:val="none"/>
        </w:rPr>
        <w:sectPr>
          <w:pgSz w:w="11905" w:h="16838"/>
          <w:pgMar w:top="1417" w:right="1417" w:bottom="1417" w:left="1417" w:header="850" w:footer="992" w:gutter="0"/>
          <w:pgNumType w:fmt="decimal"/>
          <w:cols w:space="0" w:num="1"/>
          <w:titlePg/>
          <w:rtlGutter w:val="0"/>
          <w:docGrid w:linePitch="312" w:charSpace="0"/>
        </w:sectPr>
      </w:pPr>
    </w:p>
    <w:p w14:paraId="716134F5">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14:paraId="7DFEFC3A">
      <w:pPr>
        <w:spacing w:line="360" w:lineRule="auto"/>
        <w:jc w:val="center"/>
        <w:outlineLvl w:val="0"/>
        <w:rPr>
          <w:rFonts w:ascii="宋体" w:hAnsi="宋体" w:cs="宋体"/>
          <w:b/>
          <w:color w:val="auto"/>
          <w:kern w:val="0"/>
          <w:sz w:val="36"/>
          <w:szCs w:val="36"/>
          <w:highlight w:val="none"/>
        </w:rPr>
      </w:pPr>
    </w:p>
    <w:p w14:paraId="7EE66AE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52DBD15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2145994">
      <w:pPr>
        <w:spacing w:line="360" w:lineRule="auto"/>
        <w:jc w:val="center"/>
        <w:outlineLvl w:val="0"/>
        <w:rPr>
          <w:rFonts w:ascii="宋体" w:hAnsi="宋体" w:cs="宋体"/>
          <w:b/>
          <w:color w:val="auto"/>
          <w:kern w:val="0"/>
          <w:sz w:val="36"/>
          <w:szCs w:val="36"/>
          <w:highlight w:val="none"/>
        </w:rPr>
      </w:pPr>
    </w:p>
    <w:p w14:paraId="463A749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7F2EA92">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D28370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3AB9ED8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0A47CC8A">
      <w:pPr>
        <w:snapToGrid w:val="0"/>
        <w:spacing w:line="360" w:lineRule="auto"/>
        <w:ind w:firstLine="480" w:firstLineChars="200"/>
        <w:rPr>
          <w:rFonts w:ascii="宋体" w:hAnsi="宋体" w:cs="宋体"/>
          <w:color w:val="auto"/>
          <w:sz w:val="24"/>
          <w:highlight w:val="none"/>
        </w:rPr>
      </w:pPr>
    </w:p>
    <w:p w14:paraId="4922933F">
      <w:pPr>
        <w:spacing w:line="360" w:lineRule="auto"/>
        <w:ind w:firstLine="480" w:firstLineChars="200"/>
        <w:rPr>
          <w:rFonts w:ascii="宋体" w:hAnsi="宋体" w:cs="宋体"/>
          <w:color w:val="auto"/>
          <w:sz w:val="24"/>
          <w:highlight w:val="none"/>
        </w:rPr>
      </w:pPr>
    </w:p>
    <w:p w14:paraId="5D151BC0">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7B6AE9C">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浙江省杭州第四中学</w:t>
      </w:r>
      <w:r>
        <w:rPr>
          <w:rFonts w:hint="eastAsia" w:ascii="宋体" w:hAnsi="宋体" w:cs="宋体"/>
          <w:color w:val="auto"/>
          <w:sz w:val="24"/>
          <w:highlight w:val="none"/>
        </w:rPr>
        <w:t>、浙江省建设工程设备招标有限公司：</w:t>
      </w:r>
    </w:p>
    <w:p w14:paraId="088DDFE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杭州四中下沙校区综合楼西（学生成长中心）改造</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ZJZBC-25-CS-9041</w:t>
      </w:r>
      <w:r>
        <w:rPr>
          <w:rFonts w:hint="eastAsia" w:ascii="宋体" w:hAnsi="宋体" w:cs="宋体"/>
          <w:color w:val="auto"/>
          <w:sz w:val="24"/>
          <w:highlight w:val="none"/>
        </w:rPr>
        <w:t>】政府采购活动，郑重承诺：</w:t>
      </w:r>
    </w:p>
    <w:p w14:paraId="07471751">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AF056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41380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7CDDB2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7082DC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4952AD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C3E110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3FCE0B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1FF7A4A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003E8F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5A8F259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9760ABC">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45907C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C152D72">
      <w:pPr>
        <w:snapToGrid w:val="0"/>
        <w:spacing w:line="360" w:lineRule="auto"/>
        <w:ind w:right="480"/>
        <w:jc w:val="center"/>
        <w:rPr>
          <w:rFonts w:ascii="宋体" w:hAnsi="宋体" w:cs="宋体"/>
          <w:b/>
          <w:color w:val="auto"/>
          <w:kern w:val="0"/>
          <w:sz w:val="32"/>
          <w:szCs w:val="32"/>
          <w:highlight w:val="none"/>
        </w:rPr>
        <w:sectPr>
          <w:pgSz w:w="11905" w:h="16838"/>
          <w:pgMar w:top="1417" w:right="1417" w:bottom="1417" w:left="1417" w:header="850" w:footer="992" w:gutter="0"/>
          <w:pgNumType w:fmt="decimal"/>
          <w:cols w:space="0" w:num="1"/>
          <w:titlePg/>
          <w:rtlGutter w:val="0"/>
          <w:docGrid w:linePitch="312" w:charSpace="0"/>
        </w:sectPr>
      </w:pPr>
    </w:p>
    <w:p w14:paraId="7D9FF88D">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0632B2F">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[以联合体形式参与的，提供联合协议（附件5）；本项目不接受联合体或者供应商不以联合体形式投参与的，则不需要提供]</w:t>
      </w:r>
    </w:p>
    <w:p w14:paraId="7F5D06AE">
      <w:pPr>
        <w:snapToGrid w:val="0"/>
        <w:spacing w:line="360" w:lineRule="auto"/>
        <w:ind w:right="480"/>
        <w:jc w:val="center"/>
        <w:rPr>
          <w:rFonts w:ascii="宋体" w:hAnsi="宋体" w:cs="宋体"/>
          <w:b/>
          <w:color w:val="auto"/>
          <w:kern w:val="0"/>
          <w:sz w:val="32"/>
          <w:szCs w:val="32"/>
          <w:highlight w:val="none"/>
        </w:rPr>
        <w:sectPr>
          <w:pgSz w:w="11905" w:h="16838"/>
          <w:pgMar w:top="1417" w:right="1417" w:bottom="1417" w:left="1417" w:header="850" w:footer="992" w:gutter="0"/>
          <w:pgNumType w:fmt="decimal"/>
          <w:cols w:space="0" w:num="1"/>
          <w:titlePg/>
          <w:rtlGutter w:val="0"/>
          <w:docGrid w:linePitch="312" w:charSpace="0"/>
        </w:sectPr>
      </w:pPr>
    </w:p>
    <w:p w14:paraId="4E2BEED1">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2107E173">
      <w:pPr>
        <w:spacing w:line="360" w:lineRule="auto"/>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14:paraId="1F81B3E8">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.专门面向中小企业，工程全部由符合政策要求的中小企业（或小微企业）承建的，提供相应的中小企业声明函（附件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3D3B4367">
      <w:pPr>
        <w:widowControl/>
        <w:spacing w:line="360" w:lineRule="auto"/>
        <w:ind w:firstLine="480"/>
        <w:jc w:val="left"/>
        <w:rPr>
          <w:rFonts w:ascii="宋体" w:hAnsi="宋体" w:cs="宋体"/>
          <w:color w:val="auto"/>
          <w:sz w:val="24"/>
          <w:highlight w:val="none"/>
        </w:rPr>
      </w:pPr>
    </w:p>
    <w:p w14:paraId="27BBBE1F">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B819922">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2557B28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b/>
          <w:color w:val="auto"/>
          <w:sz w:val="24"/>
          <w:highlight w:val="none"/>
          <w:lang w:val="en-US" w:eastAsia="zh-CN"/>
        </w:rPr>
        <w:t>.</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29E481B">
      <w:pPr>
        <w:widowControl/>
        <w:spacing w:line="360" w:lineRule="auto"/>
        <w:ind w:left="150"/>
        <w:jc w:val="center"/>
        <w:rPr>
          <w:rFonts w:ascii="宋体" w:hAnsi="宋体" w:cs="宋体"/>
          <w:b/>
          <w:color w:val="auto"/>
          <w:kern w:val="0"/>
          <w:sz w:val="32"/>
          <w:szCs w:val="32"/>
          <w:highlight w:val="none"/>
        </w:rPr>
      </w:pPr>
    </w:p>
    <w:p w14:paraId="73A10A30">
      <w:pPr>
        <w:widowControl/>
        <w:spacing w:line="360" w:lineRule="auto"/>
        <w:ind w:left="150"/>
        <w:jc w:val="center"/>
        <w:rPr>
          <w:rFonts w:hint="eastAsia" w:ascii="宋体" w:hAnsi="宋体" w:cs="宋体"/>
          <w:b/>
          <w:color w:val="auto"/>
          <w:kern w:val="0"/>
          <w:sz w:val="32"/>
          <w:szCs w:val="32"/>
          <w:highlight w:val="none"/>
        </w:rPr>
      </w:pPr>
    </w:p>
    <w:p w14:paraId="2682D713">
      <w:pPr>
        <w:widowControl/>
        <w:spacing w:line="360" w:lineRule="auto"/>
        <w:ind w:left="150"/>
        <w:jc w:val="center"/>
        <w:rPr>
          <w:rFonts w:hint="eastAsia" w:ascii="宋体" w:hAnsi="宋体" w:cs="宋体"/>
          <w:b/>
          <w:color w:val="auto"/>
          <w:kern w:val="0"/>
          <w:sz w:val="32"/>
          <w:szCs w:val="32"/>
          <w:highlight w:val="none"/>
        </w:rPr>
      </w:pPr>
    </w:p>
    <w:p w14:paraId="51174462">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7F9DB62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（根据竞争性磋商公告本项目的特定资格要求提供相应的材料；未要求的，无需提供）</w:t>
      </w:r>
    </w:p>
    <w:p w14:paraId="3CCA65F9">
      <w:pPr>
        <w:rPr>
          <w:rFonts w:ascii="宋体" w:hAnsi="宋体" w:cs="宋体"/>
          <w:color w:val="auto"/>
          <w:highlight w:val="none"/>
        </w:rPr>
      </w:pPr>
    </w:p>
    <w:p w14:paraId="2BA786C8">
      <w:pPr>
        <w:snapToGrid w:val="0"/>
        <w:spacing w:line="360" w:lineRule="auto"/>
        <w:ind w:right="480"/>
        <w:jc w:val="center"/>
        <w:rPr>
          <w:rFonts w:ascii="宋体" w:hAnsi="宋体" w:cs="宋体"/>
          <w:b/>
          <w:color w:val="auto"/>
          <w:kern w:val="0"/>
          <w:sz w:val="32"/>
          <w:szCs w:val="32"/>
          <w:highlight w:val="none"/>
        </w:rPr>
        <w:sectPr>
          <w:pgSz w:w="11905" w:h="16838"/>
          <w:pgMar w:top="1417" w:right="1417" w:bottom="1417" w:left="1417" w:header="850" w:footer="992" w:gutter="0"/>
          <w:pgNumType w:fmt="decimal"/>
          <w:cols w:space="0" w:num="1"/>
          <w:titlePg/>
          <w:rtlGutter w:val="0"/>
          <w:docGrid w:linePitch="312" w:charSpace="0"/>
        </w:sectPr>
      </w:pPr>
    </w:p>
    <w:p w14:paraId="3F414F92">
      <w:pPr>
        <w:pStyle w:val="3"/>
        <w:rPr>
          <w:rFonts w:ascii="宋体" w:hAnsi="宋体" w:cs="宋体"/>
          <w:b w:val="0"/>
          <w:color w:val="auto"/>
          <w:kern w:val="0"/>
          <w:sz w:val="36"/>
          <w:szCs w:val="36"/>
          <w:highlight w:val="none"/>
        </w:rPr>
      </w:pPr>
    </w:p>
    <w:p w14:paraId="74F898BC">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9278CB8">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3FA047F">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响应函………………………………………………………………………（页码）</w:t>
      </w:r>
    </w:p>
    <w:p w14:paraId="26FC36CC">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rPr>
        <w:t>……（页码）</w:t>
      </w:r>
    </w:p>
    <w:p w14:paraId="53C46EE3">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）分包意向协议………………………………………………………………（页码）</w:t>
      </w:r>
    </w:p>
    <w:p w14:paraId="4B10110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14:paraId="7FC63498">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）评审标准相应的商务技术资料……………………………………………（页码）（</w:t>
      </w:r>
      <w:r>
        <w:rPr>
          <w:rFonts w:ascii="宋体" w:hAnsi="宋体" w:cs="宋体"/>
          <w:color w:val="auto"/>
          <w:sz w:val="24"/>
          <w:highlight w:val="none"/>
        </w:rPr>
        <w:t>6</w:t>
      </w:r>
      <w:r>
        <w:rPr>
          <w:rFonts w:hint="eastAsia" w:ascii="宋体" w:hAnsi="宋体" w:cs="宋体"/>
          <w:color w:val="auto"/>
          <w:sz w:val="24"/>
          <w:highlight w:val="none"/>
        </w:rPr>
        <w:t>）商务技术偏离表……………………………………………………………（页码）</w:t>
      </w:r>
    </w:p>
    <w:p w14:paraId="5CB08127">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lang w:val="zh-CN"/>
        </w:rPr>
        <w:t>（</w:t>
      </w:r>
      <w:r>
        <w:rPr>
          <w:rFonts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0B0C9B61">
      <w:pPr>
        <w:snapToGrid w:val="0"/>
        <w:spacing w:line="360" w:lineRule="auto"/>
        <w:jc w:val="center"/>
        <w:rPr>
          <w:rFonts w:ascii="宋体" w:hAnsi="宋体" w:cs="宋体"/>
          <w:b/>
          <w:color w:val="auto"/>
          <w:kern w:val="0"/>
          <w:sz w:val="24"/>
          <w:szCs w:val="32"/>
          <w:highlight w:val="none"/>
          <w:lang w:val="zh-CN"/>
        </w:rPr>
        <w:sectPr>
          <w:pgSz w:w="11905" w:h="16838"/>
          <w:pgMar w:top="1417" w:right="1417" w:bottom="1417" w:left="1417" w:header="850" w:footer="992" w:gutter="0"/>
          <w:pgNumType w:fmt="decimal"/>
          <w:cols w:space="0" w:num="1"/>
          <w:titlePg/>
          <w:rtlGutter w:val="0"/>
          <w:docGrid w:linePitch="312" w:charSpace="0"/>
        </w:sectPr>
      </w:pPr>
    </w:p>
    <w:p w14:paraId="541959DE">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788BEF5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浙江省杭州第四中学</w:t>
      </w:r>
      <w:r>
        <w:rPr>
          <w:rFonts w:hint="eastAsia" w:ascii="宋体" w:hAnsi="宋体" w:cs="宋体"/>
          <w:color w:val="auto"/>
          <w:sz w:val="24"/>
          <w:highlight w:val="none"/>
        </w:rPr>
        <w:t>、浙江省建设工程设备招标有限公司：</w:t>
      </w:r>
    </w:p>
    <w:p w14:paraId="18873AE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杭州四中下沙校区综合楼西（学生成长中心）改造</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ZJZBC-25-CS-9041</w:t>
      </w:r>
      <w:r>
        <w:rPr>
          <w:rFonts w:hint="eastAsia" w:ascii="宋体" w:hAnsi="宋体" w:cs="宋体"/>
          <w:color w:val="auto"/>
          <w:sz w:val="24"/>
          <w:highlight w:val="none"/>
        </w:rPr>
        <w:t>】采购的有关活动，并对此项目提交响应文件及报价。为此：</w:t>
      </w:r>
    </w:p>
    <w:p w14:paraId="334BB61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2B255C2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50FF23E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5C289F9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1F72F2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1CFFEB0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15A1A0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79DC2C7">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42BDFC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1A6E86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8A184A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4ED882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B5924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14:paraId="5C0EB59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54EF8E94">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32669A0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70CD25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14:paraId="5EC4944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2.3.2已标价工程量清单；</w:t>
      </w:r>
    </w:p>
    <w:p w14:paraId="0C21454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2.3.3中小企业声明函（如果有）。</w:t>
      </w:r>
    </w:p>
    <w:p w14:paraId="4612F05A">
      <w:pPr>
        <w:pStyle w:val="8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3、我方承诺除商务技术偏离表列出的偏离外，我方响应采购文件的全部要求。对</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文件中材料的真实性、合法性负责</w:t>
      </w:r>
      <w:r>
        <w:rPr>
          <w:rFonts w:hint="eastAsia" w:ascii="宋体" w:hAnsi="宋体" w:eastAsia="宋体" w:cs="宋体"/>
          <w:color w:val="auto"/>
          <w:sz w:val="24"/>
          <w:highlight w:val="none"/>
          <w:lang w:eastAsia="zh-CN"/>
        </w:rPr>
        <w:t>，积极配合采购人、采购代理机构复核响应文件中的资料</w:t>
      </w:r>
      <w:r>
        <w:rPr>
          <w:rFonts w:hint="eastAsia" w:ascii="宋体" w:hAnsi="宋体" w:eastAsia="宋体" w:cs="宋体"/>
          <w:color w:val="auto"/>
          <w:sz w:val="24"/>
          <w:highlight w:val="none"/>
        </w:rPr>
        <w:t>。</w:t>
      </w:r>
    </w:p>
    <w:p w14:paraId="1306655B">
      <w:pPr>
        <w:snapToGrid w:val="0"/>
        <w:spacing w:line="360" w:lineRule="auto"/>
        <w:ind w:firstLine="480" w:firstLineChars="200"/>
        <w:rPr>
          <w:rFonts w:hint="eastAsia" w:ascii="宋体" w:hAnsi="宋体" w:eastAsia="宋体" w:cs="宋体"/>
          <w:color w:val="auto"/>
          <w:sz w:val="24"/>
          <w:highlight w:val="none"/>
        </w:rPr>
      </w:pPr>
    </w:p>
    <w:p w14:paraId="142253B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4B5D454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5B6839D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3F21CF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7BFFD39D">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A0E280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E82FBC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 xml:space="preserve">、其他补充说明: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7F74DC3">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6E6E2C7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5CDAFDA">
      <w:pPr>
        <w:snapToGrid w:val="0"/>
        <w:spacing w:line="360" w:lineRule="auto"/>
        <w:ind w:left="420" w:leftChars="200" w:firstLine="4200" w:firstLineChars="1750"/>
        <w:rPr>
          <w:rFonts w:ascii="宋体" w:hAnsi="宋体" w:cs="宋体"/>
          <w:color w:val="auto"/>
          <w:kern w:val="0"/>
          <w:sz w:val="24"/>
          <w:highlight w:val="none"/>
          <w:u w:val="single"/>
        </w:rPr>
      </w:pPr>
    </w:p>
    <w:p w14:paraId="5CC3895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6793DF4">
      <w:pPr>
        <w:snapToGrid w:val="0"/>
        <w:spacing w:line="360" w:lineRule="auto"/>
        <w:jc w:val="center"/>
        <w:rPr>
          <w:rFonts w:ascii="宋体" w:hAnsi="宋体" w:cs="宋体"/>
          <w:b/>
          <w:color w:val="auto"/>
          <w:kern w:val="0"/>
          <w:sz w:val="32"/>
          <w:szCs w:val="32"/>
          <w:highlight w:val="none"/>
        </w:rPr>
      </w:pPr>
    </w:p>
    <w:p w14:paraId="575A18AD">
      <w:pPr>
        <w:snapToGrid w:val="0"/>
        <w:spacing w:line="360" w:lineRule="auto"/>
        <w:rPr>
          <w:rFonts w:ascii="宋体" w:hAnsi="宋体" w:cs="宋体"/>
          <w:color w:val="auto"/>
          <w:sz w:val="24"/>
          <w:highlight w:val="none"/>
        </w:rPr>
      </w:pPr>
    </w:p>
    <w:p w14:paraId="3CEB5F15">
      <w:pPr>
        <w:jc w:val="center"/>
        <w:rPr>
          <w:rFonts w:ascii="宋体" w:hAnsi="宋体" w:cs="宋体"/>
          <w:b/>
          <w:color w:val="auto"/>
          <w:kern w:val="0"/>
          <w:sz w:val="32"/>
          <w:szCs w:val="32"/>
          <w:highlight w:val="none"/>
        </w:rPr>
      </w:pPr>
    </w:p>
    <w:p w14:paraId="293E1D2D">
      <w:pPr>
        <w:jc w:val="center"/>
        <w:rPr>
          <w:rFonts w:ascii="宋体" w:hAnsi="宋体" w:cs="宋体"/>
          <w:b/>
          <w:color w:val="auto"/>
          <w:kern w:val="0"/>
          <w:sz w:val="32"/>
          <w:szCs w:val="32"/>
          <w:highlight w:val="none"/>
        </w:rPr>
        <w:sectPr>
          <w:pgSz w:w="11905" w:h="16838"/>
          <w:pgMar w:top="1417" w:right="1417" w:bottom="1417" w:left="1417" w:header="850" w:footer="992" w:gutter="0"/>
          <w:pgNumType w:fmt="decimal"/>
          <w:cols w:space="0" w:num="1"/>
          <w:titlePg/>
          <w:rtlGutter w:val="0"/>
          <w:docGrid w:linePitch="312" w:charSpace="0"/>
        </w:sectPr>
      </w:pPr>
    </w:p>
    <w:p w14:paraId="1EF537BE">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006BC0A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6EDAB60">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5016858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浙江省杭州第四中学</w:t>
      </w:r>
      <w:r>
        <w:rPr>
          <w:rFonts w:hint="eastAsia" w:ascii="宋体" w:hAnsi="宋体" w:cs="宋体"/>
          <w:color w:val="auto"/>
          <w:sz w:val="24"/>
          <w:highlight w:val="none"/>
        </w:rPr>
        <w:t>、浙江省建设工程设备招标有限公司</w:t>
      </w:r>
      <w:r>
        <w:rPr>
          <w:rFonts w:hint="eastAsia" w:ascii="宋体" w:hAnsi="宋体" w:cs="宋体"/>
          <w:color w:val="auto"/>
          <w:kern w:val="0"/>
          <w:sz w:val="24"/>
          <w:highlight w:val="none"/>
          <w:lang w:val="zh-CN"/>
        </w:rPr>
        <w:t>：</w:t>
      </w:r>
    </w:p>
    <w:p w14:paraId="367F1BC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杭州四中下沙校区综合楼西（学生成长中心）改造</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ZJZBC-25-CS-9041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35AC6AE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251E56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A5E15DF">
      <w:pPr>
        <w:snapToGrid w:val="0"/>
        <w:spacing w:line="360" w:lineRule="auto"/>
        <w:ind w:left="5986" w:leftChars="2736" w:hanging="240" w:hangingChars="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38019BB7">
      <w:pPr>
        <w:snapToGrid w:val="0"/>
        <w:spacing w:line="360" w:lineRule="auto"/>
        <w:ind w:firstLine="6000" w:firstLineChars="25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签发日期：  年  月   日</w:t>
      </w:r>
    </w:p>
    <w:p w14:paraId="2DA7367E">
      <w:pPr>
        <w:snapToGrid w:val="0"/>
        <w:spacing w:line="360" w:lineRule="auto"/>
        <w:rPr>
          <w:rFonts w:ascii="宋体" w:hAnsi="宋体" w:cs="宋体"/>
          <w:color w:val="auto"/>
          <w:sz w:val="24"/>
          <w:highlight w:val="none"/>
        </w:rPr>
      </w:pPr>
    </w:p>
    <w:p w14:paraId="7A3FD01A">
      <w:pPr>
        <w:snapToGrid w:val="0"/>
        <w:spacing w:line="360" w:lineRule="auto"/>
        <w:rPr>
          <w:rFonts w:ascii="宋体" w:hAnsi="宋体" w:cs="宋体"/>
          <w:color w:val="auto"/>
          <w:sz w:val="24"/>
          <w:highlight w:val="none"/>
        </w:rPr>
      </w:pPr>
    </w:p>
    <w:p w14:paraId="664089D1">
      <w:pPr>
        <w:snapToGrid w:val="0"/>
        <w:spacing w:line="360" w:lineRule="auto"/>
        <w:rPr>
          <w:rFonts w:ascii="宋体" w:hAnsi="宋体" w:cs="宋体"/>
          <w:color w:val="auto"/>
          <w:sz w:val="24"/>
          <w:highlight w:val="none"/>
        </w:rPr>
      </w:pPr>
    </w:p>
    <w:p w14:paraId="0069B807">
      <w:pPr>
        <w:snapToGrid w:val="0"/>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5C11984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浙江省杭州第四中学</w:t>
      </w:r>
      <w:r>
        <w:rPr>
          <w:rFonts w:hint="eastAsia" w:ascii="宋体" w:hAnsi="宋体" w:cs="宋体"/>
          <w:color w:val="auto"/>
          <w:sz w:val="24"/>
          <w:highlight w:val="none"/>
        </w:rPr>
        <w:t>、浙江省建设工程设备招标有限公司</w:t>
      </w:r>
      <w:r>
        <w:rPr>
          <w:rFonts w:hint="eastAsia" w:ascii="宋体" w:hAnsi="宋体" w:cs="宋体"/>
          <w:color w:val="auto"/>
          <w:kern w:val="0"/>
          <w:sz w:val="24"/>
          <w:highlight w:val="none"/>
          <w:lang w:val="zh-CN"/>
        </w:rPr>
        <w:t>：</w:t>
      </w:r>
    </w:p>
    <w:p w14:paraId="63E20071">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杭州四中下沙校区综合楼西（学生成长中心）改造</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ZJZBC-25-CS-9041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3E1E2A8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A6F745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4006A1D">
      <w:pPr>
        <w:jc w:val="center"/>
        <w:rPr>
          <w:rFonts w:ascii="宋体" w:hAnsi="宋体" w:cs="宋体"/>
          <w:b/>
          <w:color w:val="auto"/>
          <w:kern w:val="0"/>
          <w:sz w:val="32"/>
          <w:szCs w:val="32"/>
          <w:highlight w:val="none"/>
        </w:rPr>
      </w:pPr>
    </w:p>
    <w:p w14:paraId="4EFF91B2">
      <w:pPr>
        <w:jc w:val="center"/>
        <w:rPr>
          <w:rFonts w:ascii="宋体" w:hAnsi="宋体" w:cs="宋体"/>
          <w:b/>
          <w:color w:val="auto"/>
          <w:kern w:val="0"/>
          <w:sz w:val="32"/>
          <w:szCs w:val="32"/>
          <w:highlight w:val="none"/>
        </w:rPr>
      </w:pPr>
    </w:p>
    <w:p w14:paraId="1B73AD52">
      <w:pPr>
        <w:jc w:val="center"/>
        <w:rPr>
          <w:rFonts w:ascii="宋体" w:hAnsi="宋体" w:cs="宋体"/>
          <w:b/>
          <w:color w:val="auto"/>
          <w:kern w:val="0"/>
          <w:sz w:val="32"/>
          <w:szCs w:val="32"/>
          <w:highlight w:val="none"/>
        </w:rPr>
      </w:pPr>
    </w:p>
    <w:p w14:paraId="36D3348E">
      <w:pPr>
        <w:rPr>
          <w:rFonts w:ascii="宋体" w:hAnsi="宋体" w:cs="宋体"/>
          <w:color w:val="auto"/>
          <w:highlight w:val="none"/>
        </w:rPr>
      </w:pPr>
    </w:p>
    <w:p w14:paraId="2747932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527380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7348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3DF20C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9070AC1">
      <w:pPr>
        <w:snapToGrid w:val="0"/>
        <w:jc w:val="center"/>
        <w:rPr>
          <w:rFonts w:hint="eastAsia" w:ascii="宋体" w:hAnsi="宋体" w:cs="宋体"/>
          <w:b/>
          <w:bCs/>
          <w:color w:val="auto"/>
          <w:sz w:val="32"/>
          <w:szCs w:val="32"/>
          <w:highlight w:val="none"/>
          <w:lang w:val="zh-CN"/>
        </w:rPr>
      </w:pPr>
    </w:p>
    <w:p w14:paraId="7503DE52">
      <w:pPr>
        <w:snapToGrid w:val="0"/>
        <w:jc w:val="center"/>
        <w:rPr>
          <w:rFonts w:hint="eastAsia" w:ascii="宋体" w:hAnsi="宋体" w:cs="宋体"/>
          <w:b/>
          <w:bCs/>
          <w:color w:val="auto"/>
          <w:sz w:val="32"/>
          <w:szCs w:val="32"/>
          <w:highlight w:val="none"/>
          <w:lang w:val="zh-CN"/>
        </w:rPr>
      </w:pPr>
    </w:p>
    <w:p w14:paraId="5913899A">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14:paraId="13048319">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6E5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7FE4732">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05DD6DA9">
            <w:pPr>
              <w:pStyle w:val="149"/>
              <w:adjustRightInd w:val="0"/>
              <w:spacing w:line="360" w:lineRule="auto"/>
              <w:rPr>
                <w:rFonts w:hAnsi="宋体" w:cs="宋体"/>
                <w:bCs/>
                <w:color w:val="auto"/>
                <w:sz w:val="24"/>
                <w:highlight w:val="none"/>
              </w:rPr>
            </w:pPr>
          </w:p>
        </w:tc>
      </w:tr>
    </w:tbl>
    <w:p w14:paraId="79821AD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561CBC2">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16C75143">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76AC353">
      <w:pPr>
        <w:jc w:val="center"/>
        <w:rPr>
          <w:rFonts w:ascii="宋体" w:hAnsi="宋体" w:cs="宋体"/>
          <w:b/>
          <w:color w:val="auto"/>
          <w:kern w:val="0"/>
          <w:sz w:val="32"/>
          <w:szCs w:val="32"/>
          <w:highlight w:val="none"/>
        </w:rPr>
      </w:pPr>
    </w:p>
    <w:p w14:paraId="31AC59AB">
      <w:pPr>
        <w:jc w:val="center"/>
        <w:rPr>
          <w:rFonts w:ascii="宋体" w:hAnsi="宋体" w:cs="宋体"/>
          <w:b/>
          <w:color w:val="auto"/>
          <w:kern w:val="0"/>
          <w:sz w:val="32"/>
          <w:szCs w:val="32"/>
          <w:highlight w:val="none"/>
        </w:rPr>
      </w:pPr>
    </w:p>
    <w:p w14:paraId="06433F0C">
      <w:pPr>
        <w:jc w:val="center"/>
        <w:rPr>
          <w:rFonts w:ascii="宋体" w:hAnsi="宋体" w:cs="宋体"/>
          <w:b/>
          <w:color w:val="auto"/>
          <w:kern w:val="0"/>
          <w:sz w:val="32"/>
          <w:szCs w:val="32"/>
          <w:highlight w:val="none"/>
        </w:rPr>
      </w:pPr>
    </w:p>
    <w:p w14:paraId="6D46462B">
      <w:pPr>
        <w:jc w:val="center"/>
        <w:rPr>
          <w:rFonts w:ascii="宋体" w:hAnsi="宋体" w:cs="宋体"/>
          <w:b/>
          <w:color w:val="auto"/>
          <w:kern w:val="0"/>
          <w:sz w:val="32"/>
          <w:szCs w:val="32"/>
          <w:highlight w:val="none"/>
        </w:rPr>
      </w:pPr>
    </w:p>
    <w:p w14:paraId="64520BA0">
      <w:pPr>
        <w:jc w:val="center"/>
        <w:rPr>
          <w:rFonts w:ascii="宋体" w:hAnsi="宋体" w:cs="宋体"/>
          <w:b/>
          <w:color w:val="auto"/>
          <w:kern w:val="0"/>
          <w:sz w:val="32"/>
          <w:szCs w:val="32"/>
          <w:highlight w:val="none"/>
        </w:rPr>
      </w:pPr>
    </w:p>
    <w:p w14:paraId="5BFAF008">
      <w:pPr>
        <w:jc w:val="center"/>
        <w:rPr>
          <w:rFonts w:ascii="宋体" w:hAnsi="宋体" w:cs="宋体"/>
          <w:b/>
          <w:color w:val="auto"/>
          <w:kern w:val="0"/>
          <w:sz w:val="32"/>
          <w:szCs w:val="32"/>
          <w:highlight w:val="none"/>
        </w:rPr>
      </w:pPr>
    </w:p>
    <w:p w14:paraId="327C72FA">
      <w:pPr>
        <w:jc w:val="center"/>
        <w:rPr>
          <w:rFonts w:ascii="宋体" w:hAnsi="宋体" w:cs="宋体"/>
          <w:b/>
          <w:color w:val="auto"/>
          <w:kern w:val="0"/>
          <w:sz w:val="32"/>
          <w:szCs w:val="32"/>
          <w:highlight w:val="none"/>
        </w:rPr>
      </w:pPr>
    </w:p>
    <w:p w14:paraId="6768D3B9">
      <w:pPr>
        <w:jc w:val="center"/>
        <w:rPr>
          <w:rFonts w:ascii="宋体" w:hAnsi="宋体" w:cs="宋体"/>
          <w:b/>
          <w:color w:val="auto"/>
          <w:kern w:val="0"/>
          <w:sz w:val="32"/>
          <w:szCs w:val="32"/>
          <w:highlight w:val="none"/>
        </w:rPr>
      </w:pPr>
    </w:p>
    <w:p w14:paraId="5E8062F0">
      <w:pPr>
        <w:jc w:val="center"/>
        <w:rPr>
          <w:rFonts w:ascii="宋体" w:hAnsi="宋体" w:cs="宋体"/>
          <w:b/>
          <w:color w:val="auto"/>
          <w:kern w:val="0"/>
          <w:sz w:val="32"/>
          <w:szCs w:val="32"/>
          <w:highlight w:val="none"/>
        </w:rPr>
      </w:pPr>
    </w:p>
    <w:p w14:paraId="56407390">
      <w:pPr>
        <w:jc w:val="center"/>
        <w:rPr>
          <w:rFonts w:ascii="宋体" w:hAnsi="宋体" w:cs="宋体"/>
          <w:b/>
          <w:color w:val="auto"/>
          <w:kern w:val="0"/>
          <w:sz w:val="32"/>
          <w:szCs w:val="32"/>
          <w:highlight w:val="none"/>
        </w:rPr>
      </w:pPr>
    </w:p>
    <w:p w14:paraId="60F02B42">
      <w:pPr>
        <w:snapToGrid w:val="0"/>
        <w:spacing w:line="360" w:lineRule="auto"/>
        <w:ind w:right="480"/>
        <w:rPr>
          <w:rFonts w:ascii="宋体" w:hAnsi="宋体" w:cs="宋体"/>
          <w:b/>
          <w:color w:val="auto"/>
          <w:kern w:val="0"/>
          <w:sz w:val="32"/>
          <w:szCs w:val="32"/>
          <w:highlight w:val="none"/>
        </w:rPr>
        <w:sectPr>
          <w:pgSz w:w="11905" w:h="16838"/>
          <w:pgMar w:top="1417" w:right="1417" w:bottom="1417" w:left="1417" w:header="850" w:footer="992" w:gutter="0"/>
          <w:pgNumType w:fmt="decimal"/>
          <w:cols w:space="0" w:num="1"/>
          <w:titlePg/>
          <w:rtlGutter w:val="0"/>
          <w:docGrid w:linePitch="312" w:charSpace="0"/>
        </w:sectPr>
      </w:pPr>
    </w:p>
    <w:p w14:paraId="13240B9F">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1337EB2F">
      <w:pPr>
        <w:widowControl/>
        <w:spacing w:line="360" w:lineRule="auto"/>
        <w:ind w:firstLine="120" w:firstLineChars="50"/>
        <w:jc w:val="left"/>
        <w:rPr>
          <w:rFonts w:ascii="宋体" w:hAnsi="宋体" w:cs="宋体"/>
          <w:color w:val="auto"/>
          <w:sz w:val="24"/>
          <w:highlight w:val="none"/>
        </w:rPr>
      </w:pPr>
      <w:bookmarkStart w:id="405"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405"/>
    <w:p w14:paraId="78460CAC">
      <w:pPr>
        <w:snapToGrid w:val="0"/>
        <w:spacing w:line="360" w:lineRule="auto"/>
        <w:rPr>
          <w:rFonts w:ascii="宋体" w:hAnsi="宋体" w:cs="宋体"/>
          <w:color w:val="auto"/>
          <w:kern w:val="0"/>
          <w:sz w:val="24"/>
          <w:highlight w:val="none"/>
        </w:rPr>
      </w:pPr>
    </w:p>
    <w:p w14:paraId="7CF35D5A">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7A504A55">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6B1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ED4261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DEE7F5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FBE011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1732BC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268F05A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6D7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C2AD29">
            <w:pP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457EED15">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14:paraId="60DAB515">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51114DDE">
            <w:pPr>
              <w:rPr>
                <w:rFonts w:ascii="宋体" w:hAnsi="宋体" w:cs="宋体"/>
                <w:color w:val="auto"/>
                <w:sz w:val="24"/>
                <w:highlight w:val="none"/>
              </w:rPr>
            </w:pPr>
            <w:r>
              <w:rPr>
                <w:rFonts w:hint="eastAsia" w:ascii="宋体" w:hAnsi="宋体" w:cs="宋体"/>
                <w:color w:val="auto"/>
                <w:sz w:val="24"/>
                <w:highlight w:val="none"/>
              </w:rPr>
              <w:t>见响应文件</w:t>
            </w:r>
          </w:p>
          <w:p w14:paraId="1904B3DF">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BDD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4321B1">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39A32E06">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66614168">
            <w:pPr>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vAlign w:val="center"/>
          </w:tcPr>
          <w:p w14:paraId="1B774F87">
            <w:pPr>
              <w:rPr>
                <w:rFonts w:ascii="宋体" w:hAnsi="宋体" w:cs="宋体"/>
                <w:color w:val="auto"/>
                <w:sz w:val="24"/>
                <w:highlight w:val="none"/>
              </w:rPr>
            </w:pPr>
            <w:r>
              <w:rPr>
                <w:rFonts w:hint="eastAsia" w:ascii="宋体" w:hAnsi="宋体" w:cs="宋体"/>
                <w:color w:val="auto"/>
                <w:sz w:val="24"/>
                <w:highlight w:val="none"/>
              </w:rPr>
              <w:t>见响应文件</w:t>
            </w:r>
          </w:p>
          <w:p w14:paraId="103737EE">
            <w:pPr>
              <w:pStyle w:val="3"/>
              <w:jc w:val="both"/>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14:paraId="7A3F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B6B0B9">
            <w:pP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38A8736B">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14:paraId="430C54D5">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14:paraId="5444BA53">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D76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B8EEAC">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4</w:t>
            </w:r>
          </w:p>
        </w:tc>
        <w:tc>
          <w:tcPr>
            <w:tcW w:w="4991" w:type="dxa"/>
            <w:vAlign w:val="center"/>
          </w:tcPr>
          <w:p w14:paraId="3F10BC8E">
            <w:pPr>
              <w:spacing w:line="360" w:lineRule="auto"/>
              <w:jc w:val="both"/>
              <w:rPr>
                <w:rFonts w:ascii="宋体" w:hAnsi="宋体" w:cs="宋体"/>
                <w:color w:val="auto"/>
                <w:sz w:val="24"/>
                <w:highlight w:val="none"/>
              </w:rPr>
            </w:pPr>
            <w:r>
              <w:rPr>
                <w:rFonts w:hint="eastAsia" w:ascii="宋体" w:hAnsi="宋体" w:cs="宋体"/>
                <w:color w:val="auto"/>
                <w:sz w:val="24"/>
                <w:highlight w:val="none"/>
              </w:rPr>
              <w:t>响应文件满足磋商文件的其它实质性要求。</w:t>
            </w:r>
          </w:p>
        </w:tc>
        <w:tc>
          <w:tcPr>
            <w:tcW w:w="2551" w:type="dxa"/>
            <w:vAlign w:val="center"/>
          </w:tcPr>
          <w:p w14:paraId="64C95335">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2E129498">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4A52A7C6">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p>
    <w:p w14:paraId="1B84B28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16AD3F3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文件中实质性要求必须明确响应。</w:t>
      </w:r>
    </w:p>
    <w:p w14:paraId="189261D7">
      <w:pPr>
        <w:pStyle w:val="79"/>
        <w:rPr>
          <w:color w:val="auto"/>
          <w:highlight w:val="none"/>
        </w:rPr>
      </w:pPr>
    </w:p>
    <w:p w14:paraId="69CC33B6">
      <w:pPr>
        <w:jc w:val="center"/>
        <w:rPr>
          <w:rFonts w:ascii="宋体" w:hAnsi="宋体" w:cs="宋体"/>
          <w:b/>
          <w:color w:val="auto"/>
          <w:kern w:val="0"/>
          <w:sz w:val="32"/>
          <w:szCs w:val="32"/>
          <w:highlight w:val="none"/>
        </w:rPr>
      </w:pPr>
    </w:p>
    <w:p w14:paraId="26266A5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1CEA579B">
      <w:pPr>
        <w:jc w:val="center"/>
        <w:rPr>
          <w:rFonts w:ascii="宋体" w:hAnsi="宋体" w:cs="宋体"/>
          <w:b/>
          <w:color w:val="auto"/>
          <w:kern w:val="0"/>
          <w:sz w:val="32"/>
          <w:szCs w:val="32"/>
          <w:highlight w:val="none"/>
        </w:rPr>
      </w:pPr>
    </w:p>
    <w:p w14:paraId="574CD4B3">
      <w:pPr>
        <w:jc w:val="center"/>
        <w:rPr>
          <w:rFonts w:ascii="宋体" w:hAnsi="宋体" w:cs="宋体"/>
          <w:b/>
          <w:color w:val="auto"/>
          <w:kern w:val="0"/>
          <w:sz w:val="32"/>
          <w:szCs w:val="32"/>
          <w:highlight w:val="none"/>
        </w:rPr>
      </w:pPr>
    </w:p>
    <w:p w14:paraId="32105FB2">
      <w:pPr>
        <w:jc w:val="center"/>
        <w:rPr>
          <w:rFonts w:ascii="宋体" w:hAnsi="宋体" w:cs="宋体"/>
          <w:b/>
          <w:color w:val="auto"/>
          <w:kern w:val="0"/>
          <w:sz w:val="32"/>
          <w:szCs w:val="32"/>
          <w:highlight w:val="none"/>
        </w:rPr>
      </w:pPr>
    </w:p>
    <w:p w14:paraId="2FE72B19">
      <w:pPr>
        <w:jc w:val="center"/>
        <w:rPr>
          <w:rFonts w:ascii="宋体" w:hAnsi="宋体" w:cs="宋体"/>
          <w:b/>
          <w:color w:val="auto"/>
          <w:kern w:val="0"/>
          <w:sz w:val="32"/>
          <w:szCs w:val="32"/>
          <w:highlight w:val="none"/>
        </w:rPr>
      </w:pPr>
    </w:p>
    <w:p w14:paraId="3858EEE1">
      <w:pPr>
        <w:jc w:val="center"/>
        <w:rPr>
          <w:rFonts w:ascii="宋体" w:hAnsi="宋体" w:cs="宋体"/>
          <w:b/>
          <w:color w:val="auto"/>
          <w:kern w:val="0"/>
          <w:sz w:val="32"/>
          <w:szCs w:val="32"/>
          <w:highlight w:val="none"/>
        </w:rPr>
      </w:pPr>
    </w:p>
    <w:p w14:paraId="611C3AC8">
      <w:pPr>
        <w:jc w:val="center"/>
        <w:rPr>
          <w:rFonts w:ascii="宋体" w:hAnsi="宋体" w:cs="宋体"/>
          <w:b/>
          <w:color w:val="auto"/>
          <w:kern w:val="0"/>
          <w:sz w:val="32"/>
          <w:szCs w:val="32"/>
          <w:highlight w:val="none"/>
        </w:rPr>
      </w:pPr>
    </w:p>
    <w:p w14:paraId="3D23DD20">
      <w:pPr>
        <w:jc w:val="center"/>
        <w:rPr>
          <w:rFonts w:ascii="宋体" w:hAnsi="宋体" w:cs="宋体"/>
          <w:b/>
          <w:color w:val="auto"/>
          <w:kern w:val="0"/>
          <w:sz w:val="32"/>
          <w:szCs w:val="32"/>
          <w:highlight w:val="none"/>
        </w:rPr>
      </w:pPr>
    </w:p>
    <w:p w14:paraId="602F4DE8">
      <w:pPr>
        <w:jc w:val="center"/>
        <w:rPr>
          <w:rFonts w:ascii="宋体" w:hAnsi="宋体" w:cs="宋体"/>
          <w:b/>
          <w:color w:val="auto"/>
          <w:kern w:val="0"/>
          <w:sz w:val="32"/>
          <w:szCs w:val="32"/>
          <w:highlight w:val="none"/>
        </w:rPr>
      </w:pPr>
    </w:p>
    <w:p w14:paraId="433571D5">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14:paraId="0A5B20DD">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179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57DFF8C">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11F06358">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lang w:eastAsia="zh-CN"/>
              </w:rPr>
              <w:t>响应</w:t>
            </w:r>
            <w:r>
              <w:rPr>
                <w:rFonts w:hint="eastAsia" w:cs="仿宋_GB2312" w:asciiTheme="minorEastAsia" w:hAnsiTheme="minorEastAsia" w:eastAsiaTheme="minorEastAsia"/>
                <w:b w:val="0"/>
                <w:bCs/>
                <w:color w:val="auto"/>
                <w:sz w:val="24"/>
                <w:highlight w:val="none"/>
              </w:rPr>
              <w:t>文件中评标标准相应的商务技术资料目录*</w:t>
            </w:r>
          </w:p>
        </w:tc>
        <w:tc>
          <w:tcPr>
            <w:tcW w:w="3046" w:type="dxa"/>
          </w:tcPr>
          <w:p w14:paraId="56B0D8B0">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文件中的页码位置</w:t>
            </w:r>
          </w:p>
        </w:tc>
      </w:tr>
      <w:tr w14:paraId="2D34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C6B25BC">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5FBBD284">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5282E27">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5764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38A6689">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1A8D5E2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6D7B23A3">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AEA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83AD15F">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BE6CB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5A2EE10">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23C8A57">
      <w:pPr>
        <w:jc w:val="center"/>
        <w:rPr>
          <w:rFonts w:ascii="宋体" w:hAnsi="宋体" w:cs="宋体"/>
          <w:b/>
          <w:color w:val="auto"/>
          <w:kern w:val="0"/>
          <w:sz w:val="32"/>
          <w:szCs w:val="32"/>
          <w:highlight w:val="none"/>
        </w:rPr>
      </w:pPr>
    </w:p>
    <w:p w14:paraId="686CD913">
      <w:pPr>
        <w:jc w:val="left"/>
        <w:rPr>
          <w:rFonts w:ascii="宋体" w:hAnsi="宋体" w:cs="宋体"/>
          <w:b/>
          <w:color w:val="auto"/>
          <w:kern w:val="0"/>
          <w:sz w:val="32"/>
          <w:szCs w:val="32"/>
          <w:highlight w:val="none"/>
        </w:rPr>
      </w:pPr>
      <w:r>
        <w:rPr>
          <w:rFonts w:hint="eastAsia" w:ascii="宋体" w:hAnsi="宋体" w:cs="仿宋_GB2312"/>
          <w:b/>
          <w:color w:val="auto"/>
          <w:sz w:val="24"/>
          <w:highlight w:val="none"/>
        </w:rPr>
        <w:t>参考格式，可酌情调整；</w:t>
      </w:r>
    </w:p>
    <w:p w14:paraId="4CDE85E0">
      <w:pPr>
        <w:keepNext/>
        <w:autoSpaceDE w:val="0"/>
        <w:autoSpaceDN w:val="0"/>
        <w:spacing w:line="360" w:lineRule="auto"/>
        <w:jc w:val="center"/>
        <w:rPr>
          <w:rFonts w:hAnsi="宋体" w:cs="仿宋_GB2312"/>
          <w:b/>
          <w:color w:val="auto"/>
          <w:highlight w:val="none"/>
        </w:rPr>
      </w:pPr>
      <w:r>
        <w:rPr>
          <w:rFonts w:hint="eastAsia" w:ascii="宋体" w:hAnsi="宋体" w:cs="仿宋_GB2312"/>
          <w:b/>
          <w:color w:val="auto"/>
          <w:sz w:val="24"/>
          <w:highlight w:val="none"/>
        </w:rPr>
        <w:t>附表A：本项目的项目经理情况表</w:t>
      </w:r>
    </w:p>
    <w:tbl>
      <w:tblPr>
        <w:tblStyle w:val="62"/>
        <w:tblW w:w="9878" w:type="dxa"/>
        <w:tblInd w:w="0" w:type="dxa"/>
        <w:tblLayout w:type="fixed"/>
        <w:tblCellMar>
          <w:top w:w="0" w:type="dxa"/>
          <w:left w:w="108" w:type="dxa"/>
          <w:bottom w:w="0" w:type="dxa"/>
          <w:right w:w="108" w:type="dxa"/>
        </w:tblCellMar>
      </w:tblPr>
      <w:tblGrid>
        <w:gridCol w:w="1949"/>
        <w:gridCol w:w="2485"/>
        <w:gridCol w:w="2122"/>
        <w:gridCol w:w="1564"/>
        <w:gridCol w:w="1758"/>
      </w:tblGrid>
      <w:tr w14:paraId="369E7865">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14:paraId="70EBD9F5">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姓名</w:t>
            </w:r>
          </w:p>
        </w:tc>
        <w:tc>
          <w:tcPr>
            <w:tcW w:w="2485" w:type="dxa"/>
            <w:tcBorders>
              <w:top w:val="single" w:color="auto" w:sz="6" w:space="0"/>
              <w:left w:val="single" w:color="auto" w:sz="6" w:space="0"/>
              <w:bottom w:val="single" w:color="auto" w:sz="6" w:space="0"/>
              <w:right w:val="single" w:color="auto" w:sz="4" w:space="0"/>
            </w:tcBorders>
            <w:vAlign w:val="center"/>
          </w:tcPr>
          <w:p w14:paraId="48801EE4">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14:paraId="73A6E6DC">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性别</w:t>
            </w:r>
          </w:p>
        </w:tc>
        <w:tc>
          <w:tcPr>
            <w:tcW w:w="3322" w:type="dxa"/>
            <w:gridSpan w:val="2"/>
            <w:tcBorders>
              <w:top w:val="single" w:color="auto" w:sz="6" w:space="0"/>
              <w:left w:val="single" w:color="auto" w:sz="6" w:space="0"/>
              <w:bottom w:val="single" w:color="auto" w:sz="6" w:space="0"/>
              <w:right w:val="single" w:color="auto" w:sz="6" w:space="0"/>
            </w:tcBorders>
            <w:vAlign w:val="center"/>
          </w:tcPr>
          <w:p w14:paraId="7CA9AB0F">
            <w:pPr>
              <w:autoSpaceDE w:val="0"/>
              <w:autoSpaceDN w:val="0"/>
              <w:spacing w:line="360" w:lineRule="auto"/>
              <w:jc w:val="center"/>
              <w:rPr>
                <w:rFonts w:ascii="宋体" w:hAnsi="宋体" w:cs="仿宋_GB2312"/>
                <w:color w:val="auto"/>
                <w:sz w:val="24"/>
                <w:highlight w:val="none"/>
              </w:rPr>
            </w:pPr>
          </w:p>
        </w:tc>
      </w:tr>
      <w:tr w14:paraId="13CDA923">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14:paraId="530AB024">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身份证号码</w:t>
            </w:r>
          </w:p>
        </w:tc>
        <w:tc>
          <w:tcPr>
            <w:tcW w:w="2485" w:type="dxa"/>
            <w:tcBorders>
              <w:top w:val="single" w:color="auto" w:sz="6" w:space="0"/>
              <w:left w:val="single" w:color="auto" w:sz="6" w:space="0"/>
              <w:bottom w:val="single" w:color="auto" w:sz="6" w:space="0"/>
              <w:right w:val="single" w:color="auto" w:sz="4" w:space="0"/>
            </w:tcBorders>
            <w:vAlign w:val="center"/>
          </w:tcPr>
          <w:p w14:paraId="111E6153">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14:paraId="57CEEEDF">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职称</w:t>
            </w:r>
          </w:p>
        </w:tc>
        <w:tc>
          <w:tcPr>
            <w:tcW w:w="3322" w:type="dxa"/>
            <w:gridSpan w:val="2"/>
            <w:tcBorders>
              <w:top w:val="single" w:color="auto" w:sz="6" w:space="0"/>
              <w:left w:val="single" w:color="auto" w:sz="6" w:space="0"/>
              <w:bottom w:val="single" w:color="auto" w:sz="6" w:space="0"/>
              <w:right w:val="single" w:color="auto" w:sz="6" w:space="0"/>
            </w:tcBorders>
            <w:vAlign w:val="center"/>
          </w:tcPr>
          <w:p w14:paraId="518E14BF">
            <w:pPr>
              <w:autoSpaceDE w:val="0"/>
              <w:autoSpaceDN w:val="0"/>
              <w:spacing w:line="360" w:lineRule="auto"/>
              <w:jc w:val="center"/>
              <w:rPr>
                <w:rFonts w:ascii="宋体" w:hAnsi="宋体" w:cs="仿宋_GB2312"/>
                <w:color w:val="auto"/>
                <w:sz w:val="24"/>
                <w:highlight w:val="none"/>
              </w:rPr>
            </w:pPr>
          </w:p>
        </w:tc>
      </w:tr>
      <w:tr w14:paraId="3B0DD840">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14:paraId="550A5DFD">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所学专业</w:t>
            </w:r>
          </w:p>
        </w:tc>
        <w:tc>
          <w:tcPr>
            <w:tcW w:w="2485" w:type="dxa"/>
            <w:tcBorders>
              <w:top w:val="single" w:color="auto" w:sz="6" w:space="0"/>
              <w:left w:val="single" w:color="auto" w:sz="6" w:space="0"/>
              <w:bottom w:val="single" w:color="auto" w:sz="6" w:space="0"/>
              <w:right w:val="single" w:color="auto" w:sz="4" w:space="0"/>
            </w:tcBorders>
            <w:vAlign w:val="center"/>
          </w:tcPr>
          <w:p w14:paraId="40A8FBA7">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14:paraId="6D264EC4">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毕业时间</w:t>
            </w:r>
          </w:p>
        </w:tc>
        <w:tc>
          <w:tcPr>
            <w:tcW w:w="3322" w:type="dxa"/>
            <w:gridSpan w:val="2"/>
            <w:tcBorders>
              <w:top w:val="single" w:color="auto" w:sz="6" w:space="0"/>
              <w:left w:val="single" w:color="auto" w:sz="6" w:space="0"/>
              <w:bottom w:val="single" w:color="auto" w:sz="6" w:space="0"/>
              <w:right w:val="single" w:color="auto" w:sz="6" w:space="0"/>
            </w:tcBorders>
            <w:vAlign w:val="center"/>
          </w:tcPr>
          <w:p w14:paraId="364345CE">
            <w:pPr>
              <w:autoSpaceDE w:val="0"/>
              <w:autoSpaceDN w:val="0"/>
              <w:spacing w:line="360" w:lineRule="auto"/>
              <w:jc w:val="center"/>
              <w:rPr>
                <w:rFonts w:ascii="宋体" w:hAnsi="宋体" w:cs="仿宋_GB2312"/>
                <w:color w:val="auto"/>
                <w:sz w:val="24"/>
                <w:highlight w:val="none"/>
              </w:rPr>
            </w:pPr>
          </w:p>
        </w:tc>
      </w:tr>
      <w:tr w14:paraId="0D13354B">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14:paraId="108C4BD8">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学历/学位</w:t>
            </w:r>
          </w:p>
        </w:tc>
        <w:tc>
          <w:tcPr>
            <w:tcW w:w="2485" w:type="dxa"/>
            <w:tcBorders>
              <w:top w:val="single" w:color="auto" w:sz="6" w:space="0"/>
              <w:left w:val="single" w:color="auto" w:sz="6" w:space="0"/>
              <w:bottom w:val="single" w:color="auto" w:sz="6" w:space="0"/>
              <w:right w:val="single" w:color="auto" w:sz="4" w:space="0"/>
            </w:tcBorders>
            <w:vAlign w:val="center"/>
          </w:tcPr>
          <w:p w14:paraId="7E96CD59">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14:paraId="499443EA">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联系电话</w:t>
            </w:r>
          </w:p>
        </w:tc>
        <w:tc>
          <w:tcPr>
            <w:tcW w:w="3322" w:type="dxa"/>
            <w:gridSpan w:val="2"/>
            <w:tcBorders>
              <w:top w:val="single" w:color="auto" w:sz="6" w:space="0"/>
              <w:left w:val="single" w:color="auto" w:sz="6" w:space="0"/>
              <w:bottom w:val="single" w:color="auto" w:sz="6" w:space="0"/>
              <w:right w:val="single" w:color="auto" w:sz="6" w:space="0"/>
            </w:tcBorders>
            <w:vAlign w:val="center"/>
          </w:tcPr>
          <w:p w14:paraId="4AEE74C6">
            <w:pPr>
              <w:autoSpaceDE w:val="0"/>
              <w:autoSpaceDN w:val="0"/>
              <w:spacing w:line="360" w:lineRule="auto"/>
              <w:jc w:val="center"/>
              <w:rPr>
                <w:rFonts w:ascii="宋体" w:hAnsi="宋体" w:cs="仿宋_GB2312"/>
                <w:color w:val="auto"/>
                <w:sz w:val="24"/>
                <w:highlight w:val="none"/>
              </w:rPr>
            </w:pPr>
          </w:p>
        </w:tc>
      </w:tr>
      <w:tr w14:paraId="7C8DDD0A">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14:paraId="708ECDAB">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邮箱地址</w:t>
            </w:r>
          </w:p>
        </w:tc>
        <w:tc>
          <w:tcPr>
            <w:tcW w:w="2485" w:type="dxa"/>
            <w:tcBorders>
              <w:top w:val="single" w:color="auto" w:sz="6" w:space="0"/>
              <w:left w:val="single" w:color="auto" w:sz="6" w:space="0"/>
              <w:bottom w:val="single" w:color="auto" w:sz="6" w:space="0"/>
              <w:right w:val="single" w:color="auto" w:sz="4" w:space="0"/>
            </w:tcBorders>
            <w:vAlign w:val="center"/>
          </w:tcPr>
          <w:p w14:paraId="3A28DB03">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14:paraId="3135C4D0">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资质证书编号</w:t>
            </w:r>
          </w:p>
        </w:tc>
        <w:tc>
          <w:tcPr>
            <w:tcW w:w="3322" w:type="dxa"/>
            <w:gridSpan w:val="2"/>
            <w:tcBorders>
              <w:top w:val="single" w:color="auto" w:sz="6" w:space="0"/>
              <w:left w:val="single" w:color="auto" w:sz="6" w:space="0"/>
              <w:bottom w:val="single" w:color="auto" w:sz="6" w:space="0"/>
              <w:right w:val="single" w:color="auto" w:sz="6" w:space="0"/>
            </w:tcBorders>
            <w:vAlign w:val="center"/>
          </w:tcPr>
          <w:p w14:paraId="107A89A2">
            <w:pPr>
              <w:autoSpaceDE w:val="0"/>
              <w:autoSpaceDN w:val="0"/>
              <w:spacing w:line="360" w:lineRule="auto"/>
              <w:jc w:val="center"/>
              <w:rPr>
                <w:rFonts w:ascii="宋体" w:hAnsi="宋体" w:cs="仿宋_GB2312"/>
                <w:color w:val="auto"/>
                <w:sz w:val="24"/>
                <w:highlight w:val="none"/>
              </w:rPr>
            </w:pPr>
          </w:p>
        </w:tc>
      </w:tr>
      <w:tr w14:paraId="55518294">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14:paraId="323DE465">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执业证书编号</w:t>
            </w:r>
          </w:p>
        </w:tc>
        <w:tc>
          <w:tcPr>
            <w:tcW w:w="2485" w:type="dxa"/>
            <w:tcBorders>
              <w:top w:val="single" w:color="auto" w:sz="6" w:space="0"/>
              <w:left w:val="single" w:color="auto" w:sz="6" w:space="0"/>
              <w:bottom w:val="single" w:color="auto" w:sz="6" w:space="0"/>
              <w:right w:val="single" w:color="auto" w:sz="4" w:space="0"/>
            </w:tcBorders>
            <w:vAlign w:val="center"/>
          </w:tcPr>
          <w:p w14:paraId="5BC54ADA">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14:paraId="13222222">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安全生产考核合格证书编号（B证）</w:t>
            </w:r>
          </w:p>
        </w:tc>
        <w:tc>
          <w:tcPr>
            <w:tcW w:w="3322" w:type="dxa"/>
            <w:gridSpan w:val="2"/>
            <w:tcBorders>
              <w:top w:val="single" w:color="auto" w:sz="6" w:space="0"/>
              <w:left w:val="single" w:color="auto" w:sz="6" w:space="0"/>
              <w:bottom w:val="single" w:color="auto" w:sz="6" w:space="0"/>
              <w:right w:val="single" w:color="auto" w:sz="6" w:space="0"/>
            </w:tcBorders>
            <w:vAlign w:val="center"/>
          </w:tcPr>
          <w:p w14:paraId="44756CDA">
            <w:pPr>
              <w:autoSpaceDE w:val="0"/>
              <w:autoSpaceDN w:val="0"/>
              <w:spacing w:line="360" w:lineRule="auto"/>
              <w:jc w:val="center"/>
              <w:rPr>
                <w:rFonts w:ascii="宋体" w:hAnsi="宋体" w:cs="仿宋_GB2312"/>
                <w:color w:val="auto"/>
                <w:sz w:val="24"/>
                <w:highlight w:val="none"/>
              </w:rPr>
            </w:pPr>
          </w:p>
        </w:tc>
      </w:tr>
      <w:tr w14:paraId="29A9F437">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14:paraId="0741EE19">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其他资质情况</w:t>
            </w:r>
          </w:p>
        </w:tc>
        <w:tc>
          <w:tcPr>
            <w:tcW w:w="2485" w:type="dxa"/>
            <w:tcBorders>
              <w:top w:val="single" w:color="auto" w:sz="6" w:space="0"/>
              <w:left w:val="single" w:color="auto" w:sz="6" w:space="0"/>
              <w:bottom w:val="single" w:color="auto" w:sz="6" w:space="0"/>
              <w:right w:val="single" w:color="auto" w:sz="4" w:space="0"/>
            </w:tcBorders>
            <w:vAlign w:val="center"/>
          </w:tcPr>
          <w:p w14:paraId="5A5724E6">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14:paraId="053CCB50">
            <w:pPr>
              <w:autoSpaceDE w:val="0"/>
              <w:autoSpaceDN w:val="0"/>
              <w:spacing w:line="360" w:lineRule="auto"/>
              <w:jc w:val="center"/>
              <w:rPr>
                <w:rFonts w:ascii="宋体" w:hAnsi="宋体" w:cs="仿宋_GB2312"/>
                <w:color w:val="auto"/>
                <w:sz w:val="24"/>
                <w:highlight w:val="none"/>
              </w:rPr>
            </w:pPr>
            <w:r>
              <w:rPr>
                <w:rFonts w:hint="eastAsia" w:ascii="宋体" w:hAnsi="宋体" w:cs="仿宋_GB2312"/>
                <w:b/>
                <w:bCs/>
                <w:color w:val="auto"/>
                <w:sz w:val="24"/>
                <w:highlight w:val="none"/>
              </w:rPr>
              <w:t>有无在建项目</w:t>
            </w:r>
          </w:p>
        </w:tc>
        <w:tc>
          <w:tcPr>
            <w:tcW w:w="3322" w:type="dxa"/>
            <w:gridSpan w:val="2"/>
            <w:tcBorders>
              <w:top w:val="single" w:color="auto" w:sz="6" w:space="0"/>
              <w:left w:val="single" w:color="auto" w:sz="6" w:space="0"/>
              <w:bottom w:val="single" w:color="auto" w:sz="6" w:space="0"/>
              <w:right w:val="single" w:color="auto" w:sz="6" w:space="0"/>
            </w:tcBorders>
            <w:vAlign w:val="center"/>
          </w:tcPr>
          <w:p w14:paraId="7BDC3401">
            <w:pPr>
              <w:autoSpaceDE w:val="0"/>
              <w:autoSpaceDN w:val="0"/>
              <w:spacing w:line="360" w:lineRule="auto"/>
              <w:jc w:val="left"/>
              <w:rPr>
                <w:rFonts w:ascii="宋体" w:hAnsi="宋体" w:cs="仿宋_GB2312"/>
                <w:color w:val="auto"/>
                <w:sz w:val="24"/>
                <w:highlight w:val="none"/>
                <w:u w:val="single"/>
              </w:rPr>
            </w:pPr>
            <w:r>
              <w:rPr>
                <w:rFonts w:hint="eastAsia" w:ascii="宋体" w:hAnsi="宋体" w:cs="仿宋_GB2312"/>
                <w:color w:val="auto"/>
                <w:sz w:val="24"/>
                <w:highlight w:val="none"/>
              </w:rPr>
              <w:sym w:font="Wingdings 2" w:char="00A3"/>
            </w:r>
            <w:r>
              <w:rPr>
                <w:rFonts w:hint="eastAsia" w:ascii="宋体" w:hAnsi="宋体" w:cs="仿宋_GB2312"/>
                <w:color w:val="auto"/>
                <w:sz w:val="24"/>
                <w:highlight w:val="none"/>
              </w:rPr>
              <w:t>无；</w:t>
            </w:r>
            <w:r>
              <w:rPr>
                <w:rFonts w:hint="eastAsia" w:ascii="宋体" w:hAnsi="宋体" w:cs="仿宋_GB2312"/>
                <w:color w:val="auto"/>
                <w:sz w:val="24"/>
                <w:highlight w:val="none"/>
              </w:rPr>
              <w:sym w:font="Wingdings 2" w:char="00A3"/>
            </w:r>
            <w:r>
              <w:rPr>
                <w:rFonts w:hint="eastAsia" w:ascii="宋体" w:hAnsi="宋体" w:cs="仿宋_GB2312"/>
                <w:color w:val="auto"/>
                <w:sz w:val="24"/>
                <w:highlight w:val="none"/>
              </w:rPr>
              <w:t>有，</w:t>
            </w:r>
            <w:r>
              <w:rPr>
                <w:rFonts w:hint="eastAsia" w:ascii="宋体" w:hAnsi="宋体" w:cs="仿宋_GB2312"/>
                <w:color w:val="auto"/>
                <w:sz w:val="24"/>
                <w:highlight w:val="none"/>
                <w:u w:val="single"/>
              </w:rPr>
              <w:t xml:space="preserve">      </w:t>
            </w:r>
          </w:p>
        </w:tc>
      </w:tr>
      <w:tr w14:paraId="5F3497B1">
        <w:tblPrEx>
          <w:tblCellMar>
            <w:top w:w="0" w:type="dxa"/>
            <w:left w:w="108" w:type="dxa"/>
            <w:bottom w:w="0" w:type="dxa"/>
            <w:right w:w="108" w:type="dxa"/>
          </w:tblCellMar>
        </w:tblPrEx>
        <w:trPr>
          <w:trHeight w:val="567" w:hRule="atLeast"/>
        </w:trPr>
        <w:tc>
          <w:tcPr>
            <w:tcW w:w="9878" w:type="dxa"/>
            <w:gridSpan w:val="5"/>
            <w:tcBorders>
              <w:top w:val="single" w:color="auto" w:sz="6" w:space="0"/>
              <w:left w:val="single" w:color="auto" w:sz="6" w:space="0"/>
              <w:bottom w:val="single" w:color="auto" w:sz="6" w:space="0"/>
              <w:right w:val="single" w:color="auto" w:sz="6" w:space="0"/>
            </w:tcBorders>
            <w:vAlign w:val="center"/>
          </w:tcPr>
          <w:p w14:paraId="7F650307">
            <w:pPr>
              <w:autoSpaceDE w:val="0"/>
              <w:autoSpaceDN w:val="0"/>
              <w:spacing w:line="360" w:lineRule="auto"/>
              <w:jc w:val="center"/>
              <w:rPr>
                <w:rFonts w:ascii="宋体" w:hAnsi="宋体" w:cs="仿宋_GB2312"/>
                <w:color w:val="auto"/>
                <w:sz w:val="24"/>
                <w:highlight w:val="none"/>
              </w:rPr>
            </w:pPr>
            <w:r>
              <w:rPr>
                <w:rFonts w:hint="eastAsia" w:ascii="宋体" w:hAnsi="宋体" w:cs="仿宋_GB2312"/>
                <w:b/>
                <w:bCs/>
                <w:color w:val="auto"/>
                <w:sz w:val="24"/>
                <w:highlight w:val="none"/>
              </w:rPr>
              <w:t>工作履历</w:t>
            </w:r>
          </w:p>
        </w:tc>
      </w:tr>
      <w:tr w14:paraId="705A3D16">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14:paraId="1A8F88E6">
            <w:pPr>
              <w:pStyle w:val="957"/>
              <w:tabs>
                <w:tab w:val="left" w:pos="483"/>
              </w:tabs>
              <w:spacing w:before="104"/>
              <w:jc w:val="center"/>
              <w:rPr>
                <w:rFonts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起止时间</w:t>
            </w:r>
          </w:p>
        </w:tc>
        <w:tc>
          <w:tcPr>
            <w:tcW w:w="2485" w:type="dxa"/>
            <w:tcBorders>
              <w:top w:val="single" w:color="auto" w:sz="6" w:space="0"/>
              <w:left w:val="single" w:color="auto" w:sz="6" w:space="0"/>
              <w:bottom w:val="single" w:color="auto" w:sz="6" w:space="0"/>
              <w:right w:val="single" w:color="auto" w:sz="4" w:space="0"/>
            </w:tcBorders>
            <w:vAlign w:val="center"/>
          </w:tcPr>
          <w:p w14:paraId="42D52906">
            <w:pPr>
              <w:pStyle w:val="957"/>
              <w:tabs>
                <w:tab w:val="left" w:pos="483"/>
              </w:tabs>
              <w:spacing w:before="104"/>
              <w:jc w:val="center"/>
              <w:rPr>
                <w:rFonts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任职单位</w:t>
            </w:r>
          </w:p>
        </w:tc>
        <w:tc>
          <w:tcPr>
            <w:tcW w:w="2122" w:type="dxa"/>
            <w:tcBorders>
              <w:top w:val="single" w:color="auto" w:sz="6" w:space="0"/>
              <w:left w:val="single" w:color="auto" w:sz="4" w:space="0"/>
              <w:bottom w:val="single" w:color="auto" w:sz="6" w:space="0"/>
              <w:right w:val="single" w:color="auto" w:sz="6" w:space="0"/>
            </w:tcBorders>
            <w:vAlign w:val="center"/>
          </w:tcPr>
          <w:p w14:paraId="5E5781C5">
            <w:pPr>
              <w:pStyle w:val="957"/>
              <w:tabs>
                <w:tab w:val="left" w:pos="483"/>
              </w:tabs>
              <w:spacing w:before="104"/>
              <w:jc w:val="center"/>
              <w:rPr>
                <w:rFonts w:ascii="宋体" w:hAnsi="宋体" w:cs="仿宋_GB2312"/>
                <w:color w:val="auto"/>
                <w:sz w:val="24"/>
                <w:highlight w:val="none"/>
                <w:lang w:eastAsia="zh-CN"/>
              </w:rPr>
            </w:pPr>
            <w:r>
              <w:rPr>
                <w:rFonts w:ascii="Times New Roman" w:hAnsi="Times New Roman" w:eastAsiaTheme="minorEastAsia"/>
                <w:color w:val="auto"/>
                <w:sz w:val="24"/>
                <w:highlight w:val="none"/>
                <w:shd w:val="clear" w:color="auto" w:fill="FFFFFF" w:themeFill="background1"/>
              </w:rPr>
              <w:t>职务</w:t>
            </w:r>
          </w:p>
        </w:tc>
        <w:tc>
          <w:tcPr>
            <w:tcW w:w="3322" w:type="dxa"/>
            <w:gridSpan w:val="2"/>
            <w:tcBorders>
              <w:top w:val="single" w:color="auto" w:sz="6" w:space="0"/>
              <w:left w:val="single" w:color="auto" w:sz="6" w:space="0"/>
              <w:bottom w:val="single" w:color="auto" w:sz="6" w:space="0"/>
              <w:right w:val="single" w:color="auto" w:sz="6" w:space="0"/>
            </w:tcBorders>
            <w:vAlign w:val="center"/>
          </w:tcPr>
          <w:p w14:paraId="6FAF9CB9">
            <w:pPr>
              <w:pStyle w:val="957"/>
              <w:tabs>
                <w:tab w:val="left" w:pos="483"/>
              </w:tabs>
              <w:spacing w:before="104"/>
              <w:jc w:val="center"/>
              <w:rPr>
                <w:rFonts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备注</w:t>
            </w:r>
          </w:p>
        </w:tc>
      </w:tr>
      <w:tr w14:paraId="09E2DC7C">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14:paraId="16A690DC">
            <w:pPr>
              <w:autoSpaceDE w:val="0"/>
              <w:autoSpaceDN w:val="0"/>
              <w:spacing w:line="360" w:lineRule="auto"/>
              <w:jc w:val="center"/>
              <w:rPr>
                <w:rFonts w:ascii="宋体" w:hAnsi="宋体" w:cs="仿宋_GB2312"/>
                <w:color w:val="auto"/>
                <w:sz w:val="24"/>
                <w:highlight w:val="none"/>
              </w:rPr>
            </w:pPr>
          </w:p>
        </w:tc>
        <w:tc>
          <w:tcPr>
            <w:tcW w:w="2485" w:type="dxa"/>
            <w:tcBorders>
              <w:top w:val="single" w:color="auto" w:sz="6" w:space="0"/>
              <w:left w:val="single" w:color="auto" w:sz="6" w:space="0"/>
              <w:bottom w:val="single" w:color="auto" w:sz="6" w:space="0"/>
              <w:right w:val="single" w:color="auto" w:sz="4" w:space="0"/>
            </w:tcBorders>
            <w:vAlign w:val="center"/>
          </w:tcPr>
          <w:p w14:paraId="34E48CDE">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14:paraId="74D01FC0">
            <w:pPr>
              <w:autoSpaceDE w:val="0"/>
              <w:autoSpaceDN w:val="0"/>
              <w:spacing w:line="360" w:lineRule="auto"/>
              <w:jc w:val="center"/>
              <w:rPr>
                <w:rFonts w:ascii="宋体" w:hAnsi="宋体" w:cs="仿宋_GB2312"/>
                <w:color w:val="auto"/>
                <w:sz w:val="24"/>
                <w:highlight w:val="none"/>
              </w:rPr>
            </w:pPr>
          </w:p>
        </w:tc>
        <w:tc>
          <w:tcPr>
            <w:tcW w:w="3322" w:type="dxa"/>
            <w:gridSpan w:val="2"/>
            <w:tcBorders>
              <w:top w:val="single" w:color="auto" w:sz="6" w:space="0"/>
              <w:left w:val="single" w:color="auto" w:sz="6" w:space="0"/>
              <w:bottom w:val="single" w:color="auto" w:sz="6" w:space="0"/>
              <w:right w:val="single" w:color="auto" w:sz="6" w:space="0"/>
            </w:tcBorders>
            <w:vAlign w:val="center"/>
          </w:tcPr>
          <w:p w14:paraId="5A09CCA0">
            <w:pPr>
              <w:autoSpaceDE w:val="0"/>
              <w:autoSpaceDN w:val="0"/>
              <w:spacing w:line="360" w:lineRule="auto"/>
              <w:jc w:val="center"/>
              <w:rPr>
                <w:rFonts w:ascii="宋体" w:hAnsi="宋体" w:cs="仿宋_GB2312"/>
                <w:color w:val="auto"/>
                <w:sz w:val="24"/>
                <w:highlight w:val="none"/>
              </w:rPr>
            </w:pPr>
          </w:p>
        </w:tc>
      </w:tr>
      <w:tr w14:paraId="1AFB3EA4">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14:paraId="4C601300">
            <w:pPr>
              <w:autoSpaceDE w:val="0"/>
              <w:autoSpaceDN w:val="0"/>
              <w:spacing w:line="360" w:lineRule="auto"/>
              <w:jc w:val="center"/>
              <w:rPr>
                <w:rFonts w:ascii="宋体" w:hAnsi="宋体" w:cs="仿宋_GB2312"/>
                <w:color w:val="auto"/>
                <w:sz w:val="24"/>
                <w:highlight w:val="none"/>
              </w:rPr>
            </w:pPr>
          </w:p>
        </w:tc>
        <w:tc>
          <w:tcPr>
            <w:tcW w:w="2485" w:type="dxa"/>
            <w:tcBorders>
              <w:top w:val="single" w:color="auto" w:sz="6" w:space="0"/>
              <w:left w:val="single" w:color="auto" w:sz="6" w:space="0"/>
              <w:bottom w:val="single" w:color="auto" w:sz="6" w:space="0"/>
              <w:right w:val="single" w:color="auto" w:sz="4" w:space="0"/>
            </w:tcBorders>
            <w:vAlign w:val="center"/>
          </w:tcPr>
          <w:p w14:paraId="5B1DBCEE">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14:paraId="30ACB71D">
            <w:pPr>
              <w:autoSpaceDE w:val="0"/>
              <w:autoSpaceDN w:val="0"/>
              <w:spacing w:line="360" w:lineRule="auto"/>
              <w:jc w:val="center"/>
              <w:rPr>
                <w:rFonts w:ascii="宋体" w:hAnsi="宋体" w:cs="仿宋_GB2312"/>
                <w:color w:val="auto"/>
                <w:sz w:val="24"/>
                <w:highlight w:val="none"/>
              </w:rPr>
            </w:pPr>
          </w:p>
        </w:tc>
        <w:tc>
          <w:tcPr>
            <w:tcW w:w="3322" w:type="dxa"/>
            <w:gridSpan w:val="2"/>
            <w:tcBorders>
              <w:top w:val="single" w:color="auto" w:sz="6" w:space="0"/>
              <w:left w:val="single" w:color="auto" w:sz="6" w:space="0"/>
              <w:bottom w:val="single" w:color="auto" w:sz="6" w:space="0"/>
              <w:right w:val="single" w:color="auto" w:sz="6" w:space="0"/>
            </w:tcBorders>
            <w:vAlign w:val="center"/>
          </w:tcPr>
          <w:p w14:paraId="56AE76FD">
            <w:pPr>
              <w:autoSpaceDE w:val="0"/>
              <w:autoSpaceDN w:val="0"/>
              <w:spacing w:line="360" w:lineRule="auto"/>
              <w:jc w:val="center"/>
              <w:rPr>
                <w:rFonts w:ascii="宋体" w:hAnsi="宋体" w:cs="仿宋_GB2312"/>
                <w:color w:val="auto"/>
                <w:sz w:val="24"/>
                <w:highlight w:val="none"/>
              </w:rPr>
            </w:pPr>
          </w:p>
        </w:tc>
      </w:tr>
      <w:tr w14:paraId="119C903C">
        <w:tblPrEx>
          <w:tblCellMar>
            <w:top w:w="0" w:type="dxa"/>
            <w:left w:w="108" w:type="dxa"/>
            <w:bottom w:w="0" w:type="dxa"/>
            <w:right w:w="108" w:type="dxa"/>
          </w:tblCellMar>
        </w:tblPrEx>
        <w:trPr>
          <w:trHeight w:val="567" w:hRule="atLeast"/>
        </w:trPr>
        <w:tc>
          <w:tcPr>
            <w:tcW w:w="9878" w:type="dxa"/>
            <w:gridSpan w:val="5"/>
            <w:tcBorders>
              <w:top w:val="single" w:color="auto" w:sz="6" w:space="0"/>
              <w:left w:val="single" w:color="auto" w:sz="6" w:space="0"/>
              <w:bottom w:val="single" w:color="auto" w:sz="6" w:space="0"/>
              <w:right w:val="single" w:color="auto" w:sz="6" w:space="0"/>
            </w:tcBorders>
            <w:vAlign w:val="center"/>
          </w:tcPr>
          <w:p w14:paraId="08CF0A48">
            <w:pPr>
              <w:autoSpaceDE w:val="0"/>
              <w:autoSpaceDN w:val="0"/>
              <w:spacing w:line="360" w:lineRule="auto"/>
              <w:jc w:val="center"/>
              <w:rPr>
                <w:rFonts w:ascii="宋体" w:hAnsi="宋体" w:cs="仿宋_GB2312"/>
                <w:color w:val="auto"/>
                <w:sz w:val="24"/>
                <w:highlight w:val="none"/>
              </w:rPr>
            </w:pPr>
            <w:r>
              <w:rPr>
                <w:rFonts w:hint="eastAsia" w:ascii="宋体" w:hAnsi="宋体" w:cs="仿宋_GB2312"/>
                <w:b/>
                <w:bCs/>
                <w:color w:val="auto"/>
                <w:sz w:val="24"/>
                <w:highlight w:val="none"/>
              </w:rPr>
              <w:t>近年来管理实施业绩</w:t>
            </w:r>
          </w:p>
        </w:tc>
      </w:tr>
      <w:tr w14:paraId="04DCEF2E">
        <w:tblPrEx>
          <w:tblCellMar>
            <w:top w:w="0" w:type="dxa"/>
            <w:left w:w="108" w:type="dxa"/>
            <w:bottom w:w="0" w:type="dxa"/>
            <w:right w:w="108" w:type="dxa"/>
          </w:tblCellMar>
        </w:tblPrEx>
        <w:trPr>
          <w:trHeight w:val="567" w:hRule="atLeast"/>
        </w:trPr>
        <w:tc>
          <w:tcPr>
            <w:tcW w:w="4434" w:type="dxa"/>
            <w:gridSpan w:val="2"/>
            <w:tcBorders>
              <w:top w:val="single" w:color="auto" w:sz="6" w:space="0"/>
              <w:left w:val="single" w:color="auto" w:sz="6" w:space="0"/>
              <w:bottom w:val="single" w:color="auto" w:sz="6" w:space="0"/>
              <w:right w:val="single" w:color="auto" w:sz="6" w:space="0"/>
            </w:tcBorders>
            <w:vAlign w:val="center"/>
          </w:tcPr>
          <w:p w14:paraId="6D544DC3">
            <w:pPr>
              <w:pStyle w:val="957"/>
              <w:tabs>
                <w:tab w:val="left" w:pos="483"/>
              </w:tabs>
              <w:spacing w:before="104"/>
              <w:jc w:val="center"/>
              <w:rPr>
                <w:rFonts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项目名称</w:t>
            </w:r>
          </w:p>
        </w:tc>
        <w:tc>
          <w:tcPr>
            <w:tcW w:w="2122" w:type="dxa"/>
            <w:tcBorders>
              <w:top w:val="single" w:color="auto" w:sz="6" w:space="0"/>
              <w:left w:val="single" w:color="auto" w:sz="6" w:space="0"/>
              <w:bottom w:val="single" w:color="auto" w:sz="6" w:space="0"/>
              <w:right w:val="single" w:color="auto" w:sz="4" w:space="0"/>
            </w:tcBorders>
            <w:vAlign w:val="center"/>
          </w:tcPr>
          <w:p w14:paraId="62D4DC67">
            <w:pPr>
              <w:pStyle w:val="957"/>
              <w:tabs>
                <w:tab w:val="left" w:pos="483"/>
              </w:tabs>
              <w:spacing w:before="104"/>
              <w:jc w:val="center"/>
              <w:rPr>
                <w:rFonts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采购人</w:t>
            </w:r>
          </w:p>
        </w:tc>
        <w:tc>
          <w:tcPr>
            <w:tcW w:w="1564" w:type="dxa"/>
            <w:tcBorders>
              <w:top w:val="single" w:color="auto" w:sz="6" w:space="0"/>
              <w:left w:val="single" w:color="auto" w:sz="4" w:space="0"/>
              <w:bottom w:val="single" w:color="auto" w:sz="6" w:space="0"/>
              <w:right w:val="single" w:color="auto" w:sz="6" w:space="0"/>
            </w:tcBorders>
            <w:vAlign w:val="center"/>
          </w:tcPr>
          <w:p w14:paraId="60833BBD">
            <w:pPr>
              <w:pStyle w:val="957"/>
              <w:tabs>
                <w:tab w:val="left" w:pos="483"/>
              </w:tabs>
              <w:spacing w:before="104"/>
              <w:jc w:val="center"/>
              <w:rPr>
                <w:rFonts w:ascii="宋体" w:hAnsi="宋体" w:cs="仿宋_GB2312"/>
                <w:color w:val="auto"/>
                <w:sz w:val="24"/>
                <w:highlight w:val="none"/>
                <w:lang w:eastAsia="zh-CN"/>
              </w:rPr>
            </w:pPr>
            <w:r>
              <w:rPr>
                <w:rFonts w:ascii="Times New Roman" w:hAnsi="Times New Roman" w:eastAsiaTheme="minorEastAsia"/>
                <w:color w:val="auto"/>
                <w:sz w:val="24"/>
                <w:highlight w:val="none"/>
                <w:shd w:val="clear" w:color="auto" w:fill="FFFFFF" w:themeFill="background1"/>
              </w:rPr>
              <w:t>起止年月</w:t>
            </w:r>
          </w:p>
        </w:tc>
        <w:tc>
          <w:tcPr>
            <w:tcW w:w="1758" w:type="dxa"/>
            <w:tcBorders>
              <w:top w:val="single" w:color="auto" w:sz="6" w:space="0"/>
              <w:left w:val="single" w:color="auto" w:sz="6" w:space="0"/>
              <w:bottom w:val="single" w:color="auto" w:sz="6" w:space="0"/>
              <w:right w:val="single" w:color="auto" w:sz="6" w:space="0"/>
            </w:tcBorders>
            <w:vAlign w:val="center"/>
          </w:tcPr>
          <w:p w14:paraId="1948BBC2">
            <w:pPr>
              <w:pStyle w:val="957"/>
              <w:tabs>
                <w:tab w:val="left" w:pos="483"/>
              </w:tabs>
              <w:spacing w:before="104"/>
              <w:jc w:val="center"/>
              <w:rPr>
                <w:rFonts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该项目中任职</w:t>
            </w:r>
          </w:p>
        </w:tc>
      </w:tr>
      <w:tr w14:paraId="1A99EF30">
        <w:tblPrEx>
          <w:tblCellMar>
            <w:top w:w="0" w:type="dxa"/>
            <w:left w:w="108" w:type="dxa"/>
            <w:bottom w:w="0" w:type="dxa"/>
            <w:right w:w="108" w:type="dxa"/>
          </w:tblCellMar>
        </w:tblPrEx>
        <w:trPr>
          <w:trHeight w:val="567" w:hRule="atLeast"/>
        </w:trPr>
        <w:tc>
          <w:tcPr>
            <w:tcW w:w="4434" w:type="dxa"/>
            <w:gridSpan w:val="2"/>
            <w:tcBorders>
              <w:top w:val="single" w:color="auto" w:sz="6" w:space="0"/>
              <w:left w:val="single" w:color="auto" w:sz="6" w:space="0"/>
              <w:bottom w:val="single" w:color="auto" w:sz="6" w:space="0"/>
              <w:right w:val="single" w:color="auto" w:sz="6" w:space="0"/>
            </w:tcBorders>
            <w:vAlign w:val="center"/>
          </w:tcPr>
          <w:p w14:paraId="688DB4FF">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6" w:space="0"/>
              <w:bottom w:val="single" w:color="auto" w:sz="6" w:space="0"/>
              <w:right w:val="single" w:color="auto" w:sz="4" w:space="0"/>
            </w:tcBorders>
            <w:vAlign w:val="center"/>
          </w:tcPr>
          <w:p w14:paraId="491A7462">
            <w:pPr>
              <w:autoSpaceDE w:val="0"/>
              <w:autoSpaceDN w:val="0"/>
              <w:spacing w:line="360" w:lineRule="auto"/>
              <w:jc w:val="center"/>
              <w:rPr>
                <w:rFonts w:ascii="宋体" w:hAnsi="宋体" w:cs="仿宋_GB2312"/>
                <w:color w:val="auto"/>
                <w:sz w:val="24"/>
                <w:highlight w:val="none"/>
              </w:rPr>
            </w:pPr>
          </w:p>
        </w:tc>
        <w:tc>
          <w:tcPr>
            <w:tcW w:w="1564" w:type="dxa"/>
            <w:tcBorders>
              <w:top w:val="single" w:color="auto" w:sz="6" w:space="0"/>
              <w:left w:val="single" w:color="auto" w:sz="4" w:space="0"/>
              <w:bottom w:val="single" w:color="auto" w:sz="6" w:space="0"/>
              <w:right w:val="single" w:color="auto" w:sz="6" w:space="0"/>
            </w:tcBorders>
            <w:vAlign w:val="center"/>
          </w:tcPr>
          <w:p w14:paraId="16FB606D">
            <w:pPr>
              <w:autoSpaceDE w:val="0"/>
              <w:autoSpaceDN w:val="0"/>
              <w:spacing w:line="360" w:lineRule="auto"/>
              <w:jc w:val="center"/>
              <w:rPr>
                <w:rFonts w:ascii="宋体" w:hAnsi="宋体" w:cs="仿宋_GB2312"/>
                <w:color w:val="auto"/>
                <w:sz w:val="24"/>
                <w:highlight w:val="none"/>
              </w:rPr>
            </w:pPr>
          </w:p>
        </w:tc>
        <w:tc>
          <w:tcPr>
            <w:tcW w:w="1758" w:type="dxa"/>
            <w:tcBorders>
              <w:top w:val="single" w:color="auto" w:sz="6" w:space="0"/>
              <w:left w:val="single" w:color="auto" w:sz="6" w:space="0"/>
              <w:bottom w:val="single" w:color="auto" w:sz="6" w:space="0"/>
              <w:right w:val="single" w:color="auto" w:sz="6" w:space="0"/>
            </w:tcBorders>
            <w:vAlign w:val="center"/>
          </w:tcPr>
          <w:p w14:paraId="0425C623">
            <w:pPr>
              <w:autoSpaceDE w:val="0"/>
              <w:autoSpaceDN w:val="0"/>
              <w:spacing w:line="360" w:lineRule="auto"/>
              <w:jc w:val="center"/>
              <w:rPr>
                <w:rFonts w:ascii="宋体" w:hAnsi="宋体" w:cs="仿宋_GB2312"/>
                <w:color w:val="auto"/>
                <w:sz w:val="24"/>
                <w:highlight w:val="none"/>
              </w:rPr>
            </w:pPr>
          </w:p>
        </w:tc>
      </w:tr>
      <w:tr w14:paraId="5860F2EE">
        <w:tblPrEx>
          <w:tblCellMar>
            <w:top w:w="0" w:type="dxa"/>
            <w:left w:w="108" w:type="dxa"/>
            <w:bottom w:w="0" w:type="dxa"/>
            <w:right w:w="108" w:type="dxa"/>
          </w:tblCellMar>
        </w:tblPrEx>
        <w:trPr>
          <w:trHeight w:val="567" w:hRule="atLeast"/>
        </w:trPr>
        <w:tc>
          <w:tcPr>
            <w:tcW w:w="4434" w:type="dxa"/>
            <w:gridSpan w:val="2"/>
            <w:tcBorders>
              <w:top w:val="single" w:color="auto" w:sz="6" w:space="0"/>
              <w:left w:val="single" w:color="auto" w:sz="6" w:space="0"/>
              <w:bottom w:val="single" w:color="auto" w:sz="6" w:space="0"/>
              <w:right w:val="single" w:color="auto" w:sz="6" w:space="0"/>
            </w:tcBorders>
            <w:vAlign w:val="center"/>
          </w:tcPr>
          <w:p w14:paraId="668790E7">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6" w:space="0"/>
              <w:bottom w:val="single" w:color="auto" w:sz="6" w:space="0"/>
              <w:right w:val="single" w:color="auto" w:sz="4" w:space="0"/>
            </w:tcBorders>
            <w:vAlign w:val="center"/>
          </w:tcPr>
          <w:p w14:paraId="5C3F7445">
            <w:pPr>
              <w:autoSpaceDE w:val="0"/>
              <w:autoSpaceDN w:val="0"/>
              <w:spacing w:line="360" w:lineRule="auto"/>
              <w:jc w:val="center"/>
              <w:rPr>
                <w:rFonts w:ascii="宋体" w:hAnsi="宋体" w:cs="仿宋_GB2312"/>
                <w:color w:val="auto"/>
                <w:sz w:val="24"/>
                <w:highlight w:val="none"/>
              </w:rPr>
            </w:pPr>
          </w:p>
        </w:tc>
        <w:tc>
          <w:tcPr>
            <w:tcW w:w="1564" w:type="dxa"/>
            <w:tcBorders>
              <w:top w:val="single" w:color="auto" w:sz="6" w:space="0"/>
              <w:left w:val="single" w:color="auto" w:sz="4" w:space="0"/>
              <w:bottom w:val="single" w:color="auto" w:sz="6" w:space="0"/>
              <w:right w:val="single" w:color="auto" w:sz="6" w:space="0"/>
            </w:tcBorders>
            <w:vAlign w:val="center"/>
          </w:tcPr>
          <w:p w14:paraId="43FB35F3">
            <w:pPr>
              <w:autoSpaceDE w:val="0"/>
              <w:autoSpaceDN w:val="0"/>
              <w:spacing w:line="360" w:lineRule="auto"/>
              <w:jc w:val="center"/>
              <w:rPr>
                <w:rFonts w:ascii="宋体" w:hAnsi="宋体" w:cs="仿宋_GB2312"/>
                <w:color w:val="auto"/>
                <w:sz w:val="24"/>
                <w:highlight w:val="none"/>
              </w:rPr>
            </w:pPr>
          </w:p>
        </w:tc>
        <w:tc>
          <w:tcPr>
            <w:tcW w:w="1758" w:type="dxa"/>
            <w:tcBorders>
              <w:top w:val="single" w:color="auto" w:sz="6" w:space="0"/>
              <w:left w:val="single" w:color="auto" w:sz="6" w:space="0"/>
              <w:bottom w:val="single" w:color="auto" w:sz="6" w:space="0"/>
              <w:right w:val="single" w:color="auto" w:sz="6" w:space="0"/>
            </w:tcBorders>
            <w:vAlign w:val="center"/>
          </w:tcPr>
          <w:p w14:paraId="0AEEC401">
            <w:pPr>
              <w:autoSpaceDE w:val="0"/>
              <w:autoSpaceDN w:val="0"/>
              <w:spacing w:line="360" w:lineRule="auto"/>
              <w:jc w:val="center"/>
              <w:rPr>
                <w:rFonts w:ascii="宋体" w:hAnsi="宋体" w:cs="仿宋_GB2312"/>
                <w:color w:val="auto"/>
                <w:sz w:val="24"/>
                <w:highlight w:val="none"/>
              </w:rPr>
            </w:pPr>
          </w:p>
        </w:tc>
      </w:tr>
    </w:tbl>
    <w:p w14:paraId="21087CA7">
      <w:pPr>
        <w:pStyle w:val="969"/>
        <w:rPr>
          <w:rFonts w:hAnsi="宋体" w:cs="仿宋_GB2312"/>
          <w:b/>
          <w:color w:val="auto"/>
          <w:highlight w:val="none"/>
        </w:rPr>
      </w:pPr>
    </w:p>
    <w:p w14:paraId="3435A97C">
      <w:pPr>
        <w:autoSpaceDE w:val="0"/>
        <w:autoSpaceDN w:val="0"/>
        <w:spacing w:line="360" w:lineRule="auto"/>
        <w:rPr>
          <w:rFonts w:ascii="宋体" w:hAnsi="宋体" w:cs="仿宋_GB2312"/>
          <w:b/>
          <w:color w:val="auto"/>
          <w:sz w:val="24"/>
          <w:highlight w:val="none"/>
        </w:rPr>
      </w:pPr>
      <w:r>
        <w:rPr>
          <w:rFonts w:hint="eastAsia" w:ascii="宋体" w:hAnsi="宋体" w:cs="仿宋_GB2312"/>
          <w:b/>
          <w:color w:val="auto"/>
          <w:sz w:val="24"/>
          <w:highlight w:val="none"/>
        </w:rPr>
        <w:t>注：须随表提交相应的证书复印件、</w:t>
      </w:r>
      <w:r>
        <w:rPr>
          <w:rFonts w:hint="eastAsia" w:ascii="宋体" w:hAnsi="宋体" w:cs="仿宋_GB2312"/>
          <w:b/>
          <w:color w:val="auto"/>
          <w:sz w:val="24"/>
          <w:highlight w:val="none"/>
          <w:lang w:val="en-US" w:eastAsia="zh-CN"/>
        </w:rPr>
        <w:t>业绩证明、</w:t>
      </w:r>
      <w:r>
        <w:rPr>
          <w:rFonts w:hint="eastAsia" w:ascii="宋体" w:hAnsi="宋体" w:cs="仿宋_GB2312"/>
          <w:b/>
          <w:color w:val="auto"/>
          <w:sz w:val="24"/>
          <w:highlight w:val="none"/>
        </w:rPr>
        <w:t>近3个月内打印的缴纳社保记录。</w:t>
      </w:r>
    </w:p>
    <w:p w14:paraId="2B203B24">
      <w:pPr>
        <w:autoSpaceDE w:val="0"/>
        <w:autoSpaceDN w:val="0"/>
        <w:spacing w:line="360" w:lineRule="auto"/>
        <w:rPr>
          <w:rFonts w:ascii="宋体" w:hAnsi="宋体" w:cs="仿宋_GB2312"/>
          <w:b/>
          <w:color w:val="auto"/>
          <w:sz w:val="24"/>
          <w:highlight w:val="none"/>
        </w:rPr>
      </w:pPr>
    </w:p>
    <w:p w14:paraId="575D97CE">
      <w:pPr>
        <w:keepNext/>
        <w:autoSpaceDE w:val="0"/>
        <w:autoSpaceDN w:val="0"/>
        <w:spacing w:line="360" w:lineRule="auto"/>
        <w:jc w:val="center"/>
        <w:rPr>
          <w:rFonts w:ascii="宋体" w:hAnsi="宋体" w:cs="仿宋_GB2312"/>
          <w:b/>
          <w:color w:val="auto"/>
          <w:sz w:val="24"/>
          <w:highlight w:val="none"/>
        </w:rPr>
      </w:pPr>
      <w:r>
        <w:rPr>
          <w:rFonts w:hint="eastAsia" w:ascii="宋体" w:hAnsi="宋体" w:cs="仿宋_GB2312"/>
          <w:b/>
          <w:color w:val="auto"/>
          <w:sz w:val="24"/>
          <w:highlight w:val="none"/>
        </w:rPr>
        <w:t>附表B：</w:t>
      </w:r>
      <w:r>
        <w:rPr>
          <w:rFonts w:ascii="宋体" w:hAnsi="宋体" w:cs="仿宋_GB2312"/>
          <w:b/>
          <w:color w:val="auto"/>
          <w:sz w:val="24"/>
          <w:highlight w:val="none"/>
        </w:rPr>
        <w:t>拟投入本项目的</w:t>
      </w:r>
      <w:r>
        <w:rPr>
          <w:rFonts w:hint="eastAsia" w:ascii="宋体" w:hAnsi="宋体" w:cs="仿宋_GB2312"/>
          <w:b/>
          <w:color w:val="auto"/>
          <w:sz w:val="24"/>
          <w:highlight w:val="none"/>
        </w:rPr>
        <w:t>所有</w:t>
      </w:r>
      <w:r>
        <w:rPr>
          <w:rFonts w:ascii="宋体" w:hAnsi="宋体" w:cs="仿宋_GB2312"/>
          <w:b/>
          <w:color w:val="auto"/>
          <w:sz w:val="24"/>
          <w:highlight w:val="none"/>
        </w:rPr>
        <w:t>人员组成表</w:t>
      </w:r>
    </w:p>
    <w:tbl>
      <w:tblPr>
        <w:tblStyle w:val="62"/>
        <w:tblW w:w="9996"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0" w:type="dxa"/>
          <w:bottom w:w="0" w:type="dxa"/>
          <w:right w:w="0" w:type="dxa"/>
        </w:tblCellMar>
      </w:tblPr>
      <w:tblGrid>
        <w:gridCol w:w="604"/>
        <w:gridCol w:w="1066"/>
        <w:gridCol w:w="834"/>
        <w:gridCol w:w="1169"/>
        <w:gridCol w:w="1296"/>
        <w:gridCol w:w="2399"/>
        <w:gridCol w:w="1314"/>
        <w:gridCol w:w="1314"/>
      </w:tblGrid>
      <w:tr w14:paraId="66B7E0F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669" w:hRule="atLeast"/>
          <w:jc w:val="center"/>
        </w:trPr>
        <w:tc>
          <w:tcPr>
            <w:tcW w:w="604" w:type="dxa"/>
            <w:vAlign w:val="center"/>
          </w:tcPr>
          <w:p w14:paraId="220A0D70">
            <w:pPr>
              <w:spacing w:line="360" w:lineRule="auto"/>
              <w:jc w:val="center"/>
              <w:rPr>
                <w:rFonts w:ascii="宋体" w:hAnsi="宋体"/>
                <w:color w:val="auto"/>
                <w:sz w:val="24"/>
                <w:highlight w:val="none"/>
              </w:rPr>
            </w:pPr>
            <w:r>
              <w:rPr>
                <w:rFonts w:ascii="宋体" w:hAnsi="宋体"/>
                <w:color w:val="auto"/>
                <w:sz w:val="24"/>
                <w:highlight w:val="none"/>
              </w:rPr>
              <w:t>序号</w:t>
            </w:r>
          </w:p>
        </w:tc>
        <w:tc>
          <w:tcPr>
            <w:tcW w:w="1066" w:type="dxa"/>
            <w:vAlign w:val="center"/>
          </w:tcPr>
          <w:p w14:paraId="1AEE6CDE">
            <w:pPr>
              <w:spacing w:line="360" w:lineRule="auto"/>
              <w:jc w:val="center"/>
              <w:rPr>
                <w:rFonts w:ascii="宋体" w:hAnsi="宋体"/>
                <w:color w:val="auto"/>
                <w:sz w:val="24"/>
                <w:highlight w:val="none"/>
              </w:rPr>
            </w:pPr>
            <w:r>
              <w:rPr>
                <w:rFonts w:ascii="宋体" w:hAnsi="宋体"/>
                <w:color w:val="auto"/>
                <w:sz w:val="24"/>
                <w:highlight w:val="none"/>
              </w:rPr>
              <w:t>姓名</w:t>
            </w:r>
          </w:p>
        </w:tc>
        <w:tc>
          <w:tcPr>
            <w:tcW w:w="834" w:type="dxa"/>
            <w:vAlign w:val="center"/>
          </w:tcPr>
          <w:p w14:paraId="66A08C1D">
            <w:pPr>
              <w:spacing w:line="360" w:lineRule="auto"/>
              <w:jc w:val="center"/>
              <w:rPr>
                <w:rFonts w:ascii="宋体" w:hAnsi="宋体"/>
                <w:color w:val="auto"/>
                <w:sz w:val="24"/>
                <w:highlight w:val="none"/>
              </w:rPr>
            </w:pPr>
            <w:r>
              <w:rPr>
                <w:rFonts w:ascii="宋体" w:hAnsi="宋体"/>
                <w:color w:val="auto"/>
                <w:sz w:val="24"/>
                <w:highlight w:val="none"/>
              </w:rPr>
              <w:t>年龄</w:t>
            </w:r>
          </w:p>
        </w:tc>
        <w:tc>
          <w:tcPr>
            <w:tcW w:w="1169" w:type="dxa"/>
            <w:vAlign w:val="center"/>
          </w:tcPr>
          <w:p w14:paraId="3D762560">
            <w:pPr>
              <w:spacing w:line="360" w:lineRule="auto"/>
              <w:jc w:val="center"/>
              <w:rPr>
                <w:rFonts w:ascii="宋体" w:hAnsi="宋体"/>
                <w:color w:val="auto"/>
                <w:sz w:val="24"/>
                <w:highlight w:val="none"/>
              </w:rPr>
            </w:pPr>
            <w:r>
              <w:rPr>
                <w:rFonts w:hint="eastAsia" w:ascii="宋体" w:hAnsi="宋体"/>
                <w:color w:val="auto"/>
                <w:sz w:val="24"/>
                <w:highlight w:val="none"/>
              </w:rPr>
              <w:t>性别</w:t>
            </w:r>
          </w:p>
        </w:tc>
        <w:tc>
          <w:tcPr>
            <w:tcW w:w="1296" w:type="dxa"/>
            <w:vAlign w:val="center"/>
          </w:tcPr>
          <w:p w14:paraId="5EE62B40">
            <w:pPr>
              <w:spacing w:line="360" w:lineRule="auto"/>
              <w:jc w:val="center"/>
              <w:rPr>
                <w:rFonts w:ascii="宋体" w:hAnsi="宋体"/>
                <w:color w:val="auto"/>
                <w:sz w:val="24"/>
                <w:highlight w:val="none"/>
              </w:rPr>
            </w:pPr>
            <w:r>
              <w:rPr>
                <w:rFonts w:ascii="宋体" w:hAnsi="宋体"/>
                <w:color w:val="auto"/>
                <w:sz w:val="24"/>
                <w:highlight w:val="none"/>
              </w:rPr>
              <w:t>所从事专业</w:t>
            </w:r>
          </w:p>
        </w:tc>
        <w:tc>
          <w:tcPr>
            <w:tcW w:w="2399" w:type="dxa"/>
            <w:vAlign w:val="center"/>
          </w:tcPr>
          <w:p w14:paraId="26BE8046">
            <w:pPr>
              <w:spacing w:line="360" w:lineRule="auto"/>
              <w:jc w:val="center"/>
              <w:rPr>
                <w:rFonts w:ascii="宋体" w:hAnsi="宋体"/>
                <w:color w:val="auto"/>
                <w:sz w:val="24"/>
                <w:highlight w:val="none"/>
              </w:rPr>
            </w:pPr>
            <w:r>
              <w:rPr>
                <w:rFonts w:ascii="宋体" w:hAnsi="宋体"/>
                <w:color w:val="auto"/>
                <w:sz w:val="24"/>
                <w:highlight w:val="none"/>
              </w:rPr>
              <w:t>拟担任何种专业岗位</w:t>
            </w:r>
          </w:p>
        </w:tc>
        <w:tc>
          <w:tcPr>
            <w:tcW w:w="1314" w:type="dxa"/>
            <w:vAlign w:val="center"/>
          </w:tcPr>
          <w:p w14:paraId="1583BFC0">
            <w:pPr>
              <w:spacing w:line="360" w:lineRule="auto"/>
              <w:jc w:val="center"/>
              <w:rPr>
                <w:rFonts w:ascii="宋体" w:hAnsi="宋体"/>
                <w:color w:val="auto"/>
                <w:sz w:val="24"/>
                <w:highlight w:val="none"/>
              </w:rPr>
            </w:pPr>
            <w:r>
              <w:rPr>
                <w:rFonts w:hint="eastAsia" w:ascii="宋体" w:hAnsi="宋体"/>
                <w:color w:val="auto"/>
                <w:sz w:val="24"/>
                <w:highlight w:val="none"/>
              </w:rPr>
              <w:t>执业证书</w:t>
            </w:r>
          </w:p>
        </w:tc>
        <w:tc>
          <w:tcPr>
            <w:tcW w:w="1314" w:type="dxa"/>
            <w:vAlign w:val="center"/>
          </w:tcPr>
          <w:p w14:paraId="1895874C">
            <w:pPr>
              <w:spacing w:line="360" w:lineRule="auto"/>
              <w:jc w:val="center"/>
              <w:rPr>
                <w:rFonts w:ascii="宋体" w:hAnsi="宋体"/>
                <w:color w:val="auto"/>
                <w:sz w:val="24"/>
                <w:highlight w:val="none"/>
              </w:rPr>
            </w:pPr>
            <w:r>
              <w:rPr>
                <w:rFonts w:ascii="宋体" w:hAnsi="宋体"/>
                <w:color w:val="auto"/>
                <w:sz w:val="24"/>
                <w:highlight w:val="none"/>
              </w:rPr>
              <w:t>备注</w:t>
            </w:r>
          </w:p>
        </w:tc>
      </w:tr>
      <w:tr w14:paraId="6065AEF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630" w:hRule="atLeast"/>
          <w:jc w:val="center"/>
        </w:trPr>
        <w:tc>
          <w:tcPr>
            <w:tcW w:w="604" w:type="dxa"/>
            <w:vAlign w:val="center"/>
          </w:tcPr>
          <w:p w14:paraId="7D137D4E">
            <w:pPr>
              <w:spacing w:line="360" w:lineRule="auto"/>
              <w:jc w:val="center"/>
              <w:rPr>
                <w:rFonts w:ascii="宋体" w:hAnsi="宋体"/>
                <w:color w:val="auto"/>
                <w:sz w:val="24"/>
                <w:highlight w:val="none"/>
              </w:rPr>
            </w:pPr>
          </w:p>
        </w:tc>
        <w:tc>
          <w:tcPr>
            <w:tcW w:w="1066" w:type="dxa"/>
            <w:vAlign w:val="center"/>
          </w:tcPr>
          <w:p w14:paraId="2CA0FC7E">
            <w:pPr>
              <w:spacing w:line="360" w:lineRule="auto"/>
              <w:jc w:val="center"/>
              <w:rPr>
                <w:rFonts w:ascii="宋体" w:hAnsi="宋体"/>
                <w:color w:val="auto"/>
                <w:sz w:val="24"/>
                <w:highlight w:val="none"/>
              </w:rPr>
            </w:pPr>
          </w:p>
        </w:tc>
        <w:tc>
          <w:tcPr>
            <w:tcW w:w="834" w:type="dxa"/>
            <w:vAlign w:val="center"/>
          </w:tcPr>
          <w:p w14:paraId="18C20D1F">
            <w:pPr>
              <w:spacing w:line="360" w:lineRule="auto"/>
              <w:jc w:val="center"/>
              <w:rPr>
                <w:rFonts w:ascii="宋体" w:hAnsi="宋体"/>
                <w:color w:val="auto"/>
                <w:sz w:val="24"/>
                <w:highlight w:val="none"/>
              </w:rPr>
            </w:pPr>
          </w:p>
        </w:tc>
        <w:tc>
          <w:tcPr>
            <w:tcW w:w="1169" w:type="dxa"/>
            <w:vAlign w:val="center"/>
          </w:tcPr>
          <w:p w14:paraId="266FAC8F">
            <w:pPr>
              <w:spacing w:line="360" w:lineRule="auto"/>
              <w:jc w:val="center"/>
              <w:rPr>
                <w:rFonts w:ascii="宋体" w:hAnsi="宋体"/>
                <w:color w:val="auto"/>
                <w:sz w:val="24"/>
                <w:highlight w:val="none"/>
              </w:rPr>
            </w:pPr>
          </w:p>
        </w:tc>
        <w:tc>
          <w:tcPr>
            <w:tcW w:w="1296" w:type="dxa"/>
            <w:vAlign w:val="center"/>
          </w:tcPr>
          <w:p w14:paraId="650821B5">
            <w:pPr>
              <w:spacing w:line="360" w:lineRule="auto"/>
              <w:jc w:val="center"/>
              <w:rPr>
                <w:rFonts w:ascii="宋体" w:hAnsi="宋体"/>
                <w:color w:val="auto"/>
                <w:sz w:val="24"/>
                <w:highlight w:val="none"/>
              </w:rPr>
            </w:pPr>
          </w:p>
        </w:tc>
        <w:tc>
          <w:tcPr>
            <w:tcW w:w="2399" w:type="dxa"/>
            <w:vAlign w:val="center"/>
          </w:tcPr>
          <w:p w14:paraId="49BF5974">
            <w:pPr>
              <w:spacing w:line="360" w:lineRule="auto"/>
              <w:jc w:val="center"/>
              <w:rPr>
                <w:rFonts w:ascii="宋体" w:hAnsi="宋体"/>
                <w:color w:val="auto"/>
                <w:sz w:val="24"/>
                <w:highlight w:val="none"/>
              </w:rPr>
            </w:pPr>
          </w:p>
        </w:tc>
        <w:tc>
          <w:tcPr>
            <w:tcW w:w="1314" w:type="dxa"/>
            <w:vAlign w:val="center"/>
          </w:tcPr>
          <w:p w14:paraId="2AB2BB54">
            <w:pPr>
              <w:spacing w:line="360" w:lineRule="auto"/>
              <w:jc w:val="center"/>
              <w:rPr>
                <w:rFonts w:ascii="宋体" w:hAnsi="宋体"/>
                <w:color w:val="auto"/>
                <w:sz w:val="24"/>
                <w:highlight w:val="none"/>
              </w:rPr>
            </w:pPr>
          </w:p>
        </w:tc>
        <w:tc>
          <w:tcPr>
            <w:tcW w:w="1314" w:type="dxa"/>
            <w:vAlign w:val="center"/>
          </w:tcPr>
          <w:p w14:paraId="036D5D9A">
            <w:pPr>
              <w:spacing w:line="360" w:lineRule="auto"/>
              <w:jc w:val="center"/>
              <w:rPr>
                <w:rFonts w:ascii="宋体" w:hAnsi="宋体"/>
                <w:color w:val="auto"/>
                <w:sz w:val="24"/>
                <w:highlight w:val="none"/>
              </w:rPr>
            </w:pPr>
          </w:p>
        </w:tc>
      </w:tr>
      <w:tr w14:paraId="170A61B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630" w:hRule="atLeast"/>
          <w:jc w:val="center"/>
        </w:trPr>
        <w:tc>
          <w:tcPr>
            <w:tcW w:w="604" w:type="dxa"/>
            <w:vAlign w:val="center"/>
          </w:tcPr>
          <w:p w14:paraId="57870A40">
            <w:pPr>
              <w:spacing w:line="360" w:lineRule="auto"/>
              <w:jc w:val="center"/>
              <w:rPr>
                <w:rFonts w:ascii="宋体" w:hAnsi="宋体"/>
                <w:color w:val="auto"/>
                <w:sz w:val="24"/>
                <w:highlight w:val="none"/>
              </w:rPr>
            </w:pPr>
          </w:p>
        </w:tc>
        <w:tc>
          <w:tcPr>
            <w:tcW w:w="1066" w:type="dxa"/>
            <w:vAlign w:val="center"/>
          </w:tcPr>
          <w:p w14:paraId="572F648C">
            <w:pPr>
              <w:spacing w:line="360" w:lineRule="auto"/>
              <w:jc w:val="center"/>
              <w:rPr>
                <w:rFonts w:ascii="宋体" w:hAnsi="宋体"/>
                <w:color w:val="auto"/>
                <w:sz w:val="24"/>
                <w:highlight w:val="none"/>
              </w:rPr>
            </w:pPr>
          </w:p>
        </w:tc>
        <w:tc>
          <w:tcPr>
            <w:tcW w:w="834" w:type="dxa"/>
            <w:vAlign w:val="center"/>
          </w:tcPr>
          <w:p w14:paraId="3F72016C">
            <w:pPr>
              <w:spacing w:line="360" w:lineRule="auto"/>
              <w:jc w:val="center"/>
              <w:rPr>
                <w:rFonts w:ascii="宋体" w:hAnsi="宋体"/>
                <w:color w:val="auto"/>
                <w:sz w:val="24"/>
                <w:highlight w:val="none"/>
              </w:rPr>
            </w:pPr>
          </w:p>
        </w:tc>
        <w:tc>
          <w:tcPr>
            <w:tcW w:w="1169" w:type="dxa"/>
            <w:vAlign w:val="center"/>
          </w:tcPr>
          <w:p w14:paraId="0B2F6BE6">
            <w:pPr>
              <w:spacing w:line="360" w:lineRule="auto"/>
              <w:jc w:val="center"/>
              <w:rPr>
                <w:rFonts w:ascii="宋体" w:hAnsi="宋体"/>
                <w:color w:val="auto"/>
                <w:sz w:val="24"/>
                <w:highlight w:val="none"/>
              </w:rPr>
            </w:pPr>
          </w:p>
        </w:tc>
        <w:tc>
          <w:tcPr>
            <w:tcW w:w="1296" w:type="dxa"/>
            <w:vAlign w:val="center"/>
          </w:tcPr>
          <w:p w14:paraId="2E758EB9">
            <w:pPr>
              <w:spacing w:line="360" w:lineRule="auto"/>
              <w:jc w:val="center"/>
              <w:rPr>
                <w:rFonts w:ascii="宋体" w:hAnsi="宋体"/>
                <w:color w:val="auto"/>
                <w:sz w:val="24"/>
                <w:highlight w:val="none"/>
              </w:rPr>
            </w:pPr>
          </w:p>
        </w:tc>
        <w:tc>
          <w:tcPr>
            <w:tcW w:w="2399" w:type="dxa"/>
            <w:vAlign w:val="center"/>
          </w:tcPr>
          <w:p w14:paraId="5CDCFF5B">
            <w:pPr>
              <w:spacing w:line="360" w:lineRule="auto"/>
              <w:jc w:val="center"/>
              <w:rPr>
                <w:rFonts w:ascii="宋体" w:hAnsi="宋体"/>
                <w:color w:val="auto"/>
                <w:sz w:val="24"/>
                <w:highlight w:val="none"/>
              </w:rPr>
            </w:pPr>
          </w:p>
        </w:tc>
        <w:tc>
          <w:tcPr>
            <w:tcW w:w="1314" w:type="dxa"/>
            <w:vAlign w:val="center"/>
          </w:tcPr>
          <w:p w14:paraId="4495572C">
            <w:pPr>
              <w:spacing w:line="360" w:lineRule="auto"/>
              <w:jc w:val="center"/>
              <w:rPr>
                <w:rFonts w:ascii="宋体" w:hAnsi="宋体"/>
                <w:color w:val="auto"/>
                <w:sz w:val="24"/>
                <w:highlight w:val="none"/>
              </w:rPr>
            </w:pPr>
          </w:p>
        </w:tc>
        <w:tc>
          <w:tcPr>
            <w:tcW w:w="1314" w:type="dxa"/>
            <w:vAlign w:val="center"/>
          </w:tcPr>
          <w:p w14:paraId="4535A91E">
            <w:pPr>
              <w:spacing w:line="360" w:lineRule="auto"/>
              <w:jc w:val="center"/>
              <w:rPr>
                <w:rFonts w:ascii="宋体" w:hAnsi="宋体"/>
                <w:color w:val="auto"/>
                <w:sz w:val="24"/>
                <w:highlight w:val="none"/>
              </w:rPr>
            </w:pPr>
          </w:p>
        </w:tc>
      </w:tr>
      <w:tr w14:paraId="511A4AB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630" w:hRule="atLeast"/>
          <w:jc w:val="center"/>
        </w:trPr>
        <w:tc>
          <w:tcPr>
            <w:tcW w:w="604" w:type="dxa"/>
            <w:vAlign w:val="center"/>
          </w:tcPr>
          <w:p w14:paraId="399CF58D">
            <w:pPr>
              <w:spacing w:line="360" w:lineRule="auto"/>
              <w:jc w:val="center"/>
              <w:rPr>
                <w:rFonts w:ascii="宋体" w:hAnsi="宋体"/>
                <w:color w:val="auto"/>
                <w:sz w:val="24"/>
                <w:highlight w:val="none"/>
              </w:rPr>
            </w:pPr>
          </w:p>
        </w:tc>
        <w:tc>
          <w:tcPr>
            <w:tcW w:w="1066" w:type="dxa"/>
            <w:vAlign w:val="center"/>
          </w:tcPr>
          <w:p w14:paraId="629F7F1D">
            <w:pPr>
              <w:spacing w:line="360" w:lineRule="auto"/>
              <w:jc w:val="center"/>
              <w:rPr>
                <w:rFonts w:ascii="宋体" w:hAnsi="宋体"/>
                <w:color w:val="auto"/>
                <w:sz w:val="24"/>
                <w:highlight w:val="none"/>
              </w:rPr>
            </w:pPr>
          </w:p>
        </w:tc>
        <w:tc>
          <w:tcPr>
            <w:tcW w:w="834" w:type="dxa"/>
            <w:vAlign w:val="center"/>
          </w:tcPr>
          <w:p w14:paraId="0F33C59F">
            <w:pPr>
              <w:spacing w:line="360" w:lineRule="auto"/>
              <w:jc w:val="center"/>
              <w:rPr>
                <w:rFonts w:ascii="宋体" w:hAnsi="宋体"/>
                <w:color w:val="auto"/>
                <w:sz w:val="24"/>
                <w:highlight w:val="none"/>
              </w:rPr>
            </w:pPr>
          </w:p>
        </w:tc>
        <w:tc>
          <w:tcPr>
            <w:tcW w:w="1169" w:type="dxa"/>
            <w:vAlign w:val="center"/>
          </w:tcPr>
          <w:p w14:paraId="363B29D5">
            <w:pPr>
              <w:spacing w:line="360" w:lineRule="auto"/>
              <w:jc w:val="center"/>
              <w:rPr>
                <w:rFonts w:ascii="宋体" w:hAnsi="宋体"/>
                <w:color w:val="auto"/>
                <w:sz w:val="24"/>
                <w:highlight w:val="none"/>
              </w:rPr>
            </w:pPr>
          </w:p>
        </w:tc>
        <w:tc>
          <w:tcPr>
            <w:tcW w:w="1296" w:type="dxa"/>
            <w:vAlign w:val="center"/>
          </w:tcPr>
          <w:p w14:paraId="05F9E316">
            <w:pPr>
              <w:spacing w:line="360" w:lineRule="auto"/>
              <w:jc w:val="center"/>
              <w:rPr>
                <w:rFonts w:ascii="宋体" w:hAnsi="宋体"/>
                <w:color w:val="auto"/>
                <w:sz w:val="24"/>
                <w:highlight w:val="none"/>
              </w:rPr>
            </w:pPr>
          </w:p>
        </w:tc>
        <w:tc>
          <w:tcPr>
            <w:tcW w:w="2399" w:type="dxa"/>
            <w:vAlign w:val="center"/>
          </w:tcPr>
          <w:p w14:paraId="1AFA213E">
            <w:pPr>
              <w:spacing w:line="360" w:lineRule="auto"/>
              <w:jc w:val="center"/>
              <w:rPr>
                <w:rFonts w:ascii="宋体" w:hAnsi="宋体"/>
                <w:color w:val="auto"/>
                <w:sz w:val="24"/>
                <w:highlight w:val="none"/>
              </w:rPr>
            </w:pPr>
          </w:p>
        </w:tc>
        <w:tc>
          <w:tcPr>
            <w:tcW w:w="1314" w:type="dxa"/>
            <w:vAlign w:val="center"/>
          </w:tcPr>
          <w:p w14:paraId="150E940B">
            <w:pPr>
              <w:spacing w:line="360" w:lineRule="auto"/>
              <w:jc w:val="center"/>
              <w:rPr>
                <w:rFonts w:ascii="宋体" w:hAnsi="宋体"/>
                <w:color w:val="auto"/>
                <w:sz w:val="24"/>
                <w:highlight w:val="none"/>
              </w:rPr>
            </w:pPr>
          </w:p>
        </w:tc>
        <w:tc>
          <w:tcPr>
            <w:tcW w:w="1314" w:type="dxa"/>
            <w:vAlign w:val="center"/>
          </w:tcPr>
          <w:p w14:paraId="4E490AFC">
            <w:pPr>
              <w:spacing w:line="360" w:lineRule="auto"/>
              <w:jc w:val="center"/>
              <w:rPr>
                <w:rFonts w:ascii="宋体" w:hAnsi="宋体"/>
                <w:color w:val="auto"/>
                <w:sz w:val="24"/>
                <w:highlight w:val="none"/>
              </w:rPr>
            </w:pPr>
          </w:p>
        </w:tc>
      </w:tr>
      <w:tr w14:paraId="64A471A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689" w:hRule="atLeast"/>
          <w:jc w:val="center"/>
        </w:trPr>
        <w:tc>
          <w:tcPr>
            <w:tcW w:w="604" w:type="dxa"/>
            <w:vAlign w:val="center"/>
          </w:tcPr>
          <w:p w14:paraId="0FEC499C">
            <w:pPr>
              <w:spacing w:line="360" w:lineRule="auto"/>
              <w:jc w:val="center"/>
              <w:rPr>
                <w:rFonts w:ascii="宋体" w:hAnsi="宋体"/>
                <w:color w:val="auto"/>
                <w:sz w:val="24"/>
                <w:highlight w:val="none"/>
              </w:rPr>
            </w:pPr>
          </w:p>
        </w:tc>
        <w:tc>
          <w:tcPr>
            <w:tcW w:w="1066" w:type="dxa"/>
            <w:vAlign w:val="center"/>
          </w:tcPr>
          <w:p w14:paraId="4AF5D2B0">
            <w:pPr>
              <w:spacing w:line="360" w:lineRule="auto"/>
              <w:jc w:val="center"/>
              <w:rPr>
                <w:rFonts w:ascii="宋体" w:hAnsi="宋体"/>
                <w:color w:val="auto"/>
                <w:sz w:val="24"/>
                <w:highlight w:val="none"/>
              </w:rPr>
            </w:pPr>
          </w:p>
        </w:tc>
        <w:tc>
          <w:tcPr>
            <w:tcW w:w="834" w:type="dxa"/>
            <w:vAlign w:val="center"/>
          </w:tcPr>
          <w:p w14:paraId="0107FCE8">
            <w:pPr>
              <w:spacing w:line="360" w:lineRule="auto"/>
              <w:jc w:val="center"/>
              <w:rPr>
                <w:rFonts w:ascii="宋体" w:hAnsi="宋体"/>
                <w:color w:val="auto"/>
                <w:sz w:val="24"/>
                <w:highlight w:val="none"/>
              </w:rPr>
            </w:pPr>
          </w:p>
        </w:tc>
        <w:tc>
          <w:tcPr>
            <w:tcW w:w="1169" w:type="dxa"/>
            <w:vAlign w:val="center"/>
          </w:tcPr>
          <w:p w14:paraId="7FB17E6D">
            <w:pPr>
              <w:spacing w:line="360" w:lineRule="auto"/>
              <w:jc w:val="center"/>
              <w:rPr>
                <w:rFonts w:ascii="宋体" w:hAnsi="宋体"/>
                <w:color w:val="auto"/>
                <w:sz w:val="24"/>
                <w:highlight w:val="none"/>
              </w:rPr>
            </w:pPr>
          </w:p>
        </w:tc>
        <w:tc>
          <w:tcPr>
            <w:tcW w:w="1296" w:type="dxa"/>
            <w:vAlign w:val="center"/>
          </w:tcPr>
          <w:p w14:paraId="56E5C608">
            <w:pPr>
              <w:spacing w:line="360" w:lineRule="auto"/>
              <w:jc w:val="center"/>
              <w:rPr>
                <w:rFonts w:ascii="宋体" w:hAnsi="宋体"/>
                <w:color w:val="auto"/>
                <w:sz w:val="24"/>
                <w:highlight w:val="none"/>
              </w:rPr>
            </w:pPr>
          </w:p>
        </w:tc>
        <w:tc>
          <w:tcPr>
            <w:tcW w:w="2399" w:type="dxa"/>
            <w:vAlign w:val="center"/>
          </w:tcPr>
          <w:p w14:paraId="333C7167">
            <w:pPr>
              <w:spacing w:line="360" w:lineRule="auto"/>
              <w:jc w:val="center"/>
              <w:rPr>
                <w:rFonts w:ascii="宋体" w:hAnsi="宋体"/>
                <w:color w:val="auto"/>
                <w:sz w:val="24"/>
                <w:highlight w:val="none"/>
              </w:rPr>
            </w:pPr>
          </w:p>
        </w:tc>
        <w:tc>
          <w:tcPr>
            <w:tcW w:w="1314" w:type="dxa"/>
            <w:vAlign w:val="center"/>
          </w:tcPr>
          <w:p w14:paraId="2B121E40">
            <w:pPr>
              <w:spacing w:line="360" w:lineRule="auto"/>
              <w:jc w:val="center"/>
              <w:rPr>
                <w:rFonts w:ascii="宋体" w:hAnsi="宋体"/>
                <w:color w:val="auto"/>
                <w:sz w:val="24"/>
                <w:highlight w:val="none"/>
              </w:rPr>
            </w:pPr>
          </w:p>
        </w:tc>
        <w:tc>
          <w:tcPr>
            <w:tcW w:w="1314" w:type="dxa"/>
            <w:vAlign w:val="center"/>
          </w:tcPr>
          <w:p w14:paraId="6309E05E">
            <w:pPr>
              <w:spacing w:line="360" w:lineRule="auto"/>
              <w:jc w:val="center"/>
              <w:rPr>
                <w:rFonts w:ascii="宋体" w:hAnsi="宋体"/>
                <w:color w:val="auto"/>
                <w:sz w:val="24"/>
                <w:highlight w:val="none"/>
              </w:rPr>
            </w:pPr>
          </w:p>
        </w:tc>
      </w:tr>
    </w:tbl>
    <w:p w14:paraId="067888B0">
      <w:pPr>
        <w:autoSpaceDE w:val="0"/>
        <w:autoSpaceDN w:val="0"/>
        <w:spacing w:line="360" w:lineRule="auto"/>
        <w:rPr>
          <w:rFonts w:ascii="宋体" w:hAnsi="宋体" w:cs="仿宋_GB2312"/>
          <w:b/>
          <w:bCs/>
          <w:color w:val="auto"/>
          <w:sz w:val="30"/>
          <w:szCs w:val="30"/>
          <w:highlight w:val="none"/>
        </w:rPr>
      </w:pPr>
      <w:r>
        <w:rPr>
          <w:rFonts w:hint="eastAsia" w:ascii="宋体" w:hAnsi="宋体" w:cs="仿宋_GB2312"/>
          <w:b/>
          <w:color w:val="auto"/>
          <w:sz w:val="24"/>
          <w:highlight w:val="none"/>
        </w:rPr>
        <w:t>本项目小组人员证书，近3个月内打印的缴纳社保记录情况表</w:t>
      </w:r>
      <w:r>
        <w:rPr>
          <w:rFonts w:hint="eastAsia" w:ascii="宋体" w:hAnsi="宋体" w:cs="仿宋_GB2312"/>
          <w:color w:val="auto"/>
          <w:sz w:val="24"/>
          <w:highlight w:val="none"/>
        </w:rPr>
        <w:t>（以社保缴纳凭证作为附件）</w:t>
      </w:r>
    </w:p>
    <w:p w14:paraId="1349D92D">
      <w:pPr>
        <w:snapToGrid w:val="0"/>
        <w:spacing w:line="360" w:lineRule="auto"/>
        <w:ind w:firstLine="34"/>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 xml:space="preserve">供应商名称(电子签名)：                              </w:t>
      </w:r>
    </w:p>
    <w:p w14:paraId="7A60B179">
      <w:pPr>
        <w:jc w:val="both"/>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 xml:space="preserve"> 日期：  年  月  日</w:t>
      </w:r>
    </w:p>
    <w:p w14:paraId="7E5C7E9A">
      <w:pPr>
        <w:jc w:val="center"/>
        <w:rPr>
          <w:rFonts w:ascii="宋体" w:hAnsi="宋体" w:cs="宋体"/>
          <w:b/>
          <w:color w:val="auto"/>
          <w:kern w:val="0"/>
          <w:sz w:val="32"/>
          <w:szCs w:val="32"/>
          <w:highlight w:val="none"/>
        </w:rPr>
      </w:pPr>
    </w:p>
    <w:p w14:paraId="44201491">
      <w:pPr>
        <w:jc w:val="center"/>
        <w:rPr>
          <w:rFonts w:ascii="宋体" w:hAnsi="宋体" w:cs="宋体"/>
          <w:b/>
          <w:color w:val="auto"/>
          <w:kern w:val="0"/>
          <w:sz w:val="32"/>
          <w:szCs w:val="32"/>
          <w:highlight w:val="none"/>
        </w:rPr>
      </w:pPr>
    </w:p>
    <w:p w14:paraId="4B09B182">
      <w:pPr>
        <w:jc w:val="center"/>
        <w:rPr>
          <w:rFonts w:ascii="宋体" w:hAnsi="宋体" w:cs="宋体"/>
          <w:b/>
          <w:color w:val="auto"/>
          <w:kern w:val="0"/>
          <w:sz w:val="32"/>
          <w:szCs w:val="32"/>
          <w:highlight w:val="none"/>
        </w:rPr>
      </w:pPr>
    </w:p>
    <w:p w14:paraId="0C0D62C4">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845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0834AF">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16B2D0F">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2152CC45">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0982083F">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B33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92E8F7">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001B53F7">
            <w:pPr>
              <w:jc w:val="center"/>
              <w:rPr>
                <w:rFonts w:ascii="宋体" w:hAnsi="宋体" w:cs="宋体"/>
                <w:b/>
                <w:color w:val="auto"/>
                <w:kern w:val="0"/>
                <w:sz w:val="32"/>
                <w:szCs w:val="32"/>
                <w:highlight w:val="none"/>
              </w:rPr>
            </w:pPr>
          </w:p>
        </w:tc>
        <w:tc>
          <w:tcPr>
            <w:tcW w:w="3546" w:type="dxa"/>
          </w:tcPr>
          <w:p w14:paraId="21E43F1F">
            <w:pPr>
              <w:jc w:val="center"/>
              <w:rPr>
                <w:rFonts w:ascii="宋体" w:hAnsi="宋体" w:cs="宋体"/>
                <w:b/>
                <w:color w:val="auto"/>
                <w:kern w:val="0"/>
                <w:sz w:val="32"/>
                <w:szCs w:val="32"/>
                <w:highlight w:val="none"/>
              </w:rPr>
            </w:pPr>
          </w:p>
        </w:tc>
        <w:tc>
          <w:tcPr>
            <w:tcW w:w="1276" w:type="dxa"/>
          </w:tcPr>
          <w:p w14:paraId="148377FE">
            <w:pPr>
              <w:jc w:val="center"/>
              <w:rPr>
                <w:rFonts w:ascii="宋体" w:hAnsi="宋体" w:cs="宋体"/>
                <w:b/>
                <w:color w:val="auto"/>
                <w:kern w:val="0"/>
                <w:sz w:val="32"/>
                <w:szCs w:val="32"/>
                <w:highlight w:val="none"/>
              </w:rPr>
            </w:pPr>
          </w:p>
        </w:tc>
      </w:tr>
      <w:tr w14:paraId="6A9AE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7AF839">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015EBF5F">
            <w:pPr>
              <w:jc w:val="center"/>
              <w:rPr>
                <w:rFonts w:ascii="宋体" w:hAnsi="宋体" w:cs="宋体"/>
                <w:b/>
                <w:color w:val="auto"/>
                <w:kern w:val="0"/>
                <w:sz w:val="32"/>
                <w:szCs w:val="32"/>
                <w:highlight w:val="none"/>
              </w:rPr>
            </w:pPr>
          </w:p>
        </w:tc>
        <w:tc>
          <w:tcPr>
            <w:tcW w:w="3546" w:type="dxa"/>
          </w:tcPr>
          <w:p w14:paraId="50380F21">
            <w:pPr>
              <w:jc w:val="center"/>
              <w:rPr>
                <w:rFonts w:ascii="宋体" w:hAnsi="宋体" w:cs="宋体"/>
                <w:b/>
                <w:color w:val="auto"/>
                <w:kern w:val="0"/>
                <w:sz w:val="32"/>
                <w:szCs w:val="32"/>
                <w:highlight w:val="none"/>
              </w:rPr>
            </w:pPr>
          </w:p>
        </w:tc>
        <w:tc>
          <w:tcPr>
            <w:tcW w:w="1276" w:type="dxa"/>
          </w:tcPr>
          <w:p w14:paraId="0742FC2D">
            <w:pPr>
              <w:jc w:val="center"/>
              <w:rPr>
                <w:rFonts w:ascii="宋体" w:hAnsi="宋体" w:cs="宋体"/>
                <w:b/>
                <w:color w:val="auto"/>
                <w:kern w:val="0"/>
                <w:sz w:val="32"/>
                <w:szCs w:val="32"/>
                <w:highlight w:val="none"/>
              </w:rPr>
            </w:pPr>
          </w:p>
        </w:tc>
      </w:tr>
      <w:tr w14:paraId="1438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46EFB3">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D868463">
            <w:pPr>
              <w:jc w:val="center"/>
              <w:rPr>
                <w:rFonts w:ascii="宋体" w:hAnsi="宋体" w:cs="宋体"/>
                <w:b/>
                <w:color w:val="auto"/>
                <w:kern w:val="0"/>
                <w:sz w:val="32"/>
                <w:szCs w:val="32"/>
                <w:highlight w:val="none"/>
              </w:rPr>
            </w:pPr>
          </w:p>
        </w:tc>
        <w:tc>
          <w:tcPr>
            <w:tcW w:w="3546" w:type="dxa"/>
          </w:tcPr>
          <w:p w14:paraId="312C83F0">
            <w:pPr>
              <w:jc w:val="center"/>
              <w:rPr>
                <w:rFonts w:ascii="宋体" w:hAnsi="宋体" w:cs="宋体"/>
                <w:b/>
                <w:color w:val="auto"/>
                <w:kern w:val="0"/>
                <w:sz w:val="32"/>
                <w:szCs w:val="32"/>
                <w:highlight w:val="none"/>
              </w:rPr>
            </w:pPr>
          </w:p>
        </w:tc>
        <w:tc>
          <w:tcPr>
            <w:tcW w:w="1276" w:type="dxa"/>
          </w:tcPr>
          <w:p w14:paraId="22536C21">
            <w:pPr>
              <w:jc w:val="center"/>
              <w:rPr>
                <w:rFonts w:ascii="宋体" w:hAnsi="宋体" w:cs="宋体"/>
                <w:b/>
                <w:color w:val="auto"/>
                <w:kern w:val="0"/>
                <w:sz w:val="32"/>
                <w:szCs w:val="32"/>
                <w:highlight w:val="none"/>
              </w:rPr>
            </w:pPr>
          </w:p>
        </w:tc>
      </w:tr>
    </w:tbl>
    <w:p w14:paraId="781432C6">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60BB50FA">
      <w:pPr>
        <w:jc w:val="center"/>
        <w:rPr>
          <w:rFonts w:ascii="宋体" w:hAnsi="宋体" w:cs="宋体"/>
          <w:b/>
          <w:color w:val="auto"/>
          <w:kern w:val="0"/>
          <w:sz w:val="32"/>
          <w:szCs w:val="32"/>
          <w:highlight w:val="none"/>
        </w:rPr>
      </w:pPr>
    </w:p>
    <w:p w14:paraId="11571757">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2AF678E6">
      <w:pPr>
        <w:pStyle w:val="7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2.本表格所反映的偏离情况与“符合性审查资料”、“评标标准相应的商务技术资料”不一致的，以“符合性审查资料”、“评标标准相应的商务技术资料”为准。</w:t>
      </w:r>
    </w:p>
    <w:p w14:paraId="4EA723EB">
      <w:pPr>
        <w:pStyle w:val="79"/>
        <w:rPr>
          <w:rFonts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3.投标人须保证：除商务技术偏离表列出的偏离外，投标人响应招标文件的全部非实质性要求。</w:t>
      </w:r>
    </w:p>
    <w:p w14:paraId="0ECBEF48">
      <w:pPr>
        <w:ind w:firstLine="1911" w:firstLineChars="595"/>
        <w:rPr>
          <w:rFonts w:ascii="宋体" w:hAnsi="宋体" w:cs="宋体"/>
          <w:b/>
          <w:bCs/>
          <w:color w:val="auto"/>
          <w:sz w:val="32"/>
          <w:szCs w:val="32"/>
          <w:highlight w:val="none"/>
        </w:rPr>
        <w:sectPr>
          <w:footerReference r:id="rId14" w:type="first"/>
          <w:footerReference r:id="rId13" w:type="default"/>
          <w:pgSz w:w="11905" w:h="16838"/>
          <w:pgMar w:top="1417" w:right="1417" w:bottom="1417" w:left="1417" w:header="850" w:footer="992" w:gutter="0"/>
          <w:pgNumType w:fmt="decimal"/>
          <w:cols w:space="0" w:num="1"/>
          <w:titlePg/>
          <w:rtlGutter w:val="0"/>
          <w:docGrid w:linePitch="312" w:charSpace="0"/>
        </w:sectPr>
      </w:pPr>
    </w:p>
    <w:p w14:paraId="650D8727">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35B8347">
      <w:pPr>
        <w:snapToGrid w:val="0"/>
        <w:spacing w:line="360" w:lineRule="auto"/>
        <w:rPr>
          <w:rFonts w:ascii="宋体" w:hAnsi="宋体" w:cs="宋体"/>
          <w:color w:val="auto"/>
          <w:sz w:val="24"/>
          <w:highlight w:val="none"/>
        </w:rPr>
      </w:pPr>
    </w:p>
    <w:p w14:paraId="1DEA6C9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浙江省杭州第四中学</w:t>
      </w:r>
      <w:r>
        <w:rPr>
          <w:rFonts w:hint="eastAsia" w:ascii="宋体" w:hAnsi="宋体" w:cs="宋体"/>
          <w:color w:val="auto"/>
          <w:sz w:val="24"/>
          <w:highlight w:val="none"/>
        </w:rPr>
        <w:t>、浙江省建设工程设备招标有限公司</w:t>
      </w:r>
      <w:r>
        <w:rPr>
          <w:rFonts w:hint="eastAsia" w:ascii="宋体" w:hAnsi="宋体" w:cs="宋体"/>
          <w:color w:val="auto"/>
          <w:kern w:val="0"/>
          <w:sz w:val="24"/>
          <w:highlight w:val="none"/>
          <w:lang w:val="zh-CN"/>
        </w:rPr>
        <w:t>：</w:t>
      </w:r>
    </w:p>
    <w:p w14:paraId="482FDD2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6780532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65E742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EBB8C5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86ABC7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EC0C73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3F86F26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36DA8A6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19CA9DE1">
      <w:pPr>
        <w:autoSpaceDE w:val="0"/>
        <w:autoSpaceDN w:val="0"/>
        <w:spacing w:line="360" w:lineRule="auto"/>
        <w:ind w:left="2"/>
        <w:jc w:val="left"/>
        <w:rPr>
          <w:rFonts w:ascii="宋体" w:hAnsi="宋体" w:cs="宋体"/>
          <w:color w:val="auto"/>
          <w:kern w:val="0"/>
          <w:sz w:val="24"/>
          <w:highlight w:val="none"/>
          <w:lang w:val="zh-CN"/>
        </w:rPr>
      </w:pPr>
    </w:p>
    <w:p w14:paraId="39023F8C">
      <w:pPr>
        <w:autoSpaceDE w:val="0"/>
        <w:autoSpaceDN w:val="0"/>
        <w:spacing w:line="360" w:lineRule="auto"/>
        <w:ind w:left="2"/>
        <w:jc w:val="left"/>
        <w:rPr>
          <w:rFonts w:ascii="宋体" w:hAnsi="宋体" w:cs="宋体"/>
          <w:color w:val="auto"/>
          <w:kern w:val="0"/>
          <w:sz w:val="24"/>
          <w:highlight w:val="none"/>
          <w:lang w:val="zh-CN"/>
        </w:rPr>
      </w:pPr>
    </w:p>
    <w:p w14:paraId="19A22D62">
      <w:pPr>
        <w:autoSpaceDE w:val="0"/>
        <w:autoSpaceDN w:val="0"/>
        <w:spacing w:line="360" w:lineRule="auto"/>
        <w:ind w:left="2"/>
        <w:jc w:val="left"/>
        <w:rPr>
          <w:rFonts w:ascii="宋体" w:hAnsi="宋体" w:cs="宋体"/>
          <w:color w:val="auto"/>
          <w:kern w:val="0"/>
          <w:sz w:val="24"/>
          <w:highlight w:val="none"/>
          <w:lang w:val="zh-CN"/>
        </w:rPr>
      </w:pPr>
    </w:p>
    <w:p w14:paraId="6EC4271B">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464BB79">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5892C57">
      <w:pPr>
        <w:spacing w:line="360" w:lineRule="auto"/>
        <w:jc w:val="center"/>
        <w:rPr>
          <w:rFonts w:ascii="宋体" w:hAnsi="宋体" w:cs="宋体"/>
          <w:b/>
          <w:bCs/>
          <w:color w:val="auto"/>
          <w:sz w:val="24"/>
          <w:highlight w:val="none"/>
        </w:rPr>
      </w:pPr>
    </w:p>
    <w:p w14:paraId="546571C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7092211">
      <w:pPr>
        <w:spacing w:line="360" w:lineRule="auto"/>
        <w:jc w:val="center"/>
        <w:rPr>
          <w:rFonts w:ascii="宋体" w:hAnsi="宋体" w:cs="宋体"/>
          <w:b/>
          <w:bCs/>
          <w:color w:val="auto"/>
          <w:sz w:val="24"/>
          <w:highlight w:val="none"/>
        </w:rPr>
        <w:sectPr>
          <w:pgSz w:w="11905" w:h="16838"/>
          <w:pgMar w:top="1417" w:right="1417" w:bottom="1417" w:left="1417" w:header="850" w:footer="992" w:gutter="0"/>
          <w:pgNumType w:fmt="decimal"/>
          <w:cols w:space="0" w:num="1"/>
          <w:titlePg/>
          <w:rtlGutter w:val="0"/>
          <w:docGrid w:linePitch="312" w:charSpace="0"/>
        </w:sectPr>
      </w:pPr>
    </w:p>
    <w:p w14:paraId="42639DC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80981C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09B1B8C">
      <w:pPr>
        <w:spacing w:line="360" w:lineRule="auto"/>
        <w:jc w:val="center"/>
        <w:outlineLvl w:val="0"/>
        <w:rPr>
          <w:rFonts w:ascii="宋体" w:hAnsi="宋体" w:cs="宋体"/>
          <w:b/>
          <w:color w:val="auto"/>
          <w:kern w:val="0"/>
          <w:sz w:val="36"/>
          <w:szCs w:val="36"/>
          <w:highlight w:val="none"/>
        </w:rPr>
      </w:pPr>
    </w:p>
    <w:p w14:paraId="02B28562">
      <w:pPr>
        <w:numPr>
          <w:ilvl w:val="0"/>
          <w:numId w:val="7"/>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报价单…………………………………………………………………………（页码）</w:t>
      </w:r>
    </w:p>
    <w:p w14:paraId="5961014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）已标价工程量清单……………………………………………………………（页码）</w:t>
      </w:r>
    </w:p>
    <w:p w14:paraId="17D5469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3C505630">
      <w:pPr>
        <w:pStyle w:val="80"/>
        <w:rPr>
          <w:color w:val="auto"/>
          <w:highlight w:val="none"/>
        </w:rPr>
      </w:pPr>
    </w:p>
    <w:p w14:paraId="63EC58DD">
      <w:pPr>
        <w:snapToGrid w:val="0"/>
        <w:spacing w:line="360" w:lineRule="auto"/>
        <w:ind w:right="480"/>
        <w:jc w:val="center"/>
        <w:rPr>
          <w:rFonts w:ascii="宋体" w:hAnsi="宋体" w:cs="宋体"/>
          <w:b/>
          <w:color w:val="auto"/>
          <w:kern w:val="0"/>
          <w:sz w:val="32"/>
          <w:szCs w:val="32"/>
          <w:highlight w:val="none"/>
        </w:rPr>
      </w:pPr>
    </w:p>
    <w:p w14:paraId="488E17BF">
      <w:pPr>
        <w:snapToGrid w:val="0"/>
        <w:spacing w:line="360" w:lineRule="auto"/>
        <w:ind w:right="480"/>
        <w:jc w:val="center"/>
        <w:rPr>
          <w:rFonts w:ascii="宋体" w:hAnsi="宋体" w:cs="宋体"/>
          <w:b/>
          <w:color w:val="auto"/>
          <w:kern w:val="0"/>
          <w:sz w:val="32"/>
          <w:szCs w:val="32"/>
          <w:highlight w:val="none"/>
        </w:rPr>
      </w:pPr>
    </w:p>
    <w:p w14:paraId="17108EDC">
      <w:pPr>
        <w:snapToGrid w:val="0"/>
        <w:spacing w:line="360" w:lineRule="auto"/>
        <w:ind w:right="480"/>
        <w:jc w:val="center"/>
        <w:rPr>
          <w:rFonts w:ascii="宋体" w:hAnsi="宋体" w:cs="宋体"/>
          <w:b/>
          <w:color w:val="auto"/>
          <w:kern w:val="0"/>
          <w:sz w:val="32"/>
          <w:szCs w:val="32"/>
          <w:highlight w:val="none"/>
        </w:rPr>
      </w:pPr>
    </w:p>
    <w:p w14:paraId="6859EF7A">
      <w:pPr>
        <w:snapToGrid w:val="0"/>
        <w:spacing w:line="360" w:lineRule="auto"/>
        <w:ind w:right="480"/>
        <w:jc w:val="center"/>
        <w:rPr>
          <w:rFonts w:ascii="宋体" w:hAnsi="宋体" w:cs="宋体"/>
          <w:b/>
          <w:color w:val="auto"/>
          <w:kern w:val="0"/>
          <w:sz w:val="32"/>
          <w:szCs w:val="32"/>
          <w:highlight w:val="none"/>
        </w:rPr>
      </w:pPr>
    </w:p>
    <w:p w14:paraId="4EDA764B">
      <w:pPr>
        <w:snapToGrid w:val="0"/>
        <w:spacing w:line="360" w:lineRule="auto"/>
        <w:ind w:right="480"/>
        <w:jc w:val="center"/>
        <w:rPr>
          <w:rFonts w:ascii="宋体" w:hAnsi="宋体" w:cs="宋体"/>
          <w:b/>
          <w:color w:val="auto"/>
          <w:kern w:val="0"/>
          <w:sz w:val="32"/>
          <w:szCs w:val="32"/>
          <w:highlight w:val="none"/>
        </w:rPr>
      </w:pPr>
    </w:p>
    <w:p w14:paraId="60CEE197">
      <w:pPr>
        <w:snapToGrid w:val="0"/>
        <w:spacing w:line="360" w:lineRule="auto"/>
        <w:ind w:right="480"/>
        <w:jc w:val="center"/>
        <w:rPr>
          <w:rFonts w:ascii="宋体" w:hAnsi="宋体" w:cs="宋体"/>
          <w:b/>
          <w:color w:val="auto"/>
          <w:kern w:val="0"/>
          <w:sz w:val="32"/>
          <w:szCs w:val="32"/>
          <w:highlight w:val="none"/>
        </w:rPr>
      </w:pPr>
    </w:p>
    <w:p w14:paraId="1F18C8EA">
      <w:pPr>
        <w:snapToGrid w:val="0"/>
        <w:spacing w:line="360" w:lineRule="auto"/>
        <w:ind w:right="480"/>
        <w:jc w:val="center"/>
        <w:rPr>
          <w:rFonts w:ascii="宋体" w:hAnsi="宋体" w:cs="宋体"/>
          <w:b/>
          <w:color w:val="auto"/>
          <w:kern w:val="0"/>
          <w:sz w:val="32"/>
          <w:szCs w:val="32"/>
          <w:highlight w:val="none"/>
        </w:rPr>
      </w:pPr>
    </w:p>
    <w:p w14:paraId="1EA7F655">
      <w:pPr>
        <w:snapToGrid w:val="0"/>
        <w:spacing w:line="360" w:lineRule="auto"/>
        <w:ind w:right="480"/>
        <w:jc w:val="center"/>
        <w:rPr>
          <w:rFonts w:ascii="宋体" w:hAnsi="宋体" w:cs="宋体"/>
          <w:b/>
          <w:color w:val="auto"/>
          <w:kern w:val="0"/>
          <w:sz w:val="32"/>
          <w:szCs w:val="32"/>
          <w:highlight w:val="none"/>
        </w:rPr>
      </w:pPr>
    </w:p>
    <w:p w14:paraId="2B8CE194">
      <w:pPr>
        <w:snapToGrid w:val="0"/>
        <w:spacing w:line="360" w:lineRule="auto"/>
        <w:ind w:right="480"/>
        <w:jc w:val="center"/>
        <w:rPr>
          <w:rFonts w:ascii="宋体" w:hAnsi="宋体" w:cs="宋体"/>
          <w:b/>
          <w:color w:val="auto"/>
          <w:kern w:val="0"/>
          <w:sz w:val="32"/>
          <w:szCs w:val="32"/>
          <w:highlight w:val="none"/>
        </w:rPr>
      </w:pPr>
    </w:p>
    <w:p w14:paraId="60888567">
      <w:pPr>
        <w:snapToGrid w:val="0"/>
        <w:spacing w:line="360" w:lineRule="auto"/>
        <w:ind w:right="480"/>
        <w:jc w:val="center"/>
        <w:rPr>
          <w:rFonts w:ascii="宋体" w:hAnsi="宋体" w:cs="宋体"/>
          <w:b/>
          <w:color w:val="auto"/>
          <w:kern w:val="0"/>
          <w:sz w:val="32"/>
          <w:szCs w:val="32"/>
          <w:highlight w:val="none"/>
        </w:rPr>
      </w:pPr>
    </w:p>
    <w:p w14:paraId="66E9BB39">
      <w:pPr>
        <w:snapToGrid w:val="0"/>
        <w:spacing w:line="360" w:lineRule="auto"/>
        <w:ind w:right="480"/>
        <w:jc w:val="center"/>
        <w:rPr>
          <w:rFonts w:ascii="宋体" w:hAnsi="宋体" w:cs="宋体"/>
          <w:b/>
          <w:color w:val="auto"/>
          <w:kern w:val="0"/>
          <w:sz w:val="32"/>
          <w:szCs w:val="32"/>
          <w:highlight w:val="none"/>
        </w:rPr>
      </w:pPr>
    </w:p>
    <w:p w14:paraId="593F9A87">
      <w:pPr>
        <w:snapToGrid w:val="0"/>
        <w:spacing w:line="360" w:lineRule="auto"/>
        <w:ind w:right="480"/>
        <w:jc w:val="center"/>
        <w:rPr>
          <w:rFonts w:ascii="宋体" w:hAnsi="宋体" w:cs="宋体"/>
          <w:b/>
          <w:color w:val="auto"/>
          <w:kern w:val="0"/>
          <w:sz w:val="32"/>
          <w:szCs w:val="32"/>
          <w:highlight w:val="none"/>
        </w:rPr>
      </w:pPr>
    </w:p>
    <w:p w14:paraId="72665943">
      <w:pPr>
        <w:snapToGrid w:val="0"/>
        <w:spacing w:line="360" w:lineRule="auto"/>
        <w:ind w:right="480"/>
        <w:jc w:val="center"/>
        <w:rPr>
          <w:rFonts w:ascii="宋体" w:hAnsi="宋体" w:cs="宋体"/>
          <w:b/>
          <w:color w:val="auto"/>
          <w:kern w:val="0"/>
          <w:sz w:val="32"/>
          <w:szCs w:val="32"/>
          <w:highlight w:val="none"/>
        </w:rPr>
      </w:pPr>
    </w:p>
    <w:p w14:paraId="2297D2A2">
      <w:pPr>
        <w:snapToGrid w:val="0"/>
        <w:spacing w:line="360" w:lineRule="auto"/>
        <w:ind w:right="480"/>
        <w:jc w:val="center"/>
        <w:rPr>
          <w:rFonts w:ascii="宋体" w:hAnsi="宋体" w:cs="宋体"/>
          <w:b/>
          <w:color w:val="auto"/>
          <w:kern w:val="0"/>
          <w:sz w:val="32"/>
          <w:szCs w:val="32"/>
          <w:highlight w:val="none"/>
        </w:rPr>
      </w:pPr>
    </w:p>
    <w:p w14:paraId="746A1DB3">
      <w:pPr>
        <w:snapToGrid w:val="0"/>
        <w:spacing w:line="360" w:lineRule="auto"/>
        <w:ind w:right="480"/>
        <w:jc w:val="center"/>
        <w:rPr>
          <w:rFonts w:ascii="宋体" w:hAnsi="宋体" w:cs="宋体"/>
          <w:b/>
          <w:color w:val="auto"/>
          <w:kern w:val="0"/>
          <w:sz w:val="32"/>
          <w:szCs w:val="32"/>
          <w:highlight w:val="none"/>
        </w:rPr>
      </w:pPr>
    </w:p>
    <w:p w14:paraId="54493331">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17" w:type="first"/>
          <w:headerReference r:id="rId15" w:type="default"/>
          <w:footerReference r:id="rId16" w:type="default"/>
          <w:pgSz w:w="11905" w:h="16838"/>
          <w:pgMar w:top="1417" w:right="1417" w:bottom="1417" w:left="1417" w:header="850" w:footer="992" w:gutter="0"/>
          <w:pgNumType w:fmt="decimal"/>
          <w:cols w:space="0" w:num="1"/>
          <w:titlePg/>
          <w:rtlGutter w:val="0"/>
          <w:docGrid w:linePitch="312" w:charSpace="0"/>
        </w:sectPr>
      </w:pPr>
    </w:p>
    <w:p w14:paraId="76ADA537">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4807DDF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浙江省杭州第四中学</w:t>
      </w:r>
      <w:r>
        <w:rPr>
          <w:rFonts w:hint="eastAsia" w:ascii="宋体" w:hAnsi="宋体" w:cs="宋体"/>
          <w:color w:val="auto"/>
          <w:sz w:val="24"/>
          <w:highlight w:val="none"/>
        </w:rPr>
        <w:t>、浙江省建设工程设备招标有限公司</w:t>
      </w:r>
      <w:r>
        <w:rPr>
          <w:rFonts w:hint="eastAsia" w:ascii="宋体" w:hAnsi="宋体" w:cs="宋体"/>
          <w:color w:val="auto"/>
          <w:kern w:val="0"/>
          <w:sz w:val="24"/>
          <w:highlight w:val="none"/>
          <w:lang w:val="zh-CN"/>
        </w:rPr>
        <w:t>：</w:t>
      </w:r>
    </w:p>
    <w:p w14:paraId="6EAD0015">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lang w:eastAsia="zh-CN"/>
        </w:rPr>
        <w:t>杭州四中下沙校区综合楼西（学生成长中心）改造</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ZJZBC-25-CS-9041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40251656">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2"/>
        <w:tblW w:w="14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2185"/>
        <w:gridCol w:w="2612"/>
        <w:gridCol w:w="2413"/>
        <w:gridCol w:w="2012"/>
        <w:gridCol w:w="1875"/>
      </w:tblGrid>
      <w:tr w14:paraId="4FEF7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951" w:type="dxa"/>
            <w:vAlign w:val="center"/>
          </w:tcPr>
          <w:p w14:paraId="57FCA0B0">
            <w:pPr>
              <w:snapToGrid w:val="0"/>
              <w:spacing w:line="360" w:lineRule="auto"/>
              <w:jc w:val="center"/>
              <w:rPr>
                <w:rFonts w:ascii="宋体" w:hAnsi="宋体" w:cs="宋体"/>
                <w:color w:val="auto"/>
                <w:sz w:val="24"/>
                <w:highlight w:val="none"/>
              </w:rPr>
            </w:pPr>
            <w:r>
              <w:rPr>
                <w:rFonts w:hint="eastAsia" w:ascii="宋体" w:hAnsi="宋体" w:cs="宋体"/>
                <w:b/>
                <w:color w:val="auto"/>
                <w:sz w:val="24"/>
                <w:highlight w:val="none"/>
              </w:rPr>
              <w:t>项目名称</w:t>
            </w:r>
          </w:p>
        </w:tc>
        <w:tc>
          <w:tcPr>
            <w:tcW w:w="1843" w:type="dxa"/>
            <w:vAlign w:val="center"/>
          </w:tcPr>
          <w:p w14:paraId="78024771">
            <w:pPr>
              <w:snapToGrid w:val="0"/>
              <w:spacing w:line="360" w:lineRule="auto"/>
              <w:jc w:val="center"/>
              <w:rPr>
                <w:rFonts w:ascii="宋体" w:hAnsi="宋体" w:cs="宋体"/>
                <w:color w:val="auto"/>
                <w:sz w:val="24"/>
                <w:highlight w:val="none"/>
              </w:rPr>
            </w:pPr>
            <w:r>
              <w:rPr>
                <w:rFonts w:hint="eastAsia" w:ascii="宋体" w:hAnsi="宋体" w:cs="宋体"/>
                <w:b/>
                <w:color w:val="auto"/>
                <w:sz w:val="24"/>
                <w:highlight w:val="none"/>
              </w:rPr>
              <w:t>施工范围</w:t>
            </w:r>
          </w:p>
        </w:tc>
        <w:tc>
          <w:tcPr>
            <w:tcW w:w="2185" w:type="dxa"/>
            <w:vAlign w:val="center"/>
          </w:tcPr>
          <w:p w14:paraId="2D7A724D">
            <w:pPr>
              <w:snapToGrid w:val="0"/>
              <w:spacing w:line="360" w:lineRule="auto"/>
              <w:jc w:val="center"/>
              <w:rPr>
                <w:rFonts w:ascii="宋体" w:hAnsi="宋体" w:cs="宋体"/>
                <w:color w:val="auto"/>
                <w:sz w:val="24"/>
                <w:highlight w:val="none"/>
              </w:rPr>
            </w:pPr>
            <w:r>
              <w:rPr>
                <w:rFonts w:hint="eastAsia" w:ascii="宋体" w:hAnsi="宋体" w:cs="宋体"/>
                <w:b/>
                <w:color w:val="auto"/>
                <w:sz w:val="24"/>
                <w:highlight w:val="none"/>
              </w:rPr>
              <w:t>施工工期</w:t>
            </w:r>
          </w:p>
        </w:tc>
        <w:tc>
          <w:tcPr>
            <w:tcW w:w="2612" w:type="dxa"/>
            <w:vAlign w:val="center"/>
          </w:tcPr>
          <w:p w14:paraId="77ACF623">
            <w:pPr>
              <w:spacing w:line="360" w:lineRule="auto"/>
              <w:jc w:val="center"/>
              <w:rPr>
                <w:rFonts w:ascii="宋体" w:hAnsi="宋体" w:cs="宋体"/>
                <w:color w:val="auto"/>
                <w:sz w:val="24"/>
                <w:highlight w:val="none"/>
              </w:rPr>
            </w:pPr>
            <w:r>
              <w:rPr>
                <w:rFonts w:hint="eastAsia" w:ascii="宋体" w:hAnsi="宋体" w:cs="宋体"/>
                <w:b/>
                <w:color w:val="auto"/>
                <w:sz w:val="24"/>
                <w:highlight w:val="none"/>
              </w:rPr>
              <w:t>项目经理</w:t>
            </w:r>
          </w:p>
        </w:tc>
        <w:tc>
          <w:tcPr>
            <w:tcW w:w="2413" w:type="dxa"/>
            <w:vAlign w:val="center"/>
          </w:tcPr>
          <w:p w14:paraId="7092E240">
            <w:pPr>
              <w:spacing w:line="360" w:lineRule="auto"/>
              <w:jc w:val="center"/>
              <w:rPr>
                <w:rFonts w:ascii="宋体" w:hAnsi="宋体" w:cs="宋体"/>
                <w:color w:val="auto"/>
                <w:sz w:val="24"/>
                <w:highlight w:val="none"/>
              </w:rPr>
            </w:pPr>
            <w:r>
              <w:rPr>
                <w:rFonts w:hint="eastAsia" w:ascii="宋体" w:hAnsi="宋体" w:cs="宋体"/>
                <w:b/>
                <w:color w:val="auto"/>
                <w:sz w:val="24"/>
                <w:highlight w:val="none"/>
              </w:rPr>
              <w:t>执业证书信息</w:t>
            </w:r>
          </w:p>
        </w:tc>
        <w:tc>
          <w:tcPr>
            <w:tcW w:w="2012" w:type="dxa"/>
            <w:vAlign w:val="center"/>
          </w:tcPr>
          <w:p w14:paraId="515632CE">
            <w:pPr>
              <w:spacing w:line="360" w:lineRule="auto"/>
              <w:jc w:val="center"/>
              <w:rPr>
                <w:rFonts w:ascii="宋体" w:hAnsi="宋体" w:cs="宋体"/>
                <w:color w:val="auto"/>
                <w:sz w:val="24"/>
                <w:highlight w:val="none"/>
              </w:rPr>
            </w:pPr>
            <w:r>
              <w:rPr>
                <w:rFonts w:hint="eastAsia" w:ascii="宋体" w:hAnsi="宋体" w:cs="宋体"/>
                <w:b/>
                <w:color w:val="auto"/>
                <w:sz w:val="24"/>
                <w:highlight w:val="none"/>
                <w:lang w:val="en-US" w:eastAsia="zh-CN"/>
              </w:rPr>
              <w:t>质量标准</w:t>
            </w:r>
          </w:p>
        </w:tc>
        <w:tc>
          <w:tcPr>
            <w:tcW w:w="1875" w:type="dxa"/>
            <w:vAlign w:val="center"/>
          </w:tcPr>
          <w:p w14:paraId="3C6A3B59">
            <w:pPr>
              <w:spacing w:line="360" w:lineRule="auto"/>
              <w:jc w:val="center"/>
              <w:rPr>
                <w:rFonts w:ascii="宋体" w:hAnsi="宋体" w:cs="宋体"/>
                <w:color w:val="auto"/>
                <w:sz w:val="24"/>
                <w:highlight w:val="none"/>
              </w:rPr>
            </w:pPr>
            <w:r>
              <w:rPr>
                <w:rFonts w:hint="eastAsia" w:ascii="宋体" w:hAnsi="宋体" w:cs="宋体"/>
                <w:b/>
                <w:color w:val="auto"/>
                <w:sz w:val="24"/>
                <w:highlight w:val="none"/>
              </w:rPr>
              <w:t>备注（如果有）</w:t>
            </w:r>
          </w:p>
        </w:tc>
      </w:tr>
      <w:tr w14:paraId="35AF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4F7E850B">
            <w:pPr>
              <w:snapToGrid w:val="0"/>
              <w:spacing w:line="360" w:lineRule="auto"/>
              <w:jc w:val="center"/>
              <w:rPr>
                <w:rFonts w:ascii="宋体" w:hAnsi="宋体" w:cs="宋体"/>
                <w:color w:val="auto"/>
                <w:sz w:val="24"/>
                <w:highlight w:val="none"/>
              </w:rPr>
            </w:pPr>
          </w:p>
        </w:tc>
        <w:tc>
          <w:tcPr>
            <w:tcW w:w="1843" w:type="dxa"/>
            <w:vAlign w:val="center"/>
          </w:tcPr>
          <w:p w14:paraId="1E2F5915">
            <w:pPr>
              <w:snapToGrid w:val="0"/>
              <w:spacing w:line="360" w:lineRule="auto"/>
              <w:jc w:val="center"/>
              <w:rPr>
                <w:rFonts w:ascii="宋体" w:hAnsi="宋体" w:cs="宋体"/>
                <w:color w:val="auto"/>
                <w:sz w:val="24"/>
                <w:highlight w:val="none"/>
              </w:rPr>
            </w:pPr>
          </w:p>
        </w:tc>
        <w:tc>
          <w:tcPr>
            <w:tcW w:w="2185" w:type="dxa"/>
            <w:vAlign w:val="center"/>
          </w:tcPr>
          <w:p w14:paraId="052ECF62">
            <w:pPr>
              <w:snapToGrid w:val="0"/>
              <w:spacing w:line="360" w:lineRule="auto"/>
              <w:jc w:val="center"/>
              <w:rPr>
                <w:rFonts w:ascii="宋体" w:hAnsi="宋体" w:cs="宋体"/>
                <w:color w:val="auto"/>
                <w:sz w:val="24"/>
                <w:highlight w:val="none"/>
              </w:rPr>
            </w:pPr>
          </w:p>
        </w:tc>
        <w:tc>
          <w:tcPr>
            <w:tcW w:w="2612" w:type="dxa"/>
            <w:vAlign w:val="center"/>
          </w:tcPr>
          <w:p w14:paraId="28D0496E">
            <w:pPr>
              <w:spacing w:line="360" w:lineRule="auto"/>
              <w:jc w:val="center"/>
              <w:rPr>
                <w:rFonts w:ascii="宋体" w:hAnsi="宋体" w:cs="宋体"/>
                <w:color w:val="auto"/>
                <w:sz w:val="24"/>
                <w:highlight w:val="none"/>
              </w:rPr>
            </w:pPr>
          </w:p>
        </w:tc>
        <w:tc>
          <w:tcPr>
            <w:tcW w:w="2413" w:type="dxa"/>
            <w:vAlign w:val="center"/>
          </w:tcPr>
          <w:p w14:paraId="438E67FF">
            <w:pPr>
              <w:spacing w:line="360" w:lineRule="auto"/>
              <w:jc w:val="center"/>
              <w:rPr>
                <w:rFonts w:ascii="宋体" w:hAnsi="宋体" w:cs="宋体"/>
                <w:color w:val="auto"/>
                <w:sz w:val="24"/>
                <w:highlight w:val="none"/>
              </w:rPr>
            </w:pPr>
          </w:p>
        </w:tc>
        <w:tc>
          <w:tcPr>
            <w:tcW w:w="2012" w:type="dxa"/>
            <w:vAlign w:val="center"/>
          </w:tcPr>
          <w:p w14:paraId="624E6030">
            <w:pPr>
              <w:spacing w:line="360" w:lineRule="auto"/>
              <w:jc w:val="center"/>
              <w:rPr>
                <w:rFonts w:ascii="宋体" w:hAnsi="宋体" w:cs="宋体"/>
                <w:color w:val="auto"/>
                <w:sz w:val="24"/>
                <w:highlight w:val="none"/>
              </w:rPr>
            </w:pPr>
          </w:p>
        </w:tc>
        <w:tc>
          <w:tcPr>
            <w:tcW w:w="1875" w:type="dxa"/>
            <w:vAlign w:val="center"/>
          </w:tcPr>
          <w:p w14:paraId="1E74E386">
            <w:pPr>
              <w:spacing w:line="360" w:lineRule="auto"/>
              <w:jc w:val="center"/>
              <w:rPr>
                <w:rFonts w:ascii="宋体" w:hAnsi="宋体" w:cs="宋体"/>
                <w:color w:val="auto"/>
                <w:sz w:val="24"/>
                <w:highlight w:val="none"/>
              </w:rPr>
            </w:pPr>
          </w:p>
        </w:tc>
      </w:tr>
      <w:tr w14:paraId="60E6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979" w:type="dxa"/>
            <w:gridSpan w:val="3"/>
            <w:vAlign w:val="center"/>
          </w:tcPr>
          <w:p w14:paraId="6161F1A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8912" w:type="dxa"/>
            <w:gridSpan w:val="4"/>
            <w:vAlign w:val="center"/>
          </w:tcPr>
          <w:p w14:paraId="232A1E8F">
            <w:pPr>
              <w:spacing w:line="360" w:lineRule="auto"/>
              <w:jc w:val="center"/>
              <w:rPr>
                <w:rFonts w:ascii="宋体" w:hAnsi="宋体" w:cs="宋体"/>
                <w:color w:val="auto"/>
                <w:sz w:val="24"/>
                <w:highlight w:val="none"/>
              </w:rPr>
            </w:pPr>
          </w:p>
        </w:tc>
      </w:tr>
      <w:tr w14:paraId="6F57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979" w:type="dxa"/>
            <w:gridSpan w:val="3"/>
            <w:vAlign w:val="center"/>
          </w:tcPr>
          <w:p w14:paraId="6F9A700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8912" w:type="dxa"/>
            <w:gridSpan w:val="4"/>
            <w:vAlign w:val="center"/>
          </w:tcPr>
          <w:p w14:paraId="5E768EF5">
            <w:pPr>
              <w:spacing w:line="360" w:lineRule="auto"/>
              <w:jc w:val="center"/>
              <w:rPr>
                <w:rFonts w:ascii="宋体" w:hAnsi="宋体" w:cs="宋体"/>
                <w:color w:val="auto"/>
                <w:sz w:val="24"/>
                <w:highlight w:val="none"/>
              </w:rPr>
            </w:pPr>
          </w:p>
        </w:tc>
      </w:tr>
    </w:tbl>
    <w:p w14:paraId="7BBC2BED">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D197800">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38F54DD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14:paraId="073DF63C">
      <w:pPr>
        <w:snapToGrid w:val="0"/>
        <w:spacing w:line="360" w:lineRule="auto"/>
        <w:ind w:firstLine="480" w:firstLineChars="200"/>
        <w:jc w:val="left"/>
        <w:rPr>
          <w:rFonts w:ascii="宋体" w:hAnsi="宋体" w:eastAsia="宋体" w:cs="宋体"/>
          <w:color w:val="auto"/>
          <w:kern w:val="2"/>
          <w:sz w:val="32"/>
          <w:szCs w:val="32"/>
          <w:highlight w:val="none"/>
        </w:rPr>
      </w:pPr>
      <w:r>
        <w:rPr>
          <w:rFonts w:hint="eastAsia" w:ascii="宋体" w:hAnsi="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24C0BF4E">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5" w:orient="landscape"/>
          <w:pgMar w:top="1417" w:right="1417" w:bottom="1417" w:left="1417" w:header="850" w:footer="992" w:gutter="0"/>
          <w:pgNumType w:fmt="decimal"/>
          <w:cols w:space="0" w:num="1"/>
          <w:titlePg/>
          <w:rtlGutter w:val="0"/>
          <w:docGrid w:linePitch="312" w:charSpace="0"/>
        </w:sectPr>
      </w:pPr>
    </w:p>
    <w:p w14:paraId="4224B616">
      <w:pPr>
        <w:pStyle w:val="693"/>
        <w:keepNext w:val="0"/>
        <w:pageBreakBefore/>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、已标价工程量清单</w:t>
      </w:r>
    </w:p>
    <w:p w14:paraId="4043CAE5">
      <w:pPr>
        <w:spacing w:line="360" w:lineRule="auto"/>
        <w:ind w:right="420"/>
        <w:jc w:val="center"/>
        <w:rPr>
          <w:rFonts w:ascii="宋体" w:hAnsi="宋体" w:cs="宋体"/>
          <w:color w:val="auto"/>
          <w:sz w:val="24"/>
          <w:highlight w:val="none"/>
        </w:rPr>
      </w:pPr>
      <w:r>
        <w:rPr>
          <w:rFonts w:hint="eastAsia" w:ascii="宋体" w:hAnsi="宋体" w:cs="宋体"/>
          <w:color w:val="auto"/>
          <w:sz w:val="24"/>
          <w:highlight w:val="none"/>
        </w:rPr>
        <w:t>注：按采购文件工程量清单编制</w:t>
      </w:r>
    </w:p>
    <w:p w14:paraId="13A747DD">
      <w:pPr>
        <w:pStyle w:val="61"/>
        <w:spacing w:line="360" w:lineRule="auto"/>
        <w:ind w:firstLine="480"/>
        <w:rPr>
          <w:rFonts w:cs="宋体"/>
          <w:color w:val="auto"/>
          <w:sz w:val="24"/>
          <w:highlight w:val="none"/>
        </w:rPr>
      </w:pPr>
    </w:p>
    <w:p w14:paraId="4166A9C4">
      <w:pPr>
        <w:pStyle w:val="61"/>
        <w:spacing w:line="360" w:lineRule="auto"/>
        <w:ind w:firstLine="480"/>
        <w:rPr>
          <w:rFonts w:cs="宋体"/>
          <w:color w:val="auto"/>
          <w:sz w:val="24"/>
          <w:highlight w:val="none"/>
        </w:rPr>
      </w:pPr>
    </w:p>
    <w:p w14:paraId="6C97B275">
      <w:pPr>
        <w:pStyle w:val="61"/>
        <w:spacing w:line="360" w:lineRule="auto"/>
        <w:ind w:left="0" w:leftChars="0" w:firstLine="0" w:firstLineChars="0"/>
        <w:rPr>
          <w:rFonts w:cs="宋体"/>
          <w:b/>
          <w:color w:val="auto"/>
          <w:kern w:val="0"/>
          <w:sz w:val="36"/>
          <w:szCs w:val="36"/>
          <w:highlight w:val="none"/>
        </w:rPr>
      </w:pPr>
      <w:r>
        <w:rPr>
          <w:rFonts w:hint="eastAsia" w:cs="宋体"/>
          <w:b/>
          <w:bCs/>
          <w:color w:val="auto"/>
          <w:sz w:val="32"/>
          <w:szCs w:val="32"/>
          <w:highlight w:val="none"/>
        </w:rPr>
        <w:t>注：按封面格式要求签章，投标报价封面须体现投标报价编制人员的执业章并本人签字</w:t>
      </w:r>
    </w:p>
    <w:p w14:paraId="5878A67E">
      <w:pPr>
        <w:pStyle w:val="61"/>
        <w:ind w:firstLine="480"/>
        <w:rPr>
          <w:rFonts w:cs="宋体"/>
          <w:color w:val="auto"/>
          <w:sz w:val="24"/>
          <w:highlight w:val="none"/>
        </w:rPr>
      </w:pPr>
    </w:p>
    <w:p w14:paraId="1007982D">
      <w:pPr>
        <w:pStyle w:val="61"/>
        <w:ind w:firstLine="480"/>
        <w:rPr>
          <w:rFonts w:cs="宋体"/>
          <w:color w:val="auto"/>
          <w:sz w:val="24"/>
          <w:highlight w:val="none"/>
        </w:rPr>
        <w:sectPr>
          <w:footerReference r:id="rId21" w:type="first"/>
          <w:headerReference r:id="rId18" w:type="default"/>
          <w:footerReference r:id="rId19" w:type="default"/>
          <w:footerReference r:id="rId20" w:type="even"/>
          <w:pgSz w:w="11905" w:h="16838"/>
          <w:pgMar w:top="1417" w:right="1417" w:bottom="1417" w:left="1417" w:header="850" w:footer="992" w:gutter="0"/>
          <w:pgNumType w:fmt="decimal"/>
          <w:cols w:space="0" w:num="1"/>
          <w:titlePg/>
          <w:rtlGutter w:val="0"/>
          <w:docGrid w:linePitch="312" w:charSpace="0"/>
        </w:sectPr>
      </w:pPr>
    </w:p>
    <w:p w14:paraId="58C65A9B">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06" w:name="_Hlk101259491"/>
      <w:r>
        <w:rPr>
          <w:rFonts w:hint="eastAsia" w:ascii="宋体" w:hAnsi="宋体" w:eastAsia="宋体" w:cs="宋体"/>
          <w:color w:val="auto"/>
          <w:sz w:val="32"/>
          <w:szCs w:val="32"/>
          <w:highlight w:val="none"/>
        </w:rPr>
        <w:t>（如果有）</w:t>
      </w:r>
      <w:bookmarkEnd w:id="406"/>
    </w:p>
    <w:p w14:paraId="67413327">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2AF574A3">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07" w:name="_Toc465665161"/>
      <w:r>
        <w:rPr>
          <w:rFonts w:hint="eastAsia" w:ascii="宋体" w:hAnsi="宋体" w:cs="宋体"/>
          <w:color w:val="auto"/>
          <w:highlight w:val="none"/>
        </w:rPr>
        <w:t>附件</w:t>
      </w:r>
      <w:bookmarkEnd w:id="407"/>
    </w:p>
    <w:p w14:paraId="413A710A">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6FAACB25">
      <w:pPr>
        <w:spacing w:line="360" w:lineRule="auto"/>
        <w:jc w:val="center"/>
        <w:rPr>
          <w:rFonts w:ascii="宋体" w:hAnsi="宋体" w:cs="宋体"/>
          <w:b/>
          <w:color w:val="auto"/>
          <w:spacing w:val="6"/>
          <w:sz w:val="32"/>
          <w:szCs w:val="32"/>
          <w:highlight w:val="none"/>
        </w:rPr>
      </w:pPr>
      <w:bookmarkStart w:id="408" w:name="OLE_LINK14"/>
      <w:bookmarkStart w:id="409" w:name="OLE_LINK13"/>
      <w:r>
        <w:rPr>
          <w:rFonts w:hint="eastAsia" w:ascii="宋体" w:hAnsi="宋体" w:cs="宋体"/>
          <w:b/>
          <w:color w:val="auto"/>
          <w:spacing w:val="6"/>
          <w:sz w:val="32"/>
          <w:szCs w:val="32"/>
          <w:highlight w:val="none"/>
        </w:rPr>
        <w:t>残疾人福利性单位声明函</w:t>
      </w:r>
    </w:p>
    <w:bookmarkEnd w:id="408"/>
    <w:bookmarkEnd w:id="409"/>
    <w:p w14:paraId="151A1878">
      <w:pPr>
        <w:spacing w:line="360" w:lineRule="auto"/>
        <w:rPr>
          <w:rFonts w:ascii="宋体" w:hAnsi="宋体" w:cs="宋体"/>
          <w:b/>
          <w:color w:val="auto"/>
          <w:spacing w:val="6"/>
          <w:sz w:val="30"/>
          <w:szCs w:val="30"/>
          <w:highlight w:val="none"/>
        </w:rPr>
      </w:pPr>
    </w:p>
    <w:p w14:paraId="79EC5A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3F82F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AE7E225">
      <w:pPr>
        <w:spacing w:line="360" w:lineRule="auto"/>
        <w:ind w:firstLine="480" w:firstLineChars="200"/>
        <w:rPr>
          <w:rFonts w:ascii="宋体" w:hAnsi="宋体" w:cs="宋体"/>
          <w:color w:val="auto"/>
          <w:sz w:val="24"/>
          <w:highlight w:val="none"/>
        </w:rPr>
      </w:pPr>
    </w:p>
    <w:p w14:paraId="0D2C993D">
      <w:pPr>
        <w:spacing w:line="360" w:lineRule="auto"/>
        <w:ind w:firstLine="480" w:firstLineChars="200"/>
        <w:rPr>
          <w:rFonts w:ascii="宋体" w:hAnsi="宋体" w:cs="宋体"/>
          <w:color w:val="auto"/>
          <w:sz w:val="24"/>
          <w:highlight w:val="none"/>
        </w:rPr>
      </w:pPr>
    </w:p>
    <w:p w14:paraId="68A22BCC">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15D5C8C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3AA334C7">
      <w:pPr>
        <w:spacing w:line="360" w:lineRule="auto"/>
        <w:ind w:firstLine="480" w:firstLineChars="200"/>
        <w:rPr>
          <w:rFonts w:ascii="宋体" w:hAnsi="宋体" w:cs="宋体"/>
          <w:color w:val="auto"/>
          <w:sz w:val="24"/>
          <w:highlight w:val="none"/>
        </w:rPr>
      </w:pPr>
    </w:p>
    <w:p w14:paraId="08E57F31">
      <w:pPr>
        <w:spacing w:line="360" w:lineRule="auto"/>
        <w:ind w:firstLine="420" w:firstLineChars="200"/>
        <w:rPr>
          <w:rFonts w:ascii="宋体" w:hAnsi="宋体" w:cs="宋体"/>
          <w:color w:val="auto"/>
          <w:highlight w:val="none"/>
        </w:rPr>
      </w:pPr>
    </w:p>
    <w:p w14:paraId="355C403E">
      <w:pPr>
        <w:spacing w:line="360" w:lineRule="auto"/>
        <w:ind w:firstLine="420" w:firstLineChars="200"/>
        <w:rPr>
          <w:rFonts w:ascii="宋体" w:hAnsi="宋体" w:cs="宋体"/>
          <w:color w:val="auto"/>
          <w:highlight w:val="none"/>
        </w:rPr>
      </w:pPr>
    </w:p>
    <w:p w14:paraId="035CBC35">
      <w:pPr>
        <w:spacing w:line="360" w:lineRule="auto"/>
        <w:ind w:firstLine="420" w:firstLineChars="200"/>
        <w:rPr>
          <w:rFonts w:ascii="宋体" w:hAnsi="宋体" w:cs="宋体"/>
          <w:color w:val="auto"/>
          <w:highlight w:val="none"/>
        </w:rPr>
      </w:pPr>
    </w:p>
    <w:p w14:paraId="48E48972">
      <w:pPr>
        <w:spacing w:line="360" w:lineRule="auto"/>
        <w:ind w:firstLine="420" w:firstLineChars="200"/>
        <w:rPr>
          <w:rFonts w:ascii="宋体" w:hAnsi="宋体" w:cs="宋体"/>
          <w:color w:val="auto"/>
          <w:highlight w:val="none"/>
        </w:rPr>
      </w:pPr>
    </w:p>
    <w:p w14:paraId="1F4F731C">
      <w:pPr>
        <w:spacing w:line="360" w:lineRule="auto"/>
        <w:rPr>
          <w:rFonts w:ascii="宋体" w:hAnsi="宋体" w:cs="宋体"/>
          <w:b/>
          <w:color w:val="auto"/>
          <w:sz w:val="24"/>
          <w:highlight w:val="none"/>
        </w:rPr>
      </w:pPr>
    </w:p>
    <w:p w14:paraId="405B7C14">
      <w:pPr>
        <w:spacing w:line="360" w:lineRule="auto"/>
        <w:rPr>
          <w:rFonts w:ascii="宋体" w:hAnsi="宋体" w:cs="宋体"/>
          <w:b/>
          <w:color w:val="auto"/>
          <w:sz w:val="24"/>
          <w:highlight w:val="none"/>
        </w:rPr>
      </w:pPr>
    </w:p>
    <w:p w14:paraId="1ACE45DA">
      <w:pPr>
        <w:spacing w:line="360" w:lineRule="auto"/>
        <w:rPr>
          <w:rFonts w:ascii="宋体" w:hAnsi="宋体" w:cs="宋体"/>
          <w:b/>
          <w:color w:val="auto"/>
          <w:sz w:val="24"/>
          <w:highlight w:val="none"/>
        </w:rPr>
      </w:pPr>
    </w:p>
    <w:p w14:paraId="1417E6C8">
      <w:pPr>
        <w:spacing w:line="360" w:lineRule="auto"/>
        <w:rPr>
          <w:rFonts w:ascii="宋体" w:hAnsi="宋体" w:cs="宋体"/>
          <w:b/>
          <w:color w:val="auto"/>
          <w:sz w:val="24"/>
          <w:highlight w:val="none"/>
        </w:rPr>
      </w:pPr>
    </w:p>
    <w:p w14:paraId="6B8286EB">
      <w:pPr>
        <w:spacing w:line="360" w:lineRule="auto"/>
        <w:rPr>
          <w:rFonts w:ascii="宋体" w:hAnsi="宋体" w:cs="宋体"/>
          <w:b/>
          <w:color w:val="auto"/>
          <w:sz w:val="24"/>
          <w:highlight w:val="none"/>
        </w:rPr>
      </w:pPr>
    </w:p>
    <w:p w14:paraId="52E26A08">
      <w:pPr>
        <w:spacing w:line="360" w:lineRule="auto"/>
        <w:rPr>
          <w:rFonts w:ascii="宋体" w:hAnsi="宋体" w:cs="宋体"/>
          <w:b/>
          <w:color w:val="auto"/>
          <w:sz w:val="24"/>
          <w:highlight w:val="none"/>
        </w:rPr>
      </w:pPr>
    </w:p>
    <w:p w14:paraId="633211AF">
      <w:pPr>
        <w:spacing w:line="360" w:lineRule="auto"/>
        <w:rPr>
          <w:rFonts w:ascii="宋体" w:hAnsi="宋体" w:cs="宋体"/>
          <w:b/>
          <w:color w:val="auto"/>
          <w:sz w:val="24"/>
          <w:highlight w:val="none"/>
        </w:rPr>
      </w:pPr>
    </w:p>
    <w:p w14:paraId="435CA4DE">
      <w:pPr>
        <w:spacing w:line="360" w:lineRule="auto"/>
        <w:rPr>
          <w:rFonts w:ascii="宋体" w:hAnsi="宋体" w:cs="宋体"/>
          <w:b/>
          <w:color w:val="auto"/>
          <w:sz w:val="24"/>
          <w:highlight w:val="none"/>
        </w:rPr>
      </w:pPr>
    </w:p>
    <w:p w14:paraId="6836434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7411FC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7EA7854">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2682CE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494746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1E0619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7CC689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835558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3703D0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98785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06E217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47583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528D31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D57A44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649EAA5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194767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1EC9BF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44F692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506FAB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F06069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CDB0A7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683D1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A210CF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27D2FF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128FA1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A7089A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D75FF4A">
      <w:pPr>
        <w:spacing w:line="360" w:lineRule="auto"/>
        <w:jc w:val="center"/>
        <w:rPr>
          <w:rFonts w:ascii="宋体" w:hAnsi="宋体" w:cs="宋体"/>
          <w:b/>
          <w:bCs/>
          <w:color w:val="auto"/>
          <w:sz w:val="24"/>
          <w:highlight w:val="none"/>
        </w:rPr>
      </w:pPr>
    </w:p>
    <w:p w14:paraId="1B60A9E4">
      <w:pPr>
        <w:spacing w:line="360" w:lineRule="auto"/>
        <w:rPr>
          <w:rFonts w:ascii="宋体" w:hAnsi="宋体" w:cs="宋体"/>
          <w:b/>
          <w:color w:val="auto"/>
          <w:sz w:val="24"/>
          <w:highlight w:val="none"/>
        </w:rPr>
      </w:pPr>
    </w:p>
    <w:p w14:paraId="21B996F4">
      <w:pPr>
        <w:spacing w:line="360" w:lineRule="auto"/>
        <w:rPr>
          <w:rFonts w:ascii="宋体" w:hAnsi="宋体" w:cs="宋体"/>
          <w:b/>
          <w:color w:val="auto"/>
          <w:sz w:val="24"/>
          <w:highlight w:val="none"/>
        </w:rPr>
      </w:pPr>
    </w:p>
    <w:p w14:paraId="54F3B773">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FC95D0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5905EB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FB07E0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C7C93D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26C6F7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5F833A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49A9A56">
      <w:pPr>
        <w:widowControl/>
        <w:spacing w:line="360" w:lineRule="auto"/>
        <w:ind w:firstLine="600" w:firstLineChars="200"/>
        <w:jc w:val="left"/>
        <w:rPr>
          <w:rFonts w:ascii="宋体" w:hAnsi="宋体" w:cs="宋体"/>
          <w:color w:val="auto"/>
          <w:sz w:val="30"/>
          <w:szCs w:val="30"/>
          <w:highlight w:val="none"/>
        </w:rPr>
      </w:pPr>
    </w:p>
    <w:p w14:paraId="452D6D07">
      <w:pPr>
        <w:spacing w:line="360" w:lineRule="auto"/>
        <w:jc w:val="center"/>
        <w:rPr>
          <w:rFonts w:ascii="宋体" w:hAnsi="宋体" w:cs="宋体"/>
          <w:b/>
          <w:color w:val="auto"/>
          <w:spacing w:val="6"/>
          <w:sz w:val="32"/>
          <w:szCs w:val="32"/>
          <w:highlight w:val="none"/>
        </w:rPr>
      </w:pPr>
    </w:p>
    <w:p w14:paraId="233B5FEB">
      <w:pPr>
        <w:spacing w:line="360" w:lineRule="auto"/>
        <w:jc w:val="center"/>
        <w:rPr>
          <w:rFonts w:ascii="宋体" w:hAnsi="宋体" w:cs="宋体"/>
          <w:b/>
          <w:color w:val="auto"/>
          <w:spacing w:val="6"/>
          <w:sz w:val="32"/>
          <w:szCs w:val="32"/>
          <w:highlight w:val="none"/>
        </w:rPr>
      </w:pPr>
    </w:p>
    <w:p w14:paraId="29D1721D">
      <w:pPr>
        <w:spacing w:line="360" w:lineRule="auto"/>
        <w:jc w:val="center"/>
        <w:rPr>
          <w:rFonts w:ascii="宋体" w:hAnsi="宋体" w:cs="宋体"/>
          <w:b/>
          <w:color w:val="auto"/>
          <w:spacing w:val="6"/>
          <w:sz w:val="32"/>
          <w:szCs w:val="32"/>
          <w:highlight w:val="none"/>
        </w:rPr>
      </w:pPr>
    </w:p>
    <w:p w14:paraId="0CBDB787">
      <w:pPr>
        <w:spacing w:line="360" w:lineRule="auto"/>
        <w:jc w:val="center"/>
        <w:rPr>
          <w:rFonts w:ascii="宋体" w:hAnsi="宋体" w:cs="宋体"/>
          <w:b/>
          <w:color w:val="auto"/>
          <w:spacing w:val="6"/>
          <w:sz w:val="32"/>
          <w:szCs w:val="32"/>
          <w:highlight w:val="none"/>
        </w:rPr>
      </w:pPr>
    </w:p>
    <w:p w14:paraId="56421284">
      <w:pPr>
        <w:spacing w:line="360" w:lineRule="auto"/>
        <w:jc w:val="center"/>
        <w:rPr>
          <w:rFonts w:ascii="宋体" w:hAnsi="宋体" w:cs="宋体"/>
          <w:b/>
          <w:color w:val="auto"/>
          <w:spacing w:val="6"/>
          <w:sz w:val="32"/>
          <w:szCs w:val="32"/>
          <w:highlight w:val="none"/>
        </w:rPr>
      </w:pPr>
    </w:p>
    <w:p w14:paraId="2DF6CA52">
      <w:pPr>
        <w:spacing w:line="360" w:lineRule="auto"/>
        <w:jc w:val="center"/>
        <w:rPr>
          <w:rFonts w:ascii="宋体" w:hAnsi="宋体" w:cs="宋体"/>
          <w:b/>
          <w:color w:val="auto"/>
          <w:spacing w:val="6"/>
          <w:sz w:val="32"/>
          <w:szCs w:val="32"/>
          <w:highlight w:val="none"/>
        </w:rPr>
      </w:pPr>
    </w:p>
    <w:p w14:paraId="65F67E81">
      <w:pPr>
        <w:spacing w:line="360" w:lineRule="auto"/>
        <w:jc w:val="center"/>
        <w:rPr>
          <w:rFonts w:ascii="宋体" w:hAnsi="宋体" w:cs="宋体"/>
          <w:b/>
          <w:color w:val="auto"/>
          <w:spacing w:val="6"/>
          <w:sz w:val="32"/>
          <w:szCs w:val="32"/>
          <w:highlight w:val="none"/>
        </w:rPr>
      </w:pPr>
    </w:p>
    <w:p w14:paraId="6B94D379">
      <w:pPr>
        <w:spacing w:line="360" w:lineRule="auto"/>
        <w:jc w:val="center"/>
        <w:rPr>
          <w:rFonts w:ascii="宋体" w:hAnsi="宋体" w:cs="宋体"/>
          <w:b/>
          <w:color w:val="auto"/>
          <w:spacing w:val="6"/>
          <w:sz w:val="32"/>
          <w:szCs w:val="32"/>
          <w:highlight w:val="none"/>
        </w:rPr>
      </w:pPr>
    </w:p>
    <w:p w14:paraId="3AB4F57C">
      <w:pPr>
        <w:spacing w:line="360" w:lineRule="auto"/>
        <w:jc w:val="center"/>
        <w:rPr>
          <w:rFonts w:ascii="宋体" w:hAnsi="宋体" w:cs="宋体"/>
          <w:b/>
          <w:color w:val="auto"/>
          <w:spacing w:val="6"/>
          <w:sz w:val="32"/>
          <w:szCs w:val="32"/>
          <w:highlight w:val="none"/>
        </w:rPr>
      </w:pPr>
    </w:p>
    <w:p w14:paraId="07E016CC">
      <w:pPr>
        <w:spacing w:line="360" w:lineRule="auto"/>
        <w:jc w:val="center"/>
        <w:rPr>
          <w:rFonts w:ascii="宋体" w:hAnsi="宋体" w:cs="宋体"/>
          <w:b/>
          <w:color w:val="auto"/>
          <w:spacing w:val="6"/>
          <w:sz w:val="32"/>
          <w:szCs w:val="32"/>
          <w:highlight w:val="none"/>
        </w:rPr>
      </w:pPr>
    </w:p>
    <w:p w14:paraId="3FBAC3F4">
      <w:pPr>
        <w:spacing w:line="360" w:lineRule="auto"/>
        <w:jc w:val="center"/>
        <w:rPr>
          <w:rFonts w:ascii="宋体" w:hAnsi="宋体" w:cs="宋体"/>
          <w:b/>
          <w:color w:val="auto"/>
          <w:spacing w:val="6"/>
          <w:sz w:val="32"/>
          <w:szCs w:val="32"/>
          <w:highlight w:val="none"/>
        </w:rPr>
      </w:pPr>
    </w:p>
    <w:p w14:paraId="49067CDB">
      <w:pPr>
        <w:spacing w:line="360" w:lineRule="auto"/>
        <w:jc w:val="center"/>
        <w:rPr>
          <w:rFonts w:ascii="宋体" w:hAnsi="宋体" w:cs="宋体"/>
          <w:b/>
          <w:color w:val="auto"/>
          <w:spacing w:val="6"/>
          <w:sz w:val="32"/>
          <w:szCs w:val="32"/>
          <w:highlight w:val="none"/>
        </w:rPr>
      </w:pPr>
    </w:p>
    <w:p w14:paraId="169B5423">
      <w:pPr>
        <w:spacing w:line="360" w:lineRule="auto"/>
        <w:jc w:val="left"/>
        <w:rPr>
          <w:rFonts w:ascii="宋体" w:hAnsi="宋体" w:cs="宋体"/>
          <w:b/>
          <w:color w:val="auto"/>
          <w:spacing w:val="6"/>
          <w:sz w:val="32"/>
          <w:szCs w:val="32"/>
          <w:highlight w:val="none"/>
        </w:rPr>
      </w:pPr>
    </w:p>
    <w:p w14:paraId="37952ECC">
      <w:pPr>
        <w:spacing w:line="360" w:lineRule="auto"/>
        <w:jc w:val="left"/>
        <w:rPr>
          <w:rFonts w:ascii="宋体" w:hAnsi="宋体" w:cs="宋体"/>
          <w:b/>
          <w:color w:val="auto"/>
          <w:spacing w:val="6"/>
          <w:sz w:val="32"/>
          <w:szCs w:val="32"/>
          <w:highlight w:val="none"/>
        </w:rPr>
      </w:pPr>
    </w:p>
    <w:p w14:paraId="2AE7DA7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B84D234">
      <w:pPr>
        <w:spacing w:line="360" w:lineRule="auto"/>
        <w:jc w:val="center"/>
        <w:rPr>
          <w:rFonts w:ascii="宋体" w:hAnsi="宋体" w:cs="宋体"/>
          <w:b/>
          <w:color w:val="auto"/>
          <w:sz w:val="24"/>
          <w:highlight w:val="none"/>
        </w:rPr>
      </w:pPr>
    </w:p>
    <w:p w14:paraId="510526A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13A2A60">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D0394D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6EE8FE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ECCF89E">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549F3D">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971E54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EB53683">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53044AB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06313C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A3A8F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FD98CBE">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3C962118">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ECBC24C">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8CB99C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8A0CE0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37A170B">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23FC19A5">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D4BA3C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CCA3B68">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64B93">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CCC649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BF0F7F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E0AA781">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CFA53F7">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FA1C88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0D1EE4E">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E64FE06">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77505C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241CDB6">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93721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12D83F7">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64633A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0649673">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52BA2F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FB1D32D">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4E9E2FAD">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60BC0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2493E14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DF9679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BC35188">
      <w:pPr>
        <w:spacing w:line="360" w:lineRule="auto"/>
        <w:rPr>
          <w:rFonts w:ascii="宋体" w:hAnsi="宋体" w:cs="宋体"/>
          <w:b/>
          <w:color w:val="auto"/>
          <w:sz w:val="24"/>
          <w:highlight w:val="none"/>
        </w:rPr>
      </w:pPr>
    </w:p>
    <w:p w14:paraId="391F358A">
      <w:pPr>
        <w:spacing w:line="360" w:lineRule="auto"/>
        <w:rPr>
          <w:rFonts w:ascii="宋体" w:hAnsi="宋体" w:cs="宋体"/>
          <w:b/>
          <w:color w:val="auto"/>
          <w:sz w:val="24"/>
          <w:highlight w:val="none"/>
        </w:rPr>
      </w:pPr>
    </w:p>
    <w:p w14:paraId="40B879D0">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721BCA8">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2DBB61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4025B9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FB105F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8C21EE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FE5D80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B238BA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E0B91EC">
      <w:pPr>
        <w:spacing w:line="360" w:lineRule="auto"/>
        <w:rPr>
          <w:rFonts w:ascii="宋体" w:hAnsi="宋体" w:cs="宋体"/>
          <w:b/>
          <w:color w:val="auto"/>
          <w:sz w:val="24"/>
          <w:highlight w:val="none"/>
        </w:rPr>
      </w:pPr>
    </w:p>
    <w:p w14:paraId="01A3E497">
      <w:pPr>
        <w:autoSpaceDE w:val="0"/>
        <w:autoSpaceDN w:val="0"/>
        <w:jc w:val="center"/>
        <w:rPr>
          <w:rFonts w:ascii="宋体" w:hAnsi="宋体" w:cs="宋体"/>
          <w:b/>
          <w:color w:val="auto"/>
          <w:spacing w:val="6"/>
          <w:sz w:val="32"/>
          <w:szCs w:val="32"/>
          <w:highlight w:val="none"/>
        </w:rPr>
      </w:pPr>
    </w:p>
    <w:p w14:paraId="0A9ADBB5">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7362585">
      <w:pPr>
        <w:spacing w:line="360" w:lineRule="auto"/>
        <w:rPr>
          <w:rFonts w:ascii="宋体" w:hAnsi="宋体" w:cs="宋体"/>
          <w:color w:val="auto"/>
          <w:sz w:val="24"/>
          <w:highlight w:val="none"/>
          <w:u w:val="single"/>
        </w:rPr>
      </w:pPr>
    </w:p>
    <w:p w14:paraId="020330B0">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lang w:eastAsia="zh-CN"/>
        </w:rPr>
        <w:t>浙江省杭州第四中学</w:t>
      </w:r>
      <w:r>
        <w:rPr>
          <w:rFonts w:hint="eastAsia" w:ascii="宋体" w:hAnsi="宋体" w:cs="宋体"/>
          <w:color w:val="auto"/>
          <w:sz w:val="24"/>
          <w:highlight w:val="none"/>
          <w:u w:val="single"/>
        </w:rPr>
        <w:t>、浙江省建设工程设备招标有限公司</w:t>
      </w:r>
    </w:p>
    <w:p w14:paraId="6D8C7B8E">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杭州四中下沙校区综合楼西（学生成长中心）改造</w:t>
      </w:r>
      <w:r>
        <w:rPr>
          <w:rFonts w:hint="eastAsia" w:ascii="宋体" w:hAnsi="宋体" w:cs="宋体"/>
          <w:color w:val="auto"/>
          <w:sz w:val="24"/>
          <w:highlight w:val="none"/>
        </w:rPr>
        <w:t>项目【项目编号：</w:t>
      </w:r>
      <w:r>
        <w:rPr>
          <w:rFonts w:hint="eastAsia" w:ascii="宋体" w:hAnsi="宋体" w:cs="宋体"/>
          <w:color w:val="auto"/>
          <w:sz w:val="24"/>
          <w:highlight w:val="none"/>
          <w:lang w:eastAsia="zh-CN"/>
        </w:rPr>
        <w:t>ZJZBC-25-CS-9041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C9B5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B2456D0">
      <w:pPr>
        <w:spacing w:line="360" w:lineRule="auto"/>
        <w:ind w:firstLine="494"/>
        <w:rPr>
          <w:rFonts w:ascii="宋体" w:hAnsi="宋体" w:cs="宋体"/>
          <w:color w:val="auto"/>
          <w:sz w:val="24"/>
          <w:highlight w:val="none"/>
        </w:rPr>
      </w:pPr>
    </w:p>
    <w:p w14:paraId="28580D7F">
      <w:pPr>
        <w:spacing w:line="360" w:lineRule="auto"/>
        <w:ind w:firstLine="494"/>
        <w:rPr>
          <w:rFonts w:ascii="宋体" w:hAnsi="宋体" w:cs="宋体"/>
          <w:color w:val="auto"/>
          <w:sz w:val="24"/>
          <w:highlight w:val="none"/>
        </w:rPr>
      </w:pPr>
    </w:p>
    <w:p w14:paraId="711C61BA">
      <w:pPr>
        <w:spacing w:line="360" w:lineRule="auto"/>
        <w:ind w:firstLine="494"/>
        <w:rPr>
          <w:rFonts w:ascii="宋体" w:hAnsi="宋体" w:cs="宋体"/>
          <w:color w:val="auto"/>
          <w:sz w:val="24"/>
          <w:highlight w:val="none"/>
        </w:rPr>
      </w:pPr>
    </w:p>
    <w:p w14:paraId="7C99512A">
      <w:pPr>
        <w:spacing w:line="360" w:lineRule="auto"/>
        <w:ind w:firstLine="494"/>
        <w:rPr>
          <w:rFonts w:ascii="宋体" w:hAnsi="宋体" w:cs="宋体"/>
          <w:color w:val="auto"/>
          <w:sz w:val="24"/>
          <w:highlight w:val="none"/>
        </w:rPr>
      </w:pPr>
    </w:p>
    <w:p w14:paraId="296F5B02">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供应商（法定名称章）：</w:t>
      </w:r>
    </w:p>
    <w:p w14:paraId="7ECF6D31">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052D992">
      <w:pPr>
        <w:rPr>
          <w:rFonts w:ascii="宋体" w:hAnsi="宋体" w:cs="宋体"/>
          <w:color w:val="auto"/>
          <w:sz w:val="24"/>
          <w:highlight w:val="none"/>
        </w:rPr>
      </w:pPr>
      <w:r>
        <w:rPr>
          <w:rFonts w:hint="eastAsia" w:ascii="宋体" w:hAnsi="宋体" w:cs="宋体"/>
          <w:b/>
          <w:bCs/>
          <w:color w:val="auto"/>
          <w:sz w:val="24"/>
          <w:highlight w:val="none"/>
        </w:rPr>
        <w:t>附：</w:t>
      </w:r>
    </w:p>
    <w:p w14:paraId="62743779">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w:t>供应商</w:t>
      </w:r>
      <w:r>
        <w:rPr>
          <w:rFonts w:hint="eastAsia" w:ascii="宋体" w:hAnsi="宋体" w:cs="宋体"/>
          <w:color w:val="auto"/>
          <w:sz w:val="24"/>
          <w:highlight w:val="none"/>
        </w:rPr>
        <w:t>法定名称章（印模）                供应商“XX专用章”（印模）</w:t>
      </w:r>
    </w:p>
    <w:p w14:paraId="3081366B">
      <w:pPr>
        <w:autoSpaceDE w:val="0"/>
        <w:autoSpaceDN w:val="0"/>
        <w:jc w:val="center"/>
        <w:rPr>
          <w:rFonts w:ascii="宋体" w:hAnsi="宋体" w:cs="宋体"/>
          <w:b/>
          <w:color w:val="auto"/>
          <w:spacing w:val="6"/>
          <w:sz w:val="32"/>
          <w:szCs w:val="32"/>
          <w:highlight w:val="none"/>
        </w:rPr>
      </w:pPr>
    </w:p>
    <w:p w14:paraId="349186B1">
      <w:pPr>
        <w:autoSpaceDE w:val="0"/>
        <w:autoSpaceDN w:val="0"/>
        <w:jc w:val="center"/>
        <w:rPr>
          <w:rFonts w:ascii="宋体" w:hAnsi="宋体" w:cs="宋体"/>
          <w:b/>
          <w:color w:val="auto"/>
          <w:spacing w:val="6"/>
          <w:sz w:val="32"/>
          <w:szCs w:val="32"/>
          <w:highlight w:val="none"/>
        </w:rPr>
      </w:pPr>
    </w:p>
    <w:p w14:paraId="0DABA73C">
      <w:pPr>
        <w:autoSpaceDE w:val="0"/>
        <w:autoSpaceDN w:val="0"/>
        <w:jc w:val="center"/>
        <w:rPr>
          <w:rFonts w:ascii="宋体" w:hAnsi="宋体" w:cs="宋体"/>
          <w:b/>
          <w:color w:val="auto"/>
          <w:spacing w:val="6"/>
          <w:sz w:val="32"/>
          <w:szCs w:val="32"/>
          <w:highlight w:val="none"/>
        </w:rPr>
      </w:pPr>
    </w:p>
    <w:p w14:paraId="286AF8DB">
      <w:pPr>
        <w:autoSpaceDE w:val="0"/>
        <w:autoSpaceDN w:val="0"/>
        <w:jc w:val="center"/>
        <w:rPr>
          <w:rFonts w:ascii="宋体" w:hAnsi="宋体" w:cs="宋体"/>
          <w:b/>
          <w:color w:val="auto"/>
          <w:spacing w:val="6"/>
          <w:sz w:val="32"/>
          <w:szCs w:val="32"/>
          <w:highlight w:val="none"/>
        </w:rPr>
      </w:pPr>
    </w:p>
    <w:p w14:paraId="5A62480B">
      <w:pPr>
        <w:autoSpaceDE w:val="0"/>
        <w:autoSpaceDN w:val="0"/>
        <w:jc w:val="center"/>
        <w:rPr>
          <w:rFonts w:ascii="宋体" w:hAnsi="宋体" w:cs="宋体"/>
          <w:b/>
          <w:color w:val="auto"/>
          <w:spacing w:val="6"/>
          <w:sz w:val="32"/>
          <w:szCs w:val="32"/>
          <w:highlight w:val="none"/>
        </w:rPr>
      </w:pPr>
    </w:p>
    <w:p w14:paraId="72BF02A5">
      <w:pPr>
        <w:autoSpaceDE w:val="0"/>
        <w:autoSpaceDN w:val="0"/>
        <w:jc w:val="center"/>
        <w:rPr>
          <w:rFonts w:ascii="宋体" w:hAnsi="宋体" w:cs="宋体"/>
          <w:b/>
          <w:color w:val="auto"/>
          <w:spacing w:val="6"/>
          <w:sz w:val="32"/>
          <w:szCs w:val="32"/>
          <w:highlight w:val="none"/>
        </w:rPr>
      </w:pPr>
    </w:p>
    <w:p w14:paraId="5BE31B7E">
      <w:pPr>
        <w:autoSpaceDE w:val="0"/>
        <w:autoSpaceDN w:val="0"/>
        <w:jc w:val="center"/>
        <w:rPr>
          <w:rFonts w:ascii="宋体" w:hAnsi="宋体" w:cs="宋体"/>
          <w:b/>
          <w:color w:val="auto"/>
          <w:spacing w:val="6"/>
          <w:sz w:val="32"/>
          <w:szCs w:val="32"/>
          <w:highlight w:val="none"/>
        </w:rPr>
      </w:pPr>
    </w:p>
    <w:p w14:paraId="5E18CC39">
      <w:pPr>
        <w:autoSpaceDE w:val="0"/>
        <w:autoSpaceDN w:val="0"/>
        <w:jc w:val="center"/>
        <w:rPr>
          <w:rFonts w:ascii="宋体" w:hAnsi="宋体" w:cs="宋体"/>
          <w:b/>
          <w:color w:val="auto"/>
          <w:spacing w:val="6"/>
          <w:sz w:val="32"/>
          <w:szCs w:val="32"/>
          <w:highlight w:val="none"/>
        </w:rPr>
      </w:pPr>
    </w:p>
    <w:p w14:paraId="1D034AD2">
      <w:pPr>
        <w:autoSpaceDE w:val="0"/>
        <w:autoSpaceDN w:val="0"/>
        <w:jc w:val="center"/>
        <w:rPr>
          <w:rFonts w:ascii="宋体" w:hAnsi="宋体" w:cs="宋体"/>
          <w:b/>
          <w:color w:val="auto"/>
          <w:spacing w:val="6"/>
          <w:sz w:val="32"/>
          <w:szCs w:val="32"/>
          <w:highlight w:val="none"/>
        </w:rPr>
      </w:pPr>
    </w:p>
    <w:p w14:paraId="2D663C78">
      <w:pPr>
        <w:autoSpaceDE w:val="0"/>
        <w:autoSpaceDN w:val="0"/>
        <w:jc w:val="center"/>
        <w:rPr>
          <w:rFonts w:ascii="宋体" w:hAnsi="宋体" w:cs="宋体"/>
          <w:b/>
          <w:color w:val="auto"/>
          <w:spacing w:val="6"/>
          <w:sz w:val="32"/>
          <w:szCs w:val="32"/>
          <w:highlight w:val="none"/>
        </w:rPr>
      </w:pPr>
    </w:p>
    <w:p w14:paraId="75AFDBF6">
      <w:pPr>
        <w:autoSpaceDE w:val="0"/>
        <w:autoSpaceDN w:val="0"/>
        <w:jc w:val="center"/>
        <w:rPr>
          <w:rFonts w:ascii="宋体" w:hAnsi="宋体" w:cs="宋体"/>
          <w:b/>
          <w:color w:val="auto"/>
          <w:spacing w:val="6"/>
          <w:sz w:val="32"/>
          <w:szCs w:val="32"/>
          <w:highlight w:val="none"/>
        </w:rPr>
      </w:pPr>
    </w:p>
    <w:p w14:paraId="536C7AFF">
      <w:pPr>
        <w:autoSpaceDE w:val="0"/>
        <w:autoSpaceDN w:val="0"/>
        <w:jc w:val="center"/>
        <w:rPr>
          <w:rFonts w:ascii="宋体" w:hAnsi="宋体" w:cs="宋体"/>
          <w:b/>
          <w:color w:val="auto"/>
          <w:spacing w:val="6"/>
          <w:sz w:val="32"/>
          <w:szCs w:val="32"/>
          <w:highlight w:val="none"/>
        </w:rPr>
      </w:pPr>
    </w:p>
    <w:p w14:paraId="559A69A4">
      <w:pPr>
        <w:autoSpaceDE w:val="0"/>
        <w:autoSpaceDN w:val="0"/>
        <w:jc w:val="center"/>
        <w:rPr>
          <w:rFonts w:ascii="宋体" w:hAnsi="宋体" w:cs="宋体"/>
          <w:b/>
          <w:color w:val="auto"/>
          <w:spacing w:val="6"/>
          <w:sz w:val="32"/>
          <w:szCs w:val="32"/>
          <w:highlight w:val="none"/>
        </w:rPr>
      </w:pPr>
    </w:p>
    <w:p w14:paraId="30A59C44">
      <w:pPr>
        <w:autoSpaceDE w:val="0"/>
        <w:autoSpaceDN w:val="0"/>
        <w:jc w:val="center"/>
        <w:rPr>
          <w:rFonts w:ascii="宋体" w:hAnsi="宋体" w:cs="宋体"/>
          <w:b/>
          <w:color w:val="auto"/>
          <w:spacing w:val="6"/>
          <w:sz w:val="32"/>
          <w:szCs w:val="32"/>
          <w:highlight w:val="none"/>
        </w:rPr>
      </w:pPr>
    </w:p>
    <w:p w14:paraId="24859420">
      <w:pPr>
        <w:autoSpaceDE w:val="0"/>
        <w:autoSpaceDN w:val="0"/>
        <w:jc w:val="center"/>
        <w:rPr>
          <w:rFonts w:ascii="宋体" w:hAnsi="宋体" w:cs="宋体"/>
          <w:b/>
          <w:color w:val="auto"/>
          <w:spacing w:val="6"/>
          <w:sz w:val="32"/>
          <w:szCs w:val="32"/>
          <w:highlight w:val="none"/>
        </w:rPr>
      </w:pPr>
    </w:p>
    <w:p w14:paraId="4A214312">
      <w:pPr>
        <w:autoSpaceDE w:val="0"/>
        <w:autoSpaceDN w:val="0"/>
        <w:jc w:val="center"/>
        <w:rPr>
          <w:rFonts w:ascii="宋体" w:hAnsi="宋体" w:cs="宋体"/>
          <w:b/>
          <w:color w:val="auto"/>
          <w:spacing w:val="6"/>
          <w:sz w:val="32"/>
          <w:szCs w:val="32"/>
          <w:highlight w:val="none"/>
        </w:rPr>
      </w:pPr>
    </w:p>
    <w:p w14:paraId="39E44D47">
      <w:pPr>
        <w:autoSpaceDE w:val="0"/>
        <w:autoSpaceDN w:val="0"/>
        <w:jc w:val="center"/>
        <w:rPr>
          <w:rFonts w:ascii="宋体" w:hAnsi="宋体" w:cs="宋体"/>
          <w:b/>
          <w:color w:val="auto"/>
          <w:spacing w:val="6"/>
          <w:sz w:val="32"/>
          <w:szCs w:val="32"/>
          <w:highlight w:val="none"/>
        </w:rPr>
      </w:pPr>
    </w:p>
    <w:p w14:paraId="161A37DD">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FCF224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14:paraId="6023BEE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杭州四中下沙校区综合楼西（学生成长中心）改造</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ZJZBC-25-CS-9041</w:t>
      </w:r>
      <w:r>
        <w:rPr>
          <w:rFonts w:hint="eastAsia" w:ascii="宋体" w:hAnsi="宋体" w:cs="宋体"/>
          <w:color w:val="auto"/>
          <w:sz w:val="24"/>
          <w:highlight w:val="none"/>
        </w:rPr>
        <w:t>】</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14:paraId="053CBC0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656DC5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而对采购人、采购代理机构所作的任何合法承诺，包括书面澄清及相应等均对联合投标各方产生约束力。</w:t>
      </w:r>
    </w:p>
    <w:p w14:paraId="648E90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中，分工如下：</w:t>
      </w:r>
    </w:p>
    <w:p w14:paraId="53BC1F55">
      <w:pPr>
        <w:snapToGrid w:val="0"/>
        <w:spacing w:line="360" w:lineRule="auto"/>
        <w:ind w:firstLine="576"/>
        <w:rPr>
          <w:rFonts w:ascii="宋体" w:hAnsi="宋体" w:cs="宋体"/>
          <w:color w:val="auto"/>
          <w:kern w:val="0"/>
          <w:sz w:val="24"/>
          <w:highlight w:val="none"/>
          <w:lang w:val="zh-CN"/>
        </w:rPr>
      </w:pPr>
      <w:bookmarkStart w:id="410"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41F563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30DE32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10"/>
    <w:p w14:paraId="323DC2F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69133C7">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cs="宋体"/>
          <w:b/>
          <w:color w:val="auto"/>
          <w:kern w:val="0"/>
          <w:sz w:val="24"/>
          <w:highlight w:val="none"/>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30B7A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28189CA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14:paraId="61BFD13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p>
    <w:p w14:paraId="3A0F695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BDDC1A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FE51E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8593B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877DF8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0B2298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F88E7C9">
      <w:pPr>
        <w:autoSpaceDE w:val="0"/>
        <w:autoSpaceDN w:val="0"/>
        <w:jc w:val="center"/>
        <w:rPr>
          <w:rFonts w:ascii="宋体" w:hAnsi="宋体" w:cs="宋体"/>
          <w:b/>
          <w:color w:val="auto"/>
          <w:spacing w:val="6"/>
          <w:sz w:val="32"/>
          <w:szCs w:val="32"/>
          <w:highlight w:val="none"/>
        </w:rPr>
        <w:sectPr>
          <w:pgSz w:w="11905" w:h="16838"/>
          <w:pgMar w:top="1417" w:right="1417" w:bottom="1417" w:left="1417" w:header="850" w:footer="992" w:gutter="0"/>
          <w:pgNumType w:fmt="decimal"/>
          <w:cols w:space="0" w:num="1"/>
          <w:titlePg/>
          <w:rtlGutter w:val="0"/>
          <w:docGrid w:linePitch="312" w:charSpace="0"/>
        </w:sectPr>
      </w:pPr>
    </w:p>
    <w:p w14:paraId="597A14D8">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01F08F1B">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14:paraId="31FBB2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杭州四中下沙校区综合楼西（学生成长中心）改造</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ZJZBC-25-CS-9041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7B254C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1481FD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5E2018C3">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7E9C6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B8DC762">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383F07E">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11"/>
    </w:p>
    <w:p w14:paraId="4032CF7E">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173A4E5">
      <w:pPr>
        <w:snapToGrid w:val="0"/>
        <w:spacing w:line="24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F5B7411">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7AA83FA">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3A34B3E">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EC3900B">
      <w:pPr>
        <w:snapToGrid w:val="0"/>
        <w:spacing w:line="24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1C22788">
      <w:pPr>
        <w:snapToGrid w:val="0"/>
        <w:spacing w:line="24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CCCBF0A">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282127C">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E932112">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9062296">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0466DEB9">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6FC00436">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8942966">
      <w:pPr>
        <w:spacing w:line="360" w:lineRule="auto"/>
        <w:jc w:val="center"/>
        <w:rPr>
          <w:rFonts w:ascii="宋体" w:hAnsi="宋体" w:cs="宋体"/>
          <w:b/>
          <w:color w:val="auto"/>
          <w:spacing w:val="6"/>
          <w:sz w:val="32"/>
          <w:szCs w:val="32"/>
          <w:highlight w:val="none"/>
        </w:rPr>
      </w:pPr>
      <w:r>
        <w:rPr>
          <w:rFonts w:hint="eastAsia" w:ascii="宋体" w:hAnsi="宋体" w:cs="宋体"/>
          <w:color w:val="auto"/>
          <w:kern w:val="0"/>
          <w:sz w:val="24"/>
          <w:highlight w:val="none"/>
          <w:lang w:val="zh-CN"/>
        </w:rPr>
        <w:t xml:space="preserve">                                        日期：  年  月   日</w:t>
      </w:r>
    </w:p>
    <w:p w14:paraId="3767B357">
      <w:pPr>
        <w:autoSpaceDE w:val="0"/>
        <w:autoSpaceDN w:val="0"/>
        <w:jc w:val="center"/>
        <w:rPr>
          <w:rFonts w:ascii="宋体" w:hAnsi="宋体" w:cs="宋体"/>
          <w:b/>
          <w:color w:val="auto"/>
          <w:spacing w:val="6"/>
          <w:sz w:val="32"/>
          <w:szCs w:val="32"/>
          <w:highlight w:val="none"/>
        </w:rPr>
        <w:sectPr>
          <w:pgSz w:w="11905" w:h="16838"/>
          <w:pgMar w:top="1417" w:right="1417" w:bottom="1417" w:left="1417" w:header="850" w:footer="992" w:gutter="0"/>
          <w:pgNumType w:fmt="decimal"/>
          <w:cols w:space="0" w:num="1"/>
          <w:titlePg/>
          <w:rtlGutter w:val="0"/>
          <w:docGrid w:linePitch="312" w:charSpace="0"/>
        </w:sectPr>
      </w:pPr>
    </w:p>
    <w:p w14:paraId="37A77167">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64232495">
      <w:pPr>
        <w:spacing w:line="360" w:lineRule="auto"/>
        <w:jc w:val="center"/>
        <w:rPr>
          <w:rFonts w:ascii="宋体" w:hAnsi="宋体" w:cs="宋体"/>
          <w:color w:val="auto"/>
          <w:sz w:val="24"/>
          <w:highlight w:val="none"/>
          <w:u w:val="single"/>
        </w:rPr>
      </w:pPr>
    </w:p>
    <w:p w14:paraId="49A496DF">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14:paraId="74A36849">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浙江省杭州第四中学</w:t>
      </w:r>
      <w:r>
        <w:rPr>
          <w:rFonts w:hint="eastAsia" w:ascii="宋体" w:hAnsi="宋体" w:cs="宋体"/>
          <w:color w:val="auto"/>
          <w:sz w:val="24"/>
          <w:highlight w:val="none"/>
        </w:rPr>
        <w:t>的</w:t>
      </w:r>
      <w:r>
        <w:rPr>
          <w:rFonts w:hint="eastAsia" w:ascii="宋体" w:hAnsi="宋体" w:cs="宋体"/>
          <w:color w:val="auto"/>
          <w:sz w:val="24"/>
          <w:highlight w:val="none"/>
          <w:u w:val="single"/>
          <w:lang w:eastAsia="zh-CN"/>
        </w:rPr>
        <w:t>杭州四中下沙校区综合楼西（学生成长中心）改造</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AE800A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83ACD8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EAD3D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AFEBE6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959FCD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3EF7230">
      <w:pPr>
        <w:spacing w:line="360" w:lineRule="auto"/>
        <w:ind w:firstLine="480" w:firstLineChars="200"/>
        <w:rPr>
          <w:rFonts w:ascii="宋体" w:hAnsi="宋体" w:cs="宋体"/>
          <w:color w:val="auto"/>
          <w:sz w:val="24"/>
          <w:highlight w:val="none"/>
        </w:rPr>
      </w:pPr>
    </w:p>
    <w:p w14:paraId="1A0E9246">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32A01C6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F6DD0F9">
      <w:pPr>
        <w:spacing w:line="360" w:lineRule="auto"/>
        <w:ind w:right="420" w:firstLine="480" w:firstLineChars="200"/>
        <w:rPr>
          <w:rFonts w:hint="eastAsia" w:ascii="宋体" w:hAnsi="宋体" w:cs="宋体"/>
          <w:color w:val="auto"/>
          <w:sz w:val="24"/>
          <w:highlight w:val="none"/>
        </w:rPr>
      </w:pPr>
    </w:p>
    <w:p w14:paraId="61D46239">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4D9938C1">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szCs w:val="24"/>
          <w:highlight w:val="none"/>
          <w:lang w:val="en-US" w:eastAsia="zh-CN" w:bidi="ar"/>
          <w:woUserID w:val="1"/>
        </w:rPr>
        <w:t>①从业人员、营业收入、资产总额填报上一年度数据，无上一年度数据的新成立企业可不填报</w:t>
      </w:r>
      <w:r>
        <w:rPr>
          <w:rFonts w:hint="eastAsia" w:ascii="宋体" w:hAnsi="宋体" w:eastAsia="宋体" w:cs="宋体"/>
          <w:color w:val="auto"/>
          <w:sz w:val="24"/>
          <w:highlight w:val="none"/>
          <w:lang w:val="en-US" w:eastAsia="zh-CN"/>
        </w:rPr>
        <w:t>。</w:t>
      </w:r>
    </w:p>
    <w:p w14:paraId="685823EB">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b/>
          <w:bCs w:val="0"/>
          <w:color w:val="auto"/>
          <w:kern w:val="2"/>
          <w:sz w:val="24"/>
          <w:szCs w:val="24"/>
          <w:highlight w:val="none"/>
          <w:woUserID w:val="1"/>
        </w:rPr>
      </w:pPr>
      <w:r>
        <w:rPr>
          <w:rFonts w:hint="eastAsia" w:ascii="宋体" w:hAnsi="宋体" w:eastAsia="宋体" w:cs="宋体"/>
          <w:color w:val="auto"/>
          <w:sz w:val="24"/>
          <w:highlight w:val="none"/>
          <w:lang w:val="en-US" w:eastAsia="zh-CN"/>
        </w:rPr>
        <w:t>②《中小企业声明函》中“标的名称”、“采购文件中明确的所属行业”依据招标文件第二部分投标人须知前附表中“采购标的及其对应的中小企业划分标准所属行业”的指引，逐一填写，不得缺漏。</w:t>
      </w:r>
    </w:p>
    <w:p w14:paraId="70565833">
      <w:pPr>
        <w:pStyle w:val="25"/>
        <w:ind w:left="0" w:leftChars="0" w:firstLine="0" w:firstLineChars="0"/>
        <w:rPr>
          <w:color w:val="auto"/>
          <w:highlight w:val="none"/>
        </w:rPr>
      </w:pPr>
    </w:p>
    <w:bookmarkEnd w:id="412"/>
    <w:sectPr>
      <w:pgSz w:w="11905" w:h="16838"/>
      <w:pgMar w:top="1417" w:right="1417" w:bottom="1417" w:left="1417" w:header="850"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182A4">
    <w:pPr>
      <w:pStyle w:val="40"/>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27F4CF">
                          <w:pPr>
                            <w:pStyle w:val="40"/>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126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27F4CF">
                    <w:pPr>
                      <w:pStyle w:val="40"/>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126</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3CDD6">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AA8C32">
                          <w:pPr>
                            <w:pStyle w:val="40"/>
                          </w:pPr>
                          <w:r>
                            <w:fldChar w:fldCharType="begin"/>
                          </w:r>
                          <w:r>
                            <w:instrText xml:space="preserve"> PAGE  \* MERGEFORMAT </w:instrText>
                          </w:r>
                          <w:r>
                            <w:fldChar w:fldCharType="separate"/>
                          </w:r>
                          <w:r>
                            <w:t>112</w:t>
                          </w:r>
                          <w:r>
                            <w:fldChar w:fldCharType="end"/>
                          </w:r>
                          <w:r>
                            <w:t xml:space="preserve"> / </w:t>
                          </w:r>
                          <w:r>
                            <w:fldChar w:fldCharType="begin"/>
                          </w:r>
                          <w:r>
                            <w:instrText xml:space="preserve"> NUMPAGES  \* MERGEFORMAT </w:instrText>
                          </w:r>
                          <w:r>
                            <w:fldChar w:fldCharType="separate"/>
                          </w:r>
                          <w:r>
                            <w:t>126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EAA8C32">
                    <w:pPr>
                      <w:pStyle w:val="40"/>
                    </w:pPr>
                    <w:r>
                      <w:fldChar w:fldCharType="begin"/>
                    </w:r>
                    <w:r>
                      <w:instrText xml:space="preserve"> PAGE  \* MERGEFORMAT </w:instrText>
                    </w:r>
                    <w:r>
                      <w:fldChar w:fldCharType="separate"/>
                    </w:r>
                    <w:r>
                      <w:t>112</w:t>
                    </w:r>
                    <w:r>
                      <w:fldChar w:fldCharType="end"/>
                    </w:r>
                    <w:r>
                      <w:t xml:space="preserve"> / </w:t>
                    </w:r>
                    <w:r>
                      <w:fldChar w:fldCharType="begin"/>
                    </w:r>
                    <w:r>
                      <w:instrText xml:space="preserve"> NUMPAGES  \* MERGEFORMAT </w:instrText>
                    </w:r>
                    <w:r>
                      <w:fldChar w:fldCharType="separate"/>
                    </w:r>
                    <w:r>
                      <w:t>126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1CF06">
    <w:pPr>
      <w:pStyle w:val="40"/>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0E427E">
                          <w:pPr>
                            <w:pStyle w:val="40"/>
                          </w:pPr>
                          <w:r>
                            <w:fldChar w:fldCharType="begin"/>
                          </w:r>
                          <w:r>
                            <w:instrText xml:space="preserve"> PAGE  \* MERGEFORMAT </w:instrText>
                          </w:r>
                          <w:r>
                            <w:fldChar w:fldCharType="separate"/>
                          </w:r>
                          <w:r>
                            <w:t>116</w:t>
                          </w:r>
                          <w:r>
                            <w:fldChar w:fldCharType="end"/>
                          </w:r>
                          <w:r>
                            <w:t xml:space="preserve"> / </w:t>
                          </w:r>
                          <w:r>
                            <w:fldChar w:fldCharType="begin"/>
                          </w:r>
                          <w:r>
                            <w:instrText xml:space="preserve"> NUMPAGES  \* MERGEFORMAT </w:instrText>
                          </w:r>
                          <w:r>
                            <w:fldChar w:fldCharType="separate"/>
                          </w:r>
                          <w:r>
                            <w:t>126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50E427E">
                    <w:pPr>
                      <w:pStyle w:val="40"/>
                    </w:pPr>
                    <w:r>
                      <w:fldChar w:fldCharType="begin"/>
                    </w:r>
                    <w:r>
                      <w:instrText xml:space="preserve"> PAGE  \* MERGEFORMAT </w:instrText>
                    </w:r>
                    <w:r>
                      <w:fldChar w:fldCharType="separate"/>
                    </w:r>
                    <w:r>
                      <w:t>116</w:t>
                    </w:r>
                    <w:r>
                      <w:fldChar w:fldCharType="end"/>
                    </w:r>
                    <w:r>
                      <w:t xml:space="preserve"> / </w:t>
                    </w:r>
                    <w:r>
                      <w:fldChar w:fldCharType="begin"/>
                    </w:r>
                    <w:r>
                      <w:instrText xml:space="preserve"> NUMPAGES  \* MERGEFORMAT </w:instrText>
                    </w:r>
                    <w:r>
                      <w:fldChar w:fldCharType="separate"/>
                    </w:r>
                    <w:r>
                      <w:t>126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B6B99">
    <w:pPr>
      <w:pStyle w:val="40"/>
      <w:framePr w:wrap="around" w:vAnchor="text" w:hAnchor="margin" w:xAlign="right" w:y="1"/>
      <w:rPr>
        <w:rStyle w:val="72"/>
      </w:rPr>
    </w:pPr>
    <w:r>
      <w:fldChar w:fldCharType="begin"/>
    </w:r>
    <w:r>
      <w:rPr>
        <w:rStyle w:val="72"/>
      </w:rPr>
      <w:instrText xml:space="preserve">PAGE  </w:instrText>
    </w:r>
    <w:r>
      <w:fldChar w:fldCharType="end"/>
    </w:r>
  </w:p>
  <w:p w14:paraId="5FE92C6F">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A7405">
    <w:pPr>
      <w:pStyle w:val="40"/>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AA1269">
                          <w:pPr>
                            <w:pStyle w:val="40"/>
                          </w:pPr>
                          <w:r>
                            <w:fldChar w:fldCharType="begin"/>
                          </w:r>
                          <w:r>
                            <w:instrText xml:space="preserve"> PAGE  \* MERGEFORMAT </w:instrText>
                          </w:r>
                          <w:r>
                            <w:fldChar w:fldCharType="separate"/>
                          </w:r>
                          <w:r>
                            <w:t>114</w:t>
                          </w:r>
                          <w:r>
                            <w:fldChar w:fldCharType="end"/>
                          </w:r>
                          <w:r>
                            <w:t xml:space="preserve"> / </w:t>
                          </w:r>
                          <w:r>
                            <w:fldChar w:fldCharType="begin"/>
                          </w:r>
                          <w:r>
                            <w:instrText xml:space="preserve"> NUMPAGES  \* MERGEFORMAT </w:instrText>
                          </w:r>
                          <w:r>
                            <w:fldChar w:fldCharType="separate"/>
                          </w:r>
                          <w:r>
                            <w:t>126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5AA1269">
                    <w:pPr>
                      <w:pStyle w:val="40"/>
                    </w:pPr>
                    <w:r>
                      <w:fldChar w:fldCharType="begin"/>
                    </w:r>
                    <w:r>
                      <w:instrText xml:space="preserve"> PAGE  \* MERGEFORMAT </w:instrText>
                    </w:r>
                    <w:r>
                      <w:fldChar w:fldCharType="separate"/>
                    </w:r>
                    <w:r>
                      <w:t>114</w:t>
                    </w:r>
                    <w:r>
                      <w:fldChar w:fldCharType="end"/>
                    </w:r>
                    <w:r>
                      <w:t xml:space="preserve"> / </w:t>
                    </w:r>
                    <w:r>
                      <w:fldChar w:fldCharType="begin"/>
                    </w:r>
                    <w:r>
                      <w:instrText xml:space="preserve"> NUMPAGES  \* MERGEFORMAT </w:instrText>
                    </w:r>
                    <w:r>
                      <w:fldChar w:fldCharType="separate"/>
                    </w:r>
                    <w:r>
                      <w:t>126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96370">
    <w:pPr>
      <w:pStyle w:val="40"/>
      <w:framePr w:wrap="around" w:vAnchor="text" w:hAnchor="margin" w:xAlign="right" w:y="1"/>
      <w:rPr>
        <w:rStyle w:val="72"/>
      </w:rPr>
    </w:pPr>
    <w:r>
      <w:fldChar w:fldCharType="begin"/>
    </w:r>
    <w:r>
      <w:rPr>
        <w:rStyle w:val="72"/>
      </w:rPr>
      <w:instrText xml:space="preserve">PAGE  </w:instrText>
    </w:r>
    <w:r>
      <w:fldChar w:fldCharType="end"/>
    </w:r>
  </w:p>
  <w:p w14:paraId="7185516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46B5E">
    <w:pPr>
      <w:pStyle w:val="40"/>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51448B">
                          <w:pPr>
                            <w:pStyle w:val="4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A51448B">
                    <w:pPr>
                      <w:pStyle w:val="4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126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7B872">
    <w:pPr>
      <w:tabs>
        <w:tab w:val="center" w:pos="4153"/>
        <w:tab w:val="right" w:pos="8306"/>
      </w:tabs>
      <w:snapToGrid w:val="0"/>
      <w:ind w:right="360" w:firstLine="360"/>
      <w:rPr>
        <w:rFonts w:eastAsia="仿宋_GB2312"/>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A22D44">
                          <w:pPr>
                            <w:pStyle w:val="40"/>
                          </w:pPr>
                          <w:r>
                            <w:fldChar w:fldCharType="begin"/>
                          </w:r>
                          <w:r>
                            <w:instrText xml:space="preserve"> PAGE  \* MERGEFORMAT </w:instrText>
                          </w:r>
                          <w:r>
                            <w:fldChar w:fldCharType="separate"/>
                          </w:r>
                          <w:r>
                            <w:t>41</w:t>
                          </w:r>
                          <w:r>
                            <w:fldChar w:fldCharType="end"/>
                          </w:r>
                          <w:r>
                            <w:t xml:space="preserve"> / </w:t>
                          </w:r>
                          <w:r>
                            <w:fldChar w:fldCharType="begin"/>
                          </w:r>
                          <w:r>
                            <w:instrText xml:space="preserve"> NUMPAGES  \* MERGEFORMAT </w:instrText>
                          </w:r>
                          <w:r>
                            <w:fldChar w:fldCharType="separate"/>
                          </w:r>
                          <w:r>
                            <w:t>126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7A22D44">
                    <w:pPr>
                      <w:pStyle w:val="40"/>
                    </w:pPr>
                    <w:r>
                      <w:fldChar w:fldCharType="begin"/>
                    </w:r>
                    <w:r>
                      <w:instrText xml:space="preserve"> PAGE  \* MERGEFORMAT </w:instrText>
                    </w:r>
                    <w:r>
                      <w:fldChar w:fldCharType="separate"/>
                    </w:r>
                    <w:r>
                      <w:t>41</w:t>
                    </w:r>
                    <w:r>
                      <w:fldChar w:fldCharType="end"/>
                    </w:r>
                    <w:r>
                      <w:t xml:space="preserve"> / </w:t>
                    </w:r>
                    <w:r>
                      <w:fldChar w:fldCharType="begin"/>
                    </w:r>
                    <w:r>
                      <w:instrText xml:space="preserve"> NUMPAGES  \* MERGEFORMAT </w:instrText>
                    </w:r>
                    <w:r>
                      <w:fldChar w:fldCharType="separate"/>
                    </w:r>
                    <w:r>
                      <w:t>126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7A6BC">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D0A24B">
                          <w:pPr>
                            <w:pStyle w:val="40"/>
                          </w:pPr>
                          <w:r>
                            <w:fldChar w:fldCharType="begin"/>
                          </w:r>
                          <w:r>
                            <w:instrText xml:space="preserve"> PAGE  \* MERGEFORMAT </w:instrText>
                          </w:r>
                          <w:r>
                            <w:fldChar w:fldCharType="separate"/>
                          </w:r>
                          <w:r>
                            <w:t>81</w:t>
                          </w:r>
                          <w:r>
                            <w:fldChar w:fldCharType="end"/>
                          </w:r>
                          <w:r>
                            <w:t xml:space="preserve"> / </w:t>
                          </w:r>
                          <w:r>
                            <w:fldChar w:fldCharType="begin"/>
                          </w:r>
                          <w:r>
                            <w:instrText xml:space="preserve"> NUMPAGES  \* MERGEFORMAT </w:instrText>
                          </w:r>
                          <w:r>
                            <w:fldChar w:fldCharType="separate"/>
                          </w:r>
                          <w:r>
                            <w:t>126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CD0A24B">
                    <w:pPr>
                      <w:pStyle w:val="40"/>
                    </w:pPr>
                    <w:r>
                      <w:fldChar w:fldCharType="begin"/>
                    </w:r>
                    <w:r>
                      <w:instrText xml:space="preserve"> PAGE  \* MERGEFORMAT </w:instrText>
                    </w:r>
                    <w:r>
                      <w:fldChar w:fldCharType="separate"/>
                    </w:r>
                    <w:r>
                      <w:t>81</w:t>
                    </w:r>
                    <w:r>
                      <w:fldChar w:fldCharType="end"/>
                    </w:r>
                    <w:r>
                      <w:t xml:space="preserve"> / </w:t>
                    </w:r>
                    <w:r>
                      <w:fldChar w:fldCharType="begin"/>
                    </w:r>
                    <w:r>
                      <w:instrText xml:space="preserve"> NUMPAGES  \* MERGEFORMAT </w:instrText>
                    </w:r>
                    <w:r>
                      <w:fldChar w:fldCharType="separate"/>
                    </w:r>
                    <w:r>
                      <w:t>126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38578">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C1B266">
                          <w:pPr>
                            <w:pStyle w:val="40"/>
                          </w:pPr>
                          <w:r>
                            <w:fldChar w:fldCharType="begin"/>
                          </w:r>
                          <w:r>
                            <w:instrText xml:space="preserve"> PAGE  \* MERGEFORMAT </w:instrText>
                          </w:r>
                          <w:r>
                            <w:fldChar w:fldCharType="separate"/>
                          </w:r>
                          <w:r>
                            <w:t>80</w:t>
                          </w:r>
                          <w:r>
                            <w:fldChar w:fldCharType="end"/>
                          </w:r>
                          <w:r>
                            <w:t xml:space="preserve"> / </w:t>
                          </w:r>
                          <w:r>
                            <w:fldChar w:fldCharType="begin"/>
                          </w:r>
                          <w:r>
                            <w:instrText xml:space="preserve"> NUMPAGES  \* MERGEFORMAT </w:instrText>
                          </w:r>
                          <w:r>
                            <w:fldChar w:fldCharType="separate"/>
                          </w:r>
                          <w:r>
                            <w:t>126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6C1B266">
                    <w:pPr>
                      <w:pStyle w:val="40"/>
                    </w:pPr>
                    <w:r>
                      <w:fldChar w:fldCharType="begin"/>
                    </w:r>
                    <w:r>
                      <w:instrText xml:space="preserve"> PAGE  \* MERGEFORMAT </w:instrText>
                    </w:r>
                    <w:r>
                      <w:fldChar w:fldCharType="separate"/>
                    </w:r>
                    <w:r>
                      <w:t>80</w:t>
                    </w:r>
                    <w:r>
                      <w:fldChar w:fldCharType="end"/>
                    </w:r>
                    <w:r>
                      <w:t xml:space="preserve"> / </w:t>
                    </w:r>
                    <w:r>
                      <w:fldChar w:fldCharType="begin"/>
                    </w:r>
                    <w:r>
                      <w:instrText xml:space="preserve"> NUMPAGES  \* MERGEFORMAT </w:instrText>
                    </w:r>
                    <w:r>
                      <w:fldChar w:fldCharType="separate"/>
                    </w:r>
                    <w:r>
                      <w:t>126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89F01">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B96239">
                          <w:pPr>
                            <w:pStyle w:val="40"/>
                          </w:pPr>
                          <w:r>
                            <w:fldChar w:fldCharType="begin"/>
                          </w:r>
                          <w:r>
                            <w:instrText xml:space="preserve"> PAGE  \* MERGEFORMAT </w:instrText>
                          </w:r>
                          <w:r>
                            <w:fldChar w:fldCharType="separate"/>
                          </w:r>
                          <w:r>
                            <w:t>108</w:t>
                          </w:r>
                          <w:r>
                            <w:fldChar w:fldCharType="end"/>
                          </w:r>
                          <w:r>
                            <w:t xml:space="preserve"> / </w:t>
                          </w:r>
                          <w:r>
                            <w:fldChar w:fldCharType="begin"/>
                          </w:r>
                          <w:r>
                            <w:instrText xml:space="preserve"> NUMPAGES  \* MERGEFORMAT </w:instrText>
                          </w:r>
                          <w:r>
                            <w:fldChar w:fldCharType="separate"/>
                          </w:r>
                          <w:r>
                            <w:t>126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4B96239">
                    <w:pPr>
                      <w:pStyle w:val="40"/>
                    </w:pPr>
                    <w:r>
                      <w:fldChar w:fldCharType="begin"/>
                    </w:r>
                    <w:r>
                      <w:instrText xml:space="preserve"> PAGE  \* MERGEFORMAT </w:instrText>
                    </w:r>
                    <w:r>
                      <w:fldChar w:fldCharType="separate"/>
                    </w:r>
                    <w:r>
                      <w:t>108</w:t>
                    </w:r>
                    <w:r>
                      <w:fldChar w:fldCharType="end"/>
                    </w:r>
                    <w:r>
                      <w:t xml:space="preserve"> / </w:t>
                    </w:r>
                    <w:r>
                      <w:fldChar w:fldCharType="begin"/>
                    </w:r>
                    <w:r>
                      <w:instrText xml:space="preserve"> NUMPAGES  \* MERGEFORMAT </w:instrText>
                    </w:r>
                    <w:r>
                      <w:fldChar w:fldCharType="separate"/>
                    </w:r>
                    <w:r>
                      <w:t>126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42388">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B28E40">
                          <w:pPr>
                            <w:pStyle w:val="40"/>
                          </w:pPr>
                          <w:r>
                            <w:fldChar w:fldCharType="begin"/>
                          </w:r>
                          <w:r>
                            <w:instrText xml:space="preserve"> PAGE  \* MERGEFORMAT </w:instrText>
                          </w:r>
                          <w:r>
                            <w:fldChar w:fldCharType="separate"/>
                          </w:r>
                          <w:r>
                            <w:t>107</w:t>
                          </w:r>
                          <w:r>
                            <w:fldChar w:fldCharType="end"/>
                          </w:r>
                          <w:r>
                            <w:t xml:space="preserve"> / </w:t>
                          </w:r>
                          <w:r>
                            <w:fldChar w:fldCharType="begin"/>
                          </w:r>
                          <w:r>
                            <w:instrText xml:space="preserve"> NUMPAGES  \* MERGEFORMAT </w:instrText>
                          </w:r>
                          <w:r>
                            <w:fldChar w:fldCharType="separate"/>
                          </w:r>
                          <w:r>
                            <w:t>126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CB28E40">
                    <w:pPr>
                      <w:pStyle w:val="40"/>
                    </w:pPr>
                    <w:r>
                      <w:fldChar w:fldCharType="begin"/>
                    </w:r>
                    <w:r>
                      <w:instrText xml:space="preserve"> PAGE  \* MERGEFORMAT </w:instrText>
                    </w:r>
                    <w:r>
                      <w:fldChar w:fldCharType="separate"/>
                    </w:r>
                    <w:r>
                      <w:t>107</w:t>
                    </w:r>
                    <w:r>
                      <w:fldChar w:fldCharType="end"/>
                    </w:r>
                    <w:r>
                      <w:t xml:space="preserve"> / </w:t>
                    </w:r>
                    <w:r>
                      <w:fldChar w:fldCharType="begin"/>
                    </w:r>
                    <w:r>
                      <w:instrText xml:space="preserve"> NUMPAGES  \* MERGEFORMAT </w:instrText>
                    </w:r>
                    <w:r>
                      <w:fldChar w:fldCharType="separate"/>
                    </w:r>
                    <w:r>
                      <w:t>126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77CF5">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E23BE8">
                          <w:pPr>
                            <w:pStyle w:val="4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5E23BE8">
                    <w:pPr>
                      <w:pStyle w:val="4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E4A67">
    <w:pPr>
      <w:pStyle w:val="41"/>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4767F">
    <w:pPr>
      <w:pStyle w:val="41"/>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600B6">
    <w:pPr>
      <w:tabs>
        <w:tab w:val="center" w:pos="4153"/>
        <w:tab w:val="right" w:pos="8306"/>
      </w:tabs>
      <w:snapToGrid w:val="0"/>
      <w:jc w:val="center"/>
      <w:rPr>
        <w:rFonts w:eastAsia="仿宋_GB2312"/>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74A21">
    <w:pPr>
      <w:pStyle w:val="41"/>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2A965">
    <w:pPr>
      <w:pStyle w:val="41"/>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9D8C0">
    <w:pPr>
      <w:pStyle w:val="41"/>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00000003"/>
    <w:multiLevelType w:val="multilevel"/>
    <w:tmpl w:val="00000003"/>
    <w:lvl w:ilvl="0" w:tentative="0">
      <w:start w:val="1"/>
      <w:numFmt w:val="decimal"/>
      <w:suff w:val="nothing"/>
      <w:lvlText w:val="（%1）"/>
      <w:lvlJc w:val="left"/>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C"/>
    <w:multiLevelType w:val="multilevel"/>
    <w:tmpl w:val="0000000C"/>
    <w:lvl w:ilvl="0" w:tentative="0">
      <w:start w:val="1"/>
      <w:numFmt w:val="chineseCountingThousand"/>
      <w:lvlText w:val="%1、"/>
      <w:lvlJc w:val="left"/>
      <w:pPr>
        <w:tabs>
          <w:tab w:val="left" w:pos="180"/>
        </w:tabs>
        <w:ind w:left="464" w:hanging="284"/>
      </w:pPr>
      <w:rPr>
        <w:rFonts w:hint="default" w:ascii="Times New Roman" w:hAnsi="Times New Roman" w:eastAsia="宋体"/>
        <w:b/>
        <w:sz w:val="24"/>
        <w:u w:val="none"/>
      </w:rPr>
    </w:lvl>
    <w:lvl w:ilvl="1" w:tentative="0">
      <w:start w:val="1"/>
      <w:numFmt w:val="decimal"/>
      <w:pStyle w:val="971"/>
      <w:lvlText w:val="%2、"/>
      <w:lvlJc w:val="left"/>
      <w:pPr>
        <w:tabs>
          <w:tab w:val="left" w:pos="360"/>
        </w:tabs>
        <w:ind w:left="644" w:hanging="284"/>
      </w:pPr>
      <w:rPr>
        <w:rFonts w:hint="default" w:ascii="Times New Roman" w:hAnsi="Times New Roman" w:eastAsia="宋体"/>
        <w:sz w:val="24"/>
        <w:u w:val="none"/>
      </w:rPr>
    </w:lvl>
    <w:lvl w:ilvl="2" w:tentative="0">
      <w:start w:val="1"/>
      <w:numFmt w:val="decimal"/>
      <w:lvlText w:val="%2.%3"/>
      <w:lvlJc w:val="left"/>
      <w:pPr>
        <w:tabs>
          <w:tab w:val="left" w:pos="360"/>
        </w:tabs>
        <w:ind w:left="644" w:hanging="284"/>
      </w:pPr>
      <w:rPr>
        <w:rFonts w:hint="default" w:ascii="Times New Roman" w:hAnsi="Times New Roman" w:eastAsia="宋体"/>
        <w:sz w:val="21"/>
        <w:u w:val="none"/>
      </w:rPr>
    </w:lvl>
    <w:lvl w:ilvl="3" w:tentative="0">
      <w:start w:val="1"/>
      <w:numFmt w:val="decimal"/>
      <w:lvlText w:val="%2.%3.%4"/>
      <w:lvlJc w:val="left"/>
      <w:pPr>
        <w:tabs>
          <w:tab w:val="left" w:pos="1032"/>
        </w:tabs>
        <w:ind w:left="1316" w:hanging="284"/>
      </w:pPr>
      <w:rPr>
        <w:rFonts w:hint="default" w:ascii="Times New Roman" w:hAnsi="Times New Roman" w:eastAsia="宋体"/>
        <w:sz w:val="21"/>
        <w:u w:val="none"/>
      </w:rPr>
    </w:lvl>
    <w:lvl w:ilvl="4" w:tentative="0">
      <w:start w:val="1"/>
      <w:numFmt w:val="decimal"/>
      <w:lvlText w:val="%2.%3.%4.%5"/>
      <w:lvlJc w:val="left"/>
      <w:pPr>
        <w:tabs>
          <w:tab w:val="left" w:pos="1316"/>
        </w:tabs>
        <w:ind w:left="1600" w:hanging="284"/>
      </w:pPr>
      <w:rPr>
        <w:rFonts w:hint="default" w:ascii="Times New Roman" w:hAnsi="Times New Roman" w:eastAsia="宋体"/>
        <w:u w:val="none"/>
      </w:rPr>
    </w:lvl>
    <w:lvl w:ilvl="5" w:tentative="0">
      <w:start w:val="1"/>
      <w:numFmt w:val="decimal"/>
      <w:lvlText w:val="%1.%2.%3.%4.%5.%6"/>
      <w:lvlJc w:val="left"/>
      <w:pPr>
        <w:tabs>
          <w:tab w:val="left" w:pos="1600"/>
        </w:tabs>
        <w:ind w:left="1884" w:hanging="284"/>
      </w:pPr>
      <w:rPr>
        <w:rFonts w:hint="default"/>
        <w:u w:val="none"/>
      </w:rPr>
    </w:lvl>
    <w:lvl w:ilvl="6" w:tentative="0">
      <w:start w:val="1"/>
      <w:numFmt w:val="decimal"/>
      <w:lvlText w:val="%1.%2.%3.%4.%5.%6.%7"/>
      <w:lvlJc w:val="left"/>
      <w:pPr>
        <w:tabs>
          <w:tab w:val="left" w:pos="1884"/>
        </w:tabs>
        <w:ind w:left="2168" w:hanging="284"/>
      </w:pPr>
      <w:rPr>
        <w:rFonts w:hint="default"/>
        <w:u w:val="none"/>
      </w:rPr>
    </w:lvl>
    <w:lvl w:ilvl="7" w:tentative="0">
      <w:start w:val="1"/>
      <w:numFmt w:val="decimal"/>
      <w:lvlText w:val="%1.%2.%3.%4.%5.%6.%7.%8"/>
      <w:lvlJc w:val="left"/>
      <w:pPr>
        <w:tabs>
          <w:tab w:val="left" w:pos="2168"/>
        </w:tabs>
        <w:ind w:left="2452" w:hanging="284"/>
      </w:pPr>
      <w:rPr>
        <w:rFonts w:hint="default"/>
        <w:u w:val="none"/>
      </w:rPr>
    </w:lvl>
    <w:lvl w:ilvl="8" w:tentative="0">
      <w:start w:val="1"/>
      <w:numFmt w:val="decimal"/>
      <w:lvlText w:val="%1.%2.%3.%4.%5.%6.%7.%8.%9"/>
      <w:lvlJc w:val="left"/>
      <w:pPr>
        <w:tabs>
          <w:tab w:val="left" w:pos="2452"/>
        </w:tabs>
        <w:ind w:left="2736" w:hanging="284"/>
      </w:pPr>
      <w:rPr>
        <w:rFonts w:hint="default"/>
        <w:u w:val="none"/>
      </w:rPr>
    </w:lvl>
  </w:abstractNum>
  <w:abstractNum w:abstractNumId="3">
    <w:nsid w:val="12FE93AF"/>
    <w:multiLevelType w:val="singleLevel"/>
    <w:tmpl w:val="12FE93AF"/>
    <w:lvl w:ilvl="0" w:tentative="0">
      <w:start w:val="6"/>
      <w:numFmt w:val="chineseCounting"/>
      <w:suff w:val="nothing"/>
      <w:lvlText w:val="%1、"/>
      <w:lvlJc w:val="left"/>
      <w:rPr>
        <w:rFonts w:hint="eastAsia"/>
      </w:rPr>
    </w:lvl>
  </w:abstractNum>
  <w:abstractNum w:abstractNumId="4">
    <w:nsid w:val="40D082BB"/>
    <w:multiLevelType w:val="singleLevel"/>
    <w:tmpl w:val="40D082BB"/>
    <w:lvl w:ilvl="0" w:tentative="0">
      <w:start w:val="1"/>
      <w:numFmt w:val="decimal"/>
      <w:suff w:val="nothing"/>
      <w:lvlText w:val="（%1）"/>
      <w:lvlJc w:val="left"/>
    </w:lvl>
  </w:abstractNum>
  <w:abstractNum w:abstractNumId="5">
    <w:nsid w:val="4599CC04"/>
    <w:multiLevelType w:val="multilevel"/>
    <w:tmpl w:val="4599CC04"/>
    <w:lvl w:ilvl="0" w:tentative="0">
      <w:start w:val="1"/>
      <w:numFmt w:val="decimal"/>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6">
    <w:nsid w:val="7413056E"/>
    <w:multiLevelType w:val="multilevel"/>
    <w:tmpl w:val="7413056E"/>
    <w:lvl w:ilvl="0" w:tentative="0">
      <w:start w:val="1"/>
      <w:numFmt w:val="decimal"/>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num w:numId="1">
    <w:abstractNumId w:val="2"/>
  </w:num>
  <w:num w:numId="2">
    <w:abstractNumId w:val="4"/>
  </w:num>
  <w:num w:numId="3">
    <w:abstractNumId w:val="3"/>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456"/>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6634D2"/>
    <w:rsid w:val="03A56CD8"/>
    <w:rsid w:val="03DD35E4"/>
    <w:rsid w:val="03F040A4"/>
    <w:rsid w:val="04076900"/>
    <w:rsid w:val="041A5A3B"/>
    <w:rsid w:val="042311BA"/>
    <w:rsid w:val="042B157A"/>
    <w:rsid w:val="047C3600"/>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930BB8"/>
    <w:rsid w:val="06B3613A"/>
    <w:rsid w:val="07124397"/>
    <w:rsid w:val="07245D42"/>
    <w:rsid w:val="07264C62"/>
    <w:rsid w:val="0779354C"/>
    <w:rsid w:val="07A46B95"/>
    <w:rsid w:val="08061376"/>
    <w:rsid w:val="08452D77"/>
    <w:rsid w:val="086401F8"/>
    <w:rsid w:val="08661343"/>
    <w:rsid w:val="08751CAA"/>
    <w:rsid w:val="087E4C40"/>
    <w:rsid w:val="08923AEE"/>
    <w:rsid w:val="08A871D0"/>
    <w:rsid w:val="08D12F50"/>
    <w:rsid w:val="08D66AD6"/>
    <w:rsid w:val="08DA33A3"/>
    <w:rsid w:val="08E80F13"/>
    <w:rsid w:val="09335624"/>
    <w:rsid w:val="0944690F"/>
    <w:rsid w:val="09535675"/>
    <w:rsid w:val="095F057D"/>
    <w:rsid w:val="09642282"/>
    <w:rsid w:val="09733572"/>
    <w:rsid w:val="09764A25"/>
    <w:rsid w:val="09772C16"/>
    <w:rsid w:val="098353B5"/>
    <w:rsid w:val="09A92330"/>
    <w:rsid w:val="09B06B87"/>
    <w:rsid w:val="09C13146"/>
    <w:rsid w:val="09E04166"/>
    <w:rsid w:val="0A1C0718"/>
    <w:rsid w:val="0A1E4E03"/>
    <w:rsid w:val="0A3E7710"/>
    <w:rsid w:val="0A5B7E63"/>
    <w:rsid w:val="0A703465"/>
    <w:rsid w:val="0AA374A5"/>
    <w:rsid w:val="0AAB7649"/>
    <w:rsid w:val="0ABC5606"/>
    <w:rsid w:val="0B30404E"/>
    <w:rsid w:val="0B4C6C14"/>
    <w:rsid w:val="0B547599"/>
    <w:rsid w:val="0B631A88"/>
    <w:rsid w:val="0B683D45"/>
    <w:rsid w:val="0B7F3F11"/>
    <w:rsid w:val="0B884417"/>
    <w:rsid w:val="0BE508DA"/>
    <w:rsid w:val="0BF6188C"/>
    <w:rsid w:val="0BF73C91"/>
    <w:rsid w:val="0C170175"/>
    <w:rsid w:val="0C1F2BBE"/>
    <w:rsid w:val="0C571A41"/>
    <w:rsid w:val="0C5C1171"/>
    <w:rsid w:val="0C5E1CBC"/>
    <w:rsid w:val="0C615B50"/>
    <w:rsid w:val="0C6E02C3"/>
    <w:rsid w:val="0C8445DA"/>
    <w:rsid w:val="0C87121B"/>
    <w:rsid w:val="0CC007F7"/>
    <w:rsid w:val="0CC617AC"/>
    <w:rsid w:val="0CE618DF"/>
    <w:rsid w:val="0CFE707A"/>
    <w:rsid w:val="0D063BDA"/>
    <w:rsid w:val="0D08375F"/>
    <w:rsid w:val="0D184CFB"/>
    <w:rsid w:val="0D4A7419"/>
    <w:rsid w:val="0D5A05B1"/>
    <w:rsid w:val="0D827401"/>
    <w:rsid w:val="0D84094E"/>
    <w:rsid w:val="0D8A00E9"/>
    <w:rsid w:val="0D8D589E"/>
    <w:rsid w:val="0DA01C73"/>
    <w:rsid w:val="0DD63300"/>
    <w:rsid w:val="0DF50604"/>
    <w:rsid w:val="0DF702FE"/>
    <w:rsid w:val="0E060E51"/>
    <w:rsid w:val="0E2008DB"/>
    <w:rsid w:val="0E5604B2"/>
    <w:rsid w:val="0E6D5D79"/>
    <w:rsid w:val="0E6F197A"/>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437C74"/>
    <w:rsid w:val="12530213"/>
    <w:rsid w:val="127723A9"/>
    <w:rsid w:val="12862074"/>
    <w:rsid w:val="12883966"/>
    <w:rsid w:val="129E45B4"/>
    <w:rsid w:val="12D81596"/>
    <w:rsid w:val="13072A44"/>
    <w:rsid w:val="130E34D1"/>
    <w:rsid w:val="13467951"/>
    <w:rsid w:val="135F4BE2"/>
    <w:rsid w:val="139B1A0A"/>
    <w:rsid w:val="139D25C7"/>
    <w:rsid w:val="13A22590"/>
    <w:rsid w:val="13BF3CE4"/>
    <w:rsid w:val="141008D8"/>
    <w:rsid w:val="14125FE6"/>
    <w:rsid w:val="146D271E"/>
    <w:rsid w:val="14895B2E"/>
    <w:rsid w:val="14982588"/>
    <w:rsid w:val="149A5AD9"/>
    <w:rsid w:val="14A7619D"/>
    <w:rsid w:val="150536C3"/>
    <w:rsid w:val="150C1963"/>
    <w:rsid w:val="151447A0"/>
    <w:rsid w:val="152B4878"/>
    <w:rsid w:val="154A6454"/>
    <w:rsid w:val="15762120"/>
    <w:rsid w:val="15E9021F"/>
    <w:rsid w:val="16831BCC"/>
    <w:rsid w:val="16A8729C"/>
    <w:rsid w:val="16B33777"/>
    <w:rsid w:val="16BC70A7"/>
    <w:rsid w:val="16C6339E"/>
    <w:rsid w:val="172F2D79"/>
    <w:rsid w:val="17557BEF"/>
    <w:rsid w:val="17B959CB"/>
    <w:rsid w:val="17D349C1"/>
    <w:rsid w:val="17F92515"/>
    <w:rsid w:val="1830729E"/>
    <w:rsid w:val="1870062C"/>
    <w:rsid w:val="18817102"/>
    <w:rsid w:val="18830A15"/>
    <w:rsid w:val="18852B28"/>
    <w:rsid w:val="188B5321"/>
    <w:rsid w:val="19863B04"/>
    <w:rsid w:val="19932372"/>
    <w:rsid w:val="19A20DD5"/>
    <w:rsid w:val="19AE03F1"/>
    <w:rsid w:val="19B82DCB"/>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D266CE1"/>
    <w:rsid w:val="1D3963AF"/>
    <w:rsid w:val="1D3D0FE5"/>
    <w:rsid w:val="1D6A673C"/>
    <w:rsid w:val="1D9247AE"/>
    <w:rsid w:val="1DA040F5"/>
    <w:rsid w:val="1DB567EC"/>
    <w:rsid w:val="1DF51A98"/>
    <w:rsid w:val="1E3D060F"/>
    <w:rsid w:val="1E3F7D2E"/>
    <w:rsid w:val="1E4134E4"/>
    <w:rsid w:val="1E5062B3"/>
    <w:rsid w:val="1E523514"/>
    <w:rsid w:val="1E714A66"/>
    <w:rsid w:val="1E802593"/>
    <w:rsid w:val="1E8B6156"/>
    <w:rsid w:val="1E970559"/>
    <w:rsid w:val="1EA703CC"/>
    <w:rsid w:val="1EB7330C"/>
    <w:rsid w:val="1EF43445"/>
    <w:rsid w:val="1F0A0FF3"/>
    <w:rsid w:val="1F492249"/>
    <w:rsid w:val="1F5771FF"/>
    <w:rsid w:val="1F646BF6"/>
    <w:rsid w:val="1F904124"/>
    <w:rsid w:val="1FE868A9"/>
    <w:rsid w:val="20034907"/>
    <w:rsid w:val="2006175C"/>
    <w:rsid w:val="20173E4B"/>
    <w:rsid w:val="204E48BC"/>
    <w:rsid w:val="208921B3"/>
    <w:rsid w:val="20973DEB"/>
    <w:rsid w:val="20B26522"/>
    <w:rsid w:val="20B44310"/>
    <w:rsid w:val="211116EB"/>
    <w:rsid w:val="215309AD"/>
    <w:rsid w:val="216133FC"/>
    <w:rsid w:val="21974186"/>
    <w:rsid w:val="21D56769"/>
    <w:rsid w:val="21E52EF3"/>
    <w:rsid w:val="21FB5D7B"/>
    <w:rsid w:val="22015E94"/>
    <w:rsid w:val="220B1C3D"/>
    <w:rsid w:val="221D1D20"/>
    <w:rsid w:val="22334A87"/>
    <w:rsid w:val="22BE6801"/>
    <w:rsid w:val="232B1946"/>
    <w:rsid w:val="233500BF"/>
    <w:rsid w:val="23377FF7"/>
    <w:rsid w:val="236B425F"/>
    <w:rsid w:val="23836192"/>
    <w:rsid w:val="23901F29"/>
    <w:rsid w:val="239C0061"/>
    <w:rsid w:val="23A14683"/>
    <w:rsid w:val="23B908A4"/>
    <w:rsid w:val="23E95BEF"/>
    <w:rsid w:val="23FD0064"/>
    <w:rsid w:val="245375B0"/>
    <w:rsid w:val="24642C0A"/>
    <w:rsid w:val="24B22173"/>
    <w:rsid w:val="24B95AD9"/>
    <w:rsid w:val="24BE24DA"/>
    <w:rsid w:val="24CF5825"/>
    <w:rsid w:val="24D663E6"/>
    <w:rsid w:val="24D77F2B"/>
    <w:rsid w:val="2569116E"/>
    <w:rsid w:val="258B00E2"/>
    <w:rsid w:val="25A917A6"/>
    <w:rsid w:val="25BE27CC"/>
    <w:rsid w:val="25F74A5C"/>
    <w:rsid w:val="260441B7"/>
    <w:rsid w:val="2628662C"/>
    <w:rsid w:val="262D45DE"/>
    <w:rsid w:val="265D648B"/>
    <w:rsid w:val="26871DC8"/>
    <w:rsid w:val="26A53EF9"/>
    <w:rsid w:val="26A94201"/>
    <w:rsid w:val="26AC274F"/>
    <w:rsid w:val="26C00BDB"/>
    <w:rsid w:val="2703128E"/>
    <w:rsid w:val="27044A29"/>
    <w:rsid w:val="271D34C8"/>
    <w:rsid w:val="276142BF"/>
    <w:rsid w:val="27783712"/>
    <w:rsid w:val="27907362"/>
    <w:rsid w:val="28333E1D"/>
    <w:rsid w:val="28364C21"/>
    <w:rsid w:val="28454BD6"/>
    <w:rsid w:val="28455253"/>
    <w:rsid w:val="28551971"/>
    <w:rsid w:val="285B1C53"/>
    <w:rsid w:val="289F7086"/>
    <w:rsid w:val="28B203F9"/>
    <w:rsid w:val="28BE2623"/>
    <w:rsid w:val="28C32028"/>
    <w:rsid w:val="28CC490F"/>
    <w:rsid w:val="28DC1152"/>
    <w:rsid w:val="28DE40AA"/>
    <w:rsid w:val="291C2D04"/>
    <w:rsid w:val="29345E77"/>
    <w:rsid w:val="2943145A"/>
    <w:rsid w:val="294C65AD"/>
    <w:rsid w:val="29806583"/>
    <w:rsid w:val="298B3C4C"/>
    <w:rsid w:val="29F26D24"/>
    <w:rsid w:val="2A15033F"/>
    <w:rsid w:val="2A1662C1"/>
    <w:rsid w:val="2A1C7367"/>
    <w:rsid w:val="2A2815FA"/>
    <w:rsid w:val="2A290739"/>
    <w:rsid w:val="2A6D6092"/>
    <w:rsid w:val="2A7D76B4"/>
    <w:rsid w:val="2B437463"/>
    <w:rsid w:val="2B7807EE"/>
    <w:rsid w:val="2BA50BF7"/>
    <w:rsid w:val="2BBF00EC"/>
    <w:rsid w:val="2BC37CFD"/>
    <w:rsid w:val="2BD5237F"/>
    <w:rsid w:val="2BE536CE"/>
    <w:rsid w:val="2BE758D9"/>
    <w:rsid w:val="2C09049E"/>
    <w:rsid w:val="2C0A653C"/>
    <w:rsid w:val="2C191F85"/>
    <w:rsid w:val="2C363DD6"/>
    <w:rsid w:val="2CE82D6F"/>
    <w:rsid w:val="2D343236"/>
    <w:rsid w:val="2D8E266F"/>
    <w:rsid w:val="2DD15014"/>
    <w:rsid w:val="2DF72DE4"/>
    <w:rsid w:val="2E0220AF"/>
    <w:rsid w:val="2E4B082A"/>
    <w:rsid w:val="2E5D4E86"/>
    <w:rsid w:val="2E5D790B"/>
    <w:rsid w:val="2E9A3C18"/>
    <w:rsid w:val="2EBB0FEE"/>
    <w:rsid w:val="2EC63002"/>
    <w:rsid w:val="2ECB2EFB"/>
    <w:rsid w:val="2F0401BB"/>
    <w:rsid w:val="2F0A6B38"/>
    <w:rsid w:val="2F140557"/>
    <w:rsid w:val="2F946CCB"/>
    <w:rsid w:val="2FD25781"/>
    <w:rsid w:val="2FDC745C"/>
    <w:rsid w:val="2FFD7934"/>
    <w:rsid w:val="30733ACD"/>
    <w:rsid w:val="308C3862"/>
    <w:rsid w:val="309379D8"/>
    <w:rsid w:val="30A270F7"/>
    <w:rsid w:val="30AA14F8"/>
    <w:rsid w:val="30DF1478"/>
    <w:rsid w:val="30EC586F"/>
    <w:rsid w:val="319C6071"/>
    <w:rsid w:val="31A11ECE"/>
    <w:rsid w:val="31AC537E"/>
    <w:rsid w:val="31E3679B"/>
    <w:rsid w:val="31E732FD"/>
    <w:rsid w:val="32517576"/>
    <w:rsid w:val="32BE5C2C"/>
    <w:rsid w:val="32D63C1D"/>
    <w:rsid w:val="32E15AC4"/>
    <w:rsid w:val="32FB6478"/>
    <w:rsid w:val="32FC3357"/>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8D5BB0"/>
    <w:rsid w:val="36A74ADA"/>
    <w:rsid w:val="36AD60D5"/>
    <w:rsid w:val="36B224F9"/>
    <w:rsid w:val="36EC0CC9"/>
    <w:rsid w:val="373F410B"/>
    <w:rsid w:val="37EE7094"/>
    <w:rsid w:val="38296C89"/>
    <w:rsid w:val="383002EB"/>
    <w:rsid w:val="38586797"/>
    <w:rsid w:val="38966328"/>
    <w:rsid w:val="38BC0149"/>
    <w:rsid w:val="38CF2B5D"/>
    <w:rsid w:val="38D87D1C"/>
    <w:rsid w:val="38F04D44"/>
    <w:rsid w:val="39203C7B"/>
    <w:rsid w:val="39636459"/>
    <w:rsid w:val="396B7F6C"/>
    <w:rsid w:val="397070DC"/>
    <w:rsid w:val="39B417A9"/>
    <w:rsid w:val="39FC5695"/>
    <w:rsid w:val="3A006D8E"/>
    <w:rsid w:val="3A204F94"/>
    <w:rsid w:val="3A3651E5"/>
    <w:rsid w:val="3A744481"/>
    <w:rsid w:val="3A8C7BEF"/>
    <w:rsid w:val="3A906246"/>
    <w:rsid w:val="3A9E536B"/>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4740D5"/>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A8309D"/>
    <w:rsid w:val="40C31A53"/>
    <w:rsid w:val="40D878B5"/>
    <w:rsid w:val="40FF545D"/>
    <w:rsid w:val="410067C8"/>
    <w:rsid w:val="416176D3"/>
    <w:rsid w:val="418F0D2A"/>
    <w:rsid w:val="41D01505"/>
    <w:rsid w:val="42474939"/>
    <w:rsid w:val="424C3C57"/>
    <w:rsid w:val="42613FF3"/>
    <w:rsid w:val="42660D96"/>
    <w:rsid w:val="426D5BAD"/>
    <w:rsid w:val="428667D2"/>
    <w:rsid w:val="42CD1CE0"/>
    <w:rsid w:val="42E1381E"/>
    <w:rsid w:val="42ED6459"/>
    <w:rsid w:val="42FE58DD"/>
    <w:rsid w:val="43174B3D"/>
    <w:rsid w:val="431C0FA3"/>
    <w:rsid w:val="434B790E"/>
    <w:rsid w:val="4360274F"/>
    <w:rsid w:val="43977AB6"/>
    <w:rsid w:val="43A3342B"/>
    <w:rsid w:val="43A713E9"/>
    <w:rsid w:val="43AA5DF4"/>
    <w:rsid w:val="43C77C27"/>
    <w:rsid w:val="43DE09EE"/>
    <w:rsid w:val="44002FAD"/>
    <w:rsid w:val="441C37AA"/>
    <w:rsid w:val="449101DD"/>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2467E8"/>
    <w:rsid w:val="4741387D"/>
    <w:rsid w:val="477B778F"/>
    <w:rsid w:val="478203EC"/>
    <w:rsid w:val="478A3956"/>
    <w:rsid w:val="47B025FA"/>
    <w:rsid w:val="47CD6D2B"/>
    <w:rsid w:val="4809698F"/>
    <w:rsid w:val="4811697D"/>
    <w:rsid w:val="487A3E25"/>
    <w:rsid w:val="48897792"/>
    <w:rsid w:val="488B5503"/>
    <w:rsid w:val="48937E21"/>
    <w:rsid w:val="489A0361"/>
    <w:rsid w:val="48A8102D"/>
    <w:rsid w:val="48B94FF3"/>
    <w:rsid w:val="48E37AAB"/>
    <w:rsid w:val="48FD4B4C"/>
    <w:rsid w:val="490A68E0"/>
    <w:rsid w:val="491055FE"/>
    <w:rsid w:val="49120D15"/>
    <w:rsid w:val="49531994"/>
    <w:rsid w:val="495F5B3E"/>
    <w:rsid w:val="496F77D7"/>
    <w:rsid w:val="497654FD"/>
    <w:rsid w:val="4982215C"/>
    <w:rsid w:val="49B64211"/>
    <w:rsid w:val="49BB5CAE"/>
    <w:rsid w:val="49D41AAC"/>
    <w:rsid w:val="49F6167F"/>
    <w:rsid w:val="4A064FA0"/>
    <w:rsid w:val="4A16615C"/>
    <w:rsid w:val="4A4424D7"/>
    <w:rsid w:val="4AB82D0F"/>
    <w:rsid w:val="4AEB7664"/>
    <w:rsid w:val="4AFD7C19"/>
    <w:rsid w:val="4B0567D1"/>
    <w:rsid w:val="4B236AAE"/>
    <w:rsid w:val="4B2F799D"/>
    <w:rsid w:val="4B707271"/>
    <w:rsid w:val="4B9739F7"/>
    <w:rsid w:val="4BEA1DCE"/>
    <w:rsid w:val="4BEE2503"/>
    <w:rsid w:val="4BF727EA"/>
    <w:rsid w:val="4C245A30"/>
    <w:rsid w:val="4CB6685F"/>
    <w:rsid w:val="4CC367FE"/>
    <w:rsid w:val="4CF34379"/>
    <w:rsid w:val="4D077F3C"/>
    <w:rsid w:val="4D123355"/>
    <w:rsid w:val="4D2A3B31"/>
    <w:rsid w:val="4D312C52"/>
    <w:rsid w:val="4D7F0CE1"/>
    <w:rsid w:val="4D905305"/>
    <w:rsid w:val="4D964A72"/>
    <w:rsid w:val="4D9C1254"/>
    <w:rsid w:val="4D9E5B15"/>
    <w:rsid w:val="4E793892"/>
    <w:rsid w:val="4E800872"/>
    <w:rsid w:val="4EC569ED"/>
    <w:rsid w:val="4ED50EA1"/>
    <w:rsid w:val="4EE1672B"/>
    <w:rsid w:val="4EEC050C"/>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4502D"/>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982E4C"/>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8376B"/>
    <w:rsid w:val="55DC29B6"/>
    <w:rsid w:val="55DD4241"/>
    <w:rsid w:val="56170394"/>
    <w:rsid w:val="56223724"/>
    <w:rsid w:val="566B6D1E"/>
    <w:rsid w:val="567B1CCB"/>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562181"/>
    <w:rsid w:val="58917D2F"/>
    <w:rsid w:val="5894085C"/>
    <w:rsid w:val="58AE4F0C"/>
    <w:rsid w:val="58B85899"/>
    <w:rsid w:val="58BA3515"/>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391402"/>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12B1E"/>
    <w:rsid w:val="609F2AC4"/>
    <w:rsid w:val="60FA2EE8"/>
    <w:rsid w:val="61054A27"/>
    <w:rsid w:val="610A52BC"/>
    <w:rsid w:val="610D059B"/>
    <w:rsid w:val="611D2366"/>
    <w:rsid w:val="612452A6"/>
    <w:rsid w:val="61421856"/>
    <w:rsid w:val="615227C4"/>
    <w:rsid w:val="61654E3F"/>
    <w:rsid w:val="6182292A"/>
    <w:rsid w:val="619F7F92"/>
    <w:rsid w:val="61D81D7A"/>
    <w:rsid w:val="61F94C26"/>
    <w:rsid w:val="62000E56"/>
    <w:rsid w:val="624F3E49"/>
    <w:rsid w:val="62632286"/>
    <w:rsid w:val="62885958"/>
    <w:rsid w:val="62F40B65"/>
    <w:rsid w:val="62FC2CFE"/>
    <w:rsid w:val="63024505"/>
    <w:rsid w:val="635600A5"/>
    <w:rsid w:val="635B1DB5"/>
    <w:rsid w:val="63711FED"/>
    <w:rsid w:val="63880DDC"/>
    <w:rsid w:val="638D750D"/>
    <w:rsid w:val="63AC6CC0"/>
    <w:rsid w:val="63C45757"/>
    <w:rsid w:val="63DF3A11"/>
    <w:rsid w:val="63F23480"/>
    <w:rsid w:val="64055776"/>
    <w:rsid w:val="641F5B67"/>
    <w:rsid w:val="64240056"/>
    <w:rsid w:val="643E143A"/>
    <w:rsid w:val="64491666"/>
    <w:rsid w:val="648B6EEF"/>
    <w:rsid w:val="64C158BF"/>
    <w:rsid w:val="64CE2EAA"/>
    <w:rsid w:val="64EE6A8D"/>
    <w:rsid w:val="653C3090"/>
    <w:rsid w:val="65854376"/>
    <w:rsid w:val="658767BE"/>
    <w:rsid w:val="65892531"/>
    <w:rsid w:val="65D92F1F"/>
    <w:rsid w:val="66195831"/>
    <w:rsid w:val="662E75B1"/>
    <w:rsid w:val="66342C2E"/>
    <w:rsid w:val="663E784C"/>
    <w:rsid w:val="668B6A45"/>
    <w:rsid w:val="66F43AF7"/>
    <w:rsid w:val="67112C4A"/>
    <w:rsid w:val="672F3F24"/>
    <w:rsid w:val="673E055F"/>
    <w:rsid w:val="67551CE3"/>
    <w:rsid w:val="67A22552"/>
    <w:rsid w:val="67B22DCC"/>
    <w:rsid w:val="67BE71AA"/>
    <w:rsid w:val="67CF7323"/>
    <w:rsid w:val="67D90273"/>
    <w:rsid w:val="67DE5875"/>
    <w:rsid w:val="67E55852"/>
    <w:rsid w:val="67EB1AB4"/>
    <w:rsid w:val="67F64880"/>
    <w:rsid w:val="67FA1285"/>
    <w:rsid w:val="684309E8"/>
    <w:rsid w:val="68551F4F"/>
    <w:rsid w:val="687C10C9"/>
    <w:rsid w:val="68840C16"/>
    <w:rsid w:val="68876EFB"/>
    <w:rsid w:val="68884654"/>
    <w:rsid w:val="689F444F"/>
    <w:rsid w:val="68B96DBB"/>
    <w:rsid w:val="68CA2805"/>
    <w:rsid w:val="68E937A3"/>
    <w:rsid w:val="68FB149A"/>
    <w:rsid w:val="693E15D3"/>
    <w:rsid w:val="694A2693"/>
    <w:rsid w:val="69627681"/>
    <w:rsid w:val="6977531D"/>
    <w:rsid w:val="69CC2BFF"/>
    <w:rsid w:val="69FD55B8"/>
    <w:rsid w:val="6A0B1C62"/>
    <w:rsid w:val="6A2406C8"/>
    <w:rsid w:val="6A3813ED"/>
    <w:rsid w:val="6A3B7666"/>
    <w:rsid w:val="6A9A1ADF"/>
    <w:rsid w:val="6ADE0BD1"/>
    <w:rsid w:val="6AE81378"/>
    <w:rsid w:val="6AE96859"/>
    <w:rsid w:val="6B147746"/>
    <w:rsid w:val="6B24787C"/>
    <w:rsid w:val="6B573233"/>
    <w:rsid w:val="6B5B6274"/>
    <w:rsid w:val="6B935D53"/>
    <w:rsid w:val="6BFA3EFD"/>
    <w:rsid w:val="6C1316F7"/>
    <w:rsid w:val="6C196F71"/>
    <w:rsid w:val="6C226FCB"/>
    <w:rsid w:val="6C31226F"/>
    <w:rsid w:val="6C517EC7"/>
    <w:rsid w:val="6C552F0B"/>
    <w:rsid w:val="6C8C67B7"/>
    <w:rsid w:val="6C9D744C"/>
    <w:rsid w:val="6CB436B8"/>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0F8010E"/>
    <w:rsid w:val="71360107"/>
    <w:rsid w:val="713B688E"/>
    <w:rsid w:val="7148279F"/>
    <w:rsid w:val="71D43752"/>
    <w:rsid w:val="71F1796A"/>
    <w:rsid w:val="71FB63D5"/>
    <w:rsid w:val="72154626"/>
    <w:rsid w:val="72262B5D"/>
    <w:rsid w:val="72283FF7"/>
    <w:rsid w:val="722E7212"/>
    <w:rsid w:val="723A0474"/>
    <w:rsid w:val="725923E4"/>
    <w:rsid w:val="72864BF7"/>
    <w:rsid w:val="729023FC"/>
    <w:rsid w:val="72D20C05"/>
    <w:rsid w:val="733879F5"/>
    <w:rsid w:val="73C0646E"/>
    <w:rsid w:val="742222F5"/>
    <w:rsid w:val="74476126"/>
    <w:rsid w:val="74706664"/>
    <w:rsid w:val="747F3682"/>
    <w:rsid w:val="749C4185"/>
    <w:rsid w:val="75067759"/>
    <w:rsid w:val="752E6D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533533"/>
    <w:rsid w:val="777F31F2"/>
    <w:rsid w:val="77D1700D"/>
    <w:rsid w:val="77EC04CC"/>
    <w:rsid w:val="78775729"/>
    <w:rsid w:val="78A42DB0"/>
    <w:rsid w:val="78A656AB"/>
    <w:rsid w:val="78B2245C"/>
    <w:rsid w:val="78E172CC"/>
    <w:rsid w:val="78EA1D1F"/>
    <w:rsid w:val="79036DC3"/>
    <w:rsid w:val="7904172F"/>
    <w:rsid w:val="790E7355"/>
    <w:rsid w:val="790F7E27"/>
    <w:rsid w:val="792A231A"/>
    <w:rsid w:val="79316829"/>
    <w:rsid w:val="797E66A9"/>
    <w:rsid w:val="798518A4"/>
    <w:rsid w:val="799325F8"/>
    <w:rsid w:val="79A97383"/>
    <w:rsid w:val="79E27E8B"/>
    <w:rsid w:val="79F850CE"/>
    <w:rsid w:val="79FD443C"/>
    <w:rsid w:val="79FEE5E2"/>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1B30D6"/>
    <w:rsid w:val="7C254906"/>
    <w:rsid w:val="7C590818"/>
    <w:rsid w:val="7C7C10F6"/>
    <w:rsid w:val="7C853BEA"/>
    <w:rsid w:val="7C881368"/>
    <w:rsid w:val="7CD564F7"/>
    <w:rsid w:val="7CE27788"/>
    <w:rsid w:val="7D0C32F1"/>
    <w:rsid w:val="7D0F408D"/>
    <w:rsid w:val="7D256900"/>
    <w:rsid w:val="7D491C6C"/>
    <w:rsid w:val="7D5429C0"/>
    <w:rsid w:val="7D6513F2"/>
    <w:rsid w:val="7D693610"/>
    <w:rsid w:val="7D6E6D43"/>
    <w:rsid w:val="7DB57A34"/>
    <w:rsid w:val="7DE60973"/>
    <w:rsid w:val="7DEF0916"/>
    <w:rsid w:val="7E1E5218"/>
    <w:rsid w:val="7E6C679B"/>
    <w:rsid w:val="7E9A4E1F"/>
    <w:rsid w:val="7EA7723A"/>
    <w:rsid w:val="7EF56FBB"/>
    <w:rsid w:val="7F0768EB"/>
    <w:rsid w:val="7F143BEC"/>
    <w:rsid w:val="7F1C3D32"/>
    <w:rsid w:val="7F362021"/>
    <w:rsid w:val="7F715AF2"/>
    <w:rsid w:val="7F7B47F9"/>
    <w:rsid w:val="7F886E69"/>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1"/>
    <w:next w:val="1"/>
    <w:link w:val="321"/>
    <w:qFormat/>
    <w:uiPriority w:val="0"/>
    <w:pPr>
      <w:ind w:firstLine="420"/>
    </w:pPr>
    <w:rPr>
      <w:rFonts w:hAnsi="Calibri" w:cs="Times New Roman"/>
      <w:snapToGrid/>
      <w:szCs w:val="20"/>
    </w:rPr>
  </w:style>
  <w:style w:type="paragraph" w:styleId="25">
    <w:name w:val="Body Text Indent"/>
    <w:basedOn w:val="1"/>
    <w:next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5"/>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List Paragraph_41d0cc91-dce1-4733-b767-3adef058dad0"/>
    <w:basedOn w:val="1"/>
    <w:qFormat/>
    <w:uiPriority w:val="34"/>
    <w:pPr>
      <w:ind w:firstLine="420" w:firstLineChars="200"/>
    </w:pPr>
  </w:style>
  <w:style w:type="paragraph" w:styleId="968">
    <w:name w:val="List Paragraph"/>
    <w:basedOn w:val="1"/>
    <w:qFormat/>
    <w:uiPriority w:val="0"/>
    <w:pPr>
      <w:ind w:firstLine="420" w:firstLineChars="200"/>
    </w:pPr>
  </w:style>
  <w:style w:type="paragraph" w:customStyle="1" w:styleId="969">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970">
    <w:name w:val="_Style 973"/>
    <w:basedOn w:val="1"/>
    <w:next w:val="968"/>
    <w:qFormat/>
    <w:uiPriority w:val="0"/>
    <w:pPr>
      <w:autoSpaceDE w:val="0"/>
      <w:autoSpaceDN w:val="0"/>
      <w:jc w:val="left"/>
    </w:pPr>
    <w:rPr>
      <w:rFonts w:ascii="宋体" w:hAnsi="宋体"/>
    </w:rPr>
  </w:style>
  <w:style w:type="paragraph" w:customStyle="1" w:styleId="971">
    <w:name w:val="Waxiyi2级符号"/>
    <w:basedOn w:val="1"/>
    <w:unhideWhenUsed/>
    <w:qFormat/>
    <w:uiPriority w:val="0"/>
    <w:pPr>
      <w:numPr>
        <w:ilvl w:val="1"/>
        <w:numId w:val="1"/>
      </w:numPr>
      <w:tabs>
        <w:tab w:val="left" w:pos="464"/>
      </w:tabs>
      <w:autoSpaceDE w:val="0"/>
      <w:autoSpaceDN w:val="0"/>
      <w:spacing w:line="500" w:lineRule="exact"/>
      <w:jc w:val="left"/>
      <w:outlineLvl w:val="2"/>
    </w:pPr>
    <w:rPr>
      <w:rFonts w:ascii="宋体"/>
      <w:kern w:val="0"/>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125</Pages>
  <Words>11684</Words>
  <Characters>12787</Characters>
  <Lines>1</Lines>
  <Paragraphs>1</Paragraphs>
  <TotalTime>2</TotalTime>
  <ScaleCrop>false</ScaleCrop>
  <LinksUpToDate>false</LinksUpToDate>
  <CharactersWithSpaces>13175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2022-05-07T23:35:00Z</dcterms:created>
  <dc:creator>DELL</dc:creator>
  <cp:lastModifiedBy>呱呱</cp:lastModifiedBy>
  <cp:lastPrinted>2021-12-28T03:06:00Z</cp:lastPrinted>
  <dcterms:modified xsi:type="dcterms:W3CDTF">2025-07-11T13:41:43Z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A6A678665FBD43719B9A44909A43C13F_13</vt:lpwstr>
  </property>
  <property fmtid="{D5CDD505-2E9C-101B-9397-08002B2CF9AE}" pid="5" name="commondata">
    <vt:lpwstr>eyJoZGlkIjoiNGNlMmFkMDQ1NDY0ZmRiM2Q0NjY4NTFjN2IwMTllYjMifQ==</vt:lpwstr>
  </property>
  <property fmtid="{D5CDD505-2E9C-101B-9397-08002B2CF9AE}" pid="6" name="KSOTemplateDocerSaveRecord">
    <vt:lpwstr>eyJoZGlkIjoiZjk4ODA0NjMwNjFhYWEyZThjZjg2N2YxN2FlZGJmODIiLCJ1c2VySWQiOiI0NDg3MDg0OTkifQ==</vt:lpwstr>
  </property>
</Properties>
</file>